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Products Pricing Act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_Toc210129843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_Toc210129844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_Toc210129845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_Toc210129846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_Toc210129848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_Toc210129849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_Toc210129850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_Toc210129851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_Toc210129852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_Toc210129855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_Toc210129856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_Toc210129858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_Toc210129859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_Toc210129861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_Toc210129862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_Toc210129863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_Toc210129864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_Toc210129865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_Toc210129866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_Toc210129867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_Toc210129868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_Toc210129869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77"/>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_Toc210129872 \h </w:instrText>
      </w:r>
      <w:r>
        <w:fldChar w:fldCharType="separate"/>
      </w:r>
      <w:r>
        <w:t>29</w:t>
      </w:r>
      <w:r>
        <w:fldChar w:fldCharType="end"/>
      </w:r>
    </w:p>
    <w:p>
      <w:pPr>
        <w:pStyle w:val="TOC8"/>
        <w:rPr>
          <w:rFonts w:asciiTheme="minorHAnsi" w:eastAsiaTheme="minorEastAsia" w:hAnsiTheme="minorHAnsi" w:cstheme="minorBidi"/>
          <w:szCs w:val="22"/>
        </w:rPr>
      </w:pPr>
      <w:r>
        <w:t>22B.</w:t>
      </w:r>
      <w:r>
        <w:tab/>
        <w:t>Commissioner to be notified of proposed price changes</w:t>
      </w:r>
      <w:r>
        <w:tab/>
      </w:r>
      <w:r>
        <w:fldChar w:fldCharType="begin"/>
      </w:r>
      <w:r>
        <w:instrText xml:space="preserve"> PAGEREF _Toc210129873 \h </w:instrText>
      </w:r>
      <w:r>
        <w:fldChar w:fldCharType="separate"/>
      </w:r>
      <w:r>
        <w:t>30</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_Toc210129874 \h </w:instrText>
      </w:r>
      <w:r>
        <w:fldChar w:fldCharType="separate"/>
      </w:r>
      <w:r>
        <w:t>30</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_Toc210129875 \h </w:instrText>
      </w:r>
      <w:r>
        <w:fldChar w:fldCharType="separate"/>
      </w:r>
      <w:r>
        <w:t>31</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_Toc210129876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Terms used</w:t>
      </w:r>
      <w:r>
        <w:tab/>
      </w:r>
      <w:r>
        <w:fldChar w:fldCharType="begin"/>
      </w:r>
      <w:r>
        <w:instrText xml:space="preserve"> PAGEREF _Toc210129878 \h </w:instrText>
      </w:r>
      <w:r>
        <w:fldChar w:fldCharType="separate"/>
      </w:r>
      <w:r>
        <w:t>33</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_Toc210129879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_Toc210129880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_Toc210129882 \h </w:instrText>
      </w:r>
      <w:r>
        <w:fldChar w:fldCharType="separate"/>
      </w:r>
      <w:r>
        <w:t>36</w:t>
      </w:r>
      <w:r>
        <w:fldChar w:fldCharType="end"/>
      </w:r>
    </w:p>
    <w:p>
      <w:pPr>
        <w:pStyle w:val="TOC8"/>
        <w:keepNext/>
        <w:rPr>
          <w:rFonts w:asciiTheme="minorHAnsi" w:eastAsiaTheme="minorEastAsia" w:hAnsiTheme="minorHAnsi" w:cstheme="minorBidi"/>
          <w:szCs w:val="22"/>
        </w:rPr>
      </w:pPr>
      <w:r>
        <w:lastRenderedPageBreak/>
        <w:t>24</w:t>
      </w:r>
      <w:r>
        <w:rPr>
          <w:snapToGrid w:val="0"/>
        </w:rPr>
        <w:t>.</w:t>
      </w:r>
      <w:r>
        <w:rPr>
          <w:snapToGrid w:val="0"/>
        </w:rPr>
        <w:tab/>
        <w:t>Sufficient notice to be given to enable questions, etc. to be answered</w:t>
      </w:r>
      <w:r>
        <w:tab/>
      </w:r>
      <w:r>
        <w:fldChar w:fldCharType="begin"/>
      </w:r>
      <w:r>
        <w:instrText xml:space="preserve"> PAGEREF _Toc210129883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_Toc210129884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_Toc210129885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_Toc210129886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_Toc210129887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_Toc210129888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_Toc210129889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_Toc210129892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_Toc210129893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_Toc210129894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_Toc210129896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_Toc210129897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_Toc210129898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_Toc210129899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_Toc210129900 \h </w:instrText>
      </w:r>
      <w:r>
        <w:fldChar w:fldCharType="separate"/>
      </w:r>
      <w:r>
        <w:t>45</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_Toc210129901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_Toc210129902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_Toc210129903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_Toc210129905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_Toc210129906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_Toc210129907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_Toc210129908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_Toc210129909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_Toc210129910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keepNext/>
        <w:tabs>
          <w:tab w:val="right" w:leader="dot" w:pos="7077"/>
        </w:tabs>
        <w:rPr>
          <w:rFonts w:asciiTheme="minorHAnsi" w:eastAsiaTheme="minorEastAsia" w:hAnsiTheme="minorHAnsi" w:cstheme="minorBidi"/>
          <w:b w:val="0"/>
          <w:noProof/>
          <w:sz w:val="22"/>
          <w:szCs w:val="22"/>
        </w:rPr>
      </w:pPr>
      <w:r>
        <w:rPr>
          <w:noProof/>
        </w:rP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_Toc210129913 \h </w:instrText>
      </w:r>
      <w:r>
        <w:fldChar w:fldCharType="separate"/>
      </w:r>
      <w:r>
        <w:t>59</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_Toc210129914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_Toc210129915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No. 72 of 1983 s. 15.] </w:t>
      </w:r>
    </w:p>
    <w:p>
      <w:pPr>
        <w:pStyle w:val="Heading2"/>
      </w:pPr>
      <w:bookmarkStart w:id="2" w:name="_Toc36105908"/>
      <w:bookmarkStart w:id="3" w:name="_Toc36108259"/>
      <w:bookmarkStart w:id="4" w:name="_Toc36110983"/>
      <w:bookmarkStart w:id="5" w:name="_Toc210125332"/>
      <w:bookmarkStart w:id="6" w:name="_Toc21012984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210129843"/>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snapToGrid w:val="0"/>
        </w:rPr>
        <w:t>.</w:t>
      </w:r>
    </w:p>
    <w:p>
      <w:pPr>
        <w:pStyle w:val="Footnotesection"/>
      </w:pPr>
      <w:r>
        <w:tab/>
        <w:t xml:space="preserve">[Section 1 amended: No. 72 of 1983 s. 6.] </w:t>
      </w:r>
    </w:p>
    <w:p>
      <w:pPr>
        <w:pStyle w:val="Heading5"/>
        <w:rPr>
          <w:snapToGrid w:val="0"/>
        </w:rPr>
      </w:pPr>
      <w:bookmarkStart w:id="8" w:name="_Toc210129844"/>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9" w:name="_Toc210129845"/>
      <w:r>
        <w:rPr>
          <w:rStyle w:val="CharSectno"/>
        </w:rPr>
        <w:t>3</w:t>
      </w:r>
      <w:r>
        <w:rPr>
          <w:snapToGrid w:val="0"/>
        </w:rPr>
        <w:t>.</w:t>
      </w:r>
      <w:r>
        <w:rPr>
          <w:snapToGrid w:val="0"/>
        </w:rPr>
        <w:tab/>
        <w:t>Definitions</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4</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lastRenderedPageBreak/>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No. 72 of 1983 s. 7 and 15; No. 73 of 2000 s. 3; No. 28 of 2006 s. 114; No. 8 of 2012 s. 159.] </w:t>
      </w:r>
    </w:p>
    <w:p>
      <w:pPr>
        <w:pStyle w:val="Heading5"/>
        <w:rPr>
          <w:snapToGrid w:val="0"/>
        </w:rPr>
      </w:pPr>
      <w:bookmarkStart w:id="10" w:name="_Toc210129846"/>
      <w:r>
        <w:rPr>
          <w:rStyle w:val="CharSectno"/>
        </w:rPr>
        <w:lastRenderedPageBreak/>
        <w:t>4</w:t>
      </w:r>
      <w:r>
        <w:rPr>
          <w:snapToGrid w:val="0"/>
        </w:rPr>
        <w:t>.</w:t>
      </w:r>
      <w:r>
        <w:rPr>
          <w:snapToGrid w:val="0"/>
        </w:rPr>
        <w:tab/>
        <w:t>Relationship to other Acts, etc.</w:t>
      </w:r>
      <w:bookmarkEnd w:id="10"/>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No. 72 of 1983 s. 15; No. 14 of 1996 s. 4; No. 73 of 2000 s. 13.] </w:t>
      </w:r>
    </w:p>
    <w:p>
      <w:pPr>
        <w:pStyle w:val="Heading2"/>
      </w:pPr>
      <w:bookmarkStart w:id="11" w:name="_Toc36105913"/>
      <w:bookmarkStart w:id="12" w:name="_Toc36108264"/>
      <w:bookmarkStart w:id="13" w:name="_Toc36110988"/>
      <w:bookmarkStart w:id="14" w:name="_Toc210125337"/>
      <w:bookmarkStart w:id="15" w:name="_Toc210129847"/>
      <w:r>
        <w:rPr>
          <w:rStyle w:val="CharPartNo"/>
        </w:rPr>
        <w:lastRenderedPageBreak/>
        <w:t>Part II</w:t>
      </w:r>
      <w:r>
        <w:rPr>
          <w:rStyle w:val="CharDivNo"/>
        </w:rPr>
        <w:t> </w:t>
      </w:r>
      <w:r>
        <w:t>—</w:t>
      </w:r>
      <w:r>
        <w:rPr>
          <w:rStyle w:val="CharDivText"/>
        </w:rPr>
        <w:t> </w:t>
      </w:r>
      <w:r>
        <w:rPr>
          <w:rStyle w:val="CharPartText"/>
        </w:rPr>
        <w:t>Administration</w:t>
      </w:r>
      <w:bookmarkEnd w:id="11"/>
      <w:bookmarkEnd w:id="12"/>
      <w:bookmarkEnd w:id="13"/>
      <w:bookmarkEnd w:id="14"/>
      <w:bookmarkEnd w:id="15"/>
      <w:r>
        <w:rPr>
          <w:rStyle w:val="CharPartText"/>
        </w:rPr>
        <w:t xml:space="preserve"> </w:t>
      </w:r>
    </w:p>
    <w:p>
      <w:pPr>
        <w:pStyle w:val="Heading5"/>
      </w:pPr>
      <w:bookmarkStart w:id="16" w:name="_Toc210129848"/>
      <w:r>
        <w:rPr>
          <w:rStyle w:val="CharSectno"/>
        </w:rPr>
        <w:t>5</w:t>
      </w:r>
      <w:r>
        <w:t>.</w:t>
      </w:r>
      <w:r>
        <w:tab/>
        <w:t>Commissioner</w:t>
      </w:r>
      <w:bookmarkEnd w:id="16"/>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No. 28 of 2006 s. 115.]</w:t>
      </w:r>
    </w:p>
    <w:p>
      <w:pPr>
        <w:pStyle w:val="Heading5"/>
        <w:rPr>
          <w:snapToGrid w:val="0"/>
        </w:rPr>
      </w:pPr>
      <w:bookmarkStart w:id="17" w:name="_Toc210129849"/>
      <w:r>
        <w:rPr>
          <w:rStyle w:val="CharSectno"/>
        </w:rPr>
        <w:t>6</w:t>
      </w:r>
      <w:r>
        <w:rPr>
          <w:snapToGrid w:val="0"/>
        </w:rPr>
        <w:t>.</w:t>
      </w:r>
      <w:r>
        <w:rPr>
          <w:snapToGrid w:val="0"/>
        </w:rPr>
        <w:tab/>
        <w:t>Object and purposes</w:t>
      </w:r>
      <w:bookmarkEnd w:id="17"/>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No. 72 of 1983 s. 15; No. 73 of 2000 s. 4.] </w:t>
      </w:r>
    </w:p>
    <w:p>
      <w:pPr>
        <w:pStyle w:val="Heading5"/>
        <w:rPr>
          <w:snapToGrid w:val="0"/>
        </w:rPr>
      </w:pPr>
      <w:bookmarkStart w:id="18" w:name="_Toc210129850"/>
      <w:r>
        <w:rPr>
          <w:rStyle w:val="CharSectno"/>
        </w:rPr>
        <w:lastRenderedPageBreak/>
        <w:t>7</w:t>
      </w:r>
      <w:r>
        <w:rPr>
          <w:snapToGrid w:val="0"/>
        </w:rPr>
        <w:t>.</w:t>
      </w:r>
      <w:r>
        <w:rPr>
          <w:snapToGrid w:val="0"/>
        </w:rPr>
        <w:tab/>
        <w:t>General administration, and the powers and duties of the Commissioner</w:t>
      </w:r>
      <w:bookmarkEnd w:id="18"/>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lastRenderedPageBreak/>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No. 72 of 1983 s. 8 and 15; No. 98 of 1985 s. 3; No. 73 of 2000 s. 5; No. 28 of 2006 s. 116.] </w:t>
      </w:r>
    </w:p>
    <w:p>
      <w:pPr>
        <w:pStyle w:val="Heading5"/>
        <w:spacing w:before="240"/>
        <w:rPr>
          <w:snapToGrid w:val="0"/>
        </w:rPr>
      </w:pPr>
      <w:bookmarkStart w:id="19" w:name="_Toc210129851"/>
      <w:r>
        <w:rPr>
          <w:rStyle w:val="CharSectno"/>
        </w:rPr>
        <w:t>8</w:t>
      </w:r>
      <w:r>
        <w:rPr>
          <w:snapToGrid w:val="0"/>
        </w:rPr>
        <w:t>.</w:t>
      </w:r>
      <w:r>
        <w:rPr>
          <w:snapToGrid w:val="0"/>
        </w:rPr>
        <w:tab/>
        <w:t>Prices advisory committees</w:t>
      </w:r>
      <w:bookmarkEnd w:id="19"/>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 xml:space="preserve">whether or not maximum prices or rates in relation to particular declared petroleum products or declared </w:t>
      </w:r>
      <w:r>
        <w:rPr>
          <w:snapToGrid w:val="0"/>
        </w:rPr>
        <w:lastRenderedPageBreak/>
        <w:t>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lastRenderedPageBreak/>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No. 72 of 1983 s. 15.] </w:t>
      </w:r>
    </w:p>
    <w:p>
      <w:pPr>
        <w:pStyle w:val="Heading5"/>
        <w:rPr>
          <w:snapToGrid w:val="0"/>
        </w:rPr>
      </w:pPr>
      <w:bookmarkStart w:id="20" w:name="_Toc210129852"/>
      <w:r>
        <w:rPr>
          <w:rStyle w:val="CharSectno"/>
        </w:rPr>
        <w:t>9</w:t>
      </w:r>
      <w:r>
        <w:rPr>
          <w:snapToGrid w:val="0"/>
        </w:rPr>
        <w:t>.</w:t>
      </w:r>
      <w:r>
        <w:rPr>
          <w:snapToGrid w:val="0"/>
        </w:rPr>
        <w:tab/>
        <w:t>Terms of office of members of committees</w:t>
      </w:r>
      <w:bookmarkEnd w:id="20"/>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 xml:space="preserve">absents himself, except on leave duly granted by the Minister, from 3 consecutive meetings of the committee (for which purpose where a meeting has been adjourned and reconvened each part of that meeting shall be taken </w:t>
      </w:r>
      <w:r>
        <w:rPr>
          <w:snapToGrid w:val="0"/>
        </w:rPr>
        <w:lastRenderedPageBreak/>
        <w:t>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No. 18 of 2009 s. 66.]</w:t>
      </w:r>
    </w:p>
    <w:p>
      <w:pPr>
        <w:pStyle w:val="Heading2"/>
      </w:pPr>
      <w:bookmarkStart w:id="21" w:name="_Toc36105919"/>
      <w:bookmarkStart w:id="22" w:name="_Toc36108270"/>
      <w:bookmarkStart w:id="23" w:name="_Toc36110994"/>
      <w:bookmarkStart w:id="24" w:name="_Toc210125343"/>
      <w:bookmarkStart w:id="25" w:name="_Toc210129853"/>
      <w:r>
        <w:rPr>
          <w:rStyle w:val="CharPartNo"/>
        </w:rPr>
        <w:lastRenderedPageBreak/>
        <w:t>Part III</w:t>
      </w:r>
      <w:r>
        <w:t> — </w:t>
      </w:r>
      <w:r>
        <w:rPr>
          <w:rStyle w:val="CharPartText"/>
        </w:rPr>
        <w:t>Regulation of prices and rates</w:t>
      </w:r>
      <w:bookmarkEnd w:id="21"/>
      <w:bookmarkEnd w:id="22"/>
      <w:bookmarkEnd w:id="23"/>
      <w:bookmarkEnd w:id="24"/>
      <w:bookmarkEnd w:id="25"/>
      <w:r>
        <w:rPr>
          <w:rStyle w:val="CharPartText"/>
        </w:rPr>
        <w:t xml:space="preserve"> </w:t>
      </w:r>
    </w:p>
    <w:p>
      <w:pPr>
        <w:pStyle w:val="Heading3"/>
        <w:rPr>
          <w:snapToGrid w:val="0"/>
        </w:rPr>
      </w:pPr>
      <w:bookmarkStart w:id="26" w:name="_Toc36105920"/>
      <w:bookmarkStart w:id="27" w:name="_Toc36108271"/>
      <w:bookmarkStart w:id="28" w:name="_Toc36110995"/>
      <w:bookmarkStart w:id="29" w:name="_Toc210125344"/>
      <w:bookmarkStart w:id="30" w:name="_Toc210129854"/>
      <w:r>
        <w:rPr>
          <w:rStyle w:val="CharDivNo"/>
        </w:rPr>
        <w:t>Division 1</w:t>
      </w:r>
      <w:r>
        <w:rPr>
          <w:snapToGrid w:val="0"/>
        </w:rPr>
        <w:t> — </w:t>
      </w:r>
      <w:r>
        <w:rPr>
          <w:rStyle w:val="CharDivText"/>
        </w:rPr>
        <w:t>Declaration of goods and services</w:t>
      </w:r>
      <w:bookmarkEnd w:id="26"/>
      <w:bookmarkEnd w:id="27"/>
      <w:bookmarkEnd w:id="28"/>
      <w:bookmarkEnd w:id="29"/>
      <w:bookmarkEnd w:id="30"/>
      <w:r>
        <w:rPr>
          <w:rStyle w:val="CharDivText"/>
        </w:rPr>
        <w:t xml:space="preserve"> </w:t>
      </w:r>
    </w:p>
    <w:p>
      <w:pPr>
        <w:pStyle w:val="Heading5"/>
        <w:rPr>
          <w:snapToGrid w:val="0"/>
        </w:rPr>
      </w:pPr>
      <w:bookmarkStart w:id="31" w:name="_Toc210129855"/>
      <w:r>
        <w:rPr>
          <w:rStyle w:val="CharSectno"/>
        </w:rPr>
        <w:t>10</w:t>
      </w:r>
      <w:r>
        <w:rPr>
          <w:snapToGrid w:val="0"/>
        </w:rPr>
        <w:t>.</w:t>
      </w:r>
      <w:r>
        <w:rPr>
          <w:snapToGrid w:val="0"/>
        </w:rPr>
        <w:tab/>
        <w:t>Declaration of goods and services</w:t>
      </w:r>
      <w:bookmarkEnd w:id="3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No. 72 of 1983 s. 9 and 15.] </w:t>
      </w:r>
    </w:p>
    <w:p>
      <w:pPr>
        <w:pStyle w:val="Heading5"/>
        <w:rPr>
          <w:snapToGrid w:val="0"/>
        </w:rPr>
      </w:pPr>
      <w:bookmarkStart w:id="32" w:name="_Toc210129856"/>
      <w:r>
        <w:rPr>
          <w:rStyle w:val="CharSectno"/>
        </w:rPr>
        <w:lastRenderedPageBreak/>
        <w:t>11</w:t>
      </w:r>
      <w:r>
        <w:rPr>
          <w:snapToGrid w:val="0"/>
        </w:rPr>
        <w:t>.</w:t>
      </w:r>
      <w:r>
        <w:rPr>
          <w:snapToGrid w:val="0"/>
        </w:rPr>
        <w:tab/>
        <w:t>Procedure when increase in price or rate of declared goods or declared service proposed</w:t>
      </w:r>
      <w:bookmarkEnd w:id="32"/>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lastRenderedPageBreak/>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No. 72 of 1983 s. 10 and 15; No. 73 of 2000 s. 14(1); No. 11 of 2001 s. 21(1).] </w:t>
      </w:r>
    </w:p>
    <w:p>
      <w:pPr>
        <w:pStyle w:val="Heading3"/>
        <w:rPr>
          <w:rFonts w:ascii="Courier New" w:hAnsi="Courier New"/>
          <w:snapToGrid w:val="0"/>
          <w:sz w:val="24"/>
        </w:rPr>
      </w:pPr>
      <w:bookmarkStart w:id="33" w:name="_Toc36105923"/>
      <w:bookmarkStart w:id="34" w:name="_Toc36108274"/>
      <w:bookmarkStart w:id="35" w:name="_Toc36110998"/>
      <w:bookmarkStart w:id="36" w:name="_Toc210125347"/>
      <w:bookmarkStart w:id="37" w:name="_Toc210129857"/>
      <w:r>
        <w:rPr>
          <w:rStyle w:val="CharDivNo"/>
        </w:rPr>
        <w:t>Division 2</w:t>
      </w:r>
      <w:r>
        <w:rPr>
          <w:snapToGrid w:val="0"/>
        </w:rPr>
        <w:t> — </w:t>
      </w:r>
      <w:r>
        <w:rPr>
          <w:rStyle w:val="CharDivText"/>
        </w:rPr>
        <w:t>Determination of maximum prices and rates for goods and services</w:t>
      </w:r>
      <w:bookmarkEnd w:id="33"/>
      <w:bookmarkEnd w:id="34"/>
      <w:bookmarkEnd w:id="35"/>
      <w:bookmarkEnd w:id="36"/>
      <w:bookmarkEnd w:id="37"/>
    </w:p>
    <w:p>
      <w:pPr>
        <w:pStyle w:val="Heading5"/>
        <w:rPr>
          <w:snapToGrid w:val="0"/>
        </w:rPr>
      </w:pPr>
      <w:bookmarkStart w:id="38" w:name="_Toc210129858"/>
      <w:r>
        <w:rPr>
          <w:rStyle w:val="CharSectno"/>
        </w:rPr>
        <w:t>12</w:t>
      </w:r>
      <w:r>
        <w:rPr>
          <w:snapToGrid w:val="0"/>
        </w:rPr>
        <w:t>.</w:t>
      </w:r>
      <w:r>
        <w:rPr>
          <w:snapToGrid w:val="0"/>
        </w:rPr>
        <w:tab/>
        <w:t>Determination of maximum prices and rates</w:t>
      </w:r>
      <w:bookmarkEnd w:id="38"/>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 xml:space="preserve">differentially, according to differences in the quantity, quality, volume or description of the petroleum products sold or the petroleum services supplied, or by reference </w:t>
      </w:r>
      <w:r>
        <w:rPr>
          <w:snapToGrid w:val="0"/>
        </w:rPr>
        <w:lastRenderedPageBreak/>
        <w:t>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lastRenderedPageBreak/>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 xml:space="preserve">unless the Minister has within 7 days of the receipt of the draft of the proposed order informed the </w:t>
      </w:r>
      <w:r>
        <w:rPr>
          <w:snapToGrid w:val="0"/>
        </w:rPr>
        <w:lastRenderedPageBreak/>
        <w:t>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lastRenderedPageBreak/>
        <w:tab/>
        <w:t>(c)</w:t>
      </w:r>
      <w:r>
        <w:rPr>
          <w:snapToGrid w:val="0"/>
        </w:rPr>
        <w:tab/>
        <w:t>a maximum price fixed includes the cost of the wrapping or packaging of the petroleum products to which the price applies.</w:t>
      </w:r>
    </w:p>
    <w:p>
      <w:pPr>
        <w:pStyle w:val="Footnotesection"/>
      </w:pPr>
      <w:r>
        <w:tab/>
        <w:t xml:space="preserve">[Section 12 amended: No. 72 of 1983 s. 11 and 15; No. 73 of 2000 s. 6.] </w:t>
      </w:r>
    </w:p>
    <w:p>
      <w:pPr>
        <w:pStyle w:val="Heading5"/>
        <w:rPr>
          <w:snapToGrid w:val="0"/>
        </w:rPr>
      </w:pPr>
      <w:bookmarkStart w:id="39" w:name="_Toc210129859"/>
      <w:r>
        <w:rPr>
          <w:rStyle w:val="CharSectno"/>
        </w:rPr>
        <w:t>13</w:t>
      </w:r>
      <w:r>
        <w:rPr>
          <w:snapToGrid w:val="0"/>
        </w:rPr>
        <w:t>.</w:t>
      </w:r>
      <w:r>
        <w:rPr>
          <w:snapToGrid w:val="0"/>
        </w:rPr>
        <w:tab/>
        <w:t>Power of Minister to suspend order</w:t>
      </w:r>
      <w:bookmarkEnd w:id="39"/>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40" w:name="_Toc36105926"/>
      <w:bookmarkStart w:id="41" w:name="_Toc36108277"/>
      <w:bookmarkStart w:id="42" w:name="_Toc36111001"/>
      <w:bookmarkStart w:id="43" w:name="_Toc210125350"/>
      <w:bookmarkStart w:id="44" w:name="_Toc210129860"/>
      <w:r>
        <w:rPr>
          <w:rStyle w:val="CharDivNo"/>
        </w:rPr>
        <w:t>Division 3</w:t>
      </w:r>
      <w:r>
        <w:rPr>
          <w:snapToGrid w:val="0"/>
        </w:rPr>
        <w:t> — </w:t>
      </w:r>
      <w:r>
        <w:rPr>
          <w:rStyle w:val="CharDivText"/>
        </w:rPr>
        <w:t>Enforcement of maximum prices and rates</w:t>
      </w:r>
      <w:bookmarkEnd w:id="40"/>
      <w:bookmarkEnd w:id="41"/>
      <w:bookmarkEnd w:id="42"/>
      <w:bookmarkEnd w:id="43"/>
      <w:bookmarkEnd w:id="44"/>
      <w:r>
        <w:rPr>
          <w:rStyle w:val="CharDivText"/>
        </w:rPr>
        <w:t xml:space="preserve"> </w:t>
      </w:r>
    </w:p>
    <w:p>
      <w:pPr>
        <w:pStyle w:val="Heading5"/>
        <w:rPr>
          <w:snapToGrid w:val="0"/>
        </w:rPr>
      </w:pPr>
      <w:bookmarkStart w:id="45" w:name="_Toc210129861"/>
      <w:r>
        <w:rPr>
          <w:rStyle w:val="CharSectno"/>
        </w:rPr>
        <w:t>14</w:t>
      </w:r>
      <w:r>
        <w:rPr>
          <w:snapToGrid w:val="0"/>
        </w:rPr>
        <w:t>.</w:t>
      </w:r>
      <w:r>
        <w:rPr>
          <w:snapToGrid w:val="0"/>
        </w:rPr>
        <w:tab/>
        <w:t>Offence to sell goods at price higher than maximum price or supply service at rate higher than maximum rate</w:t>
      </w:r>
      <w:bookmarkEnd w:id="45"/>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lastRenderedPageBreak/>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No. 72 of 1983 s. 15; No. 73 of 2000 s. 14(1); No. 11 of 2001 s. 21(1).] </w:t>
      </w:r>
    </w:p>
    <w:p>
      <w:pPr>
        <w:pStyle w:val="Heading5"/>
        <w:rPr>
          <w:snapToGrid w:val="0"/>
        </w:rPr>
      </w:pPr>
      <w:bookmarkStart w:id="46" w:name="_Toc210129862"/>
      <w:r>
        <w:rPr>
          <w:rStyle w:val="CharSectno"/>
        </w:rPr>
        <w:t>15</w:t>
      </w:r>
      <w:r>
        <w:rPr>
          <w:snapToGrid w:val="0"/>
        </w:rPr>
        <w:t>.</w:t>
      </w:r>
      <w:r>
        <w:rPr>
          <w:snapToGrid w:val="0"/>
        </w:rPr>
        <w:tab/>
        <w:t>Delivery of goods less in quantity than, or of inferior quality to, those sold</w:t>
      </w:r>
      <w:bookmarkEnd w:id="46"/>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lastRenderedPageBreak/>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No. 72 of 1983 s. 15; No. 73 of 2000 s. 14(1); No. 11 of 2001 s. 21(1).] </w:t>
      </w:r>
    </w:p>
    <w:p>
      <w:pPr>
        <w:pStyle w:val="Heading5"/>
        <w:rPr>
          <w:snapToGrid w:val="0"/>
        </w:rPr>
      </w:pPr>
      <w:bookmarkStart w:id="47" w:name="_Toc210129863"/>
      <w:r>
        <w:rPr>
          <w:rStyle w:val="CharSectno"/>
        </w:rPr>
        <w:t>16</w:t>
      </w:r>
      <w:r>
        <w:rPr>
          <w:snapToGrid w:val="0"/>
        </w:rPr>
        <w:t>.</w:t>
      </w:r>
      <w:r>
        <w:rPr>
          <w:snapToGrid w:val="0"/>
        </w:rPr>
        <w:tab/>
        <w:t>Alterations in mode of packing or recipe or formula</w:t>
      </w:r>
      <w:bookmarkEnd w:id="47"/>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For the purposes of this section, proof that immediately before the date of fixation a person dealing in the ordinary course of </w:t>
      </w:r>
      <w:r>
        <w:rPr>
          <w:snapToGrid w:val="0"/>
        </w:rPr>
        <w:lastRenderedPageBreak/>
        <w:t>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No. 72 of 1983 s. 12 and 15; No. 73 of 2000 s. 14(1); No. 11 of 2001 s. 21(1); No. 84 of 2004 s. 82.] </w:t>
      </w:r>
    </w:p>
    <w:p>
      <w:pPr>
        <w:pStyle w:val="Heading5"/>
        <w:rPr>
          <w:snapToGrid w:val="0"/>
        </w:rPr>
      </w:pPr>
      <w:bookmarkStart w:id="48" w:name="_Toc210129864"/>
      <w:r>
        <w:rPr>
          <w:rStyle w:val="CharSectno"/>
        </w:rPr>
        <w:lastRenderedPageBreak/>
        <w:t>17</w:t>
      </w:r>
      <w:r>
        <w:rPr>
          <w:snapToGrid w:val="0"/>
        </w:rPr>
        <w:t>.</w:t>
      </w:r>
      <w:r>
        <w:rPr>
          <w:snapToGrid w:val="0"/>
        </w:rPr>
        <w:tab/>
        <w:t>Price or rate of controlled goods or service to be specified separately</w:t>
      </w:r>
      <w:bookmarkEnd w:id="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No. 72 of 1983 s. 13 and 15; No. 73 of 2000 s. 14(1); No. 11 of 2001 s. 21(1).] </w:t>
      </w:r>
    </w:p>
    <w:p>
      <w:pPr>
        <w:pStyle w:val="Heading5"/>
        <w:rPr>
          <w:snapToGrid w:val="0"/>
        </w:rPr>
      </w:pPr>
      <w:bookmarkStart w:id="49" w:name="_Toc210129865"/>
      <w:r>
        <w:rPr>
          <w:rStyle w:val="CharSectno"/>
        </w:rPr>
        <w:t>18</w:t>
      </w:r>
      <w:r>
        <w:rPr>
          <w:snapToGrid w:val="0"/>
        </w:rPr>
        <w:t>.</w:t>
      </w:r>
      <w:r>
        <w:rPr>
          <w:snapToGrid w:val="0"/>
        </w:rPr>
        <w:tab/>
        <w:t>Power of Commissioner to prohibit certain transactions</w:t>
      </w:r>
      <w:bookmarkEnd w:id="49"/>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lastRenderedPageBreak/>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 xml:space="preserve">A notice under this section shall specify the class of controlled petroleum products or controlled petroleum services in relation to which, in the opinion of the Commissioner, the scheme </w:t>
      </w:r>
      <w:r>
        <w:rPr>
          <w:snapToGrid w:val="0"/>
        </w:rPr>
        <w:lastRenderedPageBreak/>
        <w:t>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No. 72 of 1983 s. 15; No. 73 of 2000 s. 14(1); No. 11 of 2001 s. 21(1).]</w:t>
      </w:r>
    </w:p>
    <w:p>
      <w:pPr>
        <w:pStyle w:val="Heading5"/>
        <w:rPr>
          <w:snapToGrid w:val="0"/>
        </w:rPr>
      </w:pPr>
      <w:bookmarkStart w:id="50" w:name="_Toc210129866"/>
      <w:r>
        <w:rPr>
          <w:rStyle w:val="CharSectno"/>
        </w:rPr>
        <w:t>19</w:t>
      </w:r>
      <w:r>
        <w:rPr>
          <w:snapToGrid w:val="0"/>
        </w:rPr>
        <w:t>.</w:t>
      </w:r>
      <w:r>
        <w:rPr>
          <w:snapToGrid w:val="0"/>
        </w:rPr>
        <w:tab/>
        <w:t>Refusal to sell goods at fixed price</w:t>
      </w:r>
      <w:bookmarkEnd w:id="50"/>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 xml:space="preserve">all other contracts then subsisting, under which he was obliged to supply quantities of those </w:t>
      </w:r>
      <w:r>
        <w:rPr>
          <w:snapToGrid w:val="0"/>
        </w:rPr>
        <w:lastRenderedPageBreak/>
        <w:t>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 xml:space="preserve">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w:t>
      </w:r>
      <w:r>
        <w:rPr>
          <w:snapToGrid w:val="0"/>
        </w:rPr>
        <w:lastRenderedPageBreak/>
        <w:t>business as a retail trader in the controlled petroleum products demanded, either alone or with other goods.</w:t>
      </w:r>
    </w:p>
    <w:p>
      <w:pPr>
        <w:pStyle w:val="Footnotesection"/>
      </w:pPr>
      <w:r>
        <w:tab/>
        <w:t xml:space="preserve">[Section 19 amended: No. 72 of 1983 s. 15; No. 73 of 2000 s. 7, 13 and 14(1); No. 11 of 2001 s. 21(1); correction to reprint in Gazette 20 Sep 2002 p. 4693; No. 84 of 2004 s. 82.] </w:t>
      </w:r>
    </w:p>
    <w:p>
      <w:pPr>
        <w:pStyle w:val="Heading5"/>
        <w:rPr>
          <w:snapToGrid w:val="0"/>
        </w:rPr>
      </w:pPr>
      <w:bookmarkStart w:id="51" w:name="_Toc210129867"/>
      <w:r>
        <w:rPr>
          <w:rStyle w:val="CharSectno"/>
        </w:rPr>
        <w:t>20</w:t>
      </w:r>
      <w:r>
        <w:rPr>
          <w:snapToGrid w:val="0"/>
        </w:rPr>
        <w:t>.</w:t>
      </w:r>
      <w:r>
        <w:rPr>
          <w:snapToGrid w:val="0"/>
        </w:rPr>
        <w:tab/>
        <w:t>Refusal to supply service at fixed rate</w:t>
      </w:r>
      <w:bookmarkEnd w:id="51"/>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 xml:space="preserve">would have had reasonable grounds for refusing or failing to supply the controlled petroleum service demanded to the person who demanded the supply of that controlled petroleum service, </w:t>
      </w:r>
      <w:r>
        <w:rPr>
          <w:snapToGrid w:val="0"/>
        </w:rPr>
        <w:lastRenderedPageBreak/>
        <w:t>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No. 72 of 1983 s. 15; No. 73 of 2000 s. 13 and 14(1); No. 11 of 2001 s. 21(1); No. 84 of 2004 s. 82.] </w:t>
      </w:r>
    </w:p>
    <w:p>
      <w:pPr>
        <w:pStyle w:val="Heading5"/>
        <w:rPr>
          <w:snapToGrid w:val="0"/>
        </w:rPr>
      </w:pPr>
      <w:bookmarkStart w:id="52" w:name="_Toc210129868"/>
      <w:r>
        <w:rPr>
          <w:rStyle w:val="CharSectno"/>
        </w:rPr>
        <w:t>21</w:t>
      </w:r>
      <w:r>
        <w:rPr>
          <w:snapToGrid w:val="0"/>
        </w:rPr>
        <w:t>.</w:t>
      </w:r>
      <w:r>
        <w:rPr>
          <w:snapToGrid w:val="0"/>
        </w:rPr>
        <w:tab/>
        <w:t>Refusal to sell or supply unless other goods or services are also purchased</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No. 72 of 1983 s. 15; No. 73 of 2000 s. 14(1); No. 11 of 2001 s. 21(1).] </w:t>
      </w:r>
    </w:p>
    <w:p>
      <w:pPr>
        <w:pStyle w:val="Heading5"/>
        <w:rPr>
          <w:snapToGrid w:val="0"/>
        </w:rPr>
      </w:pPr>
      <w:bookmarkStart w:id="53" w:name="_Toc210129869"/>
      <w:r>
        <w:rPr>
          <w:rStyle w:val="CharSectno"/>
        </w:rPr>
        <w:t>22</w:t>
      </w:r>
      <w:r>
        <w:rPr>
          <w:snapToGrid w:val="0"/>
        </w:rPr>
        <w:t>.</w:t>
      </w:r>
      <w:r>
        <w:rPr>
          <w:snapToGrid w:val="0"/>
        </w:rPr>
        <w:tab/>
        <w:t>“</w:t>
      </w:r>
      <w:r>
        <w:t>Offer</w:t>
      </w:r>
      <w:r>
        <w:rPr>
          <w:snapToGrid w:val="0"/>
        </w:rPr>
        <w:t>” includes notification of price or rate</w:t>
      </w:r>
      <w:bookmarkEnd w:id="53"/>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 xml:space="preserve">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w:t>
      </w:r>
      <w:r>
        <w:rPr>
          <w:snapToGrid w:val="0"/>
        </w:rPr>
        <w:lastRenderedPageBreak/>
        <w:t>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No. 72 of 1983 s. 15.] </w:t>
      </w:r>
    </w:p>
    <w:p>
      <w:pPr>
        <w:pStyle w:val="Heading2"/>
      </w:pPr>
      <w:bookmarkStart w:id="54" w:name="_Toc36105936"/>
      <w:bookmarkStart w:id="55" w:name="_Toc36108287"/>
      <w:bookmarkStart w:id="56" w:name="_Toc36111011"/>
      <w:bookmarkStart w:id="57" w:name="_Toc210125360"/>
      <w:bookmarkStart w:id="58" w:name="_Toc210129870"/>
      <w:r>
        <w:rPr>
          <w:rStyle w:val="CharPartNo"/>
        </w:rPr>
        <w:lastRenderedPageBreak/>
        <w:t>Part IIIA</w:t>
      </w:r>
      <w:r>
        <w:t> — </w:t>
      </w:r>
      <w:r>
        <w:rPr>
          <w:rStyle w:val="CharPartText"/>
        </w:rPr>
        <w:t>Special provisions about motor fuel</w:t>
      </w:r>
      <w:bookmarkEnd w:id="54"/>
      <w:bookmarkEnd w:id="55"/>
      <w:bookmarkEnd w:id="56"/>
      <w:bookmarkEnd w:id="57"/>
      <w:bookmarkEnd w:id="58"/>
      <w:r>
        <w:rPr>
          <w:rStyle w:val="CharPartText"/>
        </w:rPr>
        <w:t> </w:t>
      </w:r>
    </w:p>
    <w:p>
      <w:pPr>
        <w:pStyle w:val="Footnoteheading"/>
        <w:ind w:left="890"/>
      </w:pPr>
      <w:r>
        <w:tab/>
        <w:t>[Heading inserted: No. 73 of 2000 s. 8.]</w:t>
      </w:r>
    </w:p>
    <w:p>
      <w:pPr>
        <w:pStyle w:val="Heading3"/>
      </w:pPr>
      <w:bookmarkStart w:id="59" w:name="_Toc36105937"/>
      <w:bookmarkStart w:id="60" w:name="_Toc36108288"/>
      <w:bookmarkStart w:id="61" w:name="_Toc36111012"/>
      <w:bookmarkStart w:id="62" w:name="_Toc210125361"/>
      <w:bookmarkStart w:id="63" w:name="_Toc210129871"/>
      <w:r>
        <w:rPr>
          <w:rStyle w:val="CharDivNo"/>
        </w:rPr>
        <w:t>Division 1</w:t>
      </w:r>
      <w:r>
        <w:t> — </w:t>
      </w:r>
      <w:r>
        <w:rPr>
          <w:rStyle w:val="CharDivText"/>
        </w:rPr>
        <w:t>Before retail sale</w:t>
      </w:r>
      <w:bookmarkEnd w:id="59"/>
      <w:bookmarkEnd w:id="60"/>
      <w:bookmarkEnd w:id="61"/>
      <w:bookmarkEnd w:id="62"/>
      <w:bookmarkEnd w:id="63"/>
      <w:r>
        <w:rPr>
          <w:rStyle w:val="CharDivText"/>
        </w:rPr>
        <w:t> </w:t>
      </w:r>
    </w:p>
    <w:p>
      <w:pPr>
        <w:pStyle w:val="Footnoteheading"/>
        <w:ind w:left="890"/>
      </w:pPr>
      <w:r>
        <w:tab/>
        <w:t>[Heading inserted: No. 73 of 2000 s. 8.]</w:t>
      </w:r>
    </w:p>
    <w:p>
      <w:pPr>
        <w:pStyle w:val="Heading5"/>
      </w:pPr>
      <w:bookmarkStart w:id="64" w:name="_Toc210129872"/>
      <w:r>
        <w:rPr>
          <w:rStyle w:val="CharSectno"/>
        </w:rPr>
        <w:t>22A</w:t>
      </w:r>
      <w:r>
        <w:t>.</w:t>
      </w:r>
      <w:r>
        <w:tab/>
        <w:t>Definitions</w:t>
      </w:r>
      <w:bookmarkEnd w:id="64"/>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lastRenderedPageBreak/>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No. 73 of 2000 s. 8; amended: No. 23 of 2014 s. 64.]</w:t>
      </w:r>
    </w:p>
    <w:p>
      <w:pPr>
        <w:pStyle w:val="Heading5"/>
      </w:pPr>
      <w:bookmarkStart w:id="65" w:name="_Toc210129873"/>
      <w:r>
        <w:rPr>
          <w:rStyle w:val="CharSectno"/>
        </w:rPr>
        <w:t>22B</w:t>
      </w:r>
      <w:r>
        <w:t>.</w:t>
      </w:r>
      <w:r>
        <w:tab/>
        <w:t>Commissioner to be notified of proposed price changes</w:t>
      </w:r>
      <w:bookmarkEnd w:id="65"/>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No. 23 of 2014 s. 65.]</w:t>
      </w:r>
    </w:p>
    <w:p>
      <w:pPr>
        <w:pStyle w:val="Ednotesection"/>
      </w:pPr>
      <w:r>
        <w:t>[</w:t>
      </w:r>
      <w:r>
        <w:rPr>
          <w:b/>
        </w:rPr>
        <w:t>22C, 22D.</w:t>
      </w:r>
      <w:r>
        <w:rPr>
          <w:b/>
        </w:rPr>
        <w:tab/>
      </w:r>
      <w:r>
        <w:t xml:space="preserve">Deleted: No. 23 of 2014 s. 66.] </w:t>
      </w:r>
    </w:p>
    <w:p>
      <w:pPr>
        <w:pStyle w:val="Heading5"/>
      </w:pPr>
      <w:bookmarkStart w:id="66" w:name="_Toc210129874"/>
      <w:r>
        <w:rPr>
          <w:rStyle w:val="CharSectno"/>
        </w:rPr>
        <w:t>22E</w:t>
      </w:r>
      <w:r>
        <w:t>.</w:t>
      </w:r>
      <w:r>
        <w:tab/>
        <w:t>Price to be compared to maximum price fixed</w:t>
      </w:r>
      <w:bookmarkEnd w:id="66"/>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lastRenderedPageBreak/>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No. 73 of 2000 s. 8; amended: No. 11 of 2001 s. 21(1); No. 23 of 2014 s. 67.]</w:t>
      </w:r>
    </w:p>
    <w:p>
      <w:pPr>
        <w:pStyle w:val="Heading5"/>
        <w:spacing w:before="180"/>
      </w:pPr>
      <w:bookmarkStart w:id="67" w:name="_Toc210129875"/>
      <w:r>
        <w:rPr>
          <w:rStyle w:val="CharSectno"/>
        </w:rPr>
        <w:t>22F</w:t>
      </w:r>
      <w:r>
        <w:t>.</w:t>
      </w:r>
      <w:r>
        <w:tab/>
        <w:t>Information that supplier is to provide</w:t>
      </w:r>
      <w:bookmarkEnd w:id="67"/>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lastRenderedPageBreak/>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No. 73 of 2000 s. 8; amended: No. 11 of 2001 s. 21(1).]</w:t>
      </w:r>
    </w:p>
    <w:p>
      <w:pPr>
        <w:pStyle w:val="Heading5"/>
      </w:pPr>
      <w:bookmarkStart w:id="68" w:name="_Toc210129876"/>
      <w:r>
        <w:rPr>
          <w:rStyle w:val="CharSectno"/>
        </w:rPr>
        <w:t>22G</w:t>
      </w:r>
      <w:r>
        <w:t>.</w:t>
      </w:r>
      <w:r>
        <w:tab/>
        <w:t>Obligation to supply from declared terminal</w:t>
      </w:r>
      <w:bookmarkEnd w:id="68"/>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lastRenderedPageBreak/>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No. 73 of 2000 s. 8; amended: No. 59 of 2004 s. 141.]</w:t>
      </w:r>
    </w:p>
    <w:p>
      <w:pPr>
        <w:pStyle w:val="Heading3"/>
      </w:pPr>
      <w:bookmarkStart w:id="69" w:name="_Toc36105943"/>
      <w:bookmarkStart w:id="70" w:name="_Toc36108294"/>
      <w:bookmarkStart w:id="71" w:name="_Toc36111018"/>
      <w:bookmarkStart w:id="72" w:name="_Toc210125367"/>
      <w:bookmarkStart w:id="73" w:name="_Toc210129877"/>
      <w:r>
        <w:rPr>
          <w:rStyle w:val="CharDivNo"/>
        </w:rPr>
        <w:t>Division 2</w:t>
      </w:r>
      <w:r>
        <w:t xml:space="preserve"> — </w:t>
      </w:r>
      <w:r>
        <w:rPr>
          <w:rStyle w:val="CharDivText"/>
        </w:rPr>
        <w:t>Retail sale</w:t>
      </w:r>
      <w:bookmarkEnd w:id="69"/>
      <w:bookmarkEnd w:id="70"/>
      <w:bookmarkEnd w:id="71"/>
      <w:bookmarkEnd w:id="72"/>
      <w:bookmarkEnd w:id="73"/>
      <w:r>
        <w:t xml:space="preserve"> </w:t>
      </w:r>
    </w:p>
    <w:p>
      <w:pPr>
        <w:pStyle w:val="Footnoteheading"/>
        <w:ind w:left="890"/>
      </w:pPr>
      <w:r>
        <w:tab/>
        <w:t>[Heading inserted: No. 73 of 2000 s. 8.]</w:t>
      </w:r>
    </w:p>
    <w:p>
      <w:pPr>
        <w:pStyle w:val="Heading5"/>
      </w:pPr>
      <w:bookmarkStart w:id="74" w:name="_Toc210129878"/>
      <w:r>
        <w:rPr>
          <w:rStyle w:val="CharSectno"/>
        </w:rPr>
        <w:t>22H</w:t>
      </w:r>
      <w:r>
        <w:t>.</w:t>
      </w:r>
      <w:r>
        <w:tab/>
        <w:t>Terms used</w:t>
      </w:r>
      <w:bookmarkEnd w:id="74"/>
    </w:p>
    <w:p>
      <w:pPr>
        <w:pStyle w:val="Subsection"/>
      </w:pPr>
      <w:r>
        <w:tab/>
        <w:t>(1)</w:t>
      </w:r>
      <w:r>
        <w:tab/>
        <w:t xml:space="preserve">In this Division — </w:t>
      </w:r>
    </w:p>
    <w:p>
      <w:pPr>
        <w:pStyle w:val="Defstart"/>
      </w:pPr>
      <w:r>
        <w:tab/>
      </w:r>
      <w:r>
        <w:rPr>
          <w:rStyle w:val="CharDefText"/>
        </w:rPr>
        <w:t>business</w:t>
      </w:r>
      <w:r>
        <w:t xml:space="preserve"> includes the following — </w:t>
      </w:r>
    </w:p>
    <w:p>
      <w:pPr>
        <w:pStyle w:val="Defpara"/>
      </w:pPr>
      <w:r>
        <w:tab/>
        <w:t>(a)</w:t>
      </w:r>
      <w:r>
        <w:tab/>
        <w:t>a business not carried on for profit;</w:t>
      </w:r>
    </w:p>
    <w:p>
      <w:pPr>
        <w:pStyle w:val="Defpara"/>
      </w:pPr>
      <w:r>
        <w:tab/>
        <w:t>(b)</w:t>
      </w:r>
      <w:r>
        <w:tab/>
        <w:t>a trade or profession;</w:t>
      </w:r>
    </w:p>
    <w:p>
      <w:pPr>
        <w:pStyle w:val="Defpara"/>
      </w:pPr>
      <w:r>
        <w:tab/>
        <w:t>(c)</w:t>
      </w:r>
      <w:r>
        <w:tab/>
        <w:t>the functions of a public body, other public organisation or public office holder;</w:t>
      </w:r>
    </w:p>
    <w:p>
      <w:pPr>
        <w:pStyle w:val="Defstart"/>
      </w:pPr>
      <w:r>
        <w:tab/>
      </w:r>
      <w:r>
        <w:rPr>
          <w:rStyle w:val="CharDefText"/>
        </w:rPr>
        <w:t>exempt sale</w:t>
      </w:r>
      <w:r>
        <w:t xml:space="preserve"> has the meaning given in subsections (2) and (3);</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lastRenderedPageBreak/>
        <w:tab/>
      </w:r>
      <w:r>
        <w:rPr>
          <w:rStyle w:val="CharDefText"/>
        </w:rPr>
        <w:t>standard retail price</w:t>
      </w:r>
      <w:r>
        <w:t xml:space="preserve"> means the price at which the motor fuel concerned is offered for retail sale without any discounts or special offers.</w:t>
      </w:r>
    </w:p>
    <w:p>
      <w:pPr>
        <w:pStyle w:val="Subsection"/>
      </w:pPr>
      <w:r>
        <w:tab/>
        <w:t>(2)</w:t>
      </w:r>
      <w:r>
        <w:tab/>
        <w:t xml:space="preserve">A retail sale of motor fuel at a particular place is an </w:t>
      </w:r>
      <w:r>
        <w:rPr>
          <w:rStyle w:val="CharDefText"/>
          <w:snapToGrid w:val="0"/>
        </w:rPr>
        <w:t>exempt sale</w:t>
      </w:r>
      <w:r>
        <w:t xml:space="preserve"> if —</w:t>
      </w:r>
    </w:p>
    <w:p>
      <w:pPr>
        <w:pStyle w:val="Indenta"/>
      </w:pPr>
      <w:r>
        <w:tab/>
        <w:t>(a)</w:t>
      </w:r>
      <w:r>
        <w:tab/>
        <w:t>a business of hiring out, leasing out or selling motor vehicles is carried on at the place and the motor fuel is sold in the course of that business incidentally to a hire, lease or sale of a motor vehicle; or</w:t>
      </w:r>
    </w:p>
    <w:p>
      <w:pPr>
        <w:pStyle w:val="Indenta"/>
      </w:pPr>
      <w:r>
        <w:tab/>
        <w:t>(b)</w:t>
      </w:r>
      <w:r>
        <w:tab/>
        <w:t>the motor fuel is sold in bulk to be delivered or collected by tanker; or</w:t>
      </w:r>
    </w:p>
    <w:p>
      <w:pPr>
        <w:pStyle w:val="Indenta"/>
      </w:pPr>
      <w:r>
        <w:tab/>
        <w:t>(c)</w:t>
      </w:r>
      <w:r>
        <w:tab/>
        <w:t>the motor fuel is sold for fuelling a motor vehicle that is used for a business and not used for any other purpose.</w:t>
      </w:r>
    </w:p>
    <w:p>
      <w:pPr>
        <w:pStyle w:val="Subsection"/>
      </w:pPr>
      <w:r>
        <w:tab/>
        <w:t>(3)</w:t>
      </w:r>
      <w:r>
        <w:tab/>
        <w:t xml:space="preserve">The regulations may prescribe other cases in which a retail sale of motor fuel at a particular place is an </w:t>
      </w:r>
      <w:r>
        <w:rPr>
          <w:rStyle w:val="CharDefText"/>
          <w:snapToGrid w:val="0"/>
        </w:rPr>
        <w:t>exempt sale</w:t>
      </w:r>
      <w:r>
        <w:t>.</w:t>
      </w:r>
    </w:p>
    <w:p>
      <w:pPr>
        <w:pStyle w:val="Footnotesection"/>
      </w:pPr>
      <w:r>
        <w:tab/>
        <w:t>[Section 22H inserted: No. 4 of 2020 s. 4.]</w:t>
      </w:r>
    </w:p>
    <w:p>
      <w:pPr>
        <w:pStyle w:val="Heading5"/>
      </w:pPr>
      <w:bookmarkStart w:id="75" w:name="_Toc210129879"/>
      <w:r>
        <w:rPr>
          <w:rStyle w:val="CharSectno"/>
        </w:rPr>
        <w:t>22I</w:t>
      </w:r>
      <w:r>
        <w:t>.</w:t>
      </w:r>
      <w:r>
        <w:tab/>
        <w:t>Regulations to require retailers to display prices</w:t>
      </w:r>
      <w:bookmarkEnd w:id="75"/>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No. 73 of 2000 s. 8; amended: No. 4 of 2020 s. 5.]</w:t>
      </w:r>
    </w:p>
    <w:p>
      <w:pPr>
        <w:pStyle w:val="Heading5"/>
      </w:pPr>
      <w:bookmarkStart w:id="76" w:name="_Toc210129880"/>
      <w:r>
        <w:rPr>
          <w:rStyle w:val="CharSectno"/>
        </w:rPr>
        <w:lastRenderedPageBreak/>
        <w:t>22J</w:t>
      </w:r>
      <w:r>
        <w:t>.</w:t>
      </w:r>
      <w:r>
        <w:tab/>
        <w:t>Regulations requiring notification of, and restricting change of, price</w:t>
      </w:r>
      <w:bookmarkEnd w:id="76"/>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No. 11 of 2001 s. 20; amended: No. 4 of 2020 s. 6.]</w:t>
      </w:r>
    </w:p>
    <w:p>
      <w:pPr>
        <w:pStyle w:val="Heading2"/>
      </w:pPr>
      <w:bookmarkStart w:id="77" w:name="_Toc36105947"/>
      <w:bookmarkStart w:id="78" w:name="_Toc36108298"/>
      <w:bookmarkStart w:id="79" w:name="_Toc36111022"/>
      <w:bookmarkStart w:id="80" w:name="_Toc210125371"/>
      <w:bookmarkStart w:id="81" w:name="_Toc210129881"/>
      <w:r>
        <w:rPr>
          <w:rStyle w:val="CharPartNo"/>
        </w:rPr>
        <w:lastRenderedPageBreak/>
        <w:t>Part IV</w:t>
      </w:r>
      <w:r>
        <w:rPr>
          <w:rStyle w:val="CharDivNo"/>
        </w:rPr>
        <w:t> </w:t>
      </w:r>
      <w:r>
        <w:t>—</w:t>
      </w:r>
      <w:r>
        <w:rPr>
          <w:rStyle w:val="CharDivText"/>
        </w:rPr>
        <w:t> </w:t>
      </w:r>
      <w:r>
        <w:rPr>
          <w:rStyle w:val="CharPartText"/>
        </w:rPr>
        <w:t>Obtaining information</w:t>
      </w:r>
      <w:bookmarkEnd w:id="77"/>
      <w:bookmarkEnd w:id="78"/>
      <w:bookmarkEnd w:id="79"/>
      <w:bookmarkEnd w:id="80"/>
      <w:bookmarkEnd w:id="81"/>
      <w:r>
        <w:rPr>
          <w:rStyle w:val="CharPartText"/>
        </w:rPr>
        <w:t xml:space="preserve"> </w:t>
      </w:r>
    </w:p>
    <w:p>
      <w:pPr>
        <w:pStyle w:val="Heading5"/>
        <w:rPr>
          <w:snapToGrid w:val="0"/>
        </w:rPr>
      </w:pPr>
      <w:bookmarkStart w:id="82" w:name="_Toc210129882"/>
      <w:r>
        <w:rPr>
          <w:rStyle w:val="CharSectno"/>
        </w:rPr>
        <w:t>23</w:t>
      </w:r>
      <w:r>
        <w:rPr>
          <w:snapToGrid w:val="0"/>
        </w:rPr>
        <w:t>.</w:t>
      </w:r>
      <w:r>
        <w:rPr>
          <w:snapToGrid w:val="0"/>
        </w:rPr>
        <w:tab/>
        <w:t>Power of Commissioner to inquire, investigate, and obtain information</w:t>
      </w:r>
      <w:bookmarkEnd w:id="82"/>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xml:space="preserve">, or of any entry </w:t>
      </w:r>
      <w:r>
        <w:rPr>
          <w:snapToGrid w:val="0"/>
        </w:rPr>
        <w:lastRenderedPageBreak/>
        <w:t>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No. 72 of 1983 s. 15; No. 59 of 2004 s. 141; No. 24 of 2005 s. 63; No. 28 of 2006 s. 117.] </w:t>
      </w:r>
    </w:p>
    <w:p>
      <w:pPr>
        <w:pStyle w:val="Heading5"/>
        <w:spacing w:before="240"/>
        <w:rPr>
          <w:snapToGrid w:val="0"/>
        </w:rPr>
      </w:pPr>
      <w:bookmarkStart w:id="83" w:name="_Toc210129883"/>
      <w:r>
        <w:rPr>
          <w:rStyle w:val="CharSectno"/>
        </w:rPr>
        <w:t>24</w:t>
      </w:r>
      <w:r>
        <w:rPr>
          <w:snapToGrid w:val="0"/>
        </w:rPr>
        <w:t>.</w:t>
      </w:r>
      <w:r>
        <w:rPr>
          <w:snapToGrid w:val="0"/>
        </w:rPr>
        <w:tab/>
        <w:t>Sufficient notice to be given to enable questions, etc. to be answered</w:t>
      </w:r>
      <w:bookmarkEnd w:id="83"/>
      <w:r>
        <w:rPr>
          <w:snapToGrid w:val="0"/>
        </w:rPr>
        <w:t xml:space="preserve"> </w:t>
      </w:r>
    </w:p>
    <w:p>
      <w:pPr>
        <w:pStyle w:val="Subsection"/>
        <w:rPr>
          <w:snapToGrid w:val="0"/>
        </w:rPr>
      </w:pPr>
      <w:r>
        <w:rPr>
          <w:snapToGrid w:val="0"/>
        </w:rPr>
        <w:tab/>
        <w:t>(1)</w:t>
      </w:r>
      <w:r>
        <w:rPr>
          <w:snapToGrid w:val="0"/>
        </w:rPr>
        <w:tab/>
        <w:t xml:space="preserve">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w:t>
      </w:r>
      <w:r>
        <w:rPr>
          <w:snapToGrid w:val="0"/>
        </w:rPr>
        <w:lastRenderedPageBreak/>
        <w:t>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No. 28 of 2006 s. 118.]</w:t>
      </w:r>
    </w:p>
    <w:p>
      <w:pPr>
        <w:pStyle w:val="Heading5"/>
        <w:rPr>
          <w:snapToGrid w:val="0"/>
        </w:rPr>
      </w:pPr>
      <w:bookmarkStart w:id="84" w:name="_Toc210129884"/>
      <w:r>
        <w:rPr>
          <w:rStyle w:val="CharSectno"/>
        </w:rPr>
        <w:t>25</w:t>
      </w:r>
      <w:r>
        <w:rPr>
          <w:snapToGrid w:val="0"/>
        </w:rPr>
        <w:t>.</w:t>
      </w:r>
      <w:r>
        <w:rPr>
          <w:snapToGrid w:val="0"/>
        </w:rPr>
        <w:tab/>
        <w:t>Failure to supply information</w:t>
      </w:r>
      <w:bookmarkEnd w:id="84"/>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lastRenderedPageBreak/>
        <w:tab/>
        <w:t>[Section 25 amended: No. 73 of 2000 s. 9 and 14(2); No. 11 of 2001 s. 21(2); No. 84 of 2004 s. 82.]</w:t>
      </w:r>
    </w:p>
    <w:p>
      <w:pPr>
        <w:pStyle w:val="Heading5"/>
        <w:rPr>
          <w:snapToGrid w:val="0"/>
        </w:rPr>
      </w:pPr>
      <w:bookmarkStart w:id="85" w:name="_Toc210129885"/>
      <w:r>
        <w:rPr>
          <w:rStyle w:val="CharSectno"/>
        </w:rPr>
        <w:t>26</w:t>
      </w:r>
      <w:r>
        <w:rPr>
          <w:snapToGrid w:val="0"/>
        </w:rPr>
        <w:t>.</w:t>
      </w:r>
      <w:r>
        <w:rPr>
          <w:snapToGrid w:val="0"/>
        </w:rPr>
        <w:tab/>
        <w:t>Obstructing Commissioner</w:t>
      </w:r>
      <w:bookmarkEnd w:id="85"/>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No. 73 of 2000 s. 14(2); No. 11 of 2001 s. 21(2); No. 28 of 2006 s. 119.]</w:t>
      </w:r>
    </w:p>
    <w:p>
      <w:pPr>
        <w:pStyle w:val="Heading5"/>
        <w:rPr>
          <w:snapToGrid w:val="0"/>
        </w:rPr>
      </w:pPr>
      <w:bookmarkStart w:id="86" w:name="_Toc210129886"/>
      <w:r>
        <w:rPr>
          <w:rStyle w:val="CharSectno"/>
        </w:rPr>
        <w:t>27</w:t>
      </w:r>
      <w:r>
        <w:rPr>
          <w:snapToGrid w:val="0"/>
        </w:rPr>
        <w:t>.</w:t>
      </w:r>
      <w:r>
        <w:rPr>
          <w:snapToGrid w:val="0"/>
        </w:rPr>
        <w:tab/>
        <w:t>Power of Commissioner to require returns</w:t>
      </w:r>
      <w:bookmarkEnd w:id="86"/>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 xml:space="preserve">the price, wholesale or retail, charged for the petroleum products referred to in paragraph (a) by the person on </w:t>
      </w:r>
      <w:r>
        <w:rPr>
          <w:snapToGrid w:val="0"/>
        </w:rPr>
        <w:lastRenderedPageBreak/>
        <w:t>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No. 72 of 1983 s. 15; No. 73 of 2000 s. 14(1); No. 11 of 2001 s. 21(1).] </w:t>
      </w:r>
    </w:p>
    <w:p>
      <w:pPr>
        <w:pStyle w:val="Heading5"/>
      </w:pPr>
      <w:bookmarkStart w:id="87" w:name="_Toc210129887"/>
      <w:r>
        <w:rPr>
          <w:rStyle w:val="CharSectno"/>
        </w:rPr>
        <w:lastRenderedPageBreak/>
        <w:t>27A</w:t>
      </w:r>
      <w:r>
        <w:t>.</w:t>
      </w:r>
      <w:r>
        <w:tab/>
        <w:t>Further powers of Commissioner to obtain information</w:t>
      </w:r>
      <w:bookmarkEnd w:id="87"/>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No. 73 of 2000 s. 10; amended: No. 11 of 2001 s. 21(1); No. 28 of 2006 s. 120.]</w:t>
      </w:r>
    </w:p>
    <w:p>
      <w:pPr>
        <w:pStyle w:val="Heading5"/>
      </w:pPr>
      <w:bookmarkStart w:id="88" w:name="_Toc210129888"/>
      <w:r>
        <w:rPr>
          <w:rStyle w:val="CharSectno"/>
        </w:rPr>
        <w:lastRenderedPageBreak/>
        <w:t>27B</w:t>
      </w:r>
      <w:r>
        <w:t>.</w:t>
      </w:r>
      <w:r>
        <w:tab/>
        <w:t>Publication by Commissioner of information</w:t>
      </w:r>
      <w:bookmarkEnd w:id="88"/>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No. 73 of 2000 s. 10; amended: No. 28 of 2006 s. 121.]</w:t>
      </w:r>
    </w:p>
    <w:p>
      <w:pPr>
        <w:pStyle w:val="Heading5"/>
        <w:rPr>
          <w:snapToGrid w:val="0"/>
        </w:rPr>
      </w:pPr>
      <w:bookmarkStart w:id="89" w:name="_Toc210129889"/>
      <w:r>
        <w:rPr>
          <w:rStyle w:val="CharSectno"/>
        </w:rPr>
        <w:t>28</w:t>
      </w:r>
      <w:r>
        <w:rPr>
          <w:snapToGrid w:val="0"/>
        </w:rPr>
        <w:t>.</w:t>
      </w:r>
      <w:r>
        <w:rPr>
          <w:snapToGrid w:val="0"/>
        </w:rPr>
        <w:tab/>
        <w:t>“</w:t>
      </w:r>
      <w:r>
        <w:t>Commissioner</w:t>
      </w:r>
      <w:r>
        <w:rPr>
          <w:snapToGrid w:val="0"/>
        </w:rPr>
        <w:t>” includes other officers</w:t>
      </w:r>
      <w:bookmarkEnd w:id="89"/>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No. 1 of 1985 s. 28; No. 57 of 1997 s. 93; No. 28 of 2006 s. 122.] </w:t>
      </w:r>
    </w:p>
    <w:p>
      <w:pPr>
        <w:pStyle w:val="Heading2"/>
      </w:pPr>
      <w:bookmarkStart w:id="90" w:name="_Toc36105956"/>
      <w:bookmarkStart w:id="91" w:name="_Toc36108307"/>
      <w:bookmarkStart w:id="92" w:name="_Toc36111031"/>
      <w:bookmarkStart w:id="93" w:name="_Toc210125380"/>
      <w:bookmarkStart w:id="94" w:name="_Toc210129890"/>
      <w:r>
        <w:rPr>
          <w:rStyle w:val="CharPartNo"/>
        </w:rPr>
        <w:lastRenderedPageBreak/>
        <w:t>Part V</w:t>
      </w:r>
      <w:r>
        <w:t> — </w:t>
      </w:r>
      <w:r>
        <w:rPr>
          <w:rStyle w:val="CharPartText"/>
        </w:rPr>
        <w:t>Offences and penalties</w:t>
      </w:r>
      <w:bookmarkEnd w:id="90"/>
      <w:bookmarkEnd w:id="91"/>
      <w:bookmarkEnd w:id="92"/>
      <w:bookmarkEnd w:id="93"/>
      <w:bookmarkEnd w:id="94"/>
      <w:r>
        <w:rPr>
          <w:rStyle w:val="CharPartText"/>
        </w:rPr>
        <w:t xml:space="preserve"> </w:t>
      </w:r>
    </w:p>
    <w:p>
      <w:pPr>
        <w:pStyle w:val="Heading3"/>
        <w:spacing w:before="200"/>
        <w:rPr>
          <w:b w:val="0"/>
        </w:rPr>
      </w:pPr>
      <w:bookmarkStart w:id="95" w:name="_Toc36105957"/>
      <w:bookmarkStart w:id="96" w:name="_Toc36108308"/>
      <w:bookmarkStart w:id="97" w:name="_Toc36111032"/>
      <w:bookmarkStart w:id="98" w:name="_Toc210125381"/>
      <w:bookmarkStart w:id="99" w:name="_Toc210129891"/>
      <w:r>
        <w:rPr>
          <w:rStyle w:val="CharDivNo"/>
        </w:rPr>
        <w:t>Division 1</w:t>
      </w:r>
      <w:r>
        <w:rPr>
          <w:b w:val="0"/>
        </w:rPr>
        <w:t> — </w:t>
      </w:r>
      <w:r>
        <w:rPr>
          <w:rStyle w:val="CharDivText"/>
        </w:rPr>
        <w:t>General provisions</w:t>
      </w:r>
      <w:bookmarkEnd w:id="95"/>
      <w:bookmarkEnd w:id="96"/>
      <w:bookmarkEnd w:id="97"/>
      <w:bookmarkEnd w:id="98"/>
      <w:bookmarkEnd w:id="99"/>
      <w:r>
        <w:rPr>
          <w:b w:val="0"/>
        </w:rPr>
        <w:t> </w:t>
      </w:r>
    </w:p>
    <w:p>
      <w:pPr>
        <w:pStyle w:val="Footnoteheading"/>
        <w:ind w:left="890"/>
      </w:pPr>
      <w:r>
        <w:tab/>
        <w:t>[Heading inserted: No. 73 of 2000 s. 11(1).]</w:t>
      </w:r>
    </w:p>
    <w:p>
      <w:pPr>
        <w:pStyle w:val="Heading5"/>
        <w:spacing w:before="180"/>
        <w:rPr>
          <w:snapToGrid w:val="0"/>
        </w:rPr>
      </w:pPr>
      <w:bookmarkStart w:id="100" w:name="_Toc210129892"/>
      <w:r>
        <w:rPr>
          <w:rStyle w:val="CharSectno"/>
        </w:rPr>
        <w:t>29</w:t>
      </w:r>
      <w:r>
        <w:rPr>
          <w:snapToGrid w:val="0"/>
        </w:rPr>
        <w:t>.</w:t>
      </w:r>
      <w:r>
        <w:rPr>
          <w:snapToGrid w:val="0"/>
        </w:rPr>
        <w:tab/>
        <w:t>Liability of officers etc., of body corporate</w:t>
      </w:r>
      <w:bookmarkEnd w:id="100"/>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No. 28 of 2006 s. 123.]</w:t>
      </w:r>
    </w:p>
    <w:p>
      <w:pPr>
        <w:pStyle w:val="Heading5"/>
        <w:rPr>
          <w:snapToGrid w:val="0"/>
        </w:rPr>
      </w:pPr>
      <w:bookmarkStart w:id="101" w:name="_Toc210129893"/>
      <w:r>
        <w:rPr>
          <w:rStyle w:val="CharSectno"/>
        </w:rPr>
        <w:t>30</w:t>
      </w:r>
      <w:r>
        <w:rPr>
          <w:snapToGrid w:val="0"/>
        </w:rPr>
        <w:t>.</w:t>
      </w:r>
      <w:r>
        <w:rPr>
          <w:snapToGrid w:val="0"/>
        </w:rPr>
        <w:tab/>
        <w:t>Court may order refund of amount paid in excess of maximum price or rate</w:t>
      </w:r>
      <w:bookmarkEnd w:id="101"/>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 xml:space="preserve">A certificate given by the Commissioner specifying the amount by which the price or rate paid by a person for any petroleum products or petroleum service exceeded the maximum price or rate fixed under this Act for the sale of those petroleum products </w:t>
      </w:r>
      <w:r>
        <w:rPr>
          <w:snapToGrid w:val="0"/>
        </w:rPr>
        <w:lastRenderedPageBreak/>
        <w:t>or the supply of that petroleum service is, for the purpose of subsection (1), evidence of the matters stated therein.</w:t>
      </w:r>
    </w:p>
    <w:p>
      <w:pPr>
        <w:pStyle w:val="Footnotesection"/>
        <w:keepLines w:val="0"/>
        <w:ind w:left="890" w:hanging="890"/>
      </w:pPr>
      <w:r>
        <w:tab/>
        <w:t xml:space="preserve">[Section 30 amended: No. 72 of 1983 s. 15; No. 84 of 2004 s. 82.] </w:t>
      </w:r>
    </w:p>
    <w:p>
      <w:pPr>
        <w:pStyle w:val="Heading5"/>
      </w:pPr>
      <w:bookmarkStart w:id="102" w:name="_Toc210129894"/>
      <w:r>
        <w:rPr>
          <w:rStyle w:val="CharSectno"/>
        </w:rPr>
        <w:t>31</w:t>
      </w:r>
      <w:r>
        <w:t>.</w:t>
      </w:r>
      <w:r>
        <w:tab/>
        <w:t>Limitation period for prosecutions</w:t>
      </w:r>
      <w:bookmarkEnd w:id="102"/>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No. 84 of 2004 s. 80; amended: No. 28 of 2006 s. 124.] </w:t>
      </w:r>
    </w:p>
    <w:p>
      <w:pPr>
        <w:pStyle w:val="Heading3"/>
      </w:pPr>
      <w:bookmarkStart w:id="103" w:name="_Toc36105961"/>
      <w:bookmarkStart w:id="104" w:name="_Toc36108312"/>
      <w:bookmarkStart w:id="105" w:name="_Toc36111036"/>
      <w:bookmarkStart w:id="106" w:name="_Toc210125385"/>
      <w:bookmarkStart w:id="107" w:name="_Toc210129895"/>
      <w:r>
        <w:rPr>
          <w:rStyle w:val="CharDivNo"/>
        </w:rPr>
        <w:t>Division 2</w:t>
      </w:r>
      <w:r>
        <w:t> — </w:t>
      </w:r>
      <w:r>
        <w:rPr>
          <w:rStyle w:val="CharDivText"/>
        </w:rPr>
        <w:t>Infringement notices</w:t>
      </w:r>
      <w:bookmarkEnd w:id="103"/>
      <w:bookmarkEnd w:id="104"/>
      <w:bookmarkEnd w:id="105"/>
      <w:bookmarkEnd w:id="106"/>
      <w:bookmarkEnd w:id="107"/>
      <w:r>
        <w:t> </w:t>
      </w:r>
    </w:p>
    <w:p>
      <w:pPr>
        <w:pStyle w:val="Footnoteheading"/>
        <w:ind w:left="890"/>
      </w:pPr>
      <w:r>
        <w:tab/>
        <w:t>[Heading inserted: No. 73 of 2000 s. 11(2).]</w:t>
      </w:r>
    </w:p>
    <w:p>
      <w:pPr>
        <w:pStyle w:val="Heading5"/>
      </w:pPr>
      <w:bookmarkStart w:id="108" w:name="_Toc210129896"/>
      <w:r>
        <w:rPr>
          <w:rStyle w:val="CharSectno"/>
        </w:rPr>
        <w:t>31A</w:t>
      </w:r>
      <w:r>
        <w:t>.</w:t>
      </w:r>
      <w:r>
        <w:tab/>
        <w:t>Infringement notices</w:t>
      </w:r>
      <w:bookmarkEnd w:id="108"/>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No. 73 of 2000 s. 11(2).]</w:t>
      </w:r>
    </w:p>
    <w:p>
      <w:pPr>
        <w:pStyle w:val="Heading5"/>
      </w:pPr>
      <w:bookmarkStart w:id="109" w:name="_Toc210129897"/>
      <w:r>
        <w:rPr>
          <w:rStyle w:val="CharSectno"/>
        </w:rPr>
        <w:t>31B</w:t>
      </w:r>
      <w:r>
        <w:t>.</w:t>
      </w:r>
      <w:r>
        <w:tab/>
        <w:t>Giving of notice</w:t>
      </w:r>
      <w:bookmarkEnd w:id="109"/>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No. 73 of 2000 s. 11(2).]</w:t>
      </w:r>
    </w:p>
    <w:p>
      <w:pPr>
        <w:pStyle w:val="Heading5"/>
      </w:pPr>
      <w:bookmarkStart w:id="110" w:name="_Toc210129898"/>
      <w:r>
        <w:rPr>
          <w:rStyle w:val="CharSectno"/>
        </w:rPr>
        <w:lastRenderedPageBreak/>
        <w:t>31C</w:t>
      </w:r>
      <w:r>
        <w:t>.</w:t>
      </w:r>
      <w:r>
        <w:tab/>
        <w:t>Content of notice</w:t>
      </w:r>
      <w:bookmarkEnd w:id="110"/>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No. 73 of 2000 s. 11(2); amended: No. 84 of 2004 s. 80.]</w:t>
      </w:r>
    </w:p>
    <w:p>
      <w:pPr>
        <w:pStyle w:val="Heading5"/>
      </w:pPr>
      <w:bookmarkStart w:id="111" w:name="_Toc210129899"/>
      <w:r>
        <w:rPr>
          <w:rStyle w:val="CharSectno"/>
        </w:rPr>
        <w:t>31D</w:t>
      </w:r>
      <w:r>
        <w:t>.</w:t>
      </w:r>
      <w:r>
        <w:tab/>
        <w:t>Extension of time</w:t>
      </w:r>
      <w:bookmarkEnd w:id="11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No. 73 of 2000 s. 11(2).]</w:t>
      </w:r>
    </w:p>
    <w:p>
      <w:pPr>
        <w:pStyle w:val="Heading5"/>
      </w:pPr>
      <w:bookmarkStart w:id="112" w:name="_Toc210129900"/>
      <w:r>
        <w:rPr>
          <w:rStyle w:val="CharSectno"/>
        </w:rPr>
        <w:t>31E</w:t>
      </w:r>
      <w:r>
        <w:t>.</w:t>
      </w:r>
      <w:r>
        <w:tab/>
        <w:t>Withdrawal of notice</w:t>
      </w:r>
      <w:bookmarkEnd w:id="112"/>
    </w:p>
    <w:p>
      <w:pPr>
        <w:pStyle w:val="Subsection"/>
      </w:pPr>
      <w:r>
        <w:tab/>
        <w:t>(1)</w:t>
      </w:r>
      <w:r>
        <w:tab/>
        <w:t xml:space="preserve">An authorised person may, whether or not the modified penalty has been paid, withdraw an infringement notice by sending to </w:t>
      </w:r>
      <w:r>
        <w:lastRenderedPageBreak/>
        <w:t>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No. 73 of 2000 s. 11(2).]</w:t>
      </w:r>
    </w:p>
    <w:p>
      <w:pPr>
        <w:pStyle w:val="Heading5"/>
      </w:pPr>
      <w:bookmarkStart w:id="113" w:name="_Toc210129901"/>
      <w:r>
        <w:rPr>
          <w:rStyle w:val="CharSectno"/>
        </w:rPr>
        <w:t>31F</w:t>
      </w:r>
      <w:r>
        <w:t>.</w:t>
      </w:r>
      <w:r>
        <w:tab/>
        <w:t>Benefit of paying modified penalty</w:t>
      </w:r>
      <w:bookmarkEnd w:id="11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No. 73 of 2000 s. 11(2).]</w:t>
      </w:r>
    </w:p>
    <w:p>
      <w:pPr>
        <w:pStyle w:val="Heading5"/>
      </w:pPr>
      <w:bookmarkStart w:id="114" w:name="_Toc210129902"/>
      <w:r>
        <w:rPr>
          <w:rStyle w:val="CharSectno"/>
        </w:rPr>
        <w:t>31G</w:t>
      </w:r>
      <w:r>
        <w:t>.</w:t>
      </w:r>
      <w:r>
        <w:tab/>
        <w:t>Application of penalties collected</w:t>
      </w:r>
      <w:bookmarkEnd w:id="114"/>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No. 73 of 2000 s. 11(2).]</w:t>
      </w:r>
    </w:p>
    <w:p>
      <w:pPr>
        <w:pStyle w:val="Heading5"/>
      </w:pPr>
      <w:bookmarkStart w:id="115" w:name="_Toc210129903"/>
      <w:r>
        <w:rPr>
          <w:rStyle w:val="CharSectno"/>
        </w:rPr>
        <w:t>31H</w:t>
      </w:r>
      <w:r>
        <w:t>.</w:t>
      </w:r>
      <w:r>
        <w:tab/>
        <w:t>Appointment of authorised persons</w:t>
      </w:r>
      <w:bookmarkEnd w:id="11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lastRenderedPageBreak/>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No. 73 of 2000 s. 11(2); amended: No. 28 of 2006 s. 125.]</w:t>
      </w:r>
    </w:p>
    <w:p>
      <w:pPr>
        <w:pStyle w:val="Heading2"/>
      </w:pPr>
      <w:bookmarkStart w:id="116" w:name="_Toc36105970"/>
      <w:bookmarkStart w:id="117" w:name="_Toc36108321"/>
      <w:bookmarkStart w:id="118" w:name="_Toc36111045"/>
      <w:bookmarkStart w:id="119" w:name="_Toc210125394"/>
      <w:bookmarkStart w:id="120" w:name="_Toc210129904"/>
      <w:r>
        <w:rPr>
          <w:rStyle w:val="CharPartNo"/>
        </w:rPr>
        <w:lastRenderedPageBreak/>
        <w:t>Part VI</w:t>
      </w:r>
      <w:r>
        <w:rPr>
          <w:rStyle w:val="CharDivNo"/>
        </w:rPr>
        <w:t> </w:t>
      </w:r>
      <w:r>
        <w:t>—</w:t>
      </w:r>
      <w:r>
        <w:rPr>
          <w:rStyle w:val="CharDivText"/>
        </w:rPr>
        <w:t> </w:t>
      </w:r>
      <w:r>
        <w:rPr>
          <w:rStyle w:val="CharPartText"/>
        </w:rPr>
        <w:t>Miscellaneous</w:t>
      </w:r>
      <w:bookmarkEnd w:id="116"/>
      <w:bookmarkEnd w:id="117"/>
      <w:bookmarkEnd w:id="118"/>
      <w:bookmarkEnd w:id="119"/>
      <w:bookmarkEnd w:id="120"/>
      <w:r>
        <w:rPr>
          <w:rStyle w:val="CharPartText"/>
        </w:rPr>
        <w:t xml:space="preserve"> </w:t>
      </w:r>
    </w:p>
    <w:p>
      <w:pPr>
        <w:pStyle w:val="Heading5"/>
        <w:spacing w:before="240"/>
        <w:rPr>
          <w:snapToGrid w:val="0"/>
        </w:rPr>
      </w:pPr>
      <w:bookmarkStart w:id="121" w:name="_Toc210129905"/>
      <w:r>
        <w:rPr>
          <w:rStyle w:val="CharSectno"/>
        </w:rPr>
        <w:t>32</w:t>
      </w:r>
      <w:r>
        <w:rPr>
          <w:snapToGrid w:val="0"/>
        </w:rPr>
        <w:t>.</w:t>
      </w:r>
      <w:r>
        <w:rPr>
          <w:snapToGrid w:val="0"/>
        </w:rPr>
        <w:tab/>
        <w:t>Application of orders and notices</w:t>
      </w:r>
      <w:bookmarkEnd w:id="121"/>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No. 72 of 1983 s. 15.] </w:t>
      </w:r>
    </w:p>
    <w:p>
      <w:pPr>
        <w:pStyle w:val="Heading5"/>
        <w:spacing w:before="240"/>
      </w:pPr>
      <w:bookmarkStart w:id="122" w:name="_Toc210129906"/>
      <w:r>
        <w:rPr>
          <w:rStyle w:val="CharSectno"/>
        </w:rPr>
        <w:t>32A</w:t>
      </w:r>
      <w:r>
        <w:t>.</w:t>
      </w:r>
      <w:r>
        <w:tab/>
        <w:t>Delegation by Commissioner</w:t>
      </w:r>
      <w:bookmarkEnd w:id="122"/>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No. 28 of 2006 s. 126.]</w:t>
      </w:r>
    </w:p>
    <w:p>
      <w:pPr>
        <w:pStyle w:val="Heading5"/>
      </w:pPr>
      <w:bookmarkStart w:id="123" w:name="_Toc210129907"/>
      <w:r>
        <w:rPr>
          <w:rStyle w:val="CharSectno"/>
        </w:rPr>
        <w:t>32B</w:t>
      </w:r>
      <w:r>
        <w:t>.</w:t>
      </w:r>
      <w:r>
        <w:tab/>
        <w:t>Protection from liability for wrongdoing</w:t>
      </w:r>
      <w:bookmarkEnd w:id="123"/>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No. 28 of 2006 s. 126.]</w:t>
      </w:r>
    </w:p>
    <w:p>
      <w:pPr>
        <w:pStyle w:val="Heading5"/>
        <w:rPr>
          <w:snapToGrid w:val="0"/>
        </w:rPr>
      </w:pPr>
      <w:bookmarkStart w:id="124" w:name="_Toc210129908"/>
      <w:r>
        <w:rPr>
          <w:rStyle w:val="CharSectno"/>
        </w:rPr>
        <w:t>32C</w:t>
      </w:r>
      <w:r>
        <w:rPr>
          <w:snapToGrid w:val="0"/>
        </w:rPr>
        <w:t>.</w:t>
      </w:r>
      <w:r>
        <w:rPr>
          <w:snapToGrid w:val="0"/>
        </w:rPr>
        <w:tab/>
      </w:r>
      <w:r>
        <w:t>Judicial</w:t>
      </w:r>
      <w:r>
        <w:rPr>
          <w:snapToGrid w:val="0"/>
        </w:rPr>
        <w:t xml:space="preserve"> notice</w:t>
      </w:r>
      <w:bookmarkEnd w:id="12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No. 28 of 2006 s. 126.]</w:t>
      </w:r>
    </w:p>
    <w:p>
      <w:pPr>
        <w:pStyle w:val="Heading5"/>
        <w:rPr>
          <w:snapToGrid w:val="0"/>
        </w:rPr>
      </w:pPr>
      <w:bookmarkStart w:id="125" w:name="_Toc210129909"/>
      <w:r>
        <w:rPr>
          <w:rStyle w:val="CharSectno"/>
        </w:rPr>
        <w:lastRenderedPageBreak/>
        <w:t>33</w:t>
      </w:r>
      <w:r>
        <w:rPr>
          <w:snapToGrid w:val="0"/>
        </w:rPr>
        <w:t>.</w:t>
      </w:r>
      <w:r>
        <w:rPr>
          <w:snapToGrid w:val="0"/>
        </w:rPr>
        <w:tab/>
        <w:t>Secrecy</w:t>
      </w:r>
      <w:bookmarkEnd w:id="125"/>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No. 79 of 1995 s. 69(2); No. 73 of 2000 s. 14(2); No. 11 of 2001 s. 21(2); No. 28 of 2006 s. 127.]</w:t>
      </w:r>
    </w:p>
    <w:p>
      <w:pPr>
        <w:pStyle w:val="Heading5"/>
        <w:spacing w:before="240"/>
        <w:rPr>
          <w:snapToGrid w:val="0"/>
        </w:rPr>
      </w:pPr>
      <w:bookmarkStart w:id="126" w:name="_Toc210129910"/>
      <w:r>
        <w:rPr>
          <w:rStyle w:val="CharSectno"/>
        </w:rPr>
        <w:t>34</w:t>
      </w:r>
      <w:r>
        <w:rPr>
          <w:snapToGrid w:val="0"/>
        </w:rPr>
        <w:t>.</w:t>
      </w:r>
      <w:r>
        <w:rPr>
          <w:snapToGrid w:val="0"/>
        </w:rPr>
        <w:tab/>
        <w:t>Regulations</w:t>
      </w:r>
      <w:bookmarkEnd w:id="126"/>
      <w:r>
        <w:rPr>
          <w:snapToGrid w:val="0"/>
        </w:rPr>
        <w:t xml:space="preserve"> </w:t>
      </w:r>
    </w:p>
    <w:p>
      <w:pPr>
        <w:pStyle w:val="Subsection"/>
        <w:spacing w:before="180"/>
        <w:rPr>
          <w:snapToGrid w:val="0"/>
        </w:rPr>
      </w:pPr>
      <w:r>
        <w:rPr>
          <w:snapToGrid w:val="0"/>
        </w:rPr>
        <w:tab/>
      </w:r>
      <w:r>
        <w:rPr>
          <w:snapToGrid w:val="0"/>
        </w:rPr>
        <w:tab/>
        <w:t xml:space="preserve">The Governor may make regulations prescribing all matters required or permitted by this Act to be prescribed or necessary </w:t>
      </w:r>
      <w:r>
        <w:rPr>
          <w:snapToGrid w:val="0"/>
        </w:rPr>
        <w:lastRenderedPageBreak/>
        <w:t>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No. 73 of 2000 s. 14(3); No. 11 of 2001 s. 21(3).]</w:t>
      </w:r>
    </w:p>
    <w:p>
      <w:pPr>
        <w:pStyle w:val="Ednotesection"/>
      </w:pPr>
      <w:r>
        <w:t>[</w:t>
      </w:r>
      <w:r>
        <w:rPr>
          <w:b/>
        </w:rPr>
        <w:t>35.</w:t>
      </w:r>
      <w:r>
        <w:rPr>
          <w:b/>
        </w:rPr>
        <w:tab/>
      </w:r>
      <w:r>
        <w:t xml:space="preserve">Deleted: No. 72 of 1983 s. 14.] </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27" w:name="_Toc36105977"/>
      <w:bookmarkStart w:id="128" w:name="_Toc36108328"/>
      <w:bookmarkStart w:id="129" w:name="_Toc36111052"/>
      <w:bookmarkStart w:id="130" w:name="_Toc210125401"/>
      <w:bookmarkStart w:id="131" w:name="_Toc210129911"/>
      <w:r>
        <w:rPr>
          <w:rStyle w:val="CharSchNo"/>
        </w:rPr>
        <w:lastRenderedPageBreak/>
        <w:t>Schedule 1</w:t>
      </w:r>
      <w:r>
        <w:t xml:space="preserve"> — </w:t>
      </w:r>
      <w:r>
        <w:rPr>
          <w:rStyle w:val="CharSchText"/>
        </w:rPr>
        <w:t>Certain exclusions from definition of “petroleum product”</w:t>
      </w:r>
      <w:bookmarkEnd w:id="127"/>
      <w:bookmarkEnd w:id="128"/>
      <w:bookmarkEnd w:id="129"/>
      <w:bookmarkEnd w:id="130"/>
      <w:bookmarkEnd w:id="131"/>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lastRenderedPageBreak/>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lastRenderedPageBreak/>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lastRenderedPageBreak/>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lastRenderedPageBreak/>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lastRenderedPageBreak/>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lastRenderedPageBreak/>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No. 73 of 2000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81" w:right="2410" w:bottom="3544" w:left="2410" w:header="720" w:footer="3380" w:gutter="0"/>
          <w:cols w:space="720"/>
          <w:noEndnote/>
          <w:docGrid w:linePitch="326"/>
        </w:sectPr>
      </w:pPr>
    </w:p>
    <w:p>
      <w:pPr>
        <w:pStyle w:val="nHeading2"/>
      </w:pPr>
      <w:bookmarkStart w:id="133" w:name="_Toc36108329"/>
      <w:bookmarkStart w:id="134" w:name="_Toc36111053"/>
      <w:bookmarkStart w:id="135" w:name="_Toc210125402"/>
      <w:bookmarkStart w:id="136" w:name="_Toc210129912"/>
      <w:bookmarkStart w:id="137" w:name="_Toc36105980"/>
      <w:r>
        <w:lastRenderedPageBreak/>
        <w:t>Notes</w:t>
      </w:r>
      <w:bookmarkEnd w:id="133"/>
      <w:bookmarkEnd w:id="134"/>
      <w:bookmarkEnd w:id="135"/>
      <w:bookmarkEnd w:id="136"/>
    </w:p>
    <w:p>
      <w:pPr>
        <w:pStyle w:val="nStatement"/>
      </w:pPr>
      <w:r>
        <w:t xml:space="preserve">This is a compilation of the </w:t>
      </w:r>
      <w:r>
        <w:rPr>
          <w:i/>
          <w:noProof/>
        </w:rPr>
        <w:t>Petroleum Products Pricing Act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8" w:name="_Toc210129913"/>
      <w:r>
        <w:t>Compilation table</w:t>
      </w:r>
      <w:bookmarkEnd w:id="138"/>
    </w:p>
    <w:tbl>
      <w:tblPr>
        <w:tblW w:w="7101" w:type="dxa"/>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trPr>
          <w:gridBefore w:val="1"/>
          <w:wBefore w:w="12" w:type="dxa"/>
          <w:cantSplit/>
          <w:tblHeader/>
        </w:trPr>
        <w:tc>
          <w:tcPr>
            <w:tcW w:w="2270"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70" w:type="dxa"/>
          </w:tcPr>
          <w:p>
            <w:pPr>
              <w:pStyle w:val="nTable"/>
              <w:spacing w:after="40"/>
              <w:ind w:right="113"/>
              <w:rPr>
                <w:vertAlign w:val="superscript"/>
              </w:rPr>
            </w:pPr>
            <w:r>
              <w:rPr>
                <w:i/>
              </w:rPr>
              <w:t>Prevention of Excessive Prices Act 1983</w:t>
            </w:r>
            <w:r>
              <w:rPr>
                <w:i/>
                <w:vertAlign w:val="superscript"/>
              </w:rPr>
              <w:t> </w:t>
            </w:r>
            <w:r>
              <w:rPr>
                <w:vertAlign w:val="superscript"/>
              </w:rPr>
              <w:t>1</w:t>
            </w:r>
          </w:p>
        </w:tc>
        <w:tc>
          <w:tcPr>
            <w:tcW w:w="1134" w:type="dxa"/>
          </w:tcPr>
          <w:p>
            <w:pPr>
              <w:pStyle w:val="nTable"/>
              <w:spacing w:after="40"/>
            </w:pPr>
            <w:r>
              <w:t>1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70" w:type="dxa"/>
          </w:tcPr>
          <w:p>
            <w:pPr>
              <w:pStyle w:val="nTable"/>
              <w:spacing w:after="40"/>
              <w:ind w:right="113"/>
            </w:pPr>
            <w:r>
              <w:rPr>
                <w:i/>
              </w:rPr>
              <w:t xml:space="preserve">Acts Amendment (Prevention of Excessive Prices) Act (No. 2) 1983 </w:t>
            </w:r>
            <w:r>
              <w:t>Pt. III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70" w:type="dxa"/>
          </w:tcPr>
          <w:p>
            <w:pPr>
              <w:pStyle w:val="nTable"/>
              <w:spacing w:after="40"/>
              <w:ind w:right="113"/>
            </w:pPr>
            <w:r>
              <w:rPr>
                <w:i/>
              </w:rPr>
              <w:t xml:space="preserve">Acts Amendment (Consumer Affairs) Act 1985 </w:t>
            </w:r>
            <w:r>
              <w:t>Pt. VI</w:t>
            </w:r>
          </w:p>
        </w:tc>
        <w:tc>
          <w:tcPr>
            <w:tcW w:w="1134" w:type="dxa"/>
          </w:tcPr>
          <w:p>
            <w:pPr>
              <w:pStyle w:val="nTable"/>
              <w:spacing w:after="40"/>
            </w:pPr>
            <w:r>
              <w:t>1 of 1985</w:t>
            </w:r>
          </w:p>
        </w:tc>
        <w:tc>
          <w:tcPr>
            <w:tcW w:w="1134" w:type="dxa"/>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70"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70"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70" w:type="dxa"/>
          </w:tcPr>
          <w:p>
            <w:pPr>
              <w:pStyle w:val="nTable"/>
              <w:spacing w:after="40"/>
              <w:ind w:right="113"/>
            </w:pPr>
            <w:r>
              <w:rPr>
                <w:i/>
              </w:rPr>
              <w:t xml:space="preserve">Industrial Relations Legislation Amendment and Repeal Act 1995 </w:t>
            </w:r>
            <w:r>
              <w:t>s. 69(2)</w:t>
            </w:r>
          </w:p>
        </w:tc>
        <w:tc>
          <w:tcPr>
            <w:tcW w:w="1134" w:type="dxa"/>
          </w:tcPr>
          <w:p>
            <w:pPr>
              <w:pStyle w:val="nTable"/>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7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70" w:type="dxa"/>
          </w:tcPr>
          <w:p>
            <w:pPr>
              <w:pStyle w:val="nTable"/>
              <w:spacing w:after="40"/>
              <w:ind w:right="113"/>
            </w:pPr>
            <w:r>
              <w:rPr>
                <w:i/>
              </w:rPr>
              <w:t xml:space="preserve">Statutes (Repeals and Minor Amendments) Act 1997 </w:t>
            </w:r>
            <w:r>
              <w:t>s. 39(10) and 93</w:t>
            </w:r>
          </w:p>
        </w:tc>
        <w:tc>
          <w:tcPr>
            <w:tcW w:w="1134" w:type="dxa"/>
          </w:tcPr>
          <w:p>
            <w:pPr>
              <w:pStyle w:val="nTable"/>
              <w:keepNext/>
              <w:keepLines/>
              <w:spacing w:after="40"/>
            </w:pPr>
            <w:r>
              <w:t>57 of 1997</w:t>
            </w:r>
          </w:p>
        </w:tc>
        <w:tc>
          <w:tcPr>
            <w:tcW w:w="1134" w:type="dxa"/>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70" w:type="dxa"/>
          </w:tcPr>
          <w:p>
            <w:pPr>
              <w:pStyle w:val="nTable"/>
              <w:spacing w:after="40"/>
              <w:ind w:right="113"/>
              <w:rPr>
                <w:i/>
              </w:rPr>
            </w:pPr>
            <w:r>
              <w:rPr>
                <w:i/>
              </w:rPr>
              <w:t>Petroleum Products Pricing Amendment Act 2000</w:t>
            </w:r>
          </w:p>
        </w:tc>
        <w:tc>
          <w:tcPr>
            <w:tcW w:w="1134" w:type="dxa"/>
          </w:tcPr>
          <w:p>
            <w:pPr>
              <w:pStyle w:val="nTable"/>
              <w:spacing w:after="40"/>
            </w:pPr>
            <w:r>
              <w:t>73 of 2000</w:t>
            </w:r>
          </w:p>
        </w:tc>
        <w:tc>
          <w:tcPr>
            <w:tcW w:w="1134" w:type="dxa"/>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70" w:type="dxa"/>
          </w:tcPr>
          <w:p>
            <w:pPr>
              <w:pStyle w:val="nTable"/>
              <w:spacing w:after="40"/>
              <w:ind w:right="113"/>
            </w:pPr>
            <w:r>
              <w:rPr>
                <w:i/>
              </w:rPr>
              <w:lastRenderedPageBreak/>
              <w:t>Petroleum Legislation Amendment Act 2001</w:t>
            </w:r>
            <w:r>
              <w:t xml:space="preserve"> Pt. 3</w:t>
            </w:r>
          </w:p>
        </w:tc>
        <w:tc>
          <w:tcPr>
            <w:tcW w:w="1134" w:type="dxa"/>
          </w:tcPr>
          <w:p>
            <w:pPr>
              <w:pStyle w:val="nTable"/>
              <w:keepNext/>
              <w:keepLines/>
              <w:spacing w:after="40"/>
            </w:pPr>
            <w:r>
              <w:t>11 of 2001</w:t>
            </w:r>
          </w:p>
        </w:tc>
        <w:tc>
          <w:tcPr>
            <w:tcW w:w="1134" w:type="dxa"/>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9" w:type="dxa"/>
            <w:gridSpan w:val="4"/>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pPr>
              <w:pStyle w:val="nTable"/>
              <w:spacing w:after="40"/>
              <w:rPr>
                <w:snapToGrid w:val="0"/>
              </w:rPr>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2</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82"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pPr>
              <w:pStyle w:val="nTable"/>
              <w:spacing w:after="40"/>
            </w:pPr>
            <w:r>
              <w:rPr>
                <w:snapToGrid w:val="0"/>
              </w:rPr>
              <w:t>23 of 2014</w:t>
            </w:r>
          </w:p>
        </w:tc>
        <w:tc>
          <w:tcPr>
            <w:tcW w:w="1134" w:type="dxa"/>
          </w:tcPr>
          <w:p>
            <w:pPr>
              <w:pStyle w:val="nTable"/>
              <w:spacing w:after="40"/>
            </w:pPr>
            <w:r>
              <w:rPr>
                <w:snapToGrid w:val="0"/>
              </w:rPr>
              <w:t>9 Oct 2014</w:t>
            </w:r>
          </w:p>
        </w:tc>
        <w:tc>
          <w:tcPr>
            <w:tcW w:w="2551" w:type="dxa"/>
          </w:tcPr>
          <w:p>
            <w:pPr>
              <w:pStyle w:val="nTable"/>
              <w:spacing w:after="40"/>
            </w:pPr>
            <w:r>
              <w:rPr>
                <w:snapToGrid w:val="0"/>
              </w:rPr>
              <w:t xml:space="preserve">19 Nov 2014 (see s. 2(b) and </w:t>
            </w:r>
            <w:r>
              <w:rPr>
                <w:i/>
                <w:snapToGrid w:val="0"/>
              </w:rPr>
              <w:t>Gazette</w:t>
            </w:r>
            <w:r>
              <w:rPr>
                <w:snapToGrid w:val="0"/>
              </w:rPr>
              <w:t xml:space="preserve"> 18 Nov 2014 p. 4315)</w:t>
            </w:r>
          </w:p>
        </w:tc>
      </w:tr>
      <w:tr>
        <w:tblPrEx>
          <w:tblCellMar>
            <w:left w:w="56" w:type="dxa"/>
            <w:right w:w="56" w:type="dxa"/>
          </w:tblCellMar>
        </w:tblPrEx>
        <w:trPr>
          <w:cantSplit/>
        </w:trPr>
        <w:tc>
          <w:tcPr>
            <w:tcW w:w="2282" w:type="dxa"/>
            <w:gridSpan w:val="2"/>
          </w:tcPr>
          <w:p>
            <w:pPr>
              <w:pStyle w:val="nTable"/>
              <w:spacing w:after="40"/>
              <w:rPr>
                <w:i/>
                <w:snapToGrid w:val="0"/>
              </w:rPr>
            </w:pPr>
            <w:r>
              <w:rPr>
                <w:i/>
              </w:rPr>
              <w:t>Petroleum Products Pricing Amendment Act 2020</w:t>
            </w:r>
          </w:p>
        </w:tc>
        <w:tc>
          <w:tcPr>
            <w:tcW w:w="1134" w:type="dxa"/>
          </w:tcPr>
          <w:p>
            <w:pPr>
              <w:pStyle w:val="nTable"/>
              <w:spacing w:after="40"/>
              <w:rPr>
                <w:snapToGrid w:val="0"/>
              </w:rPr>
            </w:pPr>
            <w:r>
              <w:rPr>
                <w:snapToGrid w:val="0"/>
              </w:rPr>
              <w:t>4 of 2020</w:t>
            </w:r>
          </w:p>
        </w:tc>
        <w:tc>
          <w:tcPr>
            <w:tcW w:w="1134" w:type="dxa"/>
          </w:tcPr>
          <w:p>
            <w:pPr>
              <w:pStyle w:val="nTable"/>
              <w:spacing w:after="40"/>
              <w:rPr>
                <w:snapToGrid w:val="0"/>
              </w:rPr>
            </w:pPr>
            <w:r>
              <w:rPr>
                <w:snapToGrid w:val="0"/>
              </w:rPr>
              <w:t>24 Mar 2020</w:t>
            </w:r>
          </w:p>
        </w:tc>
        <w:tc>
          <w:tcPr>
            <w:tcW w:w="2551" w:type="dxa"/>
          </w:tcPr>
          <w:p>
            <w:pPr>
              <w:pStyle w:val="nTable"/>
              <w:spacing w:after="40"/>
              <w:rPr>
                <w:snapToGrid w:val="0"/>
              </w:rPr>
            </w:pPr>
            <w:r>
              <w:rPr>
                <w:snapToGrid w:val="0"/>
              </w:rPr>
              <w:t>s. 1 and 2: 24 Mar 2020 (see s. 2(a));</w:t>
            </w:r>
            <w:r>
              <w:rPr>
                <w:snapToGrid w:val="0"/>
              </w:rPr>
              <w:br/>
              <w:t>Act other than s. 1 and 2: 25 Mar 2020 (see s. 2(b))</w:t>
            </w:r>
          </w:p>
        </w:tc>
      </w:tr>
    </w:tbl>
    <w:p>
      <w:pPr>
        <w:pStyle w:val="nHeading3"/>
      </w:pPr>
      <w:bookmarkStart w:id="139" w:name="_Toc210129914"/>
      <w:r>
        <w:lastRenderedPageBreak/>
        <w:t>Uncommenced provisions table</w:t>
      </w:r>
      <w:bookmarkEnd w:id="1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 xml:space="preserve">Evidence Act 2025 </w:t>
            </w:r>
            <w:r>
              <w:rPr>
                <w:iCs/>
                <w:snapToGrid w:val="0"/>
              </w:rPr>
              <w:t>s. 492(2)</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rPr>
                <w:snapToGrid w:val="0"/>
              </w:rPr>
              <w:t>To be proclaimed (see s. 2(e))</w:t>
            </w:r>
          </w:p>
        </w:tc>
      </w:tr>
    </w:tbl>
    <w:p>
      <w:pPr>
        <w:pStyle w:val="nHeading3"/>
      </w:pPr>
      <w:bookmarkStart w:id="140" w:name="_Toc210129915"/>
      <w:r>
        <w:t>Other notes</w:t>
      </w:r>
      <w:bookmarkEnd w:id="140"/>
    </w:p>
    <w:p>
      <w:pPr>
        <w:pStyle w:val="nNote"/>
        <w:spacing w:before="160"/>
      </w:pPr>
      <w:r>
        <w:rPr>
          <w:vertAlign w:val="superscript"/>
        </w:rPr>
        <w:t>1</w:t>
      </w:r>
      <w:r>
        <w:tab/>
        <w:t xml:space="preserve">Now known as the </w:t>
      </w:r>
      <w:r>
        <w:rPr>
          <w:i/>
        </w:rPr>
        <w:t>Petroleum Products Pricing Act 1983</w:t>
      </w:r>
      <w:r>
        <w:t>; short title changed (see note under s. 1).</w:t>
      </w:r>
    </w:p>
    <w:p>
      <w:pPr>
        <w:pStyle w:val="nNote"/>
        <w:keepNext/>
      </w:pPr>
      <w:r>
        <w:rPr>
          <w:vertAlign w:val="superscript"/>
        </w:rPr>
        <w:t>2</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lastRenderedPageBreak/>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keepLines/>
      </w:pPr>
      <w:r>
        <w:lastRenderedPageBreak/>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Note"/>
      </w:pPr>
      <w:r>
        <w:rPr>
          <w:vertAlign w:val="superscript"/>
        </w:rPr>
        <w:lastRenderedPageBreak/>
        <w:t>3</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Note"/>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2" w:name="_Toc36111056"/>
      <w:bookmarkStart w:id="143" w:name="_Toc210125406"/>
      <w:bookmarkStart w:id="144" w:name="_Toc210129916"/>
      <w:bookmarkEnd w:id="137"/>
      <w:r>
        <w:rPr>
          <w:sz w:val="28"/>
        </w:rPr>
        <w:lastRenderedPageBreak/>
        <w:t>Defined terms</w:t>
      </w:r>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31A</w:t>
      </w:r>
    </w:p>
    <w:p>
      <w:pPr>
        <w:pStyle w:val="DefinedTerms"/>
      </w:pPr>
      <w:r>
        <w:t>business</w:t>
      </w:r>
      <w:r>
        <w:tab/>
        <w:t>22H(1)</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documents</w:t>
      </w:r>
      <w:r>
        <w:tab/>
        <w:t>3(1)</w:t>
      </w:r>
    </w:p>
    <w:p>
      <w:pPr>
        <w:pStyle w:val="DefinedTerms"/>
      </w:pPr>
      <w:r>
        <w:t>executive officer</w:t>
      </w:r>
      <w:r>
        <w:tab/>
        <w:t>5(3)</w:t>
      </w:r>
    </w:p>
    <w:p>
      <w:pPr>
        <w:pStyle w:val="DefinedTerms"/>
      </w:pPr>
      <w:r>
        <w:t>exempt sale</w:t>
      </w:r>
      <w:r>
        <w:tab/>
        <w:t>22H(1), (2) and (3)</w:t>
      </w:r>
    </w:p>
    <w:p>
      <w:pPr>
        <w:pStyle w:val="DefinedTerms"/>
      </w:pPr>
      <w:r>
        <w:t>franchise agreement</w:t>
      </w:r>
      <w:r>
        <w:tab/>
        <w:t>3(1)</w:t>
      </w:r>
    </w:p>
    <w:p>
      <w:pPr>
        <w:pStyle w:val="DefinedTerms"/>
      </w:pPr>
      <w:r>
        <w:t>kind of motor fuel</w:t>
      </w:r>
      <w:r>
        <w:tab/>
        <w:t>22A(1), 22H(1)</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price</w:t>
      </w:r>
      <w:r>
        <w:tab/>
        <w:t>3(1)</w:t>
      </w:r>
    </w:p>
    <w:p>
      <w:pPr>
        <w:pStyle w:val="DefinedTerms"/>
      </w:pPr>
      <w:r>
        <w:t>rate</w:t>
      </w:r>
      <w:r>
        <w:tab/>
        <w:t>3(1)</w:t>
      </w:r>
    </w:p>
    <w:p>
      <w:pPr>
        <w:pStyle w:val="DefinedTerms"/>
      </w:pPr>
      <w:r>
        <w:t>relevant price</w:t>
      </w:r>
      <w:r>
        <w:tab/>
        <w:t>22A(1)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22H(1)</w:t>
      </w:r>
    </w:p>
    <w:p>
      <w:pPr>
        <w:pStyle w:val="DefinedTerms"/>
      </w:pPr>
      <w:r>
        <w:t>subsection</w:t>
      </w:r>
      <w:r>
        <w:tab/>
        <w:t>3(1)</w:t>
      </w:r>
    </w:p>
    <w:p>
      <w:pPr>
        <w:pStyle w:val="DefinedTerms"/>
      </w:pPr>
      <w:r>
        <w:t>supplier</w:t>
      </w:r>
      <w:r>
        <w:tab/>
        <w:t>22A(1)</w:t>
      </w:r>
    </w:p>
    <w:p>
      <w:pPr>
        <w:pStyle w:val="DefinedTerms"/>
      </w:pPr>
      <w:r>
        <w:lastRenderedPageBreak/>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9B0E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5977DD" w14:textId="43022C89" w:rsidR="00574663" w:rsidRDefault="005746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5583F44" w14:textId="77777777" w:rsidR="00574663" w:rsidRDefault="005746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FCF58" w14:textId="78B3F4B9" w:rsidR="00574663" w:rsidRDefault="005746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3425349" w14:textId="77777777" w:rsidR="00574663" w:rsidRDefault="005746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32609005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15750</Words>
  <Characters>76705</Characters>
  <Application>Microsoft Office Word</Application>
  <DocSecurity>0</DocSecurity>
  <Lines>2256</Lines>
  <Paragraphs>1359</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1983 - 02-i0-00</dc:title>
  <dc:subject/>
  <dc:creator/>
  <cp:keywords/>
  <dc:description/>
  <cp:lastModifiedBy>Master Repository Process</cp:lastModifiedBy>
  <cp:revision>4</cp:revision>
  <cp:lastPrinted>2006-10-12T07:03:00Z</cp:lastPrinted>
  <dcterms:created xsi:type="dcterms:W3CDTF">2025-09-30T07:28:00Z</dcterms:created>
  <dcterms:modified xsi:type="dcterms:W3CDTF">2025-09-30T07:28:00Z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AsAtDate">
    <vt:lpwstr>25 Sep 2025</vt:lpwstr>
  </property>
  <property fmtid="{D5CDD505-2E9C-101B-9397-08002B2CF9AE}" pid="9" name="Suffix">
    <vt:lpwstr>02-i0-00</vt:lpwstr>
  </property>
  <property fmtid="{D5CDD505-2E9C-101B-9397-08002B2CF9AE}" pid="10" name="Official">
    <vt:lpwstr/>
  </property>
</Properties>
</file>