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Transfer of Land Act 1893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Act 1893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_Toc210129681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Repeals and savings</w:t>
      </w:r>
      <w:r>
        <w:tab/>
      </w:r>
      <w:r>
        <w:fldChar w:fldCharType="begin"/>
      </w:r>
      <w:r>
        <w:instrText xml:space="preserve"> PAGEREF _Toc210129682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other laws etc. and this Act</w:t>
      </w:r>
      <w:r>
        <w:tab/>
      </w:r>
      <w:r>
        <w:fldChar w:fldCharType="begin"/>
      </w:r>
      <w:r>
        <w:instrText xml:space="preserve"> PAGEREF _Toc210129683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application of Act to Crown land</w:t>
      </w:r>
      <w:r>
        <w:tab/>
      </w:r>
      <w:r>
        <w:fldChar w:fldCharType="begin"/>
      </w:r>
      <w:r>
        <w:instrText xml:space="preserve"> PAGEREF _Toc210129684 \h </w:instrText>
      </w:r>
      <w:r>
        <w:fldChar w:fldCharType="separate"/>
      </w:r>
      <w:r>
        <w:t>3</w:t>
      </w:r>
      <w:r>
        <w:fldChar w:fldCharType="end"/>
      </w:r>
    </w:p>
    <w:p>
      <w:pPr>
        <w:pStyle w:val="TOC8"/>
        <w:rPr>
          <w:rFonts w:asciiTheme="minorHAnsi" w:eastAsiaTheme="minorEastAsia" w:hAnsiTheme="minorHAnsi" w:cstheme="minorBidi"/>
          <w:szCs w:val="22"/>
        </w:rPr>
      </w:pPr>
      <w:r>
        <w:t>4A.</w:t>
      </w:r>
      <w:r>
        <w:tab/>
        <w:t>Sections of this Act that do not apply to Crown land</w:t>
      </w:r>
      <w:r>
        <w:tab/>
      </w:r>
      <w:r>
        <w:fldChar w:fldCharType="begin"/>
      </w:r>
      <w:r>
        <w:instrText xml:space="preserve"> PAGEREF _Toc210129685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 — Officers</w:t>
      </w:r>
    </w:p>
    <w:p>
      <w:pPr>
        <w:pStyle w:val="TOC8"/>
        <w:rPr>
          <w:rFonts w:asciiTheme="minorHAnsi" w:eastAsiaTheme="minorEastAsia" w:hAnsiTheme="minorHAnsi" w:cstheme="minorBidi"/>
          <w:szCs w:val="22"/>
        </w:rPr>
      </w:pPr>
      <w:r>
        <w:t>5.</w:t>
      </w:r>
      <w:r>
        <w:tab/>
        <w:t>Commissioner of Titles</w:t>
      </w:r>
      <w:r>
        <w:tab/>
      </w:r>
      <w:r>
        <w:fldChar w:fldCharType="begin"/>
      </w:r>
      <w:r>
        <w:instrText xml:space="preserve"> PAGEREF _Toc210129687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Deputy Commissioner of Titles</w:t>
      </w:r>
      <w:r>
        <w:tab/>
      </w:r>
      <w:r>
        <w:fldChar w:fldCharType="begin"/>
      </w:r>
      <w:r>
        <w:instrText xml:space="preserve"> PAGEREF _Toc210129688 \h </w:instrText>
      </w:r>
      <w:r>
        <w:fldChar w:fldCharType="separate"/>
      </w:r>
      <w:r>
        <w:t>13</w:t>
      </w:r>
      <w:r>
        <w:fldChar w:fldCharType="end"/>
      </w:r>
    </w:p>
    <w:p>
      <w:pPr>
        <w:pStyle w:val="TOC8"/>
        <w:rPr>
          <w:rFonts w:asciiTheme="minorHAnsi" w:eastAsiaTheme="minorEastAsia" w:hAnsiTheme="minorHAnsi" w:cstheme="minorBidi"/>
          <w:szCs w:val="22"/>
        </w:rPr>
      </w:pPr>
      <w:r>
        <w:t>7.</w:t>
      </w:r>
      <w:r>
        <w:tab/>
        <w:t>Registrar of Titles</w:t>
      </w:r>
      <w:r>
        <w:tab/>
      </w:r>
      <w:r>
        <w:fldChar w:fldCharType="begin"/>
      </w:r>
      <w:r>
        <w:instrText xml:space="preserve"> PAGEREF _Toc210129689 \h </w:instrText>
      </w:r>
      <w:r>
        <w:fldChar w:fldCharType="separate"/>
      </w:r>
      <w:r>
        <w:t>14</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Offices of Commissioner and Registrar may be held by one person</w:t>
      </w:r>
      <w:r>
        <w:tab/>
      </w:r>
      <w:r>
        <w:fldChar w:fldCharType="begin"/>
      </w:r>
      <w:r>
        <w:instrText xml:space="preserve"> PAGEREF _Toc210129690 \h </w:instrText>
      </w:r>
      <w:r>
        <w:fldChar w:fldCharType="separate"/>
      </w:r>
      <w:r>
        <w:t>15</w:t>
      </w:r>
      <w:r>
        <w:fldChar w:fldCharType="end"/>
      </w:r>
    </w:p>
    <w:p>
      <w:pPr>
        <w:pStyle w:val="TOC8"/>
        <w:rPr>
          <w:rFonts w:asciiTheme="minorHAnsi" w:eastAsiaTheme="minorEastAsia" w:hAnsiTheme="minorHAnsi" w:cstheme="minorBidi"/>
          <w:szCs w:val="22"/>
        </w:rPr>
      </w:pPr>
      <w:r>
        <w:t>8.</w:t>
      </w:r>
      <w:r>
        <w:tab/>
        <w:t>Examiner of Titles, Assistant Registrar of Titles</w:t>
      </w:r>
      <w:r>
        <w:tab/>
      </w:r>
      <w:r>
        <w:fldChar w:fldCharType="begin"/>
      </w:r>
      <w:r>
        <w:instrText xml:space="preserve"> PAGEREF _Toc210129691 \h </w:instrText>
      </w:r>
      <w:r>
        <w:fldChar w:fldCharType="separate"/>
      </w:r>
      <w:r>
        <w:t>15</w:t>
      </w:r>
      <w:r>
        <w:fldChar w:fldCharType="end"/>
      </w:r>
    </w:p>
    <w:p>
      <w:pPr>
        <w:pStyle w:val="TOC8"/>
        <w:rPr>
          <w:rFonts w:asciiTheme="minorHAnsi" w:eastAsiaTheme="minorEastAsia" w:hAnsiTheme="minorHAnsi" w:cstheme="minorBidi"/>
          <w:szCs w:val="22"/>
        </w:rPr>
      </w:pPr>
      <w:r>
        <w:t>8A.</w:t>
      </w:r>
      <w:r>
        <w:tab/>
        <w:t>Designating statutory officers, generally</w:t>
      </w:r>
      <w:r>
        <w:tab/>
      </w:r>
      <w:r>
        <w:fldChar w:fldCharType="begin"/>
      </w:r>
      <w:r>
        <w:instrText xml:space="preserve"> PAGEREF _Toc210129692 \h </w:instrText>
      </w:r>
      <w:r>
        <w:fldChar w:fldCharType="separate"/>
      </w:r>
      <w:r>
        <w:t>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Certain signatures to be judicially noticed</w:t>
      </w:r>
      <w:r>
        <w:tab/>
      </w:r>
      <w:r>
        <w:fldChar w:fldCharType="begin"/>
      </w:r>
      <w:r>
        <w:instrText xml:space="preserve"> PAGEREF _Toc210129693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Seal</w:t>
      </w:r>
      <w:r>
        <w:tab/>
      </w:r>
      <w:r>
        <w:fldChar w:fldCharType="begin"/>
      </w:r>
      <w:r>
        <w:instrText xml:space="preserve"> PAGEREF _Toc210129694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Assistant Registrar’s powers</w:t>
      </w:r>
      <w:r>
        <w:tab/>
      </w:r>
      <w:r>
        <w:fldChar w:fldCharType="begin"/>
      </w:r>
      <w:r>
        <w:instrText xml:space="preserve"> PAGEREF _Toc210129695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Commissioner and Examiner of Titles not to practise law</w:t>
      </w:r>
      <w:r>
        <w:tab/>
      </w:r>
      <w:r>
        <w:fldChar w:fldCharType="begin"/>
      </w:r>
      <w:r>
        <w:instrText xml:space="preserve"> PAGEREF _Toc210129696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Oaths of office</w:t>
      </w:r>
      <w:r>
        <w:tab/>
      </w:r>
      <w:r>
        <w:fldChar w:fldCharType="begin"/>
      </w:r>
      <w:r>
        <w:instrText xml:space="preserve"> PAGEREF _Toc210129697 \h </w:instrText>
      </w:r>
      <w:r>
        <w:fldChar w:fldCharType="separate"/>
      </w:r>
      <w:r>
        <w:t>18</w:t>
      </w:r>
      <w:r>
        <w:fldChar w:fldCharType="end"/>
      </w:r>
    </w:p>
    <w:p>
      <w:pPr>
        <w:pStyle w:val="TOC8"/>
        <w:rPr>
          <w:rFonts w:asciiTheme="minorHAnsi" w:eastAsiaTheme="minorEastAsia" w:hAnsiTheme="minorHAnsi" w:cstheme="minorBidi"/>
          <w:szCs w:val="22"/>
        </w:rPr>
      </w:pPr>
      <w:r>
        <w:t>14.</w:t>
      </w:r>
      <w:r>
        <w:tab/>
        <w:t>Commissioner and Registrar may exercise functions electronically</w:t>
      </w:r>
      <w:r>
        <w:tab/>
      </w:r>
      <w:r>
        <w:fldChar w:fldCharType="begin"/>
      </w:r>
      <w:r>
        <w:instrText xml:space="preserve"> PAGEREF _Toc210129698 \h </w:instrText>
      </w:r>
      <w:r>
        <w:fldChar w:fldCharType="separate"/>
      </w:r>
      <w:r>
        <w:t>19</w:t>
      </w:r>
      <w:r>
        <w:fldChar w:fldCharType="end"/>
      </w:r>
    </w:p>
    <w:p>
      <w:pPr>
        <w:pStyle w:val="TOC8"/>
        <w:rPr>
          <w:rFonts w:asciiTheme="minorHAnsi" w:eastAsiaTheme="minorEastAsia" w:hAnsiTheme="minorHAnsi" w:cstheme="minorBidi"/>
          <w:szCs w:val="22"/>
        </w:rPr>
      </w:pPr>
      <w:r>
        <w:t>15.</w:t>
      </w:r>
      <w:r>
        <w:tab/>
        <w:t>Delegation by Commissioner</w:t>
      </w:r>
      <w:r>
        <w:tab/>
      </w:r>
      <w:r>
        <w:fldChar w:fldCharType="begin"/>
      </w:r>
      <w:r>
        <w:instrText xml:space="preserve"> PAGEREF _Toc210129699 \h </w:instrText>
      </w:r>
      <w:r>
        <w:fldChar w:fldCharType="separate"/>
      </w:r>
      <w:r>
        <w:t>19</w:t>
      </w:r>
      <w:r>
        <w:fldChar w:fldCharType="end"/>
      </w:r>
    </w:p>
    <w:p>
      <w:pPr>
        <w:pStyle w:val="TOC8"/>
        <w:rPr>
          <w:rFonts w:asciiTheme="minorHAnsi" w:eastAsiaTheme="minorEastAsia" w:hAnsiTheme="minorHAnsi" w:cstheme="minorBidi"/>
          <w:szCs w:val="22"/>
        </w:rPr>
      </w:pPr>
      <w:r>
        <w:t>15A.</w:t>
      </w:r>
      <w:r>
        <w:tab/>
        <w:t>Delegation by Registrar</w:t>
      </w:r>
      <w:r>
        <w:tab/>
      </w:r>
      <w:r>
        <w:fldChar w:fldCharType="begin"/>
      </w:r>
      <w:r>
        <w:instrText xml:space="preserve"> PAGEREF _Toc210129700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Rules relating to surveyors</w:t>
      </w:r>
      <w:r>
        <w:tab/>
      </w:r>
      <w:r>
        <w:fldChar w:fldCharType="begin"/>
      </w:r>
      <w:r>
        <w:instrText xml:space="preserve"> PAGEREF _Toc210129701 \h </w:instrText>
      </w:r>
      <w:r>
        <w:fldChar w:fldCharType="separate"/>
      </w:r>
      <w:r>
        <w:t>21</w:t>
      </w:r>
      <w:r>
        <w:fldChar w:fldCharType="end"/>
      </w:r>
    </w:p>
    <w:p>
      <w:pPr>
        <w:pStyle w:val="TOC8"/>
        <w:rPr>
          <w:rFonts w:asciiTheme="minorHAnsi" w:eastAsiaTheme="minorEastAsia" w:hAnsiTheme="minorHAnsi" w:cstheme="minorBidi"/>
          <w:szCs w:val="22"/>
        </w:rPr>
      </w:pPr>
      <w:r>
        <w:lastRenderedPageBreak/>
        <w:t>17.</w:t>
      </w:r>
      <w:r>
        <w:tab/>
        <w:t>Some of Minister for Lands’ functions under this Act may be performed by authorised officer</w:t>
      </w:r>
      <w:r>
        <w:tab/>
      </w:r>
      <w:r>
        <w:fldChar w:fldCharType="begin"/>
      </w:r>
      <w:r>
        <w:instrText xml:space="preserve"> PAGEREF _Toc210129702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 — Bringing land under the Act</w:t>
      </w:r>
    </w:p>
    <w:p>
      <w:pPr>
        <w:pStyle w:val="TOC8"/>
        <w:rPr>
          <w:rFonts w:asciiTheme="minorHAnsi" w:eastAsiaTheme="minorEastAsia" w:hAnsiTheme="minorHAnsi" w:cstheme="minorBidi"/>
          <w:szCs w:val="22"/>
        </w:rPr>
      </w:pPr>
      <w:r>
        <w:t>20</w:t>
      </w:r>
      <w:r>
        <w:rPr>
          <w:snapToGrid w:val="0"/>
        </w:rPr>
        <w:t>.</w:t>
      </w:r>
      <w:r>
        <w:rPr>
          <w:snapToGrid w:val="0"/>
        </w:rPr>
        <w:tab/>
        <w:t>Bringing lands alienated in fee before 1 July 1875 under this Act</w:t>
      </w:r>
      <w:r>
        <w:tab/>
      </w:r>
      <w:r>
        <w:fldChar w:fldCharType="begin"/>
      </w:r>
      <w:r>
        <w:instrText xml:space="preserve"> PAGEREF _Toc210129704 \h </w:instrText>
      </w:r>
      <w:r>
        <w:fldChar w:fldCharType="separate"/>
      </w:r>
      <w:r>
        <w:t>22</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Evidence and restrictions of requisitions</w:t>
      </w:r>
      <w:r>
        <w:tab/>
      </w:r>
      <w:r>
        <w:fldChar w:fldCharType="begin"/>
      </w:r>
      <w:r>
        <w:instrText xml:space="preserve"> PAGEREF _Toc210129705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application to be dealt with when no dealing has been registered</w:t>
      </w:r>
      <w:r>
        <w:tab/>
      </w:r>
      <w:r>
        <w:fldChar w:fldCharType="begin"/>
      </w:r>
      <w:r>
        <w:instrText xml:space="preserve"> PAGEREF _Toc210129706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How application to be dealt with when dealing has been registered</w:t>
      </w:r>
      <w:r>
        <w:tab/>
      </w:r>
      <w:r>
        <w:fldChar w:fldCharType="begin"/>
      </w:r>
      <w:r>
        <w:instrText xml:space="preserve"> PAGEREF _Toc210129707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Notice of application to bring land under this Act and rescission of previous directions on undue delay</w:t>
      </w:r>
      <w:r>
        <w:tab/>
      </w:r>
      <w:r>
        <w:fldChar w:fldCharType="begin"/>
      </w:r>
      <w:r>
        <w:instrText xml:space="preserve"> PAGEREF _Toc210129708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Person claiming title by possession to post notice of application on land</w:t>
      </w:r>
      <w:r>
        <w:tab/>
      </w:r>
      <w:r>
        <w:fldChar w:fldCharType="begin"/>
      </w:r>
      <w:r>
        <w:instrText xml:space="preserve"> PAGEREF _Toc210129709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Land to be brought under this Act unless caveat received</w:t>
      </w:r>
      <w:r>
        <w:tab/>
      </w:r>
      <w:r>
        <w:fldChar w:fldCharType="begin"/>
      </w:r>
      <w:r>
        <w:instrText xml:space="preserve"> PAGEREF _Toc210129710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Land occupied may be brought under this Act by different description from that in title on special application</w:t>
      </w:r>
      <w:r>
        <w:tab/>
      </w:r>
      <w:r>
        <w:fldChar w:fldCharType="begin"/>
      </w:r>
      <w:r>
        <w:instrText xml:space="preserve"> PAGEREF _Toc210129711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Applications to bring land under this Act or to amend certificate may be granted as to land occupied under but not described in title deeds or certificate</w:t>
      </w:r>
      <w:r>
        <w:tab/>
      </w:r>
      <w:r>
        <w:fldChar w:fldCharType="begin"/>
      </w:r>
      <w:r>
        <w:instrText xml:space="preserve"> PAGEREF _Toc210129712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Title may be given to excess of land occupied under Crown grant over land described in Crown grant</w:t>
      </w:r>
      <w:r>
        <w:tab/>
      </w:r>
      <w:r>
        <w:fldChar w:fldCharType="begin"/>
      </w:r>
      <w:r>
        <w:instrText xml:space="preserve"> PAGEREF _Toc210129713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Excess of land may be apportioned between different owners or proprietors</w:t>
      </w:r>
      <w:r>
        <w:tab/>
      </w:r>
      <w:r>
        <w:fldChar w:fldCharType="begin"/>
      </w:r>
      <w:r>
        <w:instrText xml:space="preserve"> PAGEREF _Toc210129714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Parties interested may lodge caveat</w:t>
      </w:r>
      <w:r>
        <w:tab/>
      </w:r>
      <w:r>
        <w:fldChar w:fldCharType="begin"/>
      </w:r>
      <w:r>
        <w:instrText xml:space="preserve"> PAGEREF _Toc210129715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If caveat received, proceedings suspended</w:t>
      </w:r>
      <w:r>
        <w:tab/>
      </w:r>
      <w:r>
        <w:fldChar w:fldCharType="begin"/>
      </w:r>
      <w:r>
        <w:instrText xml:space="preserve"> PAGEREF _Toc210129716 \h </w:instrText>
      </w:r>
      <w:r>
        <w:fldChar w:fldCharType="separate"/>
      </w:r>
      <w:r>
        <w:t>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Caveat to lapse unless proceedings taken within one month</w:t>
      </w:r>
      <w:r>
        <w:tab/>
      </w:r>
      <w:r>
        <w:fldChar w:fldCharType="begin"/>
      </w:r>
      <w:r>
        <w:instrText xml:space="preserve"> PAGEREF _Toc210129717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Judge may require production of title deeds in support of application to bring land under this Act</w:t>
      </w:r>
      <w:r>
        <w:tab/>
      </w:r>
      <w:r>
        <w:fldChar w:fldCharType="begin"/>
      </w:r>
      <w:r>
        <w:instrText xml:space="preserve"> PAGEREF _Toc210129718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Applicant may withdraw application</w:t>
      </w:r>
      <w:r>
        <w:tab/>
      </w:r>
      <w:r>
        <w:fldChar w:fldCharType="begin"/>
      </w:r>
      <w:r>
        <w:instrText xml:space="preserve"> PAGEREF _Toc210129719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Documents of title</w:t>
      </w:r>
      <w:r>
        <w:tab/>
      </w:r>
      <w:r>
        <w:fldChar w:fldCharType="begin"/>
      </w:r>
      <w:r>
        <w:instrText xml:space="preserve"> PAGEREF _Toc210129720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Subsisting lease to be endorsed and returned</w:t>
      </w:r>
      <w:r>
        <w:tab/>
      </w:r>
      <w:r>
        <w:fldChar w:fldCharType="begin"/>
      </w:r>
      <w:r>
        <w:instrText xml:space="preserve"> PAGEREF _Toc210129721 \h </w:instrText>
      </w:r>
      <w:r>
        <w:fldChar w:fldCharType="separate"/>
      </w:r>
      <w:r>
        <w:t>32</w:t>
      </w:r>
      <w:r>
        <w:fldChar w:fldCharType="end"/>
      </w:r>
    </w:p>
    <w:p>
      <w:pPr>
        <w:pStyle w:val="TOC8"/>
        <w:rPr>
          <w:rFonts w:asciiTheme="minorHAnsi" w:eastAsiaTheme="minorEastAsia" w:hAnsiTheme="minorHAnsi" w:cstheme="minorBidi"/>
          <w:szCs w:val="22"/>
        </w:rPr>
      </w:pPr>
      <w:r>
        <w:lastRenderedPageBreak/>
        <w:t>37</w:t>
      </w:r>
      <w:r>
        <w:rPr>
          <w:snapToGrid w:val="0"/>
        </w:rPr>
        <w:t>.</w:t>
      </w:r>
      <w:r>
        <w:rPr>
          <w:snapToGrid w:val="0"/>
        </w:rPr>
        <w:tab/>
        <w:t>Additional evidence to be scheduled</w:t>
      </w:r>
      <w:r>
        <w:tab/>
      </w:r>
      <w:r>
        <w:fldChar w:fldCharType="begin"/>
      </w:r>
      <w:r>
        <w:instrText xml:space="preserve"> PAGEREF _Toc210129722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Some certificates of title to issue in name of deceased person</w:t>
      </w:r>
      <w:r>
        <w:tab/>
      </w:r>
      <w:r>
        <w:fldChar w:fldCharType="begin"/>
      </w:r>
      <w:r>
        <w:instrText xml:space="preserve"> PAGEREF _Toc210129723 \h </w:instrText>
      </w:r>
      <w:r>
        <w:fldChar w:fldCharType="separate"/>
      </w:r>
      <w:r>
        <w:t>33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Registration of leaseholds</w:t>
      </w:r>
      <w:r>
        <w:tab/>
      </w:r>
      <w:r>
        <w:fldChar w:fldCharType="begin"/>
      </w:r>
      <w:r>
        <w:instrText xml:space="preserve"> PAGEREF _Toc210129724 \h </w:instrText>
      </w:r>
      <w:r>
        <w:fldChar w:fldCharType="separate"/>
      </w:r>
      <w:r>
        <w:t>33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Production of lease may be dispensed with on bringing land under this Act</w:t>
      </w:r>
      <w:r>
        <w:tab/>
      </w:r>
      <w:r>
        <w:fldChar w:fldCharType="begin"/>
      </w:r>
      <w:r>
        <w:instrText xml:space="preserve"> PAGEREF _Toc210129725 \h </w:instrText>
      </w:r>
      <w:r>
        <w:fldChar w:fldCharType="separate"/>
      </w:r>
      <w:r>
        <w:t>34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Certain memorials to be sufficient evidence of conveyances in fee</w:t>
      </w:r>
      <w:r>
        <w:tab/>
      </w:r>
      <w:r>
        <w:fldChar w:fldCharType="begin"/>
      </w:r>
      <w:r>
        <w:instrText xml:space="preserve"> PAGEREF _Toc210129726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Commissioner may direct Registrar to bring land under this Act</w:t>
      </w:r>
      <w:r>
        <w:tab/>
      </w:r>
      <w:r>
        <w:fldChar w:fldCharType="begin"/>
      </w:r>
      <w:r>
        <w:instrText xml:space="preserve"> PAGEREF _Toc210129727 \h </w:instrText>
      </w:r>
      <w:r>
        <w:fldChar w:fldCharType="separate"/>
      </w:r>
      <w:r>
        <w:t>34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Title to land sold under order or decree may be deemed sufficient</w:t>
      </w:r>
      <w:r>
        <w:tab/>
      </w:r>
      <w:r>
        <w:fldChar w:fldCharType="begin"/>
      </w:r>
      <w:r>
        <w:instrText xml:space="preserve"> PAGEREF _Toc210129728 \h </w:instrText>
      </w:r>
      <w:r>
        <w:fldChar w:fldCharType="separate"/>
      </w:r>
      <w:r>
        <w:t>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Formalities of order</w:t>
      </w:r>
      <w:r>
        <w:tab/>
      </w:r>
      <w:r>
        <w:fldChar w:fldCharType="begin"/>
      </w:r>
      <w:r>
        <w:instrText xml:space="preserve"> PAGEREF _Toc210129729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III — Certificates of titles and registration</w:t>
      </w:r>
    </w:p>
    <w:p>
      <w:pPr>
        <w:pStyle w:val="TOC8"/>
        <w:rPr>
          <w:rFonts w:asciiTheme="minorHAnsi" w:eastAsiaTheme="minorEastAsia" w:hAnsiTheme="minorHAnsi" w:cstheme="minorBidi"/>
          <w:szCs w:val="22"/>
        </w:rPr>
      </w:pPr>
      <w:r>
        <w:t>48</w:t>
      </w:r>
      <w:r>
        <w:rPr>
          <w:snapToGrid w:val="0"/>
        </w:rPr>
        <w:t>.</w:t>
      </w:r>
      <w:r>
        <w:rPr>
          <w:snapToGrid w:val="0"/>
        </w:rPr>
        <w:tab/>
        <w:t>Register</w:t>
      </w:r>
      <w:r>
        <w:tab/>
      </w:r>
      <w:r>
        <w:fldChar w:fldCharType="begin"/>
      </w:r>
      <w:r>
        <w:instrText xml:space="preserve"> PAGEREF _Toc210129731 \h </w:instrText>
      </w:r>
      <w:r>
        <w:fldChar w:fldCharType="separate"/>
      </w:r>
      <w:r>
        <w:t>36</w:t>
      </w:r>
      <w:r>
        <w:fldChar w:fldCharType="end"/>
      </w:r>
    </w:p>
    <w:p>
      <w:pPr>
        <w:pStyle w:val="TOC8"/>
        <w:rPr>
          <w:rFonts w:asciiTheme="minorHAnsi" w:eastAsiaTheme="minorEastAsia" w:hAnsiTheme="minorHAnsi" w:cstheme="minorBidi"/>
          <w:szCs w:val="22"/>
        </w:rPr>
      </w:pPr>
      <w:r>
        <w:rPr>
          <w:rFonts w:ascii="Times" w:hAnsi="Times"/>
        </w:rPr>
        <w:t>48A</w:t>
      </w:r>
      <w:r>
        <w:rPr>
          <w:rFonts w:ascii="Times" w:hAnsi="Times"/>
          <w:snapToGrid w:val="0"/>
        </w:rPr>
        <w:t>.</w:t>
      </w:r>
      <w:r>
        <w:rPr>
          <w:rFonts w:ascii="Times" w:hAnsi="Times"/>
          <w:snapToGrid w:val="0"/>
        </w:rPr>
        <w:tab/>
        <w:t>Certificates of title</w:t>
      </w:r>
      <w:r>
        <w:tab/>
      </w:r>
      <w:r>
        <w:fldChar w:fldCharType="begin"/>
      </w:r>
      <w:r>
        <w:instrText xml:space="preserve"> PAGEREF _Toc210129732 \h </w:instrText>
      </w:r>
      <w:r>
        <w:fldChar w:fldCharType="separate"/>
      </w:r>
      <w:r>
        <w:t>37</w:t>
      </w:r>
      <w:r>
        <w:fldChar w:fldCharType="end"/>
      </w:r>
    </w:p>
    <w:p>
      <w:pPr>
        <w:pStyle w:val="TOC8"/>
        <w:rPr>
          <w:rFonts w:asciiTheme="minorHAnsi" w:eastAsiaTheme="minorEastAsia" w:hAnsiTheme="minorHAnsi" w:cstheme="minorBidi"/>
          <w:szCs w:val="22"/>
        </w:rPr>
      </w:pPr>
      <w:r>
        <w:t>48B.</w:t>
      </w:r>
      <w:r>
        <w:tab/>
        <w:t>No duplicate certificate of title to be issued</w:t>
      </w:r>
      <w:r>
        <w:tab/>
      </w:r>
      <w:r>
        <w:fldChar w:fldCharType="begin"/>
      </w:r>
      <w:r>
        <w:instrText xml:space="preserve"> PAGEREF _Toc210129733 \h </w:instrText>
      </w:r>
      <w:r>
        <w:fldChar w:fldCharType="separate"/>
      </w:r>
      <w:r>
        <w:t>38</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Symbols</w:t>
      </w:r>
      <w:r>
        <w:tab/>
      </w:r>
      <w:r>
        <w:fldChar w:fldCharType="begin"/>
      </w:r>
      <w:r>
        <w:instrText xml:space="preserve"> PAGEREF _Toc210129734 \h </w:instrText>
      </w:r>
      <w:r>
        <w:fldChar w:fldCharType="separate"/>
      </w:r>
      <w:r>
        <w:t>38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One certificate may be created for lands not contiguous</w:t>
      </w:r>
      <w:r>
        <w:tab/>
      </w:r>
      <w:r>
        <w:fldChar w:fldCharType="begin"/>
      </w:r>
      <w:r>
        <w:instrText xml:space="preserve"> PAGEREF _Toc210129735 \h </w:instrText>
      </w:r>
      <w:r>
        <w:fldChar w:fldCharType="separate"/>
      </w:r>
      <w:r>
        <w:t>38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Area of land need not be mentioned in certificate</w:t>
      </w:r>
      <w:r>
        <w:tab/>
      </w:r>
      <w:r>
        <w:fldChar w:fldCharType="begin"/>
      </w:r>
      <w:r>
        <w:instrText xml:space="preserve"> PAGEREF _Toc210129736 \h </w:instrText>
      </w:r>
      <w:r>
        <w:fldChar w:fldCharType="separate"/>
      </w:r>
      <w:r>
        <w:t>39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Registration of certificates of title and instruments</w:t>
      </w:r>
      <w:r>
        <w:tab/>
      </w:r>
      <w:r>
        <w:fldChar w:fldCharType="begin"/>
      </w:r>
      <w:r>
        <w:instrText xml:space="preserve"> PAGEREF _Toc210129737 \h </w:instrText>
      </w:r>
      <w:r>
        <w:fldChar w:fldCharType="separate"/>
      </w:r>
      <w:r>
        <w:t>39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Priority of registration of instruments</w:t>
      </w:r>
      <w:r>
        <w:tab/>
      </w:r>
      <w:r>
        <w:fldChar w:fldCharType="begin"/>
      </w:r>
      <w:r>
        <w:instrText xml:space="preserve"> PAGEREF _Toc210129738 \h </w:instrText>
      </w:r>
      <w:r>
        <w:fldChar w:fldCharType="separate"/>
      </w:r>
      <w:r>
        <w:t>40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Incorporation of terms etc. of certain memoranda</w:t>
      </w:r>
      <w:r>
        <w:tab/>
      </w:r>
      <w:r>
        <w:fldChar w:fldCharType="begin"/>
      </w:r>
      <w:r>
        <w:instrText xml:space="preserve"> PAGEREF _Toc210129739 \h </w:instrText>
      </w:r>
      <w:r>
        <w:fldChar w:fldCharType="separate"/>
      </w:r>
      <w:r>
        <w:t>40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Trusts</w:t>
      </w:r>
      <w:r>
        <w:tab/>
      </w:r>
      <w:r>
        <w:fldChar w:fldCharType="begin"/>
      </w:r>
      <w:r>
        <w:instrText xml:space="preserve"> PAGEREF _Toc210129740 \h </w:instrText>
      </w:r>
      <w:r>
        <w:fldChar w:fldCharType="separate"/>
      </w:r>
      <w:r>
        <w:t>41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Memorandum to state certain particulars</w:t>
      </w:r>
      <w:r>
        <w:tab/>
      </w:r>
      <w:r>
        <w:fldChar w:fldCharType="begin"/>
      </w:r>
      <w:r>
        <w:instrText xml:space="preserve"> PAGEREF _Toc210129741 \h </w:instrText>
      </w:r>
      <w:r>
        <w:fldChar w:fldCharType="separate"/>
      </w:r>
      <w:r>
        <w:t>42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Instruments not effectual until registered</w:t>
      </w:r>
      <w:r>
        <w:tab/>
      </w:r>
      <w:r>
        <w:fldChar w:fldCharType="begin"/>
      </w:r>
      <w:r>
        <w:instrText xml:space="preserve"> PAGEREF _Toc210129742 \h </w:instrText>
      </w:r>
      <w:r>
        <w:fldChar w:fldCharType="separate"/>
      </w:r>
      <w:r>
        <w:t>42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Notations as to legal disability of proprietor</w:t>
      </w:r>
      <w:r>
        <w:tab/>
      </w:r>
      <w:r>
        <w:fldChar w:fldCharType="begin"/>
      </w:r>
      <w:r>
        <w:instrText xml:space="preserve"> PAGEREF _Toc210129743 \h </w:instrText>
      </w:r>
      <w:r>
        <w:fldChar w:fldCharType="separate"/>
      </w:r>
      <w:r>
        <w:t>42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Joint tenants and tenants in common</w:t>
      </w:r>
      <w:r>
        <w:tab/>
      </w:r>
      <w:r>
        <w:fldChar w:fldCharType="begin"/>
      </w:r>
      <w:r>
        <w:instrText xml:space="preserve"> PAGEREF _Toc210129744 \h </w:instrText>
      </w:r>
      <w:r>
        <w:fldChar w:fldCharType="separate"/>
      </w:r>
      <w:r>
        <w:t>43</w:t>
      </w:r>
      <w:r>
        <w:fldChar w:fldCharType="end"/>
      </w:r>
    </w:p>
    <w:p>
      <w:pPr>
        <w:pStyle w:val="TOC8"/>
        <w:rPr>
          <w:rFonts w:asciiTheme="minorHAnsi" w:eastAsiaTheme="minorEastAsia" w:hAnsiTheme="minorHAnsi" w:cstheme="minorBidi"/>
          <w:szCs w:val="22"/>
        </w:rPr>
      </w:pPr>
      <w:r>
        <w:t>61.</w:t>
      </w:r>
      <w:r>
        <w:tab/>
      </w:r>
      <w:r>
        <w:rPr>
          <w:snapToGrid w:val="0"/>
        </w:rPr>
        <w:t>Effect of insertion of words “no survivorship”</w:t>
      </w:r>
      <w:r>
        <w:tab/>
      </w:r>
      <w:r>
        <w:fldChar w:fldCharType="begin"/>
      </w:r>
      <w:r>
        <w:instrText xml:space="preserve"> PAGEREF _Toc210129745 \h </w:instrText>
      </w:r>
      <w:r>
        <w:fldChar w:fldCharType="separate"/>
      </w:r>
      <w:r>
        <w:t>43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to be published before effect given to order</w:t>
      </w:r>
      <w:r>
        <w:tab/>
      </w:r>
      <w:r>
        <w:fldChar w:fldCharType="begin"/>
      </w:r>
      <w:r>
        <w:instrText xml:space="preserve"> PAGEREF _Toc210129746 \h </w:instrText>
      </w:r>
      <w:r>
        <w:fldChar w:fldCharType="separate"/>
      </w:r>
      <w:r>
        <w:t>44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Certificate to be conclusive evidence of title</w:t>
      </w:r>
      <w:r>
        <w:tab/>
      </w:r>
      <w:r>
        <w:fldChar w:fldCharType="begin"/>
      </w:r>
      <w:r>
        <w:instrText xml:space="preserve"> PAGEREF _Toc210129747 \h </w:instrText>
      </w:r>
      <w:r>
        <w:fldChar w:fldCharType="separate"/>
      </w:r>
      <w:r>
        <w:t>44</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Certificates may contain statement of easements</w:t>
      </w:r>
      <w:r>
        <w:tab/>
      </w:r>
      <w:r>
        <w:fldChar w:fldCharType="begin"/>
      </w:r>
      <w:r>
        <w:instrText xml:space="preserve"> PAGEREF _Toc210129748 \h </w:instrText>
      </w:r>
      <w:r>
        <w:fldChar w:fldCharType="separate"/>
      </w:r>
      <w:r>
        <w:t>45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Certificate conclusive evidence as to title to easements</w:t>
      </w:r>
      <w:r>
        <w:tab/>
      </w:r>
      <w:r>
        <w:fldChar w:fldCharType="begin"/>
      </w:r>
      <w:r>
        <w:instrText xml:space="preserve"> PAGEREF _Toc210129749 \h </w:instrText>
      </w:r>
      <w:r>
        <w:fldChar w:fldCharType="separate"/>
      </w:r>
      <w:r>
        <w:t>46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Short forms etc. for easements, effect of</w:t>
      </w:r>
      <w:r>
        <w:tab/>
      </w:r>
      <w:r>
        <w:fldChar w:fldCharType="begin"/>
      </w:r>
      <w:r>
        <w:instrText xml:space="preserve"> PAGEREF _Toc210129750 \h </w:instrText>
      </w:r>
      <w:r>
        <w:fldChar w:fldCharType="separate"/>
      </w:r>
      <w:r>
        <w:t>46</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Memorandum of easement</w:t>
      </w:r>
      <w:r>
        <w:tab/>
      </w:r>
      <w:r>
        <w:fldChar w:fldCharType="begin"/>
      </w:r>
      <w:r>
        <w:instrText xml:space="preserve"> PAGEREF _Toc210129751 \h </w:instrText>
      </w:r>
      <w:r>
        <w:fldChar w:fldCharType="separate"/>
      </w:r>
      <w:r>
        <w:t>47</w:t>
      </w:r>
      <w:r>
        <w:fldChar w:fldCharType="end"/>
      </w:r>
    </w:p>
    <w:p>
      <w:pPr>
        <w:pStyle w:val="TOC8"/>
        <w:rPr>
          <w:rFonts w:asciiTheme="minorHAnsi" w:eastAsiaTheme="minorEastAsia" w:hAnsiTheme="minorHAnsi" w:cstheme="minorBidi"/>
          <w:szCs w:val="22"/>
        </w:rPr>
      </w:pPr>
      <w:r>
        <w:t>66A</w:t>
      </w:r>
      <w:r>
        <w:rPr>
          <w:snapToGrid w:val="0"/>
        </w:rPr>
        <w:t>.</w:t>
      </w:r>
      <w:r>
        <w:rPr>
          <w:snapToGrid w:val="0"/>
        </w:rPr>
        <w:tab/>
        <w:t>No separate certificate for easement</w:t>
      </w:r>
      <w:r>
        <w:tab/>
      </w:r>
      <w:r>
        <w:fldChar w:fldCharType="begin"/>
      </w:r>
      <w:r>
        <w:instrText xml:space="preserve"> PAGEREF _Toc210129752 \h </w:instrText>
      </w:r>
      <w:r>
        <w:fldChar w:fldCharType="separate"/>
      </w:r>
      <w:r>
        <w:t>47</w:t>
      </w:r>
      <w:r>
        <w:fldChar w:fldCharType="end"/>
      </w:r>
    </w:p>
    <w:p>
      <w:pPr>
        <w:pStyle w:val="TOC8"/>
        <w:rPr>
          <w:rFonts w:asciiTheme="minorHAnsi" w:eastAsiaTheme="minorEastAsia" w:hAnsiTheme="minorHAnsi" w:cstheme="minorBidi"/>
          <w:szCs w:val="22"/>
        </w:rPr>
      </w:pPr>
      <w:r>
        <w:lastRenderedPageBreak/>
        <w:t>67</w:t>
      </w:r>
      <w:r>
        <w:rPr>
          <w:snapToGrid w:val="0"/>
        </w:rPr>
        <w:t>.</w:t>
      </w:r>
      <w:r>
        <w:rPr>
          <w:snapToGrid w:val="0"/>
        </w:rPr>
        <w:tab/>
        <w:t>Certificate conclusive evidence in suit for specific performance or action for damages</w:t>
      </w:r>
      <w:r>
        <w:tab/>
      </w:r>
      <w:r>
        <w:fldChar w:fldCharType="begin"/>
      </w:r>
      <w:r>
        <w:instrText xml:space="preserve"> PAGEREF _Toc210129753 \h </w:instrText>
      </w:r>
      <w:r>
        <w:fldChar w:fldCharType="separate"/>
      </w:r>
      <w:r>
        <w:t>48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Estate of registered proprietor paramount</w:t>
      </w:r>
      <w:r>
        <w:tab/>
      </w:r>
      <w:r>
        <w:fldChar w:fldCharType="begin"/>
      </w:r>
      <w:r>
        <w:instrText xml:space="preserve"> PAGEREF _Toc210129754 \h </w:instrText>
      </w:r>
      <w:r>
        <w:fldChar w:fldCharType="separate"/>
      </w:r>
      <w:r>
        <w:t>48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Certain easements and conditions to be noted as encumbrances</w:t>
      </w:r>
      <w:r>
        <w:tab/>
      </w:r>
      <w:r>
        <w:fldChar w:fldCharType="begin"/>
      </w:r>
      <w:r>
        <w:instrText xml:space="preserve"> PAGEREF _Toc210129755 \h </w:instrText>
      </w:r>
      <w:r>
        <w:fldChar w:fldCharType="separate"/>
      </w:r>
      <w:r>
        <w:t>50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Reversions expectant on leases</w:t>
      </w:r>
      <w:r>
        <w:tab/>
      </w:r>
      <w:r>
        <w:fldChar w:fldCharType="begin"/>
      </w:r>
      <w:r>
        <w:instrText xml:space="preserve"> PAGEREF _Toc210129756 \h </w:instrText>
      </w:r>
      <w:r>
        <w:fldChar w:fldCharType="separate"/>
      </w:r>
      <w:r>
        <w:t>51</w:t>
      </w:r>
      <w:r>
        <w:fldChar w:fldCharType="end"/>
      </w:r>
    </w:p>
    <w:p>
      <w:pPr>
        <w:pStyle w:val="TOC8"/>
        <w:rPr>
          <w:rFonts w:asciiTheme="minorHAnsi" w:eastAsiaTheme="minorEastAsia" w:hAnsiTheme="minorHAnsi" w:cstheme="minorBidi"/>
          <w:szCs w:val="22"/>
        </w:rPr>
      </w:pPr>
      <w:r>
        <w:t>70A</w:t>
      </w:r>
      <w:r>
        <w:rPr>
          <w:snapToGrid w:val="0"/>
        </w:rPr>
        <w:t>.</w:t>
      </w:r>
      <w:r>
        <w:rPr>
          <w:snapToGrid w:val="0"/>
        </w:rPr>
        <w:tab/>
        <w:t>Factors affecting use and enjoyment of land, notification on title</w:t>
      </w:r>
      <w:r>
        <w:tab/>
      </w:r>
      <w:r>
        <w:fldChar w:fldCharType="begin"/>
      </w:r>
      <w:r>
        <w:instrText xml:space="preserve"> PAGEREF _Toc210129757 \h </w:instrText>
      </w:r>
      <w:r>
        <w:fldChar w:fldCharType="separate"/>
      </w:r>
      <w:r>
        <w:t>51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Single certificate may be created instead of separate ones</w:t>
      </w:r>
      <w:r>
        <w:tab/>
      </w:r>
      <w:r>
        <w:fldChar w:fldCharType="begin"/>
      </w:r>
      <w:r>
        <w:instrText xml:space="preserve"> PAGEREF _Toc210129758 \h </w:instrText>
      </w:r>
      <w:r>
        <w:fldChar w:fldCharType="separate"/>
      </w:r>
      <w:r>
        <w:t>52</w:t>
      </w:r>
      <w:r>
        <w:fldChar w:fldCharType="end"/>
      </w:r>
    </w:p>
    <w:p>
      <w:pPr>
        <w:pStyle w:val="TOC8"/>
        <w:rPr>
          <w:rFonts w:asciiTheme="minorHAnsi" w:eastAsiaTheme="minorEastAsia" w:hAnsiTheme="minorHAnsi" w:cstheme="minorBidi"/>
          <w:szCs w:val="22"/>
        </w:rPr>
      </w:pPr>
      <w:r>
        <w:t>71A</w:t>
      </w:r>
      <w:r>
        <w:rPr>
          <w:snapToGrid w:val="0"/>
        </w:rPr>
        <w:t>.</w:t>
      </w:r>
      <w:r>
        <w:rPr>
          <w:snapToGrid w:val="0"/>
        </w:rPr>
        <w:tab/>
        <w:t>Separate certificates may be created instead of single one</w:t>
      </w:r>
      <w:r>
        <w:tab/>
      </w:r>
      <w:r>
        <w:fldChar w:fldCharType="begin"/>
      </w:r>
      <w:r>
        <w:instrText xml:space="preserve"> PAGEREF _Toc210129759 \h </w:instrText>
      </w:r>
      <w:r>
        <w:fldChar w:fldCharType="separate"/>
      </w:r>
      <w:r>
        <w:t>53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History of dealings to be preserved</w:t>
      </w:r>
      <w:r>
        <w:tab/>
      </w:r>
      <w:r>
        <w:fldChar w:fldCharType="begin"/>
      </w:r>
      <w:r>
        <w:instrText xml:space="preserve"> PAGEREF _Toc210129760 \h </w:instrText>
      </w:r>
      <w:r>
        <w:fldChar w:fldCharType="separate"/>
      </w:r>
      <w:r>
        <w:t>53</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Substitute certificates of title</w:t>
      </w:r>
      <w:r>
        <w:tab/>
      </w:r>
      <w:r>
        <w:fldChar w:fldCharType="begin"/>
      </w:r>
      <w:r>
        <w:instrText xml:space="preserve"> PAGEREF _Toc210129761 \h </w:instrText>
      </w:r>
      <w:r>
        <w:fldChar w:fldCharType="separate"/>
      </w:r>
      <w:r>
        <w:t>54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Words of inheritance or succession to be implied</w:t>
      </w:r>
      <w:r>
        <w:tab/>
      </w:r>
      <w:r>
        <w:fldChar w:fldCharType="begin"/>
      </w:r>
      <w:r>
        <w:instrText xml:space="preserve"> PAGEREF _Toc210129762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IIIA — Crown leases</w:t>
      </w:r>
    </w:p>
    <w:p>
      <w:pPr>
        <w:pStyle w:val="TOC8"/>
        <w:rPr>
          <w:rFonts w:asciiTheme="minorHAnsi" w:eastAsiaTheme="minorEastAsia" w:hAnsiTheme="minorHAnsi" w:cstheme="minorBidi"/>
          <w:szCs w:val="22"/>
        </w:rPr>
      </w:pPr>
      <w:r>
        <w:t>81A</w:t>
      </w:r>
      <w:r>
        <w:rPr>
          <w:snapToGrid w:val="0"/>
        </w:rPr>
        <w:t>.</w:t>
      </w:r>
      <w:r>
        <w:rPr>
          <w:snapToGrid w:val="0"/>
        </w:rPr>
        <w:tab/>
        <w:t>Registration of Crown leases issued on or after 2 May 1910</w:t>
      </w:r>
      <w:r>
        <w:tab/>
      </w:r>
      <w:r>
        <w:fldChar w:fldCharType="begin"/>
      </w:r>
      <w:r>
        <w:instrText xml:space="preserve"> PAGEREF _Toc210129764 \h </w:instrText>
      </w:r>
      <w:r>
        <w:fldChar w:fldCharType="separate"/>
      </w:r>
      <w:r>
        <w:t>56</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Registration of Crown leases issued before 2 May 1910</w:t>
      </w:r>
      <w:r>
        <w:tab/>
      </w:r>
      <w:r>
        <w:fldChar w:fldCharType="begin"/>
      </w:r>
      <w:r>
        <w:instrText xml:space="preserve"> PAGEREF _Toc210129765 \h </w:instrText>
      </w:r>
      <w:r>
        <w:fldChar w:fldCharType="separate"/>
      </w:r>
      <w:r>
        <w:t>56</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Effect of registration</w:t>
      </w:r>
      <w:r>
        <w:tab/>
      </w:r>
      <w:r>
        <w:fldChar w:fldCharType="begin"/>
      </w:r>
      <w:r>
        <w:instrText xml:space="preserve"> PAGEREF _Toc210129766 \h </w:instrText>
      </w:r>
      <w:r>
        <w:fldChar w:fldCharType="separate"/>
      </w:r>
      <w:r>
        <w:t>58</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Registration of transfer etc.</w:t>
      </w:r>
      <w:r>
        <w:tab/>
      </w:r>
      <w:r>
        <w:fldChar w:fldCharType="begin"/>
      </w:r>
      <w:r>
        <w:instrText xml:space="preserve"> PAGEREF _Toc210129767 \h </w:instrText>
      </w:r>
      <w:r>
        <w:fldChar w:fldCharType="separate"/>
      </w:r>
      <w:r>
        <w:t>58</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No foreclosure without consent of Minister for Lands</w:t>
      </w:r>
      <w:r>
        <w:tab/>
      </w:r>
      <w:r>
        <w:fldChar w:fldCharType="begin"/>
      </w:r>
      <w:r>
        <w:instrText xml:space="preserve"> PAGEREF _Toc210129768 \h </w:instrText>
      </w:r>
      <w:r>
        <w:fldChar w:fldCharType="separate"/>
      </w:r>
      <w:r>
        <w:t>60</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Entry of forfeiture</w:t>
      </w:r>
      <w:r>
        <w:tab/>
      </w:r>
      <w:r>
        <w:fldChar w:fldCharType="begin"/>
      </w:r>
      <w:r>
        <w:instrText xml:space="preserve"> PAGEREF _Toc210129769 \h </w:instrText>
      </w:r>
      <w:r>
        <w:fldChar w:fldCharType="separate"/>
      </w:r>
      <w:r>
        <w:t>60</w:t>
      </w:r>
      <w:r>
        <w:fldChar w:fldCharType="end"/>
      </w:r>
    </w:p>
    <w:p>
      <w:pPr>
        <w:pStyle w:val="TOC8"/>
        <w:rPr>
          <w:rFonts w:asciiTheme="minorHAnsi" w:eastAsiaTheme="minorEastAsia" w:hAnsiTheme="minorHAnsi" w:cstheme="minorBidi"/>
          <w:szCs w:val="22"/>
        </w:rPr>
      </w:pPr>
      <w:r>
        <w:t>81G</w:t>
      </w:r>
      <w:r>
        <w:rPr>
          <w:snapToGrid w:val="0"/>
        </w:rPr>
        <w:t>.</w:t>
      </w:r>
      <w:r>
        <w:rPr>
          <w:snapToGrid w:val="0"/>
        </w:rPr>
        <w:tab/>
        <w:t>Crown lessee to be deemed of full age</w:t>
      </w:r>
      <w:r>
        <w:tab/>
      </w:r>
      <w:r>
        <w:fldChar w:fldCharType="begin"/>
      </w:r>
      <w:r>
        <w:instrText xml:space="preserve"> PAGEREF _Toc210129770 \h </w:instrText>
      </w:r>
      <w:r>
        <w:fldChar w:fldCharType="separate"/>
      </w:r>
      <w:r>
        <w:t>60</w:t>
      </w:r>
      <w:r>
        <w:fldChar w:fldCharType="end"/>
      </w:r>
    </w:p>
    <w:p>
      <w:pPr>
        <w:pStyle w:val="TOC8"/>
        <w:rPr>
          <w:rFonts w:asciiTheme="minorHAnsi" w:eastAsiaTheme="minorEastAsia" w:hAnsiTheme="minorHAnsi" w:cstheme="minorBidi"/>
          <w:szCs w:val="22"/>
        </w:rPr>
      </w:pPr>
      <w: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r>
        <w:tab/>
      </w:r>
      <w:r>
        <w:fldChar w:fldCharType="begin"/>
      </w:r>
      <w:r>
        <w:instrText xml:space="preserve"> PAGEREF _Toc210129771 \h </w:instrText>
      </w:r>
      <w:r>
        <w:fldChar w:fldCharType="separate"/>
      </w:r>
      <w:r>
        <w:t>61</w:t>
      </w:r>
      <w:r>
        <w:fldChar w:fldCharType="end"/>
      </w:r>
    </w:p>
    <w:p>
      <w:pPr>
        <w:pStyle w:val="TOC8"/>
        <w:rPr>
          <w:rFonts w:asciiTheme="minorHAnsi" w:eastAsiaTheme="minorEastAsia" w:hAnsiTheme="minorHAnsi" w:cstheme="minorBidi"/>
          <w:szCs w:val="22"/>
        </w:rPr>
      </w:pPr>
      <w:r>
        <w:t>81I</w:t>
      </w:r>
      <w:r>
        <w:rPr>
          <w:snapToGrid w:val="0"/>
        </w:rPr>
        <w:t>.</w:t>
      </w:r>
      <w:r>
        <w:rPr>
          <w:snapToGrid w:val="0"/>
        </w:rPr>
        <w:tab/>
        <w:t>Mortgage of Crown lease to be transferred to Crown grant</w:t>
      </w:r>
      <w:r>
        <w:tab/>
      </w:r>
      <w:r>
        <w:fldChar w:fldCharType="begin"/>
      </w:r>
      <w:r>
        <w:instrText xml:space="preserve"> PAGEREF _Toc210129772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IIIB — Registration and recording in relation to Crown land</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81J.</w:t>
      </w:r>
      <w:r>
        <w:tab/>
        <w:t>Application of this Part</w:t>
      </w:r>
      <w:r>
        <w:tab/>
      </w:r>
      <w:r>
        <w:fldChar w:fldCharType="begin"/>
      </w:r>
      <w:r>
        <w:instrText xml:space="preserve"> PAGEREF _Toc210129775 \h </w:instrText>
      </w:r>
      <w:r>
        <w:fldChar w:fldCharType="separate"/>
      </w:r>
      <w:r>
        <w:t>63</w:t>
      </w:r>
      <w:r>
        <w:fldChar w:fldCharType="end"/>
      </w:r>
    </w:p>
    <w:p>
      <w:pPr>
        <w:pStyle w:val="TOC8"/>
        <w:rPr>
          <w:rFonts w:asciiTheme="minorHAnsi" w:eastAsiaTheme="minorEastAsia" w:hAnsiTheme="minorHAnsi" w:cstheme="minorBidi"/>
          <w:szCs w:val="22"/>
        </w:rPr>
      </w:pPr>
      <w:r>
        <w:t>81K.</w:t>
      </w:r>
      <w:r>
        <w:tab/>
        <w:t>Terms used</w:t>
      </w:r>
      <w:r>
        <w:tab/>
      </w:r>
      <w:r>
        <w:fldChar w:fldCharType="begin"/>
      </w:r>
      <w:r>
        <w:instrText xml:space="preserve"> PAGEREF _Toc210129776 \h </w:instrText>
      </w:r>
      <w:r>
        <w:fldChar w:fldCharType="separate"/>
      </w:r>
      <w:r>
        <w:t>63</w:t>
      </w:r>
      <w:r>
        <w:fldChar w:fldCharType="end"/>
      </w:r>
    </w:p>
    <w:p>
      <w:pPr>
        <w:pStyle w:val="TOC8"/>
        <w:rPr>
          <w:rFonts w:asciiTheme="minorHAnsi" w:eastAsiaTheme="minorEastAsia" w:hAnsiTheme="minorHAnsi" w:cstheme="minorBidi"/>
          <w:szCs w:val="22"/>
        </w:rPr>
      </w:pPr>
      <w:r>
        <w:lastRenderedPageBreak/>
        <w:t>81L.</w:t>
      </w:r>
      <w:r>
        <w:tab/>
        <w:t>Creation and registration of certificates of Crown land title and qualified certificates of Crown land title</w:t>
      </w:r>
      <w:r>
        <w:tab/>
      </w:r>
      <w:r>
        <w:fldChar w:fldCharType="begin"/>
      </w:r>
      <w:r>
        <w:instrText xml:space="preserve"> PAGEREF _Toc210129777 \h </w:instrText>
      </w:r>
      <w:r>
        <w:fldChar w:fldCharType="separate"/>
      </w:r>
      <w:r>
        <w:t>63</w:t>
      </w:r>
      <w:r>
        <w:fldChar w:fldCharType="end"/>
      </w:r>
    </w:p>
    <w:p>
      <w:pPr>
        <w:pStyle w:val="TOC8"/>
        <w:rPr>
          <w:rFonts w:asciiTheme="minorHAnsi" w:eastAsiaTheme="minorEastAsia" w:hAnsiTheme="minorHAnsi" w:cstheme="minorBidi"/>
          <w:szCs w:val="22"/>
        </w:rPr>
      </w:pPr>
      <w:r>
        <w:t>81M.</w:t>
      </w:r>
      <w:r>
        <w:tab/>
        <w:t>Lodging etc. of management orders</w:t>
      </w:r>
      <w:r>
        <w:tab/>
      </w:r>
      <w:r>
        <w:fldChar w:fldCharType="begin"/>
      </w:r>
      <w:r>
        <w:instrText xml:space="preserve"> PAGEREF _Toc210129778 \h </w:instrText>
      </w:r>
      <w:r>
        <w:fldChar w:fldCharType="separate"/>
      </w:r>
      <w:r>
        <w:t>64</w:t>
      </w:r>
      <w:r>
        <w:fldChar w:fldCharType="end"/>
      </w:r>
    </w:p>
    <w:p>
      <w:pPr>
        <w:pStyle w:val="TOC8"/>
        <w:rPr>
          <w:rFonts w:asciiTheme="minorHAnsi" w:eastAsiaTheme="minorEastAsia" w:hAnsiTheme="minorHAnsi" w:cstheme="minorBidi"/>
          <w:szCs w:val="22"/>
        </w:rPr>
      </w:pPr>
      <w:r>
        <w:t>81N.</w:t>
      </w:r>
      <w:r>
        <w:tab/>
        <w:t>Crown surveys</w:t>
      </w:r>
      <w:r>
        <w:tab/>
      </w:r>
      <w:r>
        <w:fldChar w:fldCharType="begin"/>
      </w:r>
      <w:r>
        <w:instrText xml:space="preserve"> PAGEREF _Toc210129779 \h </w:instrText>
      </w:r>
      <w:r>
        <w:fldChar w:fldCharType="separate"/>
      </w:r>
      <w:r>
        <w:t>64</w:t>
      </w:r>
      <w:r>
        <w:fldChar w:fldCharType="end"/>
      </w:r>
    </w:p>
    <w:p>
      <w:pPr>
        <w:pStyle w:val="TOC8"/>
        <w:rPr>
          <w:rFonts w:asciiTheme="minorHAnsi" w:eastAsiaTheme="minorEastAsia" w:hAnsiTheme="minorHAnsi" w:cstheme="minorBidi"/>
          <w:szCs w:val="22"/>
        </w:rPr>
      </w:pPr>
      <w:r>
        <w:t>81O.</w:t>
      </w:r>
      <w:r>
        <w:tab/>
        <w:t>No duplicate certificates of Crown land title or duplicate qualified certificates of Crown land title to be issued</w:t>
      </w:r>
      <w:r>
        <w:tab/>
      </w:r>
      <w:r>
        <w:fldChar w:fldCharType="begin"/>
      </w:r>
      <w:r>
        <w:instrText xml:space="preserve"> PAGEREF _Toc210129780 \h </w:instrText>
      </w:r>
      <w:r>
        <w:fldChar w:fldCharType="separate"/>
      </w:r>
      <w:r>
        <w:t>64</w:t>
      </w:r>
      <w:r>
        <w:fldChar w:fldCharType="end"/>
      </w:r>
    </w:p>
    <w:p>
      <w:pPr>
        <w:pStyle w:val="TOC8"/>
        <w:rPr>
          <w:rFonts w:asciiTheme="minorHAnsi" w:eastAsiaTheme="minorEastAsia" w:hAnsiTheme="minorHAnsi" w:cstheme="minorBidi"/>
          <w:szCs w:val="22"/>
        </w:rPr>
      </w:pPr>
      <w:r>
        <w:t>81P.</w:t>
      </w:r>
      <w:r>
        <w:tab/>
        <w:t>Endorsements on certificates of Crown land title and qualified certificates of Crown land title</w:t>
      </w:r>
      <w:r>
        <w:tab/>
      </w:r>
      <w:r>
        <w:fldChar w:fldCharType="begin"/>
      </w:r>
      <w:r>
        <w:instrText xml:space="preserve"> PAGEREF _Toc210129781 \h </w:instrText>
      </w:r>
      <w:r>
        <w:fldChar w:fldCharType="separate"/>
      </w:r>
      <w:r>
        <w:t>64</w:t>
      </w:r>
      <w:r>
        <w:fldChar w:fldCharType="end"/>
      </w:r>
    </w:p>
    <w:p>
      <w:pPr>
        <w:pStyle w:val="TOC8"/>
        <w:rPr>
          <w:rFonts w:asciiTheme="minorHAnsi" w:eastAsiaTheme="minorEastAsia" w:hAnsiTheme="minorHAnsi" w:cstheme="minorBidi"/>
          <w:szCs w:val="22"/>
        </w:rPr>
      </w:pPr>
      <w:r>
        <w:t>81Q.</w:t>
      </w:r>
      <w:r>
        <w:tab/>
        <w:t>Leases and subleases of Crown land, registration of</w:t>
      </w:r>
      <w:r>
        <w:tab/>
      </w:r>
      <w:r>
        <w:fldChar w:fldCharType="begin"/>
      </w:r>
      <w:r>
        <w:instrText xml:space="preserve"> PAGEREF _Toc210129782 \h </w:instrText>
      </w:r>
      <w:r>
        <w:fldChar w:fldCharType="separate"/>
      </w:r>
      <w:r>
        <w:t>65</w:t>
      </w:r>
      <w:r>
        <w:fldChar w:fldCharType="end"/>
      </w:r>
    </w:p>
    <w:p>
      <w:pPr>
        <w:pStyle w:val="TOC8"/>
        <w:rPr>
          <w:rFonts w:asciiTheme="minorHAnsi" w:eastAsiaTheme="minorEastAsia" w:hAnsiTheme="minorHAnsi" w:cstheme="minorBidi"/>
          <w:szCs w:val="22"/>
        </w:rPr>
      </w:pPr>
      <w:r>
        <w:t>81R.</w:t>
      </w:r>
      <w:r>
        <w:tab/>
        <w:t>Profits à prendre, registration of</w:t>
      </w:r>
      <w:r>
        <w:tab/>
      </w:r>
      <w:r>
        <w:fldChar w:fldCharType="begin"/>
      </w:r>
      <w:r>
        <w:instrText xml:space="preserve"> PAGEREF _Toc210129783 \h </w:instrText>
      </w:r>
      <w:r>
        <w:fldChar w:fldCharType="separate"/>
      </w:r>
      <w:r>
        <w:t>66</w:t>
      </w:r>
      <w:r>
        <w:fldChar w:fldCharType="end"/>
      </w:r>
    </w:p>
    <w:p>
      <w:pPr>
        <w:pStyle w:val="TOC8"/>
        <w:rPr>
          <w:rFonts w:asciiTheme="minorHAnsi" w:eastAsiaTheme="minorEastAsia" w:hAnsiTheme="minorHAnsi" w:cstheme="minorBidi"/>
          <w:szCs w:val="22"/>
        </w:rPr>
      </w:pPr>
      <w:r>
        <w:t>81RA.</w:t>
      </w:r>
      <w:r>
        <w:tab/>
        <w:t>Other encumbrances in respect of fee simple in Crown land</w:t>
      </w:r>
      <w:r>
        <w:tab/>
      </w:r>
      <w:r>
        <w:fldChar w:fldCharType="begin"/>
      </w:r>
      <w:r>
        <w:instrText xml:space="preserve"> PAGEREF _Toc210129784 \h </w:instrText>
      </w:r>
      <w:r>
        <w:fldChar w:fldCharType="separate"/>
      </w:r>
      <w:r>
        <w:t>66</w:t>
      </w:r>
      <w:r>
        <w:fldChar w:fldCharType="end"/>
      </w:r>
    </w:p>
    <w:p>
      <w:pPr>
        <w:pStyle w:val="TOC8"/>
        <w:rPr>
          <w:rFonts w:asciiTheme="minorHAnsi" w:eastAsiaTheme="minorEastAsia" w:hAnsiTheme="minorHAnsi" w:cstheme="minorBidi"/>
          <w:szCs w:val="22"/>
        </w:rPr>
      </w:pPr>
      <w:r>
        <w:t>81S.</w:t>
      </w:r>
      <w:r>
        <w:tab/>
        <w:t>Prerequisites to registering dealings as to Crown land</w:t>
      </w:r>
      <w:r>
        <w:tab/>
      </w:r>
      <w:r>
        <w:fldChar w:fldCharType="begin"/>
      </w:r>
      <w:r>
        <w:instrText xml:space="preserve"> PAGEREF _Toc210129785 \h </w:instrText>
      </w:r>
      <w:r>
        <w:fldChar w:fldCharType="separate"/>
      </w:r>
      <w:r>
        <w:t>67</w:t>
      </w:r>
      <w:r>
        <w:fldChar w:fldCharType="end"/>
      </w:r>
    </w:p>
    <w:p>
      <w:pPr>
        <w:pStyle w:val="TOC8"/>
        <w:rPr>
          <w:rFonts w:asciiTheme="minorHAnsi" w:eastAsiaTheme="minorEastAsia" w:hAnsiTheme="minorHAnsi" w:cstheme="minorBidi"/>
          <w:szCs w:val="22"/>
        </w:rPr>
      </w:pPr>
      <w:r>
        <w:t>81T.</w:t>
      </w:r>
      <w:r>
        <w:tab/>
        <w:t>Registered proprietors etc. protected against ejectment except in certain cases</w:t>
      </w:r>
      <w:r>
        <w:tab/>
      </w:r>
      <w:r>
        <w:fldChar w:fldCharType="begin"/>
      </w:r>
      <w:r>
        <w:instrText xml:space="preserve"> PAGEREF _Toc210129786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Transitional</w:t>
      </w:r>
    </w:p>
    <w:p>
      <w:pPr>
        <w:pStyle w:val="TOC8"/>
        <w:rPr>
          <w:rFonts w:asciiTheme="minorHAnsi" w:eastAsiaTheme="minorEastAsia" w:hAnsiTheme="minorHAnsi" w:cstheme="minorBidi"/>
          <w:szCs w:val="22"/>
        </w:rPr>
      </w:pPr>
      <w:r>
        <w:t>81U.</w:t>
      </w:r>
      <w:r>
        <w:tab/>
        <w:t>Registrar may accept for registration signed and stamped duplicate original documents</w:t>
      </w:r>
      <w:r>
        <w:tab/>
      </w:r>
      <w:r>
        <w:fldChar w:fldCharType="begin"/>
      </w:r>
      <w:r>
        <w:instrText xml:space="preserve"> PAGEREF _Toc210129788 \h </w:instrText>
      </w:r>
      <w:r>
        <w:fldChar w:fldCharType="separate"/>
      </w:r>
      <w:r>
        <w:t>70</w:t>
      </w:r>
      <w:r>
        <w:fldChar w:fldCharType="end"/>
      </w:r>
    </w:p>
    <w:p>
      <w:pPr>
        <w:pStyle w:val="TOC8"/>
        <w:rPr>
          <w:rFonts w:asciiTheme="minorHAnsi" w:eastAsiaTheme="minorEastAsia" w:hAnsiTheme="minorHAnsi" w:cstheme="minorBidi"/>
          <w:szCs w:val="22"/>
        </w:rPr>
      </w:pPr>
      <w:r>
        <w:t>81V.</w:t>
      </w:r>
      <w:r>
        <w:tab/>
        <w:t>Minister for Lands may apply for cancellation, creation etc. of certificates of Crown land title etc.</w:t>
      </w:r>
      <w:r>
        <w:tab/>
      </w:r>
      <w:r>
        <w:fldChar w:fldCharType="begin"/>
      </w:r>
      <w:r>
        <w:instrText xml:space="preserve"> PAGEREF _Toc210129789 \h </w:instrText>
      </w:r>
      <w:r>
        <w:fldChar w:fldCharType="separate"/>
      </w:r>
      <w:r>
        <w:t>70</w:t>
      </w:r>
      <w:r>
        <w:fldChar w:fldCharType="end"/>
      </w:r>
    </w:p>
    <w:p>
      <w:pPr>
        <w:pStyle w:val="TOC8"/>
        <w:rPr>
          <w:rFonts w:asciiTheme="minorHAnsi" w:eastAsiaTheme="minorEastAsia" w:hAnsiTheme="minorHAnsi" w:cstheme="minorBidi"/>
          <w:szCs w:val="22"/>
        </w:rPr>
      </w:pPr>
      <w:r>
        <w:t>81W.</w:t>
      </w:r>
      <w:r>
        <w:tab/>
        <w:t>Procedure when applications referred to Commissioner</w:t>
      </w:r>
      <w:r>
        <w:tab/>
      </w:r>
      <w:r>
        <w:fldChar w:fldCharType="begin"/>
      </w:r>
      <w:r>
        <w:instrText xml:space="preserve"> PAGEREF _Toc210129790 \h </w:instrText>
      </w:r>
      <w:r>
        <w:fldChar w:fldCharType="separate"/>
      </w:r>
      <w:r>
        <w:t>71</w:t>
      </w:r>
      <w:r>
        <w:fldChar w:fldCharType="end"/>
      </w:r>
    </w:p>
    <w:p>
      <w:pPr>
        <w:pStyle w:val="TOC8"/>
        <w:rPr>
          <w:rFonts w:asciiTheme="minorHAnsi" w:eastAsiaTheme="minorEastAsia" w:hAnsiTheme="minorHAnsi" w:cstheme="minorBidi"/>
          <w:szCs w:val="22"/>
        </w:rPr>
      </w:pPr>
      <w:r>
        <w:t>81X.</w:t>
      </w:r>
      <w:r>
        <w:tab/>
        <w:t>Procedure on lodging of caveat under s. 81W(6)</w:t>
      </w:r>
      <w:r>
        <w:tab/>
      </w:r>
      <w:r>
        <w:fldChar w:fldCharType="begin"/>
      </w:r>
      <w:r>
        <w:instrText xml:space="preserve"> PAGEREF _Toc210129791 \h </w:instrText>
      </w:r>
      <w:r>
        <w:fldChar w:fldCharType="separate"/>
      </w:r>
      <w:r>
        <w:t>75</w:t>
      </w:r>
      <w:r>
        <w:fldChar w:fldCharType="end"/>
      </w:r>
    </w:p>
    <w:p>
      <w:pPr>
        <w:pStyle w:val="TOC8"/>
        <w:rPr>
          <w:rFonts w:asciiTheme="minorHAnsi" w:eastAsiaTheme="minorEastAsia" w:hAnsiTheme="minorHAnsi" w:cstheme="minorBidi"/>
          <w:szCs w:val="22"/>
        </w:rPr>
      </w:pPr>
      <w:r>
        <w:t>81Y.</w:t>
      </w:r>
      <w:r>
        <w:tab/>
        <w:t>Registrar’s duties when applications made under s. 81V(1)(a) granted</w:t>
      </w:r>
      <w:r>
        <w:tab/>
      </w:r>
      <w:r>
        <w:fldChar w:fldCharType="begin"/>
      </w:r>
      <w:r>
        <w:instrText xml:space="preserve"> PAGEREF _Toc210129792 \h </w:instrText>
      </w:r>
      <w:r>
        <w:fldChar w:fldCharType="separate"/>
      </w:r>
      <w:r>
        <w:t>76</w:t>
      </w:r>
      <w:r>
        <w:fldChar w:fldCharType="end"/>
      </w:r>
    </w:p>
    <w:p>
      <w:pPr>
        <w:pStyle w:val="TOC8"/>
        <w:rPr>
          <w:rFonts w:asciiTheme="minorHAnsi" w:eastAsiaTheme="minorEastAsia" w:hAnsiTheme="minorHAnsi" w:cstheme="minorBidi"/>
          <w:szCs w:val="22"/>
        </w:rPr>
      </w:pPr>
      <w:r>
        <w:t>81Z.</w:t>
      </w:r>
      <w:r>
        <w:tab/>
        <w:t>Registrar’s duties when applications made under s. 81V(1)(b) granted</w:t>
      </w:r>
      <w:r>
        <w:tab/>
      </w:r>
      <w:r>
        <w:fldChar w:fldCharType="begin"/>
      </w:r>
      <w:r>
        <w:instrText xml:space="preserve"> PAGEREF _Toc210129793 \h </w:instrText>
      </w:r>
      <w:r>
        <w:fldChar w:fldCharType="separate"/>
      </w:r>
      <w:r>
        <w:t>76</w:t>
      </w:r>
      <w:r>
        <w:fldChar w:fldCharType="end"/>
      </w:r>
    </w:p>
    <w:p>
      <w:pPr>
        <w:pStyle w:val="TOC8"/>
        <w:rPr>
          <w:rFonts w:asciiTheme="minorHAnsi" w:eastAsiaTheme="minorEastAsia" w:hAnsiTheme="minorHAnsi" w:cstheme="minorBidi"/>
          <w:szCs w:val="22"/>
        </w:rPr>
      </w:pPr>
      <w:r>
        <w:t>81ZA.</w:t>
      </w:r>
      <w:r>
        <w:tab/>
        <w:t>Procedure for registering interests for which no certificate of Crown land title or qualified certificate of Crown land title exists</w:t>
      </w:r>
      <w:r>
        <w:tab/>
      </w:r>
      <w:r>
        <w:fldChar w:fldCharType="begin"/>
      </w:r>
      <w:r>
        <w:instrText xml:space="preserve"> PAGEREF _Toc210129794 \h </w:instrText>
      </w:r>
      <w:r>
        <w:fldChar w:fldCharType="separate"/>
      </w:r>
      <w:r>
        <w:t>77</w:t>
      </w:r>
      <w:r>
        <w:fldChar w:fldCharType="end"/>
      </w:r>
    </w:p>
    <w:p>
      <w:pPr>
        <w:pStyle w:val="TOC8"/>
        <w:rPr>
          <w:rFonts w:asciiTheme="minorHAnsi" w:eastAsiaTheme="minorEastAsia" w:hAnsiTheme="minorHAnsi" w:cstheme="minorBidi"/>
          <w:szCs w:val="22"/>
        </w:rPr>
      </w:pPr>
      <w:r>
        <w:t>81ZB.</w:t>
      </w:r>
      <w:r>
        <w:tab/>
        <w:t>Qualified certificates of Crown land title, general matters</w:t>
      </w:r>
      <w:r>
        <w:tab/>
      </w:r>
      <w:r>
        <w:fldChar w:fldCharType="begin"/>
      </w:r>
      <w:r>
        <w:instrText xml:space="preserve"> PAGEREF _Toc210129795 \h </w:instrText>
      </w:r>
      <w:r>
        <w:fldChar w:fldCharType="separate"/>
      </w:r>
      <w:r>
        <w:t>78</w:t>
      </w:r>
      <w:r>
        <w:fldChar w:fldCharType="end"/>
      </w:r>
    </w:p>
    <w:p>
      <w:pPr>
        <w:pStyle w:val="TOC8"/>
        <w:rPr>
          <w:rFonts w:asciiTheme="minorHAnsi" w:eastAsiaTheme="minorEastAsia" w:hAnsiTheme="minorHAnsi" w:cstheme="minorBidi"/>
          <w:szCs w:val="22"/>
        </w:rPr>
      </w:pPr>
      <w:r>
        <w:t>81ZC.</w:t>
      </w:r>
      <w:r>
        <w:tab/>
        <w:t>Interests in Crown land not registered within transitional period void as against registered interests in Crown land etc.</w:t>
      </w:r>
      <w:r>
        <w:tab/>
      </w:r>
      <w:r>
        <w:fldChar w:fldCharType="begin"/>
      </w:r>
      <w:r>
        <w:instrText xml:space="preserve"> PAGEREF _Toc210129796 \h </w:instrText>
      </w:r>
      <w:r>
        <w:fldChar w:fldCharType="separate"/>
      </w:r>
      <w:r>
        <w:t>79</w:t>
      </w:r>
      <w:r>
        <w:fldChar w:fldCharType="end"/>
      </w:r>
    </w:p>
    <w:p>
      <w:pPr>
        <w:pStyle w:val="TOC8"/>
        <w:rPr>
          <w:rFonts w:asciiTheme="minorHAnsi" w:eastAsiaTheme="minorEastAsia" w:hAnsiTheme="minorHAnsi" w:cstheme="minorBidi"/>
          <w:szCs w:val="22"/>
        </w:rPr>
      </w:pPr>
      <w:r>
        <w:t>81ZD.</w:t>
      </w:r>
      <w:r>
        <w:tab/>
        <w:t>Registrar may convert Crown leases into leases registered under s. 81Q</w:t>
      </w:r>
      <w:r>
        <w:tab/>
      </w:r>
      <w:r>
        <w:fldChar w:fldCharType="begin"/>
      </w:r>
      <w:r>
        <w:instrText xml:space="preserve"> PAGEREF _Toc210129797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Dealings with land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Transfers</w:t>
      </w:r>
      <w:r>
        <w:tab/>
      </w:r>
      <w:r>
        <w:fldChar w:fldCharType="begin"/>
      </w:r>
      <w:r>
        <w:instrText xml:space="preserve"> PAGEREF _Toc210129800 \h </w:instrText>
      </w:r>
      <w:r>
        <w:fldChar w:fldCharType="separate"/>
      </w:r>
      <w:r>
        <w:t>81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Transfer to include right to sue thereunder</w:t>
      </w:r>
      <w:r>
        <w:tab/>
      </w:r>
      <w:r>
        <w:fldChar w:fldCharType="begin"/>
      </w:r>
      <w:r>
        <w:instrText xml:space="preserve"> PAGEREF _Toc210129801 \h </w:instrText>
      </w:r>
      <w:r>
        <w:fldChar w:fldCharType="separate"/>
      </w:r>
      <w:r>
        <w:t>81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Transfers may be to proprietor and others jointly etc.</w:t>
      </w:r>
      <w:r>
        <w:tab/>
      </w:r>
      <w:r>
        <w:fldChar w:fldCharType="begin"/>
      </w:r>
      <w:r>
        <w:instrText xml:space="preserve"> PAGEREF _Toc210129802 \h </w:instrText>
      </w:r>
      <w:r>
        <w:fldChar w:fldCharType="separate"/>
      </w:r>
      <w:r>
        <w:t>82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Signed and registered instruments have efficacy of deeds</w:t>
      </w:r>
      <w:r>
        <w:tab/>
      </w:r>
      <w:r>
        <w:fldChar w:fldCharType="begin"/>
      </w:r>
      <w:r>
        <w:instrText xml:space="preserve"> PAGEREF _Toc210129803 \h </w:instrText>
      </w:r>
      <w:r>
        <w:fldChar w:fldCharType="separate"/>
      </w:r>
      <w:r>
        <w:t>82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Registration of transfer</w:t>
      </w:r>
      <w:r>
        <w:tab/>
      </w:r>
      <w:r>
        <w:fldChar w:fldCharType="begin"/>
      </w:r>
      <w:r>
        <w:instrText xml:space="preserve"> PAGEREF _Toc210129804 \h </w:instrText>
      </w:r>
      <w:r>
        <w:fldChar w:fldCharType="separate"/>
      </w:r>
      <w:r>
        <w:t>83</w:t>
      </w:r>
      <w:r>
        <w:fldChar w:fldCharType="end"/>
      </w:r>
    </w:p>
    <w:p>
      <w:pPr>
        <w:pStyle w:val="TOC8"/>
        <w:rPr>
          <w:rFonts w:asciiTheme="minorHAnsi" w:eastAsiaTheme="minorEastAsia" w:hAnsiTheme="minorHAnsi" w:cstheme="minorBidi"/>
          <w:szCs w:val="22"/>
        </w:rPr>
      </w:pPr>
      <w:r>
        <w:t>87.</w:t>
      </w:r>
      <w:r>
        <w:tab/>
        <w:t>Total transfer by endorsement on paper title or by entering transferee’s name on digital title</w:t>
      </w:r>
      <w:r>
        <w:tab/>
      </w:r>
      <w:r>
        <w:fldChar w:fldCharType="begin"/>
      </w:r>
      <w:r>
        <w:instrText xml:space="preserve"> PAGEREF _Toc210129805 \h </w:instrText>
      </w:r>
      <w:r>
        <w:fldChar w:fldCharType="separate"/>
      </w:r>
      <w:r>
        <w:t>83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Transferee of encumbered land to indemnify transferor</w:t>
      </w:r>
      <w:r>
        <w:tab/>
      </w:r>
      <w:r>
        <w:fldChar w:fldCharType="begin"/>
      </w:r>
      <w:r>
        <w:instrText xml:space="preserve"> PAGEREF _Toc210129806 \h </w:instrText>
      </w:r>
      <w:r>
        <w:fldChar w:fldCharType="separate"/>
      </w:r>
      <w:r>
        <w:t>84</w:t>
      </w:r>
      <w:r>
        <w:fldChar w:fldCharType="end"/>
      </w:r>
    </w:p>
    <w:p>
      <w:pPr>
        <w:pStyle w:val="TOC8"/>
        <w:rPr>
          <w:rFonts w:asciiTheme="minorHAnsi" w:eastAsiaTheme="minorEastAsia" w:hAnsiTheme="minorHAnsi" w:cstheme="minorBidi"/>
          <w:szCs w:val="22"/>
        </w:rPr>
      </w:pPr>
      <w:r>
        <w:t>88A</w:t>
      </w:r>
      <w:r>
        <w:rPr>
          <w:snapToGrid w:val="0"/>
        </w:rPr>
        <w:t>.</w:t>
      </w:r>
      <w:r>
        <w:rPr>
          <w:snapToGrid w:val="0"/>
        </w:rPr>
        <w:tab/>
        <w:t>Memorial of easements to be registered</w:t>
      </w:r>
      <w:r>
        <w:tab/>
      </w:r>
      <w:r>
        <w:fldChar w:fldCharType="begin"/>
      </w:r>
      <w:r>
        <w:instrText xml:space="preserve"> PAGEREF _Toc210129807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Leases and subleases</w:t>
      </w:r>
    </w:p>
    <w:p>
      <w:pPr>
        <w:pStyle w:val="TOC8"/>
        <w:rPr>
          <w:rFonts w:asciiTheme="minorHAnsi" w:eastAsiaTheme="minorEastAsia" w:hAnsiTheme="minorHAnsi" w:cstheme="minorBidi"/>
          <w:szCs w:val="22"/>
        </w:rPr>
      </w:pPr>
      <w:r>
        <w:t>91</w:t>
      </w:r>
      <w:r>
        <w:rPr>
          <w:snapToGrid w:val="0"/>
        </w:rPr>
        <w:t>.</w:t>
      </w:r>
      <w:r>
        <w:rPr>
          <w:snapToGrid w:val="0"/>
        </w:rPr>
        <w:tab/>
        <w:t>Leases</w:t>
      </w:r>
      <w:r>
        <w:tab/>
      </w:r>
      <w:r>
        <w:fldChar w:fldCharType="begin"/>
      </w:r>
      <w:r>
        <w:instrText xml:space="preserve"> PAGEREF _Toc210129809 \h </w:instrText>
      </w:r>
      <w:r>
        <w:fldChar w:fldCharType="separate"/>
      </w:r>
      <w:r>
        <w:t>85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Covenants by lessee implied in leases</w:t>
      </w:r>
      <w:r>
        <w:tab/>
      </w:r>
      <w:r>
        <w:fldChar w:fldCharType="begin"/>
      </w:r>
      <w:r>
        <w:instrText xml:space="preserve"> PAGEREF _Toc210129810 \h </w:instrText>
      </w:r>
      <w:r>
        <w:fldChar w:fldCharType="separate"/>
      </w:r>
      <w:r>
        <w:t>85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Lessor’s powers implied in leases</w:t>
      </w:r>
      <w:r>
        <w:tab/>
      </w:r>
      <w:r>
        <w:fldChar w:fldCharType="begin"/>
      </w:r>
      <w:r>
        <w:instrText xml:space="preserve"> PAGEREF _Toc210129811 \h </w:instrText>
      </w:r>
      <w:r>
        <w:fldChar w:fldCharType="separate"/>
      </w:r>
      <w:r>
        <w:t>86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Short forms of covenants by lessees</w:t>
      </w:r>
      <w:r>
        <w:tab/>
      </w:r>
      <w:r>
        <w:fldChar w:fldCharType="begin"/>
      </w:r>
      <w:r>
        <w:instrText xml:space="preserve"> PAGEREF _Toc210129812 \h </w:instrText>
      </w:r>
      <w:r>
        <w:fldChar w:fldCharType="separate"/>
      </w:r>
      <w:r>
        <w:t>86</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Covenant to be implied on transfer of lease</w:t>
      </w:r>
      <w:r>
        <w:tab/>
      </w:r>
      <w:r>
        <w:fldChar w:fldCharType="begin"/>
      </w:r>
      <w:r>
        <w:instrText xml:space="preserve"> PAGEREF _Toc210129813 \h </w:instrText>
      </w:r>
      <w:r>
        <w:fldChar w:fldCharType="separate"/>
      </w:r>
      <w:r>
        <w:t>87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Recovery of possession by lessors to be entered in Register</w:t>
      </w:r>
      <w:r>
        <w:tab/>
      </w:r>
      <w:r>
        <w:fldChar w:fldCharType="begin"/>
      </w:r>
      <w:r>
        <w:instrText xml:space="preserve"> PAGEREF _Toc210129814 \h </w:instrText>
      </w:r>
      <w:r>
        <w:fldChar w:fldCharType="separate"/>
      </w:r>
      <w:r>
        <w:t>87</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Mortgagee of interest of bankrupt lessee may apply to be entered as transferee of lease and on default lessor may apply</w:t>
      </w:r>
      <w:r>
        <w:tab/>
      </w:r>
      <w:r>
        <w:fldChar w:fldCharType="begin"/>
      </w:r>
      <w:r>
        <w:instrText xml:space="preserve"> PAGEREF _Toc210129815 \h </w:instrText>
      </w:r>
      <w:r>
        <w:fldChar w:fldCharType="separate"/>
      </w:r>
      <w:r>
        <w:t>88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Surrendering leases</w:t>
      </w:r>
      <w:r>
        <w:tab/>
      </w:r>
      <w:r>
        <w:fldChar w:fldCharType="begin"/>
      </w:r>
      <w:r>
        <w:instrText xml:space="preserve"> PAGEREF _Toc210129816 \h </w:instrText>
      </w:r>
      <w:r>
        <w:fldChar w:fldCharType="separate"/>
      </w:r>
      <w:r>
        <w:t>88</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Lessee may sublet</w:t>
      </w:r>
      <w:r>
        <w:tab/>
      </w:r>
      <w:r>
        <w:fldChar w:fldCharType="begin"/>
      </w:r>
      <w:r>
        <w:instrText xml:space="preserve"> PAGEREF _Toc210129817 \h </w:instrText>
      </w:r>
      <w:r>
        <w:fldChar w:fldCharType="separate"/>
      </w:r>
      <w:r>
        <w:t>89</w:t>
      </w:r>
      <w:r>
        <w:fldChar w:fldCharType="end"/>
      </w:r>
    </w:p>
    <w:p>
      <w:pPr>
        <w:pStyle w:val="TOC8"/>
        <w:rPr>
          <w:rFonts w:asciiTheme="minorHAnsi" w:eastAsiaTheme="minorEastAsia" w:hAnsiTheme="minorHAnsi" w:cstheme="minorBidi"/>
          <w:szCs w:val="22"/>
        </w:rPr>
      </w:pPr>
      <w:r>
        <w:t>100.</w:t>
      </w:r>
      <w:r>
        <w:tab/>
        <w:t>Registration of subleases</w:t>
      </w:r>
      <w:r>
        <w:tab/>
      </w:r>
      <w:r>
        <w:fldChar w:fldCharType="begin"/>
      </w:r>
      <w:r>
        <w:instrText xml:space="preserve"> PAGEREF _Toc210129818 \h </w:instrText>
      </w:r>
      <w:r>
        <w:fldChar w:fldCharType="separate"/>
      </w:r>
      <w:r>
        <w:t>90</w:t>
      </w:r>
      <w:r>
        <w:fldChar w:fldCharType="end"/>
      </w:r>
    </w:p>
    <w:p>
      <w:pPr>
        <w:pStyle w:val="TOC8"/>
        <w:rPr>
          <w:rFonts w:asciiTheme="minorHAnsi" w:eastAsiaTheme="minorEastAsia" w:hAnsiTheme="minorHAnsi" w:cstheme="minorBidi"/>
          <w:szCs w:val="22"/>
        </w:rPr>
      </w:pPr>
      <w:r>
        <w:rPr>
          <w:rFonts w:ascii="Times" w:hAnsi="Times"/>
        </w:rPr>
        <w:t>102</w:t>
      </w:r>
      <w:r>
        <w:rPr>
          <w:rFonts w:ascii="Times" w:hAnsi="Times"/>
          <w:snapToGrid w:val="0"/>
        </w:rPr>
        <w:t>.</w:t>
      </w:r>
      <w:r>
        <w:rPr>
          <w:rFonts w:ascii="Times" w:hAnsi="Times"/>
          <w:snapToGrid w:val="0"/>
        </w:rPr>
        <w:tab/>
        <w:t>Provisions about leases apply to subleases</w:t>
      </w:r>
      <w:r>
        <w:tab/>
      </w:r>
      <w:r>
        <w:fldChar w:fldCharType="begin"/>
      </w:r>
      <w:r>
        <w:instrText xml:space="preserve"> PAGEREF _Toc210129819 \h </w:instrText>
      </w:r>
      <w:r>
        <w:fldChar w:fldCharType="separate"/>
      </w:r>
      <w:r>
        <w:t>90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Covenants implied in subleases</w:t>
      </w:r>
      <w:r>
        <w:tab/>
      </w:r>
      <w:r>
        <w:fldChar w:fldCharType="begin"/>
      </w:r>
      <w:r>
        <w:instrText xml:space="preserve"> PAGEREF _Toc210129820 \h </w:instrText>
      </w:r>
      <w:r>
        <w:fldChar w:fldCharType="separate"/>
      </w:r>
      <w:r>
        <w:t>91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Determination of lease or sublease by re</w:t>
      </w:r>
      <w:r>
        <w:rPr>
          <w:snapToGrid w:val="0"/>
        </w:rPr>
        <w:noBreakHyphen/>
        <w:t>entry to be entered in Register</w:t>
      </w:r>
      <w:r>
        <w:tab/>
      </w:r>
      <w:r>
        <w:fldChar w:fldCharType="begin"/>
      </w:r>
      <w:r>
        <w:instrText xml:space="preserve"> PAGEREF _Toc210129821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2A — Carbon rights and carbon covenants</w:t>
      </w:r>
    </w:p>
    <w:p>
      <w:pPr>
        <w:pStyle w:val="TOC8"/>
        <w:rPr>
          <w:rFonts w:asciiTheme="minorHAnsi" w:eastAsiaTheme="minorEastAsia" w:hAnsiTheme="minorHAnsi" w:cstheme="minorBidi"/>
          <w:szCs w:val="22"/>
        </w:rPr>
      </w:pPr>
      <w:r>
        <w:t>104A.</w:t>
      </w:r>
      <w:r>
        <w:tab/>
        <w:t>Terms used</w:t>
      </w:r>
      <w:r>
        <w:tab/>
      </w:r>
      <w:r>
        <w:fldChar w:fldCharType="begin"/>
      </w:r>
      <w:r>
        <w:instrText xml:space="preserve"> PAGEREF _Toc210129823 \h </w:instrText>
      </w:r>
      <w:r>
        <w:fldChar w:fldCharType="separate"/>
      </w:r>
      <w:r>
        <w:t>93</w:t>
      </w:r>
      <w:r>
        <w:fldChar w:fldCharType="end"/>
      </w:r>
    </w:p>
    <w:p>
      <w:pPr>
        <w:pStyle w:val="TOC8"/>
        <w:rPr>
          <w:rFonts w:asciiTheme="minorHAnsi" w:eastAsiaTheme="minorEastAsia" w:hAnsiTheme="minorHAnsi" w:cstheme="minorBidi"/>
          <w:szCs w:val="22"/>
        </w:rPr>
      </w:pPr>
      <w:r>
        <w:t>104B.</w:t>
      </w:r>
      <w:r>
        <w:tab/>
        <w:t>Registration of carbon right form</w:t>
      </w:r>
      <w:r>
        <w:tab/>
      </w:r>
      <w:r>
        <w:fldChar w:fldCharType="begin"/>
      </w:r>
      <w:r>
        <w:instrText xml:space="preserve"> PAGEREF _Toc210129824 \h </w:instrText>
      </w:r>
      <w:r>
        <w:fldChar w:fldCharType="separate"/>
      </w:r>
      <w:r>
        <w:t>93</w:t>
      </w:r>
      <w:r>
        <w:fldChar w:fldCharType="end"/>
      </w:r>
    </w:p>
    <w:p>
      <w:pPr>
        <w:pStyle w:val="TOC8"/>
        <w:rPr>
          <w:rFonts w:asciiTheme="minorHAnsi" w:eastAsiaTheme="minorEastAsia" w:hAnsiTheme="minorHAnsi" w:cstheme="minorBidi"/>
          <w:szCs w:val="22"/>
        </w:rPr>
      </w:pPr>
      <w:r>
        <w:t>104C.</w:t>
      </w:r>
      <w:r>
        <w:tab/>
        <w:t>Extension of carbon right</w:t>
      </w:r>
      <w:r>
        <w:tab/>
      </w:r>
      <w:r>
        <w:fldChar w:fldCharType="begin"/>
      </w:r>
      <w:r>
        <w:instrText xml:space="preserve"> PAGEREF _Toc210129825 \h </w:instrText>
      </w:r>
      <w:r>
        <w:fldChar w:fldCharType="separate"/>
      </w:r>
      <w:r>
        <w:t>93</w:t>
      </w:r>
      <w:r>
        <w:fldChar w:fldCharType="end"/>
      </w:r>
    </w:p>
    <w:p>
      <w:pPr>
        <w:pStyle w:val="TOC8"/>
        <w:rPr>
          <w:rFonts w:asciiTheme="minorHAnsi" w:eastAsiaTheme="minorEastAsia" w:hAnsiTheme="minorHAnsi" w:cstheme="minorBidi"/>
          <w:szCs w:val="22"/>
        </w:rPr>
      </w:pPr>
      <w:r>
        <w:t>104D.</w:t>
      </w:r>
      <w:r>
        <w:tab/>
        <w:t>Transfer of carbon right</w:t>
      </w:r>
      <w:r>
        <w:tab/>
      </w:r>
      <w:r>
        <w:fldChar w:fldCharType="begin"/>
      </w:r>
      <w:r>
        <w:instrText xml:space="preserve"> PAGEREF _Toc210129826 \h </w:instrText>
      </w:r>
      <w:r>
        <w:fldChar w:fldCharType="separate"/>
      </w:r>
      <w:r>
        <w:t>94</w:t>
      </w:r>
      <w:r>
        <w:fldChar w:fldCharType="end"/>
      </w:r>
    </w:p>
    <w:p>
      <w:pPr>
        <w:pStyle w:val="TOC8"/>
        <w:rPr>
          <w:rFonts w:asciiTheme="minorHAnsi" w:eastAsiaTheme="minorEastAsia" w:hAnsiTheme="minorHAnsi" w:cstheme="minorBidi"/>
          <w:szCs w:val="22"/>
        </w:rPr>
      </w:pPr>
      <w:r>
        <w:t>104E.</w:t>
      </w:r>
      <w:r>
        <w:tab/>
        <w:t>Mortgage of carbon right</w:t>
      </w:r>
      <w:r>
        <w:tab/>
      </w:r>
      <w:r>
        <w:fldChar w:fldCharType="begin"/>
      </w:r>
      <w:r>
        <w:instrText xml:space="preserve"> PAGEREF _Toc210129827 \h </w:instrText>
      </w:r>
      <w:r>
        <w:fldChar w:fldCharType="separate"/>
      </w:r>
      <w:r>
        <w:t>95</w:t>
      </w:r>
      <w:r>
        <w:fldChar w:fldCharType="end"/>
      </w:r>
    </w:p>
    <w:p>
      <w:pPr>
        <w:pStyle w:val="TOC8"/>
        <w:rPr>
          <w:rFonts w:asciiTheme="minorHAnsi" w:eastAsiaTheme="minorEastAsia" w:hAnsiTheme="minorHAnsi" w:cstheme="minorBidi"/>
          <w:szCs w:val="22"/>
        </w:rPr>
      </w:pPr>
      <w:r>
        <w:lastRenderedPageBreak/>
        <w:t>104F.</w:t>
      </w:r>
      <w:r>
        <w:tab/>
        <w:t>Surrender of carbon right</w:t>
      </w:r>
      <w:r>
        <w:tab/>
      </w:r>
      <w:r>
        <w:fldChar w:fldCharType="begin"/>
      </w:r>
      <w:r>
        <w:instrText xml:space="preserve"> PAGEREF _Toc210129828 \h </w:instrText>
      </w:r>
      <w:r>
        <w:fldChar w:fldCharType="separate"/>
      </w:r>
      <w:r>
        <w:t>95</w:t>
      </w:r>
      <w:r>
        <w:fldChar w:fldCharType="end"/>
      </w:r>
    </w:p>
    <w:p>
      <w:pPr>
        <w:pStyle w:val="TOC8"/>
        <w:rPr>
          <w:rFonts w:asciiTheme="minorHAnsi" w:eastAsiaTheme="minorEastAsia" w:hAnsiTheme="minorHAnsi" w:cstheme="minorBidi"/>
          <w:szCs w:val="22"/>
        </w:rPr>
      </w:pPr>
      <w:r>
        <w:t>104G.</w:t>
      </w:r>
      <w:r>
        <w:tab/>
        <w:t>Registration of carbon covenant form</w:t>
      </w:r>
      <w:r>
        <w:tab/>
      </w:r>
      <w:r>
        <w:fldChar w:fldCharType="begin"/>
      </w:r>
      <w:r>
        <w:instrText xml:space="preserve"> PAGEREF _Toc210129829 \h </w:instrText>
      </w:r>
      <w:r>
        <w:fldChar w:fldCharType="separate"/>
      </w:r>
      <w:r>
        <w:t>96</w:t>
      </w:r>
      <w:r>
        <w:fldChar w:fldCharType="end"/>
      </w:r>
    </w:p>
    <w:p>
      <w:pPr>
        <w:pStyle w:val="TOC8"/>
        <w:rPr>
          <w:rFonts w:asciiTheme="minorHAnsi" w:eastAsiaTheme="minorEastAsia" w:hAnsiTheme="minorHAnsi" w:cstheme="minorBidi"/>
          <w:szCs w:val="22"/>
        </w:rPr>
      </w:pPr>
      <w:r>
        <w:t>104H.</w:t>
      </w:r>
      <w:r>
        <w:tab/>
        <w:t>Extension of carbon covenant</w:t>
      </w:r>
      <w:r>
        <w:tab/>
      </w:r>
      <w:r>
        <w:fldChar w:fldCharType="begin"/>
      </w:r>
      <w:r>
        <w:instrText xml:space="preserve"> PAGEREF _Toc210129830 \h </w:instrText>
      </w:r>
      <w:r>
        <w:fldChar w:fldCharType="separate"/>
      </w:r>
      <w:r>
        <w:t>96</w:t>
      </w:r>
      <w:r>
        <w:fldChar w:fldCharType="end"/>
      </w:r>
    </w:p>
    <w:p>
      <w:pPr>
        <w:pStyle w:val="TOC8"/>
        <w:rPr>
          <w:rFonts w:asciiTheme="minorHAnsi" w:eastAsiaTheme="minorEastAsia" w:hAnsiTheme="minorHAnsi" w:cstheme="minorBidi"/>
          <w:szCs w:val="22"/>
        </w:rPr>
      </w:pPr>
      <w:r>
        <w:t>104I.</w:t>
      </w:r>
      <w:r>
        <w:tab/>
        <w:t>Variation of carbon covenant</w:t>
      </w:r>
      <w:r>
        <w:tab/>
      </w:r>
      <w:r>
        <w:fldChar w:fldCharType="begin"/>
      </w:r>
      <w:r>
        <w:instrText xml:space="preserve"> PAGEREF _Toc210129831 \h </w:instrText>
      </w:r>
      <w:r>
        <w:fldChar w:fldCharType="separate"/>
      </w:r>
      <w:r>
        <w:t>97</w:t>
      </w:r>
      <w:r>
        <w:fldChar w:fldCharType="end"/>
      </w:r>
    </w:p>
    <w:p>
      <w:pPr>
        <w:pStyle w:val="TOC8"/>
        <w:rPr>
          <w:rFonts w:asciiTheme="minorHAnsi" w:eastAsiaTheme="minorEastAsia" w:hAnsiTheme="minorHAnsi" w:cstheme="minorBidi"/>
          <w:szCs w:val="22"/>
        </w:rPr>
      </w:pPr>
      <w:r>
        <w:t>104J.</w:t>
      </w:r>
      <w:r>
        <w:tab/>
        <w:t>Transfer of benefits under carbon covenant</w:t>
      </w:r>
      <w:r>
        <w:tab/>
      </w:r>
      <w:r>
        <w:fldChar w:fldCharType="begin"/>
      </w:r>
      <w:r>
        <w:instrText xml:space="preserve"> PAGEREF _Toc210129832 \h </w:instrText>
      </w:r>
      <w:r>
        <w:fldChar w:fldCharType="separate"/>
      </w:r>
      <w:r>
        <w:t>99</w:t>
      </w:r>
      <w:r>
        <w:fldChar w:fldCharType="end"/>
      </w:r>
    </w:p>
    <w:p>
      <w:pPr>
        <w:pStyle w:val="TOC8"/>
        <w:rPr>
          <w:rFonts w:asciiTheme="minorHAnsi" w:eastAsiaTheme="minorEastAsia" w:hAnsiTheme="minorHAnsi" w:cstheme="minorBidi"/>
          <w:szCs w:val="22"/>
        </w:rPr>
      </w:pPr>
      <w:r>
        <w:t>104K.</w:t>
      </w:r>
      <w:r>
        <w:tab/>
        <w:t>Mortgage of carbon covenant</w:t>
      </w:r>
      <w:r>
        <w:tab/>
      </w:r>
      <w:r>
        <w:fldChar w:fldCharType="begin"/>
      </w:r>
      <w:r>
        <w:instrText xml:space="preserve"> PAGEREF _Toc210129833 \h </w:instrText>
      </w:r>
      <w:r>
        <w:fldChar w:fldCharType="separate"/>
      </w:r>
      <w:r>
        <w:t>99</w:t>
      </w:r>
      <w:r>
        <w:fldChar w:fldCharType="end"/>
      </w:r>
    </w:p>
    <w:p>
      <w:pPr>
        <w:pStyle w:val="TOC8"/>
        <w:rPr>
          <w:rFonts w:asciiTheme="minorHAnsi" w:eastAsiaTheme="minorEastAsia" w:hAnsiTheme="minorHAnsi" w:cstheme="minorBidi"/>
          <w:szCs w:val="22"/>
        </w:rPr>
      </w:pPr>
      <w:r>
        <w:t>104L.</w:t>
      </w:r>
      <w:r>
        <w:tab/>
        <w:t>Surrender of carbon covenant</w:t>
      </w:r>
      <w:r>
        <w:tab/>
      </w:r>
      <w:r>
        <w:fldChar w:fldCharType="begin"/>
      </w:r>
      <w:r>
        <w:instrText xml:space="preserve"> PAGEREF _Toc210129834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2B — Tree plantation agreements and plantation interests</w:t>
      </w:r>
    </w:p>
    <w:p>
      <w:pPr>
        <w:pStyle w:val="TOC8"/>
        <w:rPr>
          <w:rFonts w:asciiTheme="minorHAnsi" w:eastAsiaTheme="minorEastAsia" w:hAnsiTheme="minorHAnsi" w:cstheme="minorBidi"/>
          <w:szCs w:val="22"/>
        </w:rPr>
      </w:pPr>
      <w:r>
        <w:t>104M.</w:t>
      </w:r>
      <w:r>
        <w:tab/>
        <w:t>Terms used</w:t>
      </w:r>
      <w:r>
        <w:tab/>
      </w:r>
      <w:r>
        <w:fldChar w:fldCharType="begin"/>
      </w:r>
      <w:r>
        <w:instrText xml:space="preserve"> PAGEREF _Toc210129836 \h </w:instrText>
      </w:r>
      <w:r>
        <w:fldChar w:fldCharType="separate"/>
      </w:r>
      <w:r>
        <w:t>100</w:t>
      </w:r>
      <w:r>
        <w:fldChar w:fldCharType="end"/>
      </w:r>
    </w:p>
    <w:p>
      <w:pPr>
        <w:pStyle w:val="TOC8"/>
        <w:rPr>
          <w:rFonts w:asciiTheme="minorHAnsi" w:eastAsiaTheme="minorEastAsia" w:hAnsiTheme="minorHAnsi" w:cstheme="minorBidi"/>
          <w:szCs w:val="22"/>
        </w:rPr>
      </w:pPr>
      <w:r>
        <w:t>104N.</w:t>
      </w:r>
      <w:r>
        <w:tab/>
        <w:t>Registration of tree plantation agreement</w:t>
      </w:r>
      <w:r>
        <w:tab/>
      </w:r>
      <w:r>
        <w:fldChar w:fldCharType="begin"/>
      </w:r>
      <w:r>
        <w:instrText xml:space="preserve"> PAGEREF _Toc210129837 \h </w:instrText>
      </w:r>
      <w:r>
        <w:fldChar w:fldCharType="separate"/>
      </w:r>
      <w:r>
        <w:t>101</w:t>
      </w:r>
      <w:r>
        <w:fldChar w:fldCharType="end"/>
      </w:r>
    </w:p>
    <w:p>
      <w:pPr>
        <w:pStyle w:val="TOC8"/>
        <w:rPr>
          <w:rFonts w:asciiTheme="minorHAnsi" w:eastAsiaTheme="minorEastAsia" w:hAnsiTheme="minorHAnsi" w:cstheme="minorBidi"/>
          <w:szCs w:val="22"/>
        </w:rPr>
      </w:pPr>
      <w:r>
        <w:t>104O.</w:t>
      </w:r>
      <w:r>
        <w:tab/>
        <w:t>Extension of plantation interest</w:t>
      </w:r>
      <w:r>
        <w:tab/>
      </w:r>
      <w:r>
        <w:fldChar w:fldCharType="begin"/>
      </w:r>
      <w:r>
        <w:instrText xml:space="preserve"> PAGEREF _Toc210129838 \h </w:instrText>
      </w:r>
      <w:r>
        <w:fldChar w:fldCharType="separate"/>
      </w:r>
      <w:r>
        <w:t>101</w:t>
      </w:r>
      <w:r>
        <w:fldChar w:fldCharType="end"/>
      </w:r>
    </w:p>
    <w:p>
      <w:pPr>
        <w:pStyle w:val="TOC8"/>
        <w:rPr>
          <w:rFonts w:asciiTheme="minorHAnsi" w:eastAsiaTheme="minorEastAsia" w:hAnsiTheme="minorHAnsi" w:cstheme="minorBidi"/>
          <w:szCs w:val="22"/>
        </w:rPr>
      </w:pPr>
      <w:r>
        <w:t>104P.</w:t>
      </w:r>
      <w:r>
        <w:tab/>
        <w:t>Variation of agreement</w:t>
      </w:r>
      <w:r>
        <w:tab/>
      </w:r>
      <w:r>
        <w:fldChar w:fldCharType="begin"/>
      </w:r>
      <w:r>
        <w:instrText xml:space="preserve"> PAGEREF _Toc210129839 \h </w:instrText>
      </w:r>
      <w:r>
        <w:fldChar w:fldCharType="separate"/>
      </w:r>
      <w:r>
        <w:t>103</w:t>
      </w:r>
      <w:r>
        <w:fldChar w:fldCharType="end"/>
      </w:r>
    </w:p>
    <w:p>
      <w:pPr>
        <w:pStyle w:val="TOC8"/>
        <w:rPr>
          <w:rFonts w:asciiTheme="minorHAnsi" w:eastAsiaTheme="minorEastAsia" w:hAnsiTheme="minorHAnsi" w:cstheme="minorBidi"/>
          <w:szCs w:val="22"/>
        </w:rPr>
      </w:pPr>
      <w:r>
        <w:t>104Q.</w:t>
      </w:r>
      <w:r>
        <w:tab/>
        <w:t>Transfer of plantation interests</w:t>
      </w:r>
      <w:r>
        <w:tab/>
      </w:r>
      <w:r>
        <w:fldChar w:fldCharType="begin"/>
      </w:r>
      <w:r>
        <w:instrText xml:space="preserve"> PAGEREF _Toc210129840 \h </w:instrText>
      </w:r>
      <w:r>
        <w:fldChar w:fldCharType="separate"/>
      </w:r>
      <w:r>
        <w:t>105</w:t>
      </w:r>
      <w:r>
        <w:fldChar w:fldCharType="end"/>
      </w:r>
    </w:p>
    <w:p>
      <w:pPr>
        <w:pStyle w:val="TOC8"/>
        <w:rPr>
          <w:rFonts w:asciiTheme="minorHAnsi" w:eastAsiaTheme="minorEastAsia" w:hAnsiTheme="minorHAnsi" w:cstheme="minorBidi"/>
          <w:szCs w:val="22"/>
        </w:rPr>
      </w:pPr>
      <w:r>
        <w:t>104R.</w:t>
      </w:r>
      <w:r>
        <w:tab/>
        <w:t>Mortgage of plantation interests</w:t>
      </w:r>
      <w:r>
        <w:tab/>
      </w:r>
      <w:r>
        <w:fldChar w:fldCharType="begin"/>
      </w:r>
      <w:r>
        <w:instrText xml:space="preserve"> PAGEREF _Toc210129841 \h </w:instrText>
      </w:r>
      <w:r>
        <w:fldChar w:fldCharType="separate"/>
      </w:r>
      <w:r>
        <w:t>105</w:t>
      </w:r>
      <w:r>
        <w:fldChar w:fldCharType="end"/>
      </w:r>
    </w:p>
    <w:p>
      <w:pPr>
        <w:pStyle w:val="TOC8"/>
        <w:rPr>
          <w:rFonts w:asciiTheme="minorHAnsi" w:eastAsiaTheme="minorEastAsia" w:hAnsiTheme="minorHAnsi" w:cstheme="minorBidi"/>
          <w:szCs w:val="22"/>
        </w:rPr>
      </w:pPr>
      <w:r>
        <w:t>104S.</w:t>
      </w:r>
      <w:r>
        <w:tab/>
        <w:t>Surrender of plantation interests</w:t>
      </w:r>
      <w:r>
        <w:tab/>
      </w:r>
      <w:r>
        <w:fldChar w:fldCharType="begin"/>
      </w:r>
      <w:r>
        <w:instrText xml:space="preserve"> PAGEREF _Toc210129842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Mortgages and annuities</w:t>
      </w:r>
    </w:p>
    <w:p>
      <w:pPr>
        <w:pStyle w:val="TOC8"/>
        <w:rPr>
          <w:rFonts w:asciiTheme="minorHAnsi" w:eastAsiaTheme="minorEastAsia" w:hAnsiTheme="minorHAnsi" w:cstheme="minorBidi"/>
          <w:szCs w:val="22"/>
        </w:rPr>
      </w:pPr>
      <w:r>
        <w:t>105</w:t>
      </w:r>
      <w:r>
        <w:rPr>
          <w:snapToGrid w:val="0"/>
        </w:rPr>
        <w:t>.</w:t>
      </w:r>
      <w:r>
        <w:rPr>
          <w:snapToGrid w:val="0"/>
        </w:rPr>
        <w:tab/>
        <w:t>Mortgages and charges for annuities, creating</w:t>
      </w:r>
      <w:r>
        <w:tab/>
      </w:r>
      <w:r>
        <w:fldChar w:fldCharType="begin"/>
      </w:r>
      <w:r>
        <w:instrText xml:space="preserve"> PAGEREF _Toc210129844 \h </w:instrText>
      </w:r>
      <w:r>
        <w:fldChar w:fldCharType="separate"/>
      </w:r>
      <w:r>
        <w:t>106</w:t>
      </w:r>
      <w:r>
        <w:fldChar w:fldCharType="end"/>
      </w:r>
    </w:p>
    <w:p>
      <w:pPr>
        <w:pStyle w:val="TOC8"/>
        <w:rPr>
          <w:rFonts w:asciiTheme="minorHAnsi" w:eastAsiaTheme="minorEastAsia" w:hAnsiTheme="minorHAnsi" w:cstheme="minorBidi"/>
          <w:szCs w:val="22"/>
        </w:rPr>
      </w:pPr>
      <w:r>
        <w:t>105AA.</w:t>
      </w:r>
      <w:r>
        <w:tab/>
        <w:t>Mortgages lodged electronically</w:t>
      </w:r>
      <w:r>
        <w:tab/>
      </w:r>
      <w:r>
        <w:fldChar w:fldCharType="begin"/>
      </w:r>
      <w:r>
        <w:instrText xml:space="preserve"> PAGEREF _Toc210129845 \h </w:instrText>
      </w:r>
      <w:r>
        <w:fldChar w:fldCharType="separate"/>
      </w:r>
      <w:r>
        <w:t>107</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Extension of mortgage, charge or lease</w:t>
      </w:r>
      <w:r>
        <w:tab/>
      </w:r>
      <w:r>
        <w:fldChar w:fldCharType="begin"/>
      </w:r>
      <w:r>
        <w:instrText xml:space="preserve"> PAGEREF _Toc210129846 \h </w:instrText>
      </w:r>
      <w:r>
        <w:fldChar w:fldCharType="separate"/>
      </w:r>
      <w:r>
        <w:t>107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Mortgage or charge not to operate as transfer; default procedures</w:t>
      </w:r>
      <w:r>
        <w:tab/>
      </w:r>
      <w:r>
        <w:fldChar w:fldCharType="begin"/>
      </w:r>
      <w:r>
        <w:instrText xml:space="preserve"> PAGEREF _Toc210129847 \h </w:instrText>
      </w:r>
      <w:r>
        <w:fldChar w:fldCharType="separate"/>
      </w:r>
      <w:r>
        <w:t>108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Written demand equivalent to written notice</w:t>
      </w:r>
      <w:r>
        <w:tab/>
      </w:r>
      <w:r>
        <w:fldChar w:fldCharType="begin"/>
      </w:r>
      <w:r>
        <w:instrText xml:space="preserve"> PAGEREF _Toc210129848 \h </w:instrText>
      </w:r>
      <w:r>
        <w:fldChar w:fldCharType="separate"/>
      </w:r>
      <w:r>
        <w:t>110</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Power to sell in cases of continuing default</w:t>
      </w:r>
      <w:r>
        <w:tab/>
      </w:r>
      <w:r>
        <w:fldChar w:fldCharType="begin"/>
      </w:r>
      <w:r>
        <w:instrText xml:space="preserve"> PAGEREF _Toc210129849 \h </w:instrText>
      </w:r>
      <w:r>
        <w:fldChar w:fldCharType="separate"/>
      </w:r>
      <w:r>
        <w:t>110</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Application of purchase money</w:t>
      </w:r>
      <w:r>
        <w:tab/>
      </w:r>
      <w:r>
        <w:fldChar w:fldCharType="begin"/>
      </w:r>
      <w:r>
        <w:instrText xml:space="preserve"> PAGEREF _Toc210129850 \h </w:instrText>
      </w:r>
      <w:r>
        <w:fldChar w:fldCharType="separate"/>
      </w:r>
      <w:r>
        <w:t>111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Transfer after sale by mortgagee etc., effect of</w:t>
      </w:r>
      <w:r>
        <w:tab/>
      </w:r>
      <w:r>
        <w:fldChar w:fldCharType="begin"/>
      </w:r>
      <w:r>
        <w:instrText xml:space="preserve"> PAGEREF _Toc210129851 \h </w:instrText>
      </w:r>
      <w:r>
        <w:fldChar w:fldCharType="separate"/>
      </w:r>
      <w:r>
        <w:t>112</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Remedies of mortgagee or annuitant in cases of default</w:t>
      </w:r>
      <w:r>
        <w:tab/>
      </w:r>
      <w:r>
        <w:fldChar w:fldCharType="begin"/>
      </w:r>
      <w:r>
        <w:instrText xml:space="preserve"> PAGEREF _Toc210129852 \h </w:instrText>
      </w:r>
      <w:r>
        <w:fldChar w:fldCharType="separate"/>
      </w:r>
      <w:r>
        <w:t>113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Further remedies of mortgagee or annuitant</w:t>
      </w:r>
      <w:r>
        <w:tab/>
      </w:r>
      <w:r>
        <w:fldChar w:fldCharType="begin"/>
      </w:r>
      <w:r>
        <w:instrText xml:space="preserve"> PAGEREF _Toc210129853 \h </w:instrText>
      </w:r>
      <w:r>
        <w:fldChar w:fldCharType="separate"/>
      </w:r>
      <w:r>
        <w:t>113</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Abolition of power of distress</w:t>
      </w:r>
      <w:r>
        <w:tab/>
      </w:r>
      <w:r>
        <w:fldChar w:fldCharType="begin"/>
      </w:r>
      <w:r>
        <w:instrText xml:space="preserve"> PAGEREF _Toc210129854 \h </w:instrText>
      </w:r>
      <w:r>
        <w:fldChar w:fldCharType="separate"/>
      </w:r>
      <w:r>
        <w:t>114</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Covenants implied in mortgages</w:t>
      </w:r>
      <w:r>
        <w:tab/>
      </w:r>
      <w:r>
        <w:fldChar w:fldCharType="begin"/>
      </w:r>
      <w:r>
        <w:instrText xml:space="preserve"> PAGEREF _Toc210129855 \h </w:instrText>
      </w:r>
      <w:r>
        <w:fldChar w:fldCharType="separate"/>
      </w:r>
      <w:r>
        <w:t>114</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Mortgagee or annuitant of leasehold entering into possession become liable to lessor</w:t>
      </w:r>
      <w:r>
        <w:tab/>
      </w:r>
      <w:r>
        <w:fldChar w:fldCharType="begin"/>
      </w:r>
      <w:r>
        <w:instrText xml:space="preserve"> PAGEREF _Toc210129856 \h </w:instrText>
      </w:r>
      <w:r>
        <w:fldChar w:fldCharType="separate"/>
      </w:r>
      <w:r>
        <w:t>115</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Short form of covenant by mortgagor to insure</w:t>
      </w:r>
      <w:r>
        <w:tab/>
      </w:r>
      <w:r>
        <w:fldChar w:fldCharType="begin"/>
      </w:r>
      <w:r>
        <w:instrText xml:space="preserve"> PAGEREF _Toc210129857 \h </w:instrText>
      </w:r>
      <w:r>
        <w:fldChar w:fldCharType="separate"/>
      </w:r>
      <w:r>
        <w:t>115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Rights of mortgagees generally</w:t>
      </w:r>
      <w:r>
        <w:tab/>
      </w:r>
      <w:r>
        <w:fldChar w:fldCharType="begin"/>
      </w:r>
      <w:r>
        <w:instrText xml:space="preserve"> PAGEREF _Toc210129858 \h </w:instrText>
      </w:r>
      <w:r>
        <w:fldChar w:fldCharType="separate"/>
      </w:r>
      <w:r>
        <w:t>116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Mortgagor not to sue on cause of action available to mortgagee without mortgagee’s consent</w:t>
      </w:r>
      <w:r>
        <w:tab/>
      </w:r>
      <w:r>
        <w:fldChar w:fldCharType="begin"/>
      </w:r>
      <w:r>
        <w:instrText xml:space="preserve"> PAGEREF _Toc210129859 \h </w:instrText>
      </w:r>
      <w:r>
        <w:fldChar w:fldCharType="separate"/>
      </w:r>
      <w:r>
        <w:t>116</w:t>
      </w:r>
      <w:r>
        <w:fldChar w:fldCharType="end"/>
      </w:r>
    </w:p>
    <w:p>
      <w:pPr>
        <w:pStyle w:val="TOC8"/>
        <w:rPr>
          <w:rFonts w:asciiTheme="minorHAnsi" w:eastAsiaTheme="minorEastAsia" w:hAnsiTheme="minorHAnsi" w:cstheme="minorBidi"/>
          <w:szCs w:val="22"/>
        </w:rPr>
      </w:pPr>
      <w:r>
        <w:t>118.</w:t>
      </w:r>
      <w:r>
        <w:tab/>
      </w:r>
      <w:r>
        <w:rPr>
          <w:snapToGrid w:val="0"/>
        </w:rPr>
        <w:t>Application of money obtained by mortgagor in action for waste of or damage to mortgaged lands</w:t>
      </w:r>
      <w:r>
        <w:tab/>
      </w:r>
      <w:r>
        <w:fldChar w:fldCharType="begin"/>
      </w:r>
      <w:r>
        <w:instrText xml:space="preserve"> PAGEREF _Toc210129860 \h </w:instrText>
      </w:r>
      <w:r>
        <w:fldChar w:fldCharType="separate"/>
      </w:r>
      <w:r>
        <w:t>117</w:t>
      </w:r>
      <w:r>
        <w:fldChar w:fldCharType="end"/>
      </w:r>
    </w:p>
    <w:p>
      <w:pPr>
        <w:pStyle w:val="TOC8"/>
        <w:rPr>
          <w:rFonts w:asciiTheme="minorHAnsi" w:eastAsiaTheme="minorEastAsia" w:hAnsiTheme="minorHAnsi" w:cstheme="minorBidi"/>
          <w:szCs w:val="22"/>
        </w:rPr>
      </w:pPr>
      <w:r>
        <w:lastRenderedPageBreak/>
        <w:t>119</w:t>
      </w:r>
      <w:r>
        <w:rPr>
          <w:snapToGrid w:val="0"/>
        </w:rPr>
        <w:t>.</w:t>
      </w:r>
      <w:r>
        <w:rPr>
          <w:snapToGrid w:val="0"/>
        </w:rPr>
        <w:tab/>
        <w:t>Mortgagee may seek court order as to money recovered by mortgagor in action</w:t>
      </w:r>
      <w:r>
        <w:tab/>
      </w:r>
      <w:r>
        <w:fldChar w:fldCharType="begin"/>
      </w:r>
      <w:r>
        <w:instrText xml:space="preserve"> PAGEREF _Toc210129861 \h </w:instrText>
      </w:r>
      <w:r>
        <w:fldChar w:fldCharType="separate"/>
      </w:r>
      <w:r>
        <w:t>117</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Application of moneys obtained by mortgagee in action</w:t>
      </w:r>
      <w:r>
        <w:tab/>
      </w:r>
      <w:r>
        <w:fldChar w:fldCharType="begin"/>
      </w:r>
      <w:r>
        <w:instrText xml:space="preserve"> PAGEREF _Toc210129862 \h </w:instrText>
      </w:r>
      <w:r>
        <w:fldChar w:fldCharType="separate"/>
      </w:r>
      <w:r>
        <w:t>118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Foreclosure, application for order for</w:t>
      </w:r>
      <w:r>
        <w:tab/>
      </w:r>
      <w:r>
        <w:fldChar w:fldCharType="begin"/>
      </w:r>
      <w:r>
        <w:instrText xml:space="preserve"> PAGEREF _Toc210129863 \h </w:instrText>
      </w:r>
      <w:r>
        <w:fldChar w:fldCharType="separate"/>
      </w:r>
      <w:r>
        <w:t>118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Application for foreclosure to be advertised</w:t>
      </w:r>
      <w:r>
        <w:tab/>
      </w:r>
      <w:r>
        <w:fldChar w:fldCharType="begin"/>
      </w:r>
      <w:r>
        <w:instrText xml:space="preserve"> PAGEREF _Toc210129864 \h </w:instrText>
      </w:r>
      <w:r>
        <w:fldChar w:fldCharType="separate"/>
      </w:r>
      <w:r>
        <w:t>120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Discharge of mortgages and annuities</w:t>
      </w:r>
      <w:r>
        <w:tab/>
      </w:r>
      <w:r>
        <w:fldChar w:fldCharType="begin"/>
      </w:r>
      <w:r>
        <w:instrText xml:space="preserve"> PAGEREF _Toc210129865 \h </w:instrText>
      </w:r>
      <w:r>
        <w:fldChar w:fldCharType="separate"/>
      </w:r>
      <w:r>
        <w:t>121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Mortgages etc. made before land brought under this Act</w:t>
      </w:r>
      <w:r>
        <w:tab/>
      </w:r>
      <w:r>
        <w:fldChar w:fldCharType="begin"/>
      </w:r>
      <w:r>
        <w:instrText xml:space="preserve"> PAGEREF _Toc210129866 \h </w:instrText>
      </w:r>
      <w:r>
        <w:fldChar w:fldCharType="separate"/>
      </w:r>
      <w:r>
        <w:t>121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Entry of satisfaction of annuity</w:t>
      </w:r>
      <w:r>
        <w:tab/>
      </w:r>
      <w:r>
        <w:fldChar w:fldCharType="begin"/>
      </w:r>
      <w:r>
        <w:instrText xml:space="preserve"> PAGEREF _Toc210129867 \h </w:instrText>
      </w:r>
      <w:r>
        <w:fldChar w:fldCharType="separate"/>
      </w:r>
      <w:r>
        <w:t>122</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Payments under and discharge of mortgages when mortgagee absent from State etc.</w:t>
      </w:r>
      <w:r>
        <w:tab/>
      </w:r>
      <w:r>
        <w:fldChar w:fldCharType="begin"/>
      </w:r>
      <w:r>
        <w:instrText xml:space="preserve"> PAGEREF _Toc210129868 \h </w:instrText>
      </w:r>
      <w:r>
        <w:fldChar w:fldCharType="separate"/>
      </w:r>
      <w:r>
        <w:t>122</w:t>
      </w:r>
      <w:r>
        <w:fldChar w:fldCharType="end"/>
      </w:r>
    </w:p>
    <w:p>
      <w:pPr>
        <w:pStyle w:val="TOC8"/>
        <w:rPr>
          <w:rFonts w:asciiTheme="minorHAnsi" w:eastAsiaTheme="minorEastAsia" w:hAnsiTheme="minorHAnsi" w:cstheme="minorBidi"/>
          <w:szCs w:val="22"/>
        </w:rPr>
      </w:pPr>
      <w:r>
        <w:t>127A.</w:t>
      </w:r>
      <w:r>
        <w:tab/>
        <w:t>Subsequent mortgages or charges</w:t>
      </w:r>
      <w:r>
        <w:tab/>
      </w:r>
      <w:r>
        <w:fldChar w:fldCharType="begin"/>
      </w:r>
      <w:r>
        <w:instrText xml:space="preserve"> PAGEREF _Toc210129869 \h </w:instrText>
      </w:r>
      <w:r>
        <w:fldChar w:fldCharType="separate"/>
      </w:r>
      <w:r>
        <w:t>123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Land brought under this Act subject to mortgage, rights of mortgagee etc.</w:t>
      </w:r>
      <w:r>
        <w:tab/>
      </w:r>
      <w:r>
        <w:fldChar w:fldCharType="begin"/>
      </w:r>
      <w:r>
        <w:instrText xml:space="preserve"> PAGEREF _Toc210129870 \h </w:instrText>
      </w:r>
      <w:r>
        <w:fldChar w:fldCharType="separate"/>
      </w:r>
      <w:r>
        <w:t>124</w:t>
      </w:r>
      <w:r>
        <w:fldChar w:fldCharType="end"/>
      </w:r>
    </w:p>
    <w:p>
      <w:pPr>
        <w:pStyle w:val="TOC8"/>
        <w:rPr>
          <w:rFonts w:asciiTheme="minorHAnsi" w:eastAsiaTheme="minorEastAsia" w:hAnsiTheme="minorHAnsi" w:cstheme="minorBidi"/>
          <w:szCs w:val="22"/>
        </w:rPr>
      </w:pPr>
      <w:r>
        <w:t>128A</w:t>
      </w:r>
      <w:r>
        <w:rPr>
          <w:snapToGrid w:val="0"/>
        </w:rPr>
        <w:t>.</w:t>
      </w:r>
      <w:r>
        <w:rPr>
          <w:snapToGrid w:val="0"/>
        </w:rPr>
        <w:tab/>
        <w:t>Another mortgagee may tender payment</w:t>
      </w:r>
      <w:r>
        <w:tab/>
      </w:r>
      <w:r>
        <w:fldChar w:fldCharType="begin"/>
      </w:r>
      <w:r>
        <w:instrText xml:space="preserve"> PAGEREF _Toc210129871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3A</w:t>
      </w:r>
      <w:r>
        <w:rPr>
          <w:snapToGrid w:val="0"/>
        </w:rPr>
        <w:t> — </w:t>
      </w:r>
      <w:r>
        <w:t>Restrictive covenants and the modification, discharge and enforcement of restrictive covenants and easements</w:t>
      </w:r>
    </w:p>
    <w:p>
      <w:pPr>
        <w:pStyle w:val="TOC8"/>
        <w:rPr>
          <w:rFonts w:asciiTheme="minorHAnsi" w:eastAsiaTheme="minorEastAsia" w:hAnsiTheme="minorHAnsi" w:cstheme="minorBidi"/>
          <w:szCs w:val="22"/>
        </w:rPr>
      </w:pPr>
      <w:r>
        <w:t>129A</w:t>
      </w:r>
      <w:r>
        <w:rPr>
          <w:snapToGrid w:val="0"/>
        </w:rPr>
        <w:t>.</w:t>
      </w:r>
      <w:r>
        <w:rPr>
          <w:snapToGrid w:val="0"/>
        </w:rPr>
        <w:tab/>
        <w:t>Creation of restrictive covenants</w:t>
      </w:r>
      <w:r>
        <w:tab/>
      </w:r>
      <w:r>
        <w:fldChar w:fldCharType="begin"/>
      </w:r>
      <w:r>
        <w:instrText xml:space="preserve"> PAGEREF _Toc210129873 \h </w:instrText>
      </w:r>
      <w:r>
        <w:fldChar w:fldCharType="separate"/>
      </w:r>
      <w:r>
        <w:t>125</w:t>
      </w:r>
      <w:r>
        <w:fldChar w:fldCharType="end"/>
      </w:r>
    </w:p>
    <w:p>
      <w:pPr>
        <w:pStyle w:val="TOC8"/>
        <w:rPr>
          <w:rFonts w:asciiTheme="minorHAnsi" w:eastAsiaTheme="minorEastAsia" w:hAnsiTheme="minorHAnsi" w:cstheme="minorBidi"/>
          <w:szCs w:val="22"/>
        </w:rPr>
      </w:pPr>
      <w:r>
        <w:t>129B</w:t>
      </w:r>
      <w:r>
        <w:rPr>
          <w:snapToGrid w:val="0"/>
        </w:rPr>
        <w:t>.</w:t>
      </w:r>
      <w:r>
        <w:rPr>
          <w:snapToGrid w:val="0"/>
        </w:rPr>
        <w:tab/>
        <w:t>Discharge and modification of restrictive covenants</w:t>
      </w:r>
      <w:r>
        <w:tab/>
      </w:r>
      <w:r>
        <w:fldChar w:fldCharType="begin"/>
      </w:r>
      <w:r>
        <w:instrText xml:space="preserve"> PAGEREF _Toc210129874 \h </w:instrText>
      </w:r>
      <w:r>
        <w:fldChar w:fldCharType="separate"/>
      </w:r>
      <w:r>
        <w:t>127</w:t>
      </w:r>
      <w:r>
        <w:fldChar w:fldCharType="end"/>
      </w:r>
    </w:p>
    <w:p>
      <w:pPr>
        <w:pStyle w:val="TOC8"/>
        <w:rPr>
          <w:rFonts w:asciiTheme="minorHAnsi" w:eastAsiaTheme="minorEastAsia" w:hAnsiTheme="minorHAnsi" w:cstheme="minorBidi"/>
          <w:szCs w:val="22"/>
        </w:rPr>
      </w:pPr>
      <w:r>
        <w:t>129BA</w:t>
      </w:r>
      <w:r>
        <w:rPr>
          <w:snapToGrid w:val="0"/>
        </w:rPr>
        <w:t>.</w:t>
      </w:r>
      <w:r>
        <w:rPr>
          <w:snapToGrid w:val="0"/>
        </w:rPr>
        <w:tab/>
        <w:t>Restrictive covenants benefiting local governments and public authorities</w:t>
      </w:r>
      <w:r>
        <w:tab/>
      </w:r>
      <w:r>
        <w:fldChar w:fldCharType="begin"/>
      </w:r>
      <w:r>
        <w:instrText xml:space="preserve"> PAGEREF _Toc210129875 \h </w:instrText>
      </w:r>
      <w:r>
        <w:fldChar w:fldCharType="separate"/>
      </w:r>
      <w:r>
        <w:t>127</w:t>
      </w:r>
      <w:r>
        <w:fldChar w:fldCharType="end"/>
      </w:r>
    </w:p>
    <w:p>
      <w:pPr>
        <w:pStyle w:val="TOC8"/>
        <w:rPr>
          <w:rFonts w:asciiTheme="minorHAnsi" w:eastAsiaTheme="minorEastAsia" w:hAnsiTheme="minorHAnsi" w:cstheme="minorBidi"/>
          <w:szCs w:val="22"/>
        </w:rPr>
      </w:pPr>
      <w:r>
        <w:t>129BB.</w:t>
      </w:r>
      <w:r>
        <w:tab/>
        <w:t>Discharge and modification of s. 129BA covenants</w:t>
      </w:r>
      <w:r>
        <w:tab/>
      </w:r>
      <w:r>
        <w:fldChar w:fldCharType="begin"/>
      </w:r>
      <w:r>
        <w:instrText xml:space="preserve"> PAGEREF _Toc210129876 \h </w:instrText>
      </w:r>
      <w:r>
        <w:fldChar w:fldCharType="separate"/>
      </w:r>
      <w:r>
        <w:t>128</w:t>
      </w:r>
      <w:r>
        <w:fldChar w:fldCharType="end"/>
      </w:r>
    </w:p>
    <w:p>
      <w:pPr>
        <w:pStyle w:val="TOC8"/>
        <w:rPr>
          <w:rFonts w:asciiTheme="minorHAnsi" w:eastAsiaTheme="minorEastAsia" w:hAnsiTheme="minorHAnsi" w:cstheme="minorBidi"/>
          <w:szCs w:val="22"/>
        </w:rPr>
      </w:pPr>
      <w:r>
        <w:t>129C</w:t>
      </w:r>
      <w:r>
        <w:rPr>
          <w:snapToGrid w:val="0"/>
        </w:rPr>
        <w:t>.</w:t>
      </w:r>
      <w:r>
        <w:rPr>
          <w:snapToGrid w:val="0"/>
        </w:rPr>
        <w:tab/>
        <w:t>Supreme Court’s powers as to easements etc.</w:t>
      </w:r>
      <w:r>
        <w:tab/>
      </w:r>
      <w:r>
        <w:fldChar w:fldCharType="begin"/>
      </w:r>
      <w:r>
        <w:instrText xml:space="preserve"> PAGEREF _Toc210129877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130</w:t>
      </w:r>
      <w:r>
        <w:rPr>
          <w:snapToGrid w:val="0"/>
        </w:rPr>
        <w:t>.</w:t>
      </w:r>
      <w:r>
        <w:rPr>
          <w:snapToGrid w:val="0"/>
        </w:rPr>
        <w:tab/>
        <w:t>Seal of corporation substitute for signature</w:t>
      </w:r>
      <w:r>
        <w:tab/>
      </w:r>
      <w:r>
        <w:fldChar w:fldCharType="begin"/>
      </w:r>
      <w:r>
        <w:instrText xml:space="preserve"> PAGEREF _Toc210129879 \h </w:instrText>
      </w:r>
      <w:r>
        <w:fldChar w:fldCharType="separate"/>
      </w:r>
      <w:r>
        <w:t>134</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Implied covenants and powers may be modified or negatived</w:t>
      </w:r>
      <w:r>
        <w:tab/>
      </w:r>
      <w:r>
        <w:fldChar w:fldCharType="begin"/>
      </w:r>
      <w:r>
        <w:instrText xml:space="preserve"> PAGEREF _Toc210129880 \h </w:instrText>
      </w:r>
      <w:r>
        <w:fldChar w:fldCharType="separate"/>
      </w:r>
      <w:r>
        <w:t>135</w:t>
      </w:r>
      <w:r>
        <w:fldChar w:fldCharType="end"/>
      </w:r>
    </w:p>
    <w:p>
      <w:pPr>
        <w:pStyle w:val="TOC8"/>
        <w:rPr>
          <w:rFonts w:asciiTheme="minorHAnsi" w:eastAsiaTheme="minorEastAsia" w:hAnsiTheme="minorHAnsi" w:cstheme="minorBidi"/>
          <w:szCs w:val="22"/>
        </w:rPr>
      </w:pPr>
      <w:r>
        <w:t>133.</w:t>
      </w:r>
      <w:r>
        <w:tab/>
        <w:t>Property (seizure and sale) order, registration of etc.</w:t>
      </w:r>
      <w:r>
        <w:tab/>
      </w:r>
      <w:r>
        <w:fldChar w:fldCharType="begin"/>
      </w:r>
      <w:r>
        <w:instrText xml:space="preserve"> PAGEREF _Toc210129881 \h </w:instrText>
      </w:r>
      <w:r>
        <w:fldChar w:fldCharType="separate"/>
      </w:r>
      <w:r>
        <w:t>135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Purchaser from registered proprietor not required to inquire into title and not affected by notice of unregistered interest etc.</w:t>
      </w:r>
      <w:r>
        <w:tab/>
      </w:r>
      <w:r>
        <w:fldChar w:fldCharType="begin"/>
      </w:r>
      <w:r>
        <w:instrText xml:space="preserve"> PAGEREF _Toc210129882 \h </w:instrText>
      </w:r>
      <w:r>
        <w:fldChar w:fldCharType="separate"/>
      </w:r>
      <w:r>
        <w:t>140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Transferee of tenant in tail may be registered for larger estate which tenant in tail can confer</w:t>
      </w:r>
      <w:r>
        <w:tab/>
      </w:r>
      <w:r>
        <w:fldChar w:fldCharType="begin"/>
      </w:r>
      <w:r>
        <w:instrText xml:space="preserve"> PAGEREF _Toc210129883 \h </w:instrText>
      </w:r>
      <w:r>
        <w:fldChar w:fldCharType="separate"/>
      </w:r>
      <w:r>
        <w:t>141</w:t>
      </w:r>
      <w:r>
        <w:fldChar w:fldCharType="end"/>
      </w:r>
    </w:p>
    <w:p>
      <w:pPr>
        <w:pStyle w:val="TOC8"/>
        <w:rPr>
          <w:rFonts w:asciiTheme="minorHAnsi" w:eastAsiaTheme="minorEastAsia" w:hAnsiTheme="minorHAnsi" w:cstheme="minorBidi"/>
          <w:szCs w:val="22"/>
        </w:rPr>
      </w:pPr>
      <w:r>
        <w:lastRenderedPageBreak/>
        <w:t>136</w:t>
      </w:r>
      <w:r>
        <w:rPr>
          <w:snapToGrid w:val="0"/>
        </w:rPr>
        <w:t>.</w:t>
      </w:r>
      <w:r>
        <w:rPr>
          <w:snapToGrid w:val="0"/>
        </w:rPr>
        <w:tab/>
        <w:t>Registrar to furnish plan showing land dealt with where memorandum on certificate does not describe the land</w:t>
      </w:r>
      <w:r>
        <w:tab/>
      </w:r>
      <w:r>
        <w:fldChar w:fldCharType="begin"/>
      </w:r>
      <w:r>
        <w:instrText xml:space="preserve"> PAGEREF _Toc210129884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IVA — Creation of easements and restrictive covenants by notations on subdivision plans and diagrams</w:t>
      </w:r>
    </w:p>
    <w:p>
      <w:pPr>
        <w:pStyle w:val="TOC8"/>
        <w:rPr>
          <w:rFonts w:asciiTheme="minorHAnsi" w:eastAsiaTheme="minorEastAsia" w:hAnsiTheme="minorHAnsi" w:cstheme="minorBidi"/>
          <w:szCs w:val="22"/>
        </w:rPr>
      </w:pPr>
      <w:r>
        <w:t>136A</w:t>
      </w:r>
      <w:r>
        <w:rPr>
          <w:snapToGrid w:val="0"/>
        </w:rPr>
        <w:t>.</w:t>
      </w:r>
      <w:r>
        <w:rPr>
          <w:snapToGrid w:val="0"/>
        </w:rPr>
        <w:tab/>
        <w:t>Term used: plan</w:t>
      </w:r>
      <w:r>
        <w:tab/>
      </w:r>
      <w:r>
        <w:fldChar w:fldCharType="begin"/>
      </w:r>
      <w:r>
        <w:instrText xml:space="preserve"> PAGEREF _Toc210129886 \h </w:instrText>
      </w:r>
      <w:r>
        <w:fldChar w:fldCharType="separate"/>
      </w:r>
      <w:r>
        <w:t>143</w:t>
      </w:r>
      <w:r>
        <w:fldChar w:fldCharType="end"/>
      </w:r>
    </w:p>
    <w:p>
      <w:pPr>
        <w:pStyle w:val="TOC8"/>
        <w:rPr>
          <w:rFonts w:asciiTheme="minorHAnsi" w:eastAsiaTheme="minorEastAsia" w:hAnsiTheme="minorHAnsi" w:cstheme="minorBidi"/>
          <w:szCs w:val="22"/>
        </w:rPr>
      </w:pPr>
      <w:r>
        <w:t>136B</w:t>
      </w:r>
      <w:r>
        <w:rPr>
          <w:snapToGrid w:val="0"/>
        </w:rPr>
        <w:t>.</w:t>
      </w:r>
      <w:r>
        <w:rPr>
          <w:snapToGrid w:val="0"/>
        </w:rPr>
        <w:tab/>
        <w:t>Application of this Part</w:t>
      </w:r>
      <w:r>
        <w:tab/>
      </w:r>
      <w:r>
        <w:fldChar w:fldCharType="begin"/>
      </w:r>
      <w:r>
        <w:instrText xml:space="preserve"> PAGEREF _Toc210129887 \h </w:instrText>
      </w:r>
      <w:r>
        <w:fldChar w:fldCharType="separate"/>
      </w:r>
      <w:r>
        <w:t>143</w:t>
      </w:r>
      <w:r>
        <w:fldChar w:fldCharType="end"/>
      </w:r>
    </w:p>
    <w:p>
      <w:pPr>
        <w:pStyle w:val="TOC8"/>
        <w:rPr>
          <w:rFonts w:asciiTheme="minorHAnsi" w:eastAsiaTheme="minorEastAsia" w:hAnsiTheme="minorHAnsi" w:cstheme="minorBidi"/>
          <w:szCs w:val="22"/>
        </w:rPr>
      </w:pPr>
      <w:r>
        <w:t>136C</w:t>
      </w:r>
      <w:r>
        <w:rPr>
          <w:snapToGrid w:val="0"/>
        </w:rPr>
        <w:t>.</w:t>
      </w:r>
      <w:r>
        <w:rPr>
          <w:snapToGrid w:val="0"/>
        </w:rPr>
        <w:tab/>
        <w:t>Notation of easements on subdivision plans</w:t>
      </w:r>
      <w:r>
        <w:tab/>
      </w:r>
      <w:r>
        <w:fldChar w:fldCharType="begin"/>
      </w:r>
      <w:r>
        <w:instrText xml:space="preserve"> PAGEREF _Toc210129888 \h </w:instrText>
      </w:r>
      <w:r>
        <w:fldChar w:fldCharType="separate"/>
      </w:r>
      <w:r>
        <w:t>143</w:t>
      </w:r>
      <w:r>
        <w:fldChar w:fldCharType="end"/>
      </w:r>
    </w:p>
    <w:p>
      <w:pPr>
        <w:pStyle w:val="TOC8"/>
        <w:rPr>
          <w:rFonts w:asciiTheme="minorHAnsi" w:eastAsiaTheme="minorEastAsia" w:hAnsiTheme="minorHAnsi" w:cstheme="minorBidi"/>
          <w:szCs w:val="22"/>
        </w:rPr>
      </w:pPr>
      <w:r>
        <w:t>136D</w:t>
      </w:r>
      <w:r>
        <w:rPr>
          <w:snapToGrid w:val="0"/>
        </w:rPr>
        <w:t>.</w:t>
      </w:r>
      <w:r>
        <w:rPr>
          <w:snapToGrid w:val="0"/>
        </w:rPr>
        <w:tab/>
        <w:t>Notation of restrictive covenants on subdivision plans</w:t>
      </w:r>
      <w:r>
        <w:tab/>
      </w:r>
      <w:r>
        <w:fldChar w:fldCharType="begin"/>
      </w:r>
      <w:r>
        <w:instrText xml:space="preserve"> PAGEREF _Toc210129889 \h </w:instrText>
      </w:r>
      <w:r>
        <w:fldChar w:fldCharType="separate"/>
      </w:r>
      <w:r>
        <w:t>145</w:t>
      </w:r>
      <w:r>
        <w:fldChar w:fldCharType="end"/>
      </w:r>
    </w:p>
    <w:p>
      <w:pPr>
        <w:pStyle w:val="TOC8"/>
        <w:rPr>
          <w:rFonts w:asciiTheme="minorHAnsi" w:eastAsiaTheme="minorEastAsia" w:hAnsiTheme="minorHAnsi" w:cstheme="minorBidi"/>
          <w:szCs w:val="22"/>
        </w:rPr>
      </w:pPr>
      <w:r>
        <w:t>136E</w:t>
      </w:r>
      <w:r>
        <w:rPr>
          <w:snapToGrid w:val="0"/>
        </w:rPr>
        <w:t>.</w:t>
      </w:r>
      <w:r>
        <w:rPr>
          <w:snapToGrid w:val="0"/>
        </w:rPr>
        <w:tab/>
        <w:t>Consent of certain persons required to creation of easements and restrictive covenants</w:t>
      </w:r>
      <w:r>
        <w:tab/>
      </w:r>
      <w:r>
        <w:fldChar w:fldCharType="begin"/>
      </w:r>
      <w:r>
        <w:instrText xml:space="preserve"> PAGEREF _Toc210129890 \h </w:instrText>
      </w:r>
      <w:r>
        <w:fldChar w:fldCharType="separate"/>
      </w:r>
      <w:r>
        <w:t>146</w:t>
      </w:r>
      <w:r>
        <w:fldChar w:fldCharType="end"/>
      </w:r>
    </w:p>
    <w:p>
      <w:pPr>
        <w:pStyle w:val="TOC8"/>
        <w:rPr>
          <w:rFonts w:asciiTheme="minorHAnsi" w:eastAsiaTheme="minorEastAsia" w:hAnsiTheme="minorHAnsi" w:cstheme="minorBidi"/>
          <w:szCs w:val="22"/>
        </w:rPr>
      </w:pPr>
      <w:r>
        <w:t>136F</w:t>
      </w:r>
      <w:r>
        <w:rPr>
          <w:snapToGrid w:val="0"/>
        </w:rPr>
        <w:t>.</w:t>
      </w:r>
      <w:r>
        <w:rPr>
          <w:snapToGrid w:val="0"/>
        </w:rPr>
        <w:tab/>
        <w:t>When easements and restrictive covenants under this Part have effect</w:t>
      </w:r>
      <w:r>
        <w:tab/>
      </w:r>
      <w:r>
        <w:fldChar w:fldCharType="begin"/>
      </w:r>
      <w:r>
        <w:instrText xml:space="preserve"> PAGEREF _Toc210129891 \h </w:instrText>
      </w:r>
      <w:r>
        <w:fldChar w:fldCharType="separate"/>
      </w:r>
      <w:r>
        <w:t>147</w:t>
      </w:r>
      <w:r>
        <w:fldChar w:fldCharType="end"/>
      </w:r>
    </w:p>
    <w:p>
      <w:pPr>
        <w:pStyle w:val="TOC8"/>
        <w:rPr>
          <w:rFonts w:asciiTheme="minorHAnsi" w:eastAsiaTheme="minorEastAsia" w:hAnsiTheme="minorHAnsi" w:cstheme="minorBidi"/>
          <w:szCs w:val="22"/>
        </w:rPr>
      </w:pPr>
      <w:r>
        <w:t>136G</w:t>
      </w:r>
      <w:r>
        <w:rPr>
          <w:snapToGrid w:val="0"/>
        </w:rPr>
        <w:t>.</w:t>
      </w:r>
      <w:r>
        <w:rPr>
          <w:snapToGrid w:val="0"/>
        </w:rPr>
        <w:tab/>
        <w:t>Easements and restrictive covenants under this Part may be effective for specified term only</w:t>
      </w:r>
      <w:r>
        <w:tab/>
      </w:r>
      <w:r>
        <w:fldChar w:fldCharType="begin"/>
      </w:r>
      <w:r>
        <w:instrText xml:space="preserve"> PAGEREF _Toc210129892 \h </w:instrText>
      </w:r>
      <w:r>
        <w:fldChar w:fldCharType="separate"/>
      </w:r>
      <w:r>
        <w:t>147</w:t>
      </w:r>
      <w:r>
        <w:fldChar w:fldCharType="end"/>
      </w:r>
    </w:p>
    <w:p>
      <w:pPr>
        <w:pStyle w:val="TOC8"/>
        <w:rPr>
          <w:rFonts w:asciiTheme="minorHAnsi" w:eastAsiaTheme="minorEastAsia" w:hAnsiTheme="minorHAnsi" w:cstheme="minorBidi"/>
          <w:szCs w:val="22"/>
        </w:rPr>
      </w:pPr>
      <w:r>
        <w:t>136H</w:t>
      </w:r>
      <w:r>
        <w:rPr>
          <w:snapToGrid w:val="0"/>
        </w:rPr>
        <w:t>.</w:t>
      </w:r>
      <w:r>
        <w:rPr>
          <w:snapToGrid w:val="0"/>
        </w:rPr>
        <w:tab/>
        <w:t>Easements and restrictive covenants under this Part may both burden and benefit land of same proprietor</w:t>
      </w:r>
      <w:r>
        <w:tab/>
      </w:r>
      <w:r>
        <w:fldChar w:fldCharType="begin"/>
      </w:r>
      <w:r>
        <w:instrText xml:space="preserve"> PAGEREF _Toc210129893 \h </w:instrText>
      </w:r>
      <w:r>
        <w:fldChar w:fldCharType="separate"/>
      </w:r>
      <w:r>
        <w:t>147</w:t>
      </w:r>
      <w:r>
        <w:fldChar w:fldCharType="end"/>
      </w:r>
    </w:p>
    <w:p>
      <w:pPr>
        <w:pStyle w:val="TOC8"/>
        <w:rPr>
          <w:rFonts w:asciiTheme="minorHAnsi" w:eastAsiaTheme="minorEastAsia" w:hAnsiTheme="minorHAnsi" w:cstheme="minorBidi"/>
          <w:szCs w:val="22"/>
        </w:rPr>
      </w:pPr>
      <w:r>
        <w:t>136I</w:t>
      </w:r>
      <w:r>
        <w:rPr>
          <w:snapToGrid w:val="0"/>
        </w:rPr>
        <w:t>.</w:t>
      </w:r>
      <w:r>
        <w:rPr>
          <w:snapToGrid w:val="0"/>
        </w:rPr>
        <w:tab/>
        <w:t>Recordings in Register</w:t>
      </w:r>
      <w:r>
        <w:tab/>
      </w:r>
      <w:r>
        <w:fldChar w:fldCharType="begin"/>
      </w:r>
      <w:r>
        <w:instrText xml:space="preserve"> PAGEREF _Toc210129894 \h </w:instrText>
      </w:r>
      <w:r>
        <w:fldChar w:fldCharType="separate"/>
      </w:r>
      <w:r>
        <w:t>148</w:t>
      </w:r>
      <w:r>
        <w:fldChar w:fldCharType="end"/>
      </w:r>
    </w:p>
    <w:p>
      <w:pPr>
        <w:pStyle w:val="TOC8"/>
        <w:rPr>
          <w:rFonts w:asciiTheme="minorHAnsi" w:eastAsiaTheme="minorEastAsia" w:hAnsiTheme="minorHAnsi" w:cstheme="minorBidi"/>
          <w:szCs w:val="22"/>
        </w:rPr>
      </w:pPr>
      <w:r>
        <w:t>136J</w:t>
      </w:r>
      <w:r>
        <w:rPr>
          <w:snapToGrid w:val="0"/>
        </w:rPr>
        <w:t>.</w:t>
      </w:r>
      <w:r>
        <w:rPr>
          <w:snapToGrid w:val="0"/>
        </w:rPr>
        <w:tab/>
        <w:t>Discharge and modification of easements and restrictive covenants under this Part</w:t>
      </w:r>
      <w:r>
        <w:tab/>
      </w:r>
      <w:r>
        <w:fldChar w:fldCharType="begin"/>
      </w:r>
      <w:r>
        <w:instrText xml:space="preserve"> PAGEREF _Toc210129895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V — Caveats</w:t>
      </w:r>
    </w:p>
    <w:p>
      <w:pPr>
        <w:pStyle w:val="TOC8"/>
        <w:rPr>
          <w:rFonts w:asciiTheme="minorHAnsi" w:eastAsiaTheme="minorEastAsia" w:hAnsiTheme="minorHAnsi" w:cstheme="minorBidi"/>
          <w:szCs w:val="22"/>
        </w:rPr>
      </w:pPr>
      <w:r>
        <w:t>136K</w:t>
      </w:r>
      <w:r>
        <w:rPr>
          <w:snapToGrid w:val="0"/>
        </w:rPr>
        <w:t>.</w:t>
      </w:r>
      <w:r>
        <w:rPr>
          <w:snapToGrid w:val="0"/>
        </w:rPr>
        <w:tab/>
        <w:t>Term used: section 138A caveat; application of this Part</w:t>
      </w:r>
      <w:r>
        <w:tab/>
      </w:r>
      <w:r>
        <w:fldChar w:fldCharType="begin"/>
      </w:r>
      <w:r>
        <w:instrText xml:space="preserve"> PAGEREF _Toc210129897 \h </w:instrText>
      </w:r>
      <w:r>
        <w:fldChar w:fldCharType="separate"/>
      </w:r>
      <w:r>
        <w:t>151</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Lodging caveats for land already under this Act</w:t>
      </w:r>
      <w:r>
        <w:tab/>
      </w:r>
      <w:r>
        <w:fldChar w:fldCharType="begin"/>
      </w:r>
      <w:r>
        <w:instrText xml:space="preserve"> PAGEREF _Toc210129898 \h </w:instrText>
      </w:r>
      <w:r>
        <w:fldChar w:fldCharType="separate"/>
      </w:r>
      <w:r>
        <w:t>151</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Consequences of lodging caveat</w:t>
      </w:r>
      <w:r>
        <w:tab/>
      </w:r>
      <w:r>
        <w:fldChar w:fldCharType="begin"/>
      </w:r>
      <w:r>
        <w:instrText xml:space="preserve"> PAGEREF _Toc210129899 \h </w:instrText>
      </w:r>
      <w:r>
        <w:fldChar w:fldCharType="separate"/>
      </w:r>
      <w:r>
        <w:t>153</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Caveats to which s. 138B to 138D apply</w:t>
      </w:r>
      <w:r>
        <w:tab/>
      </w:r>
      <w:r>
        <w:fldChar w:fldCharType="begin"/>
      </w:r>
      <w:r>
        <w:instrText xml:space="preserve"> PAGEREF _Toc210129900 \h </w:instrText>
      </w:r>
      <w:r>
        <w:fldChar w:fldCharType="separate"/>
      </w:r>
      <w:r>
        <w:t>154</w:t>
      </w:r>
      <w:r>
        <w:fldChar w:fldCharType="end"/>
      </w:r>
    </w:p>
    <w:p>
      <w:pPr>
        <w:pStyle w:val="TOC8"/>
        <w:rPr>
          <w:rFonts w:asciiTheme="minorHAnsi" w:eastAsiaTheme="minorEastAsia" w:hAnsiTheme="minorHAnsi" w:cstheme="minorBidi"/>
          <w:szCs w:val="22"/>
        </w:rPr>
      </w:pPr>
      <w:r>
        <w:t>138B</w:t>
      </w:r>
      <w:r>
        <w:rPr>
          <w:snapToGrid w:val="0"/>
        </w:rPr>
        <w:t>.</w:t>
      </w:r>
      <w:r>
        <w:rPr>
          <w:snapToGrid w:val="0"/>
        </w:rPr>
        <w:tab/>
        <w:t>Requiring caveator to seek court order extending s. 138A caveat</w:t>
      </w:r>
      <w:r>
        <w:tab/>
      </w:r>
      <w:r>
        <w:fldChar w:fldCharType="begin"/>
      </w:r>
      <w:r>
        <w:instrText xml:space="preserve"> PAGEREF _Toc210129901 \h </w:instrText>
      </w:r>
      <w:r>
        <w:fldChar w:fldCharType="separate"/>
      </w:r>
      <w:r>
        <w:t>154</w:t>
      </w:r>
      <w:r>
        <w:fldChar w:fldCharType="end"/>
      </w:r>
    </w:p>
    <w:p>
      <w:pPr>
        <w:pStyle w:val="TOC8"/>
        <w:rPr>
          <w:rFonts w:asciiTheme="minorHAnsi" w:eastAsiaTheme="minorEastAsia" w:hAnsiTheme="minorHAnsi" w:cstheme="minorBidi"/>
          <w:szCs w:val="22"/>
        </w:rPr>
      </w:pPr>
      <w:r>
        <w:t>138C</w:t>
      </w:r>
      <w:r>
        <w:rPr>
          <w:snapToGrid w:val="0"/>
        </w:rPr>
        <w:t>.</w:t>
      </w:r>
      <w:r>
        <w:rPr>
          <w:snapToGrid w:val="0"/>
        </w:rPr>
        <w:tab/>
        <w:t>Supreme Court’s powers on application by caveator</w:t>
      </w:r>
      <w:r>
        <w:tab/>
      </w:r>
      <w:r>
        <w:fldChar w:fldCharType="begin"/>
      </w:r>
      <w:r>
        <w:instrText xml:space="preserve"> PAGEREF _Toc210129902 \h </w:instrText>
      </w:r>
      <w:r>
        <w:fldChar w:fldCharType="separate"/>
      </w:r>
      <w:r>
        <w:t>155</w:t>
      </w:r>
      <w:r>
        <w:fldChar w:fldCharType="end"/>
      </w:r>
    </w:p>
    <w:p>
      <w:pPr>
        <w:pStyle w:val="TOC8"/>
        <w:rPr>
          <w:rFonts w:asciiTheme="minorHAnsi" w:eastAsiaTheme="minorEastAsia" w:hAnsiTheme="minorHAnsi" w:cstheme="minorBidi"/>
          <w:szCs w:val="22"/>
        </w:rPr>
      </w:pPr>
      <w:r>
        <w:t>138D</w:t>
      </w:r>
      <w:r>
        <w:rPr>
          <w:snapToGrid w:val="0"/>
        </w:rPr>
        <w:t>.</w:t>
      </w:r>
      <w:r>
        <w:rPr>
          <w:snapToGrid w:val="0"/>
        </w:rPr>
        <w:tab/>
        <w:t>Restrictions on caveators lodging further s. 138A caveats</w:t>
      </w:r>
      <w:r>
        <w:tab/>
      </w:r>
      <w:r>
        <w:fldChar w:fldCharType="begin"/>
      </w:r>
      <w:r>
        <w:instrText xml:space="preserve"> PAGEREF _Toc210129903 \h </w:instrText>
      </w:r>
      <w:r>
        <w:fldChar w:fldCharType="separate"/>
      </w:r>
      <w:r>
        <w:t>156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Effect of caveats</w:t>
      </w:r>
      <w:r>
        <w:tab/>
      </w:r>
      <w:r>
        <w:fldChar w:fldCharType="begin"/>
      </w:r>
      <w:r>
        <w:instrText xml:space="preserve"> PAGEREF _Toc210129904 \h </w:instrText>
      </w:r>
      <w:r>
        <w:fldChar w:fldCharType="separate"/>
      </w:r>
      <w:r>
        <w:t>157</w:t>
      </w:r>
      <w:r>
        <w:fldChar w:fldCharType="end"/>
      </w:r>
    </w:p>
    <w:p>
      <w:pPr>
        <w:pStyle w:val="TOC8"/>
        <w:rPr>
          <w:rFonts w:asciiTheme="minorHAnsi" w:eastAsiaTheme="minorEastAsia" w:hAnsiTheme="minorHAnsi" w:cstheme="minorBidi"/>
          <w:szCs w:val="22"/>
        </w:rPr>
      </w:pPr>
      <w:r>
        <w:lastRenderedPageBreak/>
        <w:t>140</w:t>
      </w:r>
      <w:r>
        <w:rPr>
          <w:snapToGrid w:val="0"/>
        </w:rPr>
        <w:t>.</w:t>
      </w:r>
      <w:r>
        <w:rPr>
          <w:snapToGrid w:val="0"/>
        </w:rPr>
        <w:tab/>
        <w:t>Compensation for caveat lodged without reasonable cause</w:t>
      </w:r>
      <w:r>
        <w:tab/>
      </w:r>
      <w:r>
        <w:fldChar w:fldCharType="begin"/>
      </w:r>
      <w:r>
        <w:instrText xml:space="preserve"> PAGEREF _Toc210129905 \h </w:instrText>
      </w:r>
      <w:r>
        <w:fldChar w:fldCharType="separate"/>
      </w:r>
      <w:r>
        <w:t>158</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Registrar’s duties when caveat lodged or lapses</w:t>
      </w:r>
      <w:r>
        <w:tab/>
      </w:r>
      <w:r>
        <w:fldChar w:fldCharType="begin"/>
      </w:r>
      <w:r>
        <w:instrText xml:space="preserve"> PAGEREF _Toc210129906 \h </w:instrText>
      </w:r>
      <w:r>
        <w:fldChar w:fldCharType="separate"/>
      </w:r>
      <w:r>
        <w:t>158</w:t>
      </w:r>
      <w:r>
        <w:fldChar w:fldCharType="end"/>
      </w:r>
    </w:p>
    <w:p>
      <w:pPr>
        <w:pStyle w:val="TOC8"/>
        <w:rPr>
          <w:rFonts w:asciiTheme="minorHAnsi" w:eastAsiaTheme="minorEastAsia" w:hAnsiTheme="minorHAnsi" w:cstheme="minorBidi"/>
          <w:szCs w:val="22"/>
        </w:rPr>
      </w:pPr>
      <w:r>
        <w:t>141A</w:t>
      </w:r>
      <w:r>
        <w:rPr>
          <w:snapToGrid w:val="0"/>
        </w:rPr>
        <w:t>.</w:t>
      </w:r>
      <w:r>
        <w:rPr>
          <w:snapToGrid w:val="0"/>
        </w:rPr>
        <w:tab/>
        <w:t>Requiring caveators to withdraw caveats or substantiate their claims</w:t>
      </w:r>
      <w:r>
        <w:tab/>
      </w:r>
      <w:r>
        <w:fldChar w:fldCharType="begin"/>
      </w:r>
      <w:r>
        <w:instrText xml:space="preserve"> PAGEREF _Toc210129907 \h </w:instrText>
      </w:r>
      <w:r>
        <w:fldChar w:fldCharType="separate"/>
      </w:r>
      <w:r>
        <w:t>158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Caveat on behalf of beneficiary under will or settlement does not bar registration in certain cases</w:t>
      </w:r>
      <w:r>
        <w:tab/>
      </w:r>
      <w:r>
        <w:fldChar w:fldCharType="begin"/>
      </w:r>
      <w:r>
        <w:instrText xml:space="preserve"> PAGEREF _Toc210129908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VI — Powers of attorney and attestation of instruments</w:t>
      </w:r>
    </w:p>
    <w:p>
      <w:pPr>
        <w:pStyle w:val="TOC8"/>
        <w:rPr>
          <w:rFonts w:asciiTheme="minorHAnsi" w:eastAsiaTheme="minorEastAsia" w:hAnsiTheme="minorHAnsi" w:cstheme="minorBidi"/>
          <w:szCs w:val="22"/>
        </w:rPr>
      </w:pPr>
      <w:r>
        <w:t>143</w:t>
      </w:r>
      <w:r>
        <w:rPr>
          <w:snapToGrid w:val="0"/>
        </w:rPr>
        <w:t>.</w:t>
      </w:r>
      <w:r>
        <w:rPr>
          <w:snapToGrid w:val="0"/>
        </w:rPr>
        <w:tab/>
        <w:t>Powers of attorney, creation and filing of</w:t>
      </w:r>
      <w:r>
        <w:tab/>
      </w:r>
      <w:r>
        <w:fldChar w:fldCharType="begin"/>
      </w:r>
      <w:r>
        <w:instrText xml:space="preserve"> PAGEREF _Toc210129910 \h </w:instrText>
      </w:r>
      <w:r>
        <w:fldChar w:fldCharType="separate"/>
      </w:r>
      <w:r>
        <w:t>161</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Powers of attorney, effect of</w:t>
      </w:r>
      <w:r>
        <w:tab/>
      </w:r>
      <w:r>
        <w:fldChar w:fldCharType="begin"/>
      </w:r>
      <w:r>
        <w:instrText xml:space="preserve"> PAGEREF _Toc210129911 \h </w:instrText>
      </w:r>
      <w:r>
        <w:fldChar w:fldCharType="separate"/>
      </w:r>
      <w:r>
        <w:t>162</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Signatures on documents, witnessing requirements</w:t>
      </w:r>
      <w:r>
        <w:tab/>
      </w:r>
      <w:r>
        <w:fldChar w:fldCharType="begin"/>
      </w:r>
      <w:r>
        <w:instrText xml:space="preserve"> PAGEREF _Toc210129912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Part VII — Search certificates and stay orders</w:t>
      </w:r>
    </w:p>
    <w:p>
      <w:pPr>
        <w:pStyle w:val="TOC8"/>
        <w:rPr>
          <w:rFonts w:asciiTheme="minorHAnsi" w:eastAsiaTheme="minorEastAsia" w:hAnsiTheme="minorHAnsi" w:cstheme="minorBidi"/>
          <w:szCs w:val="22"/>
        </w:rPr>
      </w:pPr>
      <w:r>
        <w:t>146</w:t>
      </w:r>
      <w:r>
        <w:rPr>
          <w:snapToGrid w:val="0"/>
        </w:rPr>
        <w:t>.</w:t>
      </w:r>
      <w:r>
        <w:rPr>
          <w:snapToGrid w:val="0"/>
        </w:rPr>
        <w:tab/>
        <w:t>Finding out whether proprietor is free to deal with land</w:t>
      </w:r>
      <w:r>
        <w:tab/>
      </w:r>
      <w:r>
        <w:fldChar w:fldCharType="begin"/>
      </w:r>
      <w:r>
        <w:instrText xml:space="preserve"> PAGEREF _Toc210129914 \h </w:instrText>
      </w:r>
      <w:r>
        <w:fldChar w:fldCharType="separate"/>
      </w:r>
      <w:r>
        <w:t>165</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Person issued search certificate under s. 146 entitled to inspect certificate of title</w:t>
      </w:r>
      <w:r>
        <w:tab/>
      </w:r>
      <w:r>
        <w:fldChar w:fldCharType="begin"/>
      </w:r>
      <w:r>
        <w:instrText xml:space="preserve"> PAGEREF _Toc210129915 \h </w:instrText>
      </w:r>
      <w:r>
        <w:fldChar w:fldCharType="separate"/>
      </w:r>
      <w:r>
        <w:t>165</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Person proposing to deal with proprietor may obtain stay of registration for 48 hours if title is clear</w:t>
      </w:r>
      <w:r>
        <w:tab/>
      </w:r>
      <w:r>
        <w:fldChar w:fldCharType="begin"/>
      </w:r>
      <w:r>
        <w:instrText xml:space="preserve"> PAGEREF _Toc210129916 \h </w:instrText>
      </w:r>
      <w:r>
        <w:fldChar w:fldCharType="separate"/>
      </w:r>
      <w:r>
        <w:t>165</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Instrument effecting proposed dealing entitled to priority if lodged within 48 hour stay granted under s. 148</w:t>
      </w:r>
      <w:r>
        <w:tab/>
      </w:r>
      <w:r>
        <w:fldChar w:fldCharType="begin"/>
      </w:r>
      <w:r>
        <w:instrText xml:space="preserve"> PAGEREF _Toc210129917 \h </w:instrText>
      </w:r>
      <w:r>
        <w:fldChar w:fldCharType="separate"/>
      </w:r>
      <w:r>
        <w:t>166</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Other instruments received in the 48 hours to have usual priority if proposed dealing not lodged under s. 149</w:t>
      </w:r>
      <w:r>
        <w:tab/>
      </w:r>
      <w:r>
        <w:fldChar w:fldCharType="begin"/>
      </w:r>
      <w:r>
        <w:instrText xml:space="preserve"> PAGEREF _Toc210129918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VIII — Surveys, plans, parcels and boundaries</w:t>
      </w:r>
    </w:p>
    <w:p>
      <w:pPr>
        <w:pStyle w:val="TOC8"/>
        <w:rPr>
          <w:rFonts w:asciiTheme="minorHAnsi" w:eastAsiaTheme="minorEastAsia" w:hAnsiTheme="minorHAnsi" w:cstheme="minorBidi"/>
          <w:szCs w:val="22"/>
        </w:rPr>
      </w:pPr>
      <w:r>
        <w:t>151</w:t>
      </w:r>
      <w:r>
        <w:rPr>
          <w:snapToGrid w:val="0"/>
        </w:rPr>
        <w:t>.</w:t>
      </w:r>
      <w:r>
        <w:rPr>
          <w:snapToGrid w:val="0"/>
        </w:rPr>
        <w:tab/>
        <w:t>Crown survey boundaries as marked on ground are true boundaries</w:t>
      </w:r>
      <w:r>
        <w:tab/>
      </w:r>
      <w:r>
        <w:fldChar w:fldCharType="begin"/>
      </w:r>
      <w:r>
        <w:instrText xml:space="preserve"> PAGEREF _Toc210129920 \h </w:instrText>
      </w:r>
      <w:r>
        <w:fldChar w:fldCharType="separate"/>
      </w:r>
      <w:r>
        <w:t>167</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Crown grant or lease conveys land within survey boundaries</w:t>
      </w:r>
      <w:r>
        <w:tab/>
      </w:r>
      <w:r>
        <w:fldChar w:fldCharType="begin"/>
      </w:r>
      <w:r>
        <w:instrText xml:space="preserve"> PAGEREF _Toc210129921 \h </w:instrText>
      </w:r>
      <w:r>
        <w:fldChar w:fldCharType="separate"/>
      </w:r>
      <w:r>
        <w:t>167</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Aliquot parts of Crown section having excess of area</w:t>
      </w:r>
      <w:r>
        <w:tab/>
      </w:r>
      <w:r>
        <w:fldChar w:fldCharType="begin"/>
      </w:r>
      <w:r>
        <w:instrText xml:space="preserve"> PAGEREF _Toc210129922 \h </w:instrText>
      </w:r>
      <w:r>
        <w:fldChar w:fldCharType="separate"/>
      </w:r>
      <w:r>
        <w:t>168</w:t>
      </w:r>
      <w:r>
        <w:fldChar w:fldCharType="end"/>
      </w:r>
    </w:p>
    <w:p>
      <w:pPr>
        <w:pStyle w:val="TOC8"/>
        <w:rPr>
          <w:rFonts w:asciiTheme="minorHAnsi" w:eastAsiaTheme="minorEastAsia" w:hAnsiTheme="minorHAnsi" w:cstheme="minorBidi"/>
          <w:szCs w:val="22"/>
        </w:rPr>
      </w:pPr>
      <w:r>
        <w:lastRenderedPageBreak/>
        <w:t>153A</w:t>
      </w:r>
      <w:r>
        <w:rPr>
          <w:snapToGrid w:val="0"/>
        </w:rPr>
        <w:t>.</w:t>
      </w:r>
      <w:r>
        <w:rPr>
          <w:snapToGrid w:val="0"/>
        </w:rPr>
        <w:tab/>
        <w:t>Land not in grant etc. but included in certificate due to error in survey may be deemed included in grant etc.</w:t>
      </w:r>
      <w:r>
        <w:tab/>
      </w:r>
      <w:r>
        <w:fldChar w:fldCharType="begin"/>
      </w:r>
      <w:r>
        <w:instrText xml:space="preserve"> PAGEREF _Toc210129923 \h </w:instrText>
      </w:r>
      <w:r>
        <w:fldChar w:fldCharType="separate"/>
      </w:r>
      <w:r>
        <w:t>168</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How boundaries may be proved in absence of survey marks</w:t>
      </w:r>
      <w:r>
        <w:tab/>
      </w:r>
      <w:r>
        <w:fldChar w:fldCharType="begin"/>
      </w:r>
      <w:r>
        <w:instrText xml:space="preserve"> PAGEREF _Toc210129924 \h </w:instrText>
      </w:r>
      <w:r>
        <w:fldChar w:fldCharType="separate"/>
      </w:r>
      <w:r>
        <w:t>169</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Margin of error allowed in description of boundaries</w:t>
      </w:r>
      <w:r>
        <w:tab/>
      </w:r>
      <w:r>
        <w:fldChar w:fldCharType="begin"/>
      </w:r>
      <w:r>
        <w:instrText xml:space="preserve"> PAGEREF _Toc210129925 \h </w:instrText>
      </w:r>
      <w:r>
        <w:fldChar w:fldCharType="separate"/>
      </w:r>
      <w:r>
        <w:t>170</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Commissioner may require special survey of land</w:t>
      </w:r>
      <w:r>
        <w:tab/>
      </w:r>
      <w:r>
        <w:fldChar w:fldCharType="begin"/>
      </w:r>
      <w:r>
        <w:instrText xml:space="preserve"> PAGEREF _Toc210129926 \h </w:instrText>
      </w:r>
      <w:r>
        <w:fldChar w:fldCharType="separate"/>
      </w:r>
      <w:r>
        <w:t>170</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Commissioner may require accuracy of survey to be verified</w:t>
      </w:r>
      <w:r>
        <w:tab/>
      </w:r>
      <w:r>
        <w:fldChar w:fldCharType="begin"/>
      </w:r>
      <w:r>
        <w:instrText xml:space="preserve"> PAGEREF _Toc210129927 \h </w:instrText>
      </w:r>
      <w:r>
        <w:fldChar w:fldCharType="separate"/>
      </w:r>
      <w:r>
        <w:t>171</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Commissioner may disregard minute errors of dimensions</w:t>
      </w:r>
      <w:r>
        <w:tab/>
      </w:r>
      <w:r>
        <w:fldChar w:fldCharType="begin"/>
      </w:r>
      <w:r>
        <w:instrText xml:space="preserve"> PAGEREF _Toc210129928 \h </w:instrText>
      </w:r>
      <w:r>
        <w:fldChar w:fldCharType="separate"/>
      </w:r>
      <w:r>
        <w:t>171</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Excess land may be apportioned between different owners or proprietors</w:t>
      </w:r>
      <w:r>
        <w:tab/>
      </w:r>
      <w:r>
        <w:fldChar w:fldCharType="begin"/>
      </w:r>
      <w:r>
        <w:instrText xml:space="preserve"> PAGEREF _Toc210129929 \h </w:instrText>
      </w:r>
      <w:r>
        <w:fldChar w:fldCharType="separate"/>
      </w:r>
      <w:r>
        <w:t>172</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Commissioner’s powers where boundaries unclear in subdivision</w:t>
      </w:r>
      <w:r>
        <w:tab/>
      </w:r>
      <w:r>
        <w:fldChar w:fldCharType="begin"/>
      </w:r>
      <w:r>
        <w:instrText xml:space="preserve"> PAGEREF _Toc210129930 \h </w:instrText>
      </w:r>
      <w:r>
        <w:fldChar w:fldCharType="separate"/>
      </w:r>
      <w:r>
        <w:t>172</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Plan to be made of subdivision proposed under s. 160</w:t>
      </w:r>
      <w:r>
        <w:tab/>
      </w:r>
      <w:r>
        <w:fldChar w:fldCharType="begin"/>
      </w:r>
      <w:r>
        <w:instrText xml:space="preserve"> PAGEREF _Toc210129931 \h </w:instrText>
      </w:r>
      <w:r>
        <w:fldChar w:fldCharType="separate"/>
      </w:r>
      <w:r>
        <w:t>174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Subdivision proposed under s. 160 to be advertised etc.</w:t>
      </w:r>
      <w:r>
        <w:tab/>
      </w:r>
      <w:r>
        <w:fldChar w:fldCharType="begin"/>
      </w:r>
      <w:r>
        <w:instrText xml:space="preserve"> PAGEREF _Toc210129932 \h </w:instrText>
      </w:r>
      <w:r>
        <w:fldChar w:fldCharType="separate"/>
      </w:r>
      <w:r>
        <w:t>174</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Finalised subdivision, verification and effect of plan of</w:t>
      </w:r>
      <w:r>
        <w:tab/>
      </w:r>
      <w:r>
        <w:fldChar w:fldCharType="begin"/>
      </w:r>
      <w:r>
        <w:instrText xml:space="preserve"> PAGEREF _Toc210129933 \h </w:instrText>
      </w:r>
      <w:r>
        <w:fldChar w:fldCharType="separate"/>
      </w:r>
      <w:r>
        <w:t>174</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Public notice to be given of finalised subdivision and plan</w:t>
      </w:r>
      <w:r>
        <w:tab/>
      </w:r>
      <w:r>
        <w:fldChar w:fldCharType="begin"/>
      </w:r>
      <w:r>
        <w:instrText xml:space="preserve"> PAGEREF _Toc210129934 \h </w:instrText>
      </w:r>
      <w:r>
        <w:fldChar w:fldCharType="separate"/>
      </w:r>
      <w:r>
        <w:t>175</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Expense of survey ordered under s. 160, how paid</w:t>
      </w:r>
      <w:r>
        <w:tab/>
      </w:r>
      <w:r>
        <w:fldChar w:fldCharType="begin"/>
      </w:r>
      <w:r>
        <w:instrText xml:space="preserve"> PAGEREF _Toc210129935 \h </w:instrText>
      </w:r>
      <w:r>
        <w:fldChar w:fldCharType="separate"/>
      </w:r>
      <w:r>
        <w:t>175</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New certificates of title on subdivision of land</w:t>
      </w:r>
      <w:r>
        <w:tab/>
      </w:r>
      <w:r>
        <w:fldChar w:fldCharType="begin"/>
      </w:r>
      <w:r>
        <w:instrText xml:space="preserve"> PAGEREF _Toc210129936 \h </w:instrText>
      </w:r>
      <w:r>
        <w:fldChar w:fldCharType="separate"/>
      </w:r>
      <w:r>
        <w:t>176</w:t>
      </w:r>
      <w:r>
        <w:fldChar w:fldCharType="end"/>
      </w:r>
    </w:p>
    <w:p>
      <w:pPr>
        <w:pStyle w:val="TOC8"/>
        <w:rPr>
          <w:rFonts w:asciiTheme="minorHAnsi" w:eastAsiaTheme="minorEastAsia" w:hAnsiTheme="minorHAnsi" w:cstheme="minorBidi"/>
          <w:szCs w:val="22"/>
        </w:rPr>
      </w:pPr>
      <w:r>
        <w:t>166A.</w:t>
      </w:r>
      <w:r>
        <w:tab/>
        <w:t>Subdivisions of Crown land</w:t>
      </w:r>
      <w:r>
        <w:tab/>
      </w:r>
      <w:r>
        <w:fldChar w:fldCharType="begin"/>
      </w:r>
      <w:r>
        <w:instrText xml:space="preserve"> PAGEREF _Toc210129937 \h </w:instrText>
      </w:r>
      <w:r>
        <w:fldChar w:fldCharType="separate"/>
      </w:r>
      <w:r>
        <w:t>177</w:t>
      </w:r>
      <w:r>
        <w:fldChar w:fldCharType="end"/>
      </w:r>
    </w:p>
    <w:p>
      <w:pPr>
        <w:pStyle w:val="TOC8"/>
        <w:rPr>
          <w:rFonts w:asciiTheme="minorHAnsi" w:eastAsiaTheme="minorEastAsia" w:hAnsiTheme="minorHAnsi" w:cstheme="minorBidi"/>
          <w:szCs w:val="22"/>
        </w:rPr>
      </w:pPr>
      <w:r>
        <w:t>166B.</w:t>
      </w:r>
      <w:r>
        <w:tab/>
        <w:t>Subsidiary certificates of Crown land title</w:t>
      </w:r>
      <w:r>
        <w:tab/>
      </w:r>
      <w:r>
        <w:fldChar w:fldCharType="begin"/>
      </w:r>
      <w:r>
        <w:instrText xml:space="preserve"> PAGEREF _Toc210129938 \h </w:instrText>
      </w:r>
      <w:r>
        <w:fldChar w:fldCharType="separate"/>
      </w:r>
      <w:r>
        <w:t>178</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Number of allotment on plan of subdivision sufficient description for purposes of dealing</w:t>
      </w:r>
      <w:r>
        <w:tab/>
      </w:r>
      <w:r>
        <w:fldChar w:fldCharType="begin"/>
      </w:r>
      <w:r>
        <w:instrText xml:space="preserve"> PAGEREF _Toc210129939 \h </w:instrText>
      </w:r>
      <w:r>
        <w:fldChar w:fldCharType="separate"/>
      </w:r>
      <w:r>
        <w:t>178</w:t>
      </w:r>
      <w:r>
        <w:fldChar w:fldCharType="end"/>
      </w:r>
    </w:p>
    <w:p>
      <w:pPr>
        <w:pStyle w:val="TOC8"/>
        <w:rPr>
          <w:rFonts w:asciiTheme="minorHAnsi" w:eastAsiaTheme="minorEastAsia" w:hAnsiTheme="minorHAnsi" w:cstheme="minorBidi"/>
          <w:szCs w:val="22"/>
        </w:rPr>
      </w:pPr>
      <w:r>
        <w:t>167A</w:t>
      </w:r>
      <w:r>
        <w:rPr>
          <w:snapToGrid w:val="0"/>
        </w:rPr>
        <w:t>.</w:t>
      </w:r>
      <w:r>
        <w:rPr>
          <w:snapToGrid w:val="0"/>
        </w:rPr>
        <w:tab/>
        <w:t>Rights of way generally not public ways or thoroughfares</w:t>
      </w:r>
      <w:r>
        <w:tab/>
      </w:r>
      <w:r>
        <w:fldChar w:fldCharType="begin"/>
      </w:r>
      <w:r>
        <w:instrText xml:space="preserve"> PAGEREF _Toc210129940 \h </w:instrText>
      </w:r>
      <w:r>
        <w:fldChar w:fldCharType="separate"/>
      </w:r>
      <w:r>
        <w:t>178</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Abuttals may be used in description of land in certificate</w:t>
      </w:r>
      <w:r>
        <w:tab/>
      </w:r>
      <w:r>
        <w:fldChar w:fldCharType="begin"/>
      </w:r>
      <w:r>
        <w:instrText xml:space="preserve"> PAGEREF _Toc210129941 \h </w:instrText>
      </w:r>
      <w:r>
        <w:fldChar w:fldCharType="separate"/>
      </w:r>
      <w:r>
        <w:t>179</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Objects which may constitute abuttals</w:t>
      </w:r>
      <w:r>
        <w:tab/>
      </w:r>
      <w:r>
        <w:fldChar w:fldCharType="begin"/>
      </w:r>
      <w:r>
        <w:instrText xml:space="preserve"> PAGEREF _Toc210129942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IX — Amendment of certificates and amendment or replacement of graphics</w:t>
      </w:r>
    </w:p>
    <w:p>
      <w:pPr>
        <w:pStyle w:val="TOC8"/>
        <w:rPr>
          <w:rFonts w:asciiTheme="minorHAnsi" w:eastAsiaTheme="minorEastAsia" w:hAnsiTheme="minorHAnsi" w:cstheme="minorBidi"/>
          <w:szCs w:val="22"/>
        </w:rPr>
      </w:pPr>
      <w:r>
        <w:t>169A.</w:t>
      </w:r>
      <w:r>
        <w:tab/>
        <w:t>Only Minister for Lands may alter areas, boundaries or positions of parcels of Crown land</w:t>
      </w:r>
      <w:r>
        <w:tab/>
      </w:r>
      <w:r>
        <w:fldChar w:fldCharType="begin"/>
      </w:r>
      <w:r>
        <w:instrText xml:space="preserve"> PAGEREF _Toc210129944 \h </w:instrText>
      </w:r>
      <w:r>
        <w:fldChar w:fldCharType="separate"/>
      </w:r>
      <w:r>
        <w:t>181</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Proprietor may apply for amendment of certificate to make boundaries coincide with land occupied under certificate</w:t>
      </w:r>
      <w:r>
        <w:tab/>
      </w:r>
      <w:r>
        <w:fldChar w:fldCharType="begin"/>
      </w:r>
      <w:r>
        <w:instrText xml:space="preserve"> PAGEREF _Toc210129945 \h </w:instrText>
      </w:r>
      <w:r>
        <w:fldChar w:fldCharType="separate"/>
      </w:r>
      <w:r>
        <w:t>181</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Proprietor may apply to have other certificates amended where inconsistent with description of land in his certificate and occupied by him</w:t>
      </w:r>
      <w:r>
        <w:tab/>
      </w:r>
      <w:r>
        <w:fldChar w:fldCharType="begin"/>
      </w:r>
      <w:r>
        <w:instrText xml:space="preserve"> PAGEREF _Toc210129946 \h </w:instrText>
      </w:r>
      <w:r>
        <w:fldChar w:fldCharType="separate"/>
      </w:r>
      <w:r>
        <w:t>181</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Form of application under s. 170 or 171</w:t>
      </w:r>
      <w:r>
        <w:tab/>
      </w:r>
      <w:r>
        <w:fldChar w:fldCharType="begin"/>
      </w:r>
      <w:r>
        <w:instrText xml:space="preserve"> PAGEREF _Toc210129947 \h </w:instrText>
      </w:r>
      <w:r>
        <w:fldChar w:fldCharType="separate"/>
      </w:r>
      <w:r>
        <w:t>182</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How application under s. 170 or 171 to be dealt with</w:t>
      </w:r>
      <w:r>
        <w:tab/>
      </w:r>
      <w:r>
        <w:fldChar w:fldCharType="begin"/>
      </w:r>
      <w:r>
        <w:instrText xml:space="preserve"> PAGEREF _Toc210129948 \h </w:instrText>
      </w:r>
      <w:r>
        <w:fldChar w:fldCharType="separate"/>
      </w:r>
      <w:r>
        <w:t>182</w:t>
      </w:r>
      <w:r>
        <w:fldChar w:fldCharType="end"/>
      </w:r>
    </w:p>
    <w:p>
      <w:pPr>
        <w:pStyle w:val="TOC8"/>
        <w:rPr>
          <w:rFonts w:asciiTheme="minorHAnsi" w:eastAsiaTheme="minorEastAsia" w:hAnsiTheme="minorHAnsi" w:cstheme="minorBidi"/>
          <w:szCs w:val="22"/>
        </w:rPr>
      </w:pPr>
      <w:r>
        <w:t>174.</w:t>
      </w:r>
      <w:r>
        <w:tab/>
        <w:t>Notice of s. 170 or 171 application to be given to owners etc. of adjourning land affected by it</w:t>
      </w:r>
      <w:r>
        <w:tab/>
      </w:r>
      <w:r>
        <w:fldChar w:fldCharType="begin"/>
      </w:r>
      <w:r>
        <w:instrText xml:space="preserve"> PAGEREF _Toc210129949 \h </w:instrText>
      </w:r>
      <w:r>
        <w:fldChar w:fldCharType="separate"/>
      </w:r>
      <w:r>
        <w:t>183</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Notice of s. 170 or 171 application to be published and publicly displayed</w:t>
      </w:r>
      <w:r>
        <w:tab/>
      </w:r>
      <w:r>
        <w:fldChar w:fldCharType="begin"/>
      </w:r>
      <w:r>
        <w:instrText xml:space="preserve"> PAGEREF _Toc210129950 \h </w:instrText>
      </w:r>
      <w:r>
        <w:fldChar w:fldCharType="separate"/>
      </w:r>
      <w:r>
        <w:t>183</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Person opposing s. 170 or 171 application may lodge caveat</w:t>
      </w:r>
      <w:r>
        <w:tab/>
      </w:r>
      <w:r>
        <w:fldChar w:fldCharType="begin"/>
      </w:r>
      <w:r>
        <w:instrText xml:space="preserve"> PAGEREF _Toc210129951 \h </w:instrText>
      </w:r>
      <w:r>
        <w:fldChar w:fldCharType="separate"/>
      </w:r>
      <w:r>
        <w:t>184</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Applications under s. 170, 171 or 20 may be granted although other certificates may be affected</w:t>
      </w:r>
      <w:r>
        <w:tab/>
      </w:r>
      <w:r>
        <w:fldChar w:fldCharType="begin"/>
      </w:r>
      <w:r>
        <w:instrText xml:space="preserve"> PAGEREF _Toc210129952 \h </w:instrText>
      </w:r>
      <w:r>
        <w:fldChar w:fldCharType="separate"/>
      </w:r>
      <w:r>
        <w:t>184</w:t>
      </w:r>
      <w:r>
        <w:fldChar w:fldCharType="end"/>
      </w:r>
    </w:p>
    <w:p>
      <w:pPr>
        <w:pStyle w:val="TOC8"/>
        <w:rPr>
          <w:rFonts w:asciiTheme="minorHAnsi" w:eastAsiaTheme="minorEastAsia" w:hAnsiTheme="minorHAnsi" w:cstheme="minorBidi"/>
          <w:szCs w:val="22"/>
        </w:rPr>
      </w:pPr>
      <w:r>
        <w:t>178.</w:t>
      </w:r>
      <w:r>
        <w:tab/>
        <w:t>Certificate of title and relevant graphics may be amended or replaced on granting application</w:t>
      </w:r>
      <w:r>
        <w:tab/>
      </w:r>
      <w:r>
        <w:fldChar w:fldCharType="begin"/>
      </w:r>
      <w:r>
        <w:instrText xml:space="preserve"> PAGEREF _Toc210129953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Part X — Special powers and duties of the Commissioner and Registrar</w:t>
      </w:r>
    </w:p>
    <w:p>
      <w:pPr>
        <w:pStyle w:val="TOC8"/>
        <w:rPr>
          <w:rFonts w:asciiTheme="minorHAnsi" w:eastAsiaTheme="minorEastAsia" w:hAnsiTheme="minorHAnsi" w:cstheme="minorBidi"/>
          <w:szCs w:val="22"/>
        </w:rPr>
      </w:pPr>
      <w:r>
        <w:t>180.</w:t>
      </w:r>
      <w:r>
        <w:tab/>
        <w:t>Commissioner may summons people to provide information</w:t>
      </w:r>
      <w:r>
        <w:tab/>
      </w:r>
      <w:r>
        <w:fldChar w:fldCharType="begin"/>
      </w:r>
      <w:r>
        <w:instrText xml:space="preserve"> PAGEREF _Toc210129955 \h </w:instrText>
      </w:r>
      <w:r>
        <w:fldChar w:fldCharType="separate"/>
      </w:r>
      <w:r>
        <w:t>186</w:t>
      </w:r>
      <w:r>
        <w:fldChar w:fldCharType="end"/>
      </w:r>
    </w:p>
    <w:p>
      <w:pPr>
        <w:pStyle w:val="TOC8"/>
        <w:rPr>
          <w:rFonts w:asciiTheme="minorHAnsi" w:eastAsiaTheme="minorEastAsia" w:hAnsiTheme="minorHAnsi" w:cstheme="minorBidi"/>
          <w:szCs w:val="22"/>
        </w:rPr>
      </w:pPr>
      <w:r>
        <w:t>181A.</w:t>
      </w:r>
      <w:r>
        <w:tab/>
        <w:t>Commissioner and Registrar may require supporting documentation or evidence or verification</w:t>
      </w:r>
      <w:r>
        <w:tab/>
      </w:r>
      <w:r>
        <w:fldChar w:fldCharType="begin"/>
      </w:r>
      <w:r>
        <w:instrText xml:space="preserve"> PAGEREF _Toc210129956 \h </w:instrText>
      </w:r>
      <w:r>
        <w:fldChar w:fldCharType="separate"/>
      </w:r>
      <w:r>
        <w:t>188</w:t>
      </w:r>
      <w:r>
        <w:fldChar w:fldCharType="end"/>
      </w:r>
    </w:p>
    <w:p>
      <w:pPr>
        <w:pStyle w:val="TOC8"/>
        <w:rPr>
          <w:rFonts w:asciiTheme="minorHAnsi" w:eastAsiaTheme="minorEastAsia" w:hAnsiTheme="minorHAnsi" w:cstheme="minorBidi"/>
          <w:szCs w:val="22"/>
        </w:rPr>
      </w:pPr>
      <w:r>
        <w:t>181B.</w:t>
      </w:r>
      <w:r>
        <w:tab/>
        <w:t>Commissioner and Registrar may require verification by statutory declaration</w:t>
      </w:r>
      <w:r>
        <w:tab/>
      </w:r>
      <w:r>
        <w:fldChar w:fldCharType="begin"/>
      </w:r>
      <w:r>
        <w:instrText xml:space="preserve"> PAGEREF _Toc210129957 \h </w:instrText>
      </w:r>
      <w:r>
        <w:fldChar w:fldCharType="separate"/>
      </w:r>
      <w:r>
        <w:t>190</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Regulations</w:t>
      </w:r>
      <w:r>
        <w:tab/>
      </w:r>
      <w:r>
        <w:fldChar w:fldCharType="begin"/>
      </w:r>
      <w:r>
        <w:instrText xml:space="preserve"> PAGEREF _Toc210129958 \h </w:instrText>
      </w:r>
      <w:r>
        <w:fldChar w:fldCharType="separate"/>
      </w:r>
      <w:r>
        <w:t>190</w:t>
      </w:r>
      <w:r>
        <w:fldChar w:fldCharType="end"/>
      </w:r>
    </w:p>
    <w:p>
      <w:pPr>
        <w:pStyle w:val="TOC8"/>
        <w:rPr>
          <w:rFonts w:asciiTheme="minorHAnsi" w:eastAsiaTheme="minorEastAsia" w:hAnsiTheme="minorHAnsi" w:cstheme="minorBidi"/>
          <w:szCs w:val="22"/>
        </w:rPr>
      </w:pPr>
      <w:r>
        <w:t>182AA.</w:t>
      </w:r>
      <w:r>
        <w:tab/>
        <w:t>Prescribed fees may exceed cost recovery</w:t>
      </w:r>
      <w:r>
        <w:tab/>
      </w:r>
      <w:r>
        <w:fldChar w:fldCharType="begin"/>
      </w:r>
      <w:r>
        <w:instrText xml:space="preserve"> PAGEREF _Toc210129959 \h </w:instrText>
      </w:r>
      <w:r>
        <w:fldChar w:fldCharType="separate"/>
      </w:r>
      <w:r>
        <w:t>194</w:t>
      </w:r>
      <w:r>
        <w:fldChar w:fldCharType="end"/>
      </w:r>
    </w:p>
    <w:p>
      <w:pPr>
        <w:pStyle w:val="TOC8"/>
        <w:rPr>
          <w:rFonts w:asciiTheme="minorHAnsi" w:eastAsiaTheme="minorEastAsia" w:hAnsiTheme="minorHAnsi" w:cstheme="minorBidi"/>
          <w:szCs w:val="22"/>
        </w:rPr>
      </w:pPr>
      <w:r>
        <w:t>182AB.</w:t>
      </w:r>
      <w:r>
        <w:tab/>
        <w:t>Expiry of s. 182AA</w:t>
      </w:r>
      <w:r>
        <w:tab/>
      </w:r>
      <w:r>
        <w:fldChar w:fldCharType="begin"/>
      </w:r>
      <w:r>
        <w:instrText xml:space="preserve"> PAGEREF _Toc210129960 \h </w:instrText>
      </w:r>
      <w:r>
        <w:fldChar w:fldCharType="separate"/>
      </w:r>
      <w:r>
        <w:t>195</w:t>
      </w:r>
      <w:r>
        <w:fldChar w:fldCharType="end"/>
      </w:r>
    </w:p>
    <w:p>
      <w:pPr>
        <w:pStyle w:val="TOC8"/>
        <w:rPr>
          <w:rFonts w:asciiTheme="minorHAnsi" w:eastAsiaTheme="minorEastAsia" w:hAnsiTheme="minorHAnsi" w:cstheme="minorBidi"/>
          <w:szCs w:val="22"/>
        </w:rPr>
      </w:pPr>
      <w:r>
        <w:lastRenderedPageBreak/>
        <w:t>182A.</w:t>
      </w:r>
      <w:r>
        <w:tab/>
        <w:t>Commissioner and Registrar may determine requirements</w:t>
      </w:r>
      <w:r>
        <w:tab/>
      </w:r>
      <w:r>
        <w:fldChar w:fldCharType="begin"/>
      </w:r>
      <w:r>
        <w:instrText xml:space="preserve"> PAGEREF _Toc210129961 \h </w:instrText>
      </w:r>
      <w:r>
        <w:fldChar w:fldCharType="separate"/>
      </w:r>
      <w:r>
        <w:t>196</w:t>
      </w:r>
      <w:r>
        <w:fldChar w:fldCharType="end"/>
      </w:r>
    </w:p>
    <w:p>
      <w:pPr>
        <w:pStyle w:val="TOC8"/>
        <w:rPr>
          <w:rFonts w:asciiTheme="minorHAnsi" w:eastAsiaTheme="minorEastAsia" w:hAnsiTheme="minorHAnsi" w:cstheme="minorBidi"/>
          <w:szCs w:val="22"/>
        </w:rPr>
      </w:pPr>
      <w:r>
        <w:t>182B.</w:t>
      </w:r>
      <w:r>
        <w:tab/>
        <w:t>Publication of requirements</w:t>
      </w:r>
      <w:r>
        <w:tab/>
      </w:r>
      <w:r>
        <w:fldChar w:fldCharType="begin"/>
      </w:r>
      <w:r>
        <w:instrText xml:space="preserve"> PAGEREF _Toc210129962 \h </w:instrText>
      </w:r>
      <w:r>
        <w:fldChar w:fldCharType="separate"/>
      </w:r>
      <w:r>
        <w:t>199</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Orders vesting trust estate</w:t>
      </w:r>
      <w:r>
        <w:tab/>
      </w:r>
      <w:r>
        <w:fldChar w:fldCharType="begin"/>
      </w:r>
      <w:r>
        <w:instrText xml:space="preserve"> PAGEREF _Toc210129963 \h </w:instrText>
      </w:r>
      <w:r>
        <w:fldChar w:fldCharType="separate"/>
      </w:r>
      <w:r>
        <w:t>199</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Commissioner may make vesting order in cases of completed purchase</w:t>
      </w:r>
      <w:r>
        <w:tab/>
      </w:r>
      <w:r>
        <w:fldChar w:fldCharType="begin"/>
      </w:r>
      <w:r>
        <w:instrText xml:space="preserve"> PAGEREF _Toc210129964 \h </w:instrText>
      </w:r>
      <w:r>
        <w:fldChar w:fldCharType="separate"/>
      </w:r>
      <w:r>
        <w:t>200</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Encumbrances which no longer affect title, powers to deal with</w:t>
      </w:r>
      <w:r>
        <w:tab/>
      </w:r>
      <w:r>
        <w:fldChar w:fldCharType="begin"/>
      </w:r>
      <w:r>
        <w:instrText xml:space="preserve"> PAGEREF _Toc210129965 \h </w:instrText>
      </w:r>
      <w:r>
        <w:fldChar w:fldCharType="separate"/>
      </w:r>
      <w:r>
        <w:t>201</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Appointment of executor, administrator or Public Trustee, entry on Register and effect</w:t>
      </w:r>
      <w:r>
        <w:tab/>
      </w:r>
      <w:r>
        <w:fldChar w:fldCharType="begin"/>
      </w:r>
      <w:r>
        <w:instrText xml:space="preserve"> PAGEREF _Toc210129966 \h </w:instrText>
      </w:r>
      <w:r>
        <w:fldChar w:fldCharType="separate"/>
      </w:r>
      <w:r>
        <w:t>201</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Powers of Registrar</w:t>
      </w:r>
      <w:r>
        <w:tab/>
      </w:r>
      <w:r>
        <w:fldChar w:fldCharType="begin"/>
      </w:r>
      <w:r>
        <w:instrText xml:space="preserve"> PAGEREF _Toc210129967 \h </w:instrText>
      </w:r>
      <w:r>
        <w:fldChar w:fldCharType="separate"/>
      </w:r>
      <w:r>
        <w:t>202</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Registrar may correct apparent errors in instruments without direction of Commissioner</w:t>
      </w:r>
      <w:r>
        <w:tab/>
      </w:r>
      <w:r>
        <w:fldChar w:fldCharType="begin"/>
      </w:r>
      <w:r>
        <w:instrText xml:space="preserve"> PAGEREF _Toc210129968 \h </w:instrText>
      </w:r>
      <w:r>
        <w:fldChar w:fldCharType="separate"/>
      </w:r>
      <w:r>
        <w:t>204</w:t>
      </w:r>
      <w:r>
        <w:fldChar w:fldCharType="end"/>
      </w:r>
    </w:p>
    <w:p>
      <w:pPr>
        <w:pStyle w:val="TOC8"/>
        <w:rPr>
          <w:rFonts w:asciiTheme="minorHAnsi" w:eastAsiaTheme="minorEastAsia" w:hAnsiTheme="minorHAnsi" w:cstheme="minorBidi"/>
          <w:szCs w:val="22"/>
        </w:rPr>
      </w:pPr>
      <w:r>
        <w:t>190.</w:t>
      </w:r>
      <w:r>
        <w:tab/>
        <w:t>Money received by Registrar</w:t>
      </w:r>
      <w:r>
        <w:tab/>
      </w:r>
      <w:r>
        <w:fldChar w:fldCharType="begin"/>
      </w:r>
      <w:r>
        <w:instrText xml:space="preserve"> PAGEREF _Toc210129969 \h </w:instrText>
      </w:r>
      <w:r>
        <w:fldChar w:fldCharType="separate"/>
      </w:r>
      <w:r>
        <w:t>204</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Registrar may demand prescribed fees</w:t>
      </w:r>
      <w:r>
        <w:tab/>
      </w:r>
      <w:r>
        <w:fldChar w:fldCharType="begin"/>
      </w:r>
      <w:r>
        <w:instrText xml:space="preserve"> PAGEREF _Toc210129970 \h </w:instrText>
      </w:r>
      <w:r>
        <w:fldChar w:fldCharType="separate"/>
      </w:r>
      <w:r>
        <w:t>205</w:t>
      </w:r>
      <w:r>
        <w:fldChar w:fldCharType="end"/>
      </w:r>
    </w:p>
    <w:p>
      <w:pPr>
        <w:pStyle w:val="TOC8"/>
        <w:rPr>
          <w:rFonts w:asciiTheme="minorHAnsi" w:eastAsiaTheme="minorEastAsia" w:hAnsiTheme="minorHAnsi" w:cstheme="minorBidi"/>
          <w:szCs w:val="22"/>
        </w:rPr>
      </w:pPr>
      <w:r>
        <w:t>192A.</w:t>
      </w:r>
      <w:r>
        <w:tab/>
        <w:t>Registrar entitled to assume that lodging party has certain authorities from other interested parties</w:t>
      </w:r>
      <w:r>
        <w:tab/>
      </w:r>
      <w:r>
        <w:fldChar w:fldCharType="begin"/>
      </w:r>
      <w:r>
        <w:instrText xml:space="preserve"> PAGEREF _Toc210129971 \h </w:instrText>
      </w:r>
      <w:r>
        <w:fldChar w:fldCharType="separate"/>
      </w:r>
      <w:r>
        <w:t>205</w:t>
      </w:r>
      <w:r>
        <w:fldChar w:fldCharType="end"/>
      </w:r>
    </w:p>
    <w:p>
      <w:pPr>
        <w:pStyle w:val="TOC8"/>
        <w:rPr>
          <w:rFonts w:asciiTheme="minorHAnsi" w:eastAsiaTheme="minorEastAsia" w:hAnsiTheme="minorHAnsi" w:cstheme="minorBidi"/>
          <w:szCs w:val="22"/>
        </w:rPr>
      </w:pPr>
      <w:r>
        <w:t>192B.</w:t>
      </w:r>
      <w:r>
        <w:tab/>
        <w:t>Registrar may refuse lodgment for non</w:t>
      </w:r>
      <w:r>
        <w:noBreakHyphen/>
        <w:t>compliance with certain requirements</w:t>
      </w:r>
      <w:r>
        <w:tab/>
      </w:r>
      <w:r>
        <w:fldChar w:fldCharType="begin"/>
      </w:r>
      <w:r>
        <w:instrText xml:space="preserve"> PAGEREF _Toc210129972 \h </w:instrText>
      </w:r>
      <w:r>
        <w:fldChar w:fldCharType="separate"/>
      </w:r>
      <w:r>
        <w:t>206</w:t>
      </w:r>
      <w:r>
        <w:fldChar w:fldCharType="end"/>
      </w:r>
    </w:p>
    <w:p>
      <w:pPr>
        <w:pStyle w:val="TOC8"/>
        <w:rPr>
          <w:rFonts w:asciiTheme="minorHAnsi" w:eastAsiaTheme="minorEastAsia" w:hAnsiTheme="minorHAnsi" w:cstheme="minorBidi"/>
          <w:szCs w:val="22"/>
        </w:rPr>
      </w:pPr>
      <w:r>
        <w:t>192C.</w:t>
      </w:r>
      <w:r>
        <w:tab/>
        <w:t>Commissioner may refuse to take action if requirements not complied with</w:t>
      </w:r>
      <w:r>
        <w:tab/>
      </w:r>
      <w:r>
        <w:fldChar w:fldCharType="begin"/>
      </w:r>
      <w:r>
        <w:instrText xml:space="preserve"> PAGEREF _Toc210129973 \h </w:instrText>
      </w:r>
      <w:r>
        <w:fldChar w:fldCharType="separate"/>
      </w:r>
      <w:r>
        <w:t>207</w:t>
      </w:r>
      <w:r>
        <w:fldChar w:fldCharType="end"/>
      </w:r>
    </w:p>
    <w:p>
      <w:pPr>
        <w:pStyle w:val="TOC8"/>
        <w:rPr>
          <w:rFonts w:asciiTheme="minorHAnsi" w:eastAsiaTheme="minorEastAsia" w:hAnsiTheme="minorHAnsi" w:cstheme="minorBidi"/>
          <w:szCs w:val="22"/>
        </w:rPr>
      </w:pPr>
      <w:r>
        <w:t>192D.</w:t>
      </w:r>
      <w:r>
        <w:tab/>
        <w:t>Registrar may refuse registration, noting or recording for non</w:t>
      </w:r>
      <w:r>
        <w:noBreakHyphen/>
        <w:t>compliance with requirements</w:t>
      </w:r>
      <w:r>
        <w:tab/>
      </w:r>
      <w:r>
        <w:fldChar w:fldCharType="begin"/>
      </w:r>
      <w:r>
        <w:instrText xml:space="preserve"> PAGEREF _Toc210129974 \h </w:instrText>
      </w:r>
      <w:r>
        <w:fldChar w:fldCharType="separate"/>
      </w:r>
      <w:r>
        <w:t>208</w:t>
      </w:r>
      <w:r>
        <w:fldChar w:fldCharType="end"/>
      </w:r>
    </w:p>
    <w:p>
      <w:pPr>
        <w:pStyle w:val="TOC8"/>
        <w:rPr>
          <w:rFonts w:asciiTheme="minorHAnsi" w:eastAsiaTheme="minorEastAsia" w:hAnsiTheme="minorHAnsi" w:cstheme="minorBidi"/>
          <w:szCs w:val="22"/>
        </w:rPr>
      </w:pPr>
      <w:r>
        <w:t>192E.</w:t>
      </w:r>
      <w:r>
        <w:tab/>
        <w:t>Notice of non</w:t>
      </w:r>
      <w:r>
        <w:noBreakHyphen/>
        <w:t>compliance under s. 192D</w:t>
      </w:r>
      <w:r>
        <w:tab/>
      </w:r>
      <w:r>
        <w:fldChar w:fldCharType="begin"/>
      </w:r>
      <w:r>
        <w:instrText xml:space="preserve"> PAGEREF _Toc210129975 \h </w:instrText>
      </w:r>
      <w:r>
        <w:fldChar w:fldCharType="separate"/>
      </w:r>
      <w:r>
        <w:t>209</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Defective documents, rejection of</w:t>
      </w:r>
      <w:r>
        <w:tab/>
      </w:r>
      <w:r>
        <w:fldChar w:fldCharType="begin"/>
      </w:r>
      <w:r>
        <w:instrText xml:space="preserve"> PAGEREF _Toc210129976 \h </w:instrText>
      </w:r>
      <w:r>
        <w:fldChar w:fldCharType="separate"/>
      </w:r>
      <w:r>
        <w:t>210</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Power to state case for Supreme Court</w:t>
      </w:r>
      <w:r>
        <w:tab/>
      </w:r>
      <w:r>
        <w:fldChar w:fldCharType="begin"/>
      </w:r>
      <w:r>
        <w:instrText xml:space="preserve"> PAGEREF _Toc210129977 \h </w:instrText>
      </w:r>
      <w:r>
        <w:fldChar w:fldCharType="separate"/>
      </w:r>
      <w:r>
        <w:t>211</w:t>
      </w:r>
      <w:r>
        <w:fldChar w:fldCharType="end"/>
      </w:r>
    </w:p>
    <w:p>
      <w:pPr>
        <w:pStyle w:val="TOC2"/>
        <w:tabs>
          <w:tab w:val="right" w:leader="dot" w:pos="7077"/>
        </w:tabs>
        <w:rPr>
          <w:rFonts w:asciiTheme="minorHAnsi" w:eastAsiaTheme="minorEastAsia" w:hAnsiTheme="minorHAnsi" w:cstheme="minorBidi"/>
          <w:b w:val="0"/>
          <w:sz w:val="22"/>
          <w:szCs w:val="22"/>
        </w:rPr>
      </w:pPr>
      <w:r>
        <w:t>Part XI — Restrictions on, and recovery of, payments of compensation by State</w:t>
      </w:r>
    </w:p>
    <w:p>
      <w:pPr>
        <w:pStyle w:val="TOC8"/>
        <w:rPr>
          <w:rFonts w:asciiTheme="minorHAnsi" w:eastAsiaTheme="minorEastAsia" w:hAnsiTheme="minorHAnsi" w:cstheme="minorBidi"/>
          <w:szCs w:val="22"/>
        </w:rPr>
      </w:pPr>
      <w:r>
        <w:t>195</w:t>
      </w:r>
      <w:r>
        <w:rPr>
          <w:snapToGrid w:val="0"/>
        </w:rPr>
        <w:t>.</w:t>
      </w:r>
      <w:r>
        <w:rPr>
          <w:snapToGrid w:val="0"/>
        </w:rPr>
        <w:tab/>
        <w:t>Moneys paid by State under s. 201 may be recovered</w:t>
      </w:r>
      <w:r>
        <w:tab/>
      </w:r>
      <w:r>
        <w:fldChar w:fldCharType="begin"/>
      </w:r>
      <w:r>
        <w:instrText xml:space="preserve"> PAGEREF _Toc210129979 \h </w:instrText>
      </w:r>
      <w:r>
        <w:fldChar w:fldCharType="separate"/>
      </w:r>
      <w:r>
        <w:t>212</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State not liable in certain cases</w:t>
      </w:r>
      <w:r>
        <w:tab/>
      </w:r>
      <w:r>
        <w:fldChar w:fldCharType="begin"/>
      </w:r>
      <w:r>
        <w:instrText xml:space="preserve"> PAGEREF _Toc210129980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Part XII — Actions and other remedies</w:t>
      </w:r>
    </w:p>
    <w:p>
      <w:pPr>
        <w:pStyle w:val="TOC8"/>
        <w:rPr>
          <w:rFonts w:asciiTheme="minorHAnsi" w:eastAsiaTheme="minorEastAsia" w:hAnsiTheme="minorHAnsi" w:cstheme="minorBidi"/>
          <w:szCs w:val="22"/>
        </w:rPr>
      </w:pPr>
      <w:r>
        <w:t>198</w:t>
      </w:r>
      <w:r>
        <w:rPr>
          <w:snapToGrid w:val="0"/>
        </w:rPr>
        <w:t>.</w:t>
      </w:r>
      <w:r>
        <w:rPr>
          <w:snapToGrid w:val="0"/>
        </w:rPr>
        <w:tab/>
        <w:t>Officers not to be liable for acts done bona fide</w:t>
      </w:r>
      <w:r>
        <w:tab/>
      </w:r>
      <w:r>
        <w:fldChar w:fldCharType="begin"/>
      </w:r>
      <w:r>
        <w:instrText xml:space="preserve"> PAGEREF _Toc210129982 \h </w:instrText>
      </w:r>
      <w:r>
        <w:fldChar w:fldCharType="separate"/>
      </w:r>
      <w:r>
        <w:t>215</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Registered proprietor protected against ejectment except in certain cases</w:t>
      </w:r>
      <w:r>
        <w:tab/>
      </w:r>
      <w:r>
        <w:fldChar w:fldCharType="begin"/>
      </w:r>
      <w:r>
        <w:instrText xml:space="preserve"> PAGEREF _Toc210129983 \h </w:instrText>
      </w:r>
      <w:r>
        <w:fldChar w:fldCharType="separate"/>
      </w:r>
      <w:r>
        <w:t>215</w:t>
      </w:r>
      <w:r>
        <w:fldChar w:fldCharType="end"/>
      </w:r>
    </w:p>
    <w:p>
      <w:pPr>
        <w:pStyle w:val="TOC8"/>
        <w:rPr>
          <w:rFonts w:asciiTheme="minorHAnsi" w:eastAsiaTheme="minorEastAsia" w:hAnsiTheme="minorHAnsi" w:cstheme="minorBidi"/>
          <w:szCs w:val="22"/>
        </w:rPr>
      </w:pPr>
      <w:r>
        <w:lastRenderedPageBreak/>
        <w:t>200</w:t>
      </w:r>
      <w:r>
        <w:rPr>
          <w:snapToGrid w:val="0"/>
        </w:rPr>
        <w:t>.</w:t>
      </w:r>
      <w:r>
        <w:rPr>
          <w:snapToGrid w:val="0"/>
        </w:rPr>
        <w:tab/>
        <w:t>Court may direct cancellation of certificate or entry in Register in certain cases</w:t>
      </w:r>
      <w:r>
        <w:tab/>
      </w:r>
      <w:r>
        <w:fldChar w:fldCharType="begin"/>
      </w:r>
      <w:r>
        <w:instrText xml:space="preserve"> PAGEREF _Toc210129984 \h </w:instrText>
      </w:r>
      <w:r>
        <w:fldChar w:fldCharType="separate"/>
      </w:r>
      <w:r>
        <w:t>216</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Compensation of person deprived of land</w:t>
      </w:r>
      <w:r>
        <w:tab/>
      </w:r>
      <w:r>
        <w:fldChar w:fldCharType="begin"/>
      </w:r>
      <w:r>
        <w:instrText xml:space="preserve"> PAGEREF _Toc210129985 \h </w:instrText>
      </w:r>
      <w:r>
        <w:fldChar w:fldCharType="separate"/>
      </w:r>
      <w:r>
        <w:t>216</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Purchasers protected</w:t>
      </w:r>
      <w:r>
        <w:tab/>
      </w:r>
      <w:r>
        <w:fldChar w:fldCharType="begin"/>
      </w:r>
      <w:r>
        <w:instrText xml:space="preserve"> PAGEREF _Toc210129986 \h </w:instrText>
      </w:r>
      <w:r>
        <w:fldChar w:fldCharType="separate"/>
      </w:r>
      <w:r>
        <w:t>218</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Owner may require Commissioner or Registrar to substantiate decision before Supreme Court</w:t>
      </w:r>
      <w:r>
        <w:tab/>
      </w:r>
      <w:r>
        <w:fldChar w:fldCharType="begin"/>
      </w:r>
      <w:r>
        <w:instrText xml:space="preserve"> PAGEREF _Toc210129987 \h </w:instrText>
      </w:r>
      <w:r>
        <w:fldChar w:fldCharType="separate"/>
      </w:r>
      <w:r>
        <w:t>218</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Cost of summons and proceedings under s. 203 to be in discretion of court</w:t>
      </w:r>
      <w:r>
        <w:tab/>
      </w:r>
      <w:r>
        <w:fldChar w:fldCharType="begin"/>
      </w:r>
      <w:r>
        <w:instrText xml:space="preserve"> PAGEREF _Toc210129988 \h </w:instrText>
      </w:r>
      <w:r>
        <w:fldChar w:fldCharType="separate"/>
      </w:r>
      <w:r>
        <w:t>219</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Actions for damages may in some cases be brought against Registrar as nominal defendant</w:t>
      </w:r>
      <w:r>
        <w:tab/>
      </w:r>
      <w:r>
        <w:fldChar w:fldCharType="begin"/>
      </w:r>
      <w:r>
        <w:instrText xml:space="preserve"> PAGEREF _Toc210129989 \h </w:instrText>
      </w:r>
      <w:r>
        <w:fldChar w:fldCharType="separate"/>
      </w:r>
      <w:r>
        <w:t>219</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Actions for damages for loss due to inaccurate survey</w:t>
      </w:r>
      <w:r>
        <w:tab/>
      </w:r>
      <w:r>
        <w:fldChar w:fldCharType="begin"/>
      </w:r>
      <w:r>
        <w:instrText xml:space="preserve"> PAGEREF _Toc210129990 \h </w:instrText>
      </w:r>
      <w:r>
        <w:fldChar w:fldCharType="separate"/>
      </w:r>
      <w:r>
        <w:t>220</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Actions for damages in certain other cases</w:t>
      </w:r>
      <w:r>
        <w:tab/>
      </w:r>
      <w:r>
        <w:fldChar w:fldCharType="begin"/>
      </w:r>
      <w:r>
        <w:instrText xml:space="preserve"> PAGEREF _Toc210129991 \h </w:instrText>
      </w:r>
      <w:r>
        <w:fldChar w:fldCharType="separate"/>
      </w:r>
      <w:r>
        <w:t>220</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Claims for damages may be made to Commissioner before commencing court action</w:t>
      </w:r>
      <w:r>
        <w:tab/>
      </w:r>
      <w:r>
        <w:fldChar w:fldCharType="begin"/>
      </w:r>
      <w:r>
        <w:instrText xml:space="preserve"> PAGEREF _Toc210129992 \h </w:instrText>
      </w:r>
      <w:r>
        <w:fldChar w:fldCharType="separate"/>
      </w:r>
      <w:r>
        <w:t>221</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Notice of action to be served</w:t>
      </w:r>
      <w:r>
        <w:tab/>
      </w:r>
      <w:r>
        <w:fldChar w:fldCharType="begin"/>
      </w:r>
      <w:r>
        <w:instrText xml:space="preserve"> PAGEREF _Toc210129993 \h </w:instrText>
      </w:r>
      <w:r>
        <w:fldChar w:fldCharType="separate"/>
      </w:r>
      <w:r>
        <w:t>222</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Damages etc. awarded to be charged to Consolidated Account</w:t>
      </w:r>
      <w:r>
        <w:tab/>
      </w:r>
      <w:r>
        <w:fldChar w:fldCharType="begin"/>
      </w:r>
      <w:r>
        <w:instrText xml:space="preserve"> PAGEREF _Toc210129994 \h </w:instrText>
      </w:r>
      <w:r>
        <w:fldChar w:fldCharType="separate"/>
      </w:r>
      <w:r>
        <w:t>222</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Limitation of actions</w:t>
      </w:r>
      <w:r>
        <w:tab/>
      </w:r>
      <w:r>
        <w:fldChar w:fldCharType="begin"/>
      </w:r>
      <w:r>
        <w:instrText xml:space="preserve"> PAGEREF _Toc210129995 \h </w:instrText>
      </w:r>
      <w:r>
        <w:fldChar w:fldCharType="separate"/>
      </w:r>
      <w:r>
        <w:t>223</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Rules of Supreme Court to apply and same right of appeal as in ordinary actions</w:t>
      </w:r>
      <w:r>
        <w:tab/>
      </w:r>
      <w:r>
        <w:fldChar w:fldCharType="begin"/>
      </w:r>
      <w:r>
        <w:instrText xml:space="preserve"> PAGEREF _Toc210129996 \h </w:instrText>
      </w:r>
      <w:r>
        <w:fldChar w:fldCharType="separate"/>
      </w:r>
      <w:r>
        <w:t>223</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Obligation to make discovery not excluded</w:t>
      </w:r>
      <w:r>
        <w:tab/>
      </w:r>
      <w:r>
        <w:fldChar w:fldCharType="begin"/>
      </w:r>
      <w:r>
        <w:instrText xml:space="preserve"> PAGEREF _Toc210129997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Part XIII — Offences</w:t>
      </w:r>
    </w:p>
    <w:p>
      <w:pPr>
        <w:pStyle w:val="TOC8"/>
        <w:rPr>
          <w:rFonts w:asciiTheme="minorHAnsi" w:eastAsiaTheme="minorEastAsia" w:hAnsiTheme="minorHAnsi" w:cstheme="minorBidi"/>
          <w:szCs w:val="22"/>
        </w:rPr>
      </w:pPr>
      <w:r>
        <w:t>214.</w:t>
      </w:r>
      <w:r>
        <w:tab/>
        <w:t>Offences</w:t>
      </w:r>
      <w:r>
        <w:tab/>
      </w:r>
      <w:r>
        <w:fldChar w:fldCharType="begin"/>
      </w:r>
      <w:r>
        <w:instrText xml:space="preserve"> PAGEREF _Toc210129999 \h </w:instrText>
      </w:r>
      <w:r>
        <w:fldChar w:fldCharType="separate"/>
      </w:r>
      <w:r>
        <w:t>225</w:t>
      </w:r>
      <w:r>
        <w:fldChar w:fldCharType="end"/>
      </w:r>
    </w:p>
    <w:p>
      <w:pPr>
        <w:pStyle w:val="TOC8"/>
        <w:rPr>
          <w:rFonts w:asciiTheme="minorHAnsi" w:eastAsiaTheme="minorEastAsia" w:hAnsiTheme="minorHAnsi" w:cstheme="minorBidi"/>
          <w:szCs w:val="22"/>
        </w:rPr>
      </w:pPr>
      <w:r>
        <w:t>214A.</w:t>
      </w:r>
      <w:r>
        <w:tab/>
        <w:t>Effect of fraud</w:t>
      </w:r>
      <w:r>
        <w:tab/>
      </w:r>
      <w:r>
        <w:fldChar w:fldCharType="begin"/>
      </w:r>
      <w:r>
        <w:instrText xml:space="preserve"> PAGEREF _Toc210130000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Part XIV — Miscellaneous</w:t>
      </w:r>
    </w:p>
    <w:p>
      <w:pPr>
        <w:pStyle w:val="TOC8"/>
        <w:rPr>
          <w:rFonts w:asciiTheme="minorHAnsi" w:eastAsiaTheme="minorEastAsia" w:hAnsiTheme="minorHAnsi" w:cstheme="minorBidi"/>
          <w:szCs w:val="22"/>
        </w:rPr>
      </w:pPr>
      <w:r>
        <w:t>219</w:t>
      </w:r>
      <w:r>
        <w:rPr>
          <w:snapToGrid w:val="0"/>
        </w:rPr>
        <w:t>.</w:t>
      </w:r>
      <w:r>
        <w:rPr>
          <w:snapToGrid w:val="0"/>
        </w:rPr>
        <w:tab/>
        <w:t>Person entitled under will etc. may apply to be registered</w:t>
      </w:r>
      <w:r>
        <w:tab/>
      </w:r>
      <w:r>
        <w:fldChar w:fldCharType="begin"/>
      </w:r>
      <w:r>
        <w:instrText xml:space="preserve"> PAGEREF _Toc210130002 \h </w:instrText>
      </w:r>
      <w:r>
        <w:fldChar w:fldCharType="separate"/>
      </w:r>
      <w:r>
        <w:t>227</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Application under s. 219, how dealt with</w:t>
      </w:r>
      <w:r>
        <w:tab/>
      </w:r>
      <w:r>
        <w:fldChar w:fldCharType="begin"/>
      </w:r>
      <w:r>
        <w:instrText xml:space="preserve"> PAGEREF _Toc210130003 \h </w:instrText>
      </w:r>
      <w:r>
        <w:fldChar w:fldCharType="separate"/>
      </w:r>
      <w:r>
        <w:t>227</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Remainder</w:t>
      </w:r>
      <w:r>
        <w:rPr>
          <w:snapToGrid w:val="0"/>
        </w:rPr>
        <w:noBreakHyphen/>
        <w:t>man or reversioner may apply to be registered</w:t>
      </w:r>
      <w:r>
        <w:tab/>
      </w:r>
      <w:r>
        <w:fldChar w:fldCharType="begin"/>
      </w:r>
      <w:r>
        <w:instrText xml:space="preserve"> PAGEREF _Toc210130004 \h </w:instrText>
      </w:r>
      <w:r>
        <w:fldChar w:fldCharType="separate"/>
      </w:r>
      <w:r>
        <w:t>228</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Person claiming title under statute of limitations may apply to be registered</w:t>
      </w:r>
      <w:r>
        <w:tab/>
      </w:r>
      <w:r>
        <w:fldChar w:fldCharType="begin"/>
      </w:r>
      <w:r>
        <w:instrText xml:space="preserve"> PAGEREF _Toc210130005 \h </w:instrText>
      </w:r>
      <w:r>
        <w:fldChar w:fldCharType="separate"/>
      </w:r>
      <w:r>
        <w:t>229</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Application under s. 222, how dealt with</w:t>
      </w:r>
      <w:r>
        <w:tab/>
      </w:r>
      <w:r>
        <w:fldChar w:fldCharType="begin"/>
      </w:r>
      <w:r>
        <w:instrText xml:space="preserve"> PAGEREF _Toc210130006 \h </w:instrText>
      </w:r>
      <w:r>
        <w:fldChar w:fldCharType="separate"/>
      </w:r>
      <w:r>
        <w:t>229</w:t>
      </w:r>
      <w:r>
        <w:fldChar w:fldCharType="end"/>
      </w:r>
    </w:p>
    <w:p>
      <w:pPr>
        <w:pStyle w:val="TOC8"/>
        <w:rPr>
          <w:rFonts w:asciiTheme="minorHAnsi" w:eastAsiaTheme="minorEastAsia" w:hAnsiTheme="minorHAnsi" w:cstheme="minorBidi"/>
          <w:szCs w:val="22"/>
        </w:rPr>
      </w:pPr>
      <w:r>
        <w:t>223A</w:t>
      </w:r>
      <w:r>
        <w:rPr>
          <w:snapToGrid w:val="0"/>
        </w:rPr>
        <w:t>.</w:t>
      </w:r>
      <w:r>
        <w:rPr>
          <w:snapToGrid w:val="0"/>
        </w:rPr>
        <w:tab/>
        <w:t>Caveat against application</w:t>
      </w:r>
      <w:r>
        <w:tab/>
      </w:r>
      <w:r>
        <w:fldChar w:fldCharType="begin"/>
      </w:r>
      <w:r>
        <w:instrText xml:space="preserve"> PAGEREF _Toc210130007 \h </w:instrText>
      </w:r>
      <w:r>
        <w:fldChar w:fldCharType="separate"/>
      </w:r>
      <w:r>
        <w:t>230</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Survivor of joint proprietors may apply to be registered</w:t>
      </w:r>
      <w:r>
        <w:tab/>
      </w:r>
      <w:r>
        <w:fldChar w:fldCharType="begin"/>
      </w:r>
      <w:r>
        <w:instrText xml:space="preserve"> PAGEREF _Toc210130008 \h </w:instrText>
      </w:r>
      <w:r>
        <w:fldChar w:fldCharType="separate"/>
      </w:r>
      <w:r>
        <w:t>231</w:t>
      </w:r>
      <w:r>
        <w:fldChar w:fldCharType="end"/>
      </w:r>
    </w:p>
    <w:p>
      <w:pPr>
        <w:pStyle w:val="TOC8"/>
        <w:rPr>
          <w:rFonts w:asciiTheme="minorHAnsi" w:eastAsiaTheme="minorEastAsia" w:hAnsiTheme="minorHAnsi" w:cstheme="minorBidi"/>
          <w:szCs w:val="22"/>
        </w:rPr>
      </w:pPr>
      <w:r>
        <w:lastRenderedPageBreak/>
        <w:t>228</w:t>
      </w:r>
      <w:r>
        <w:rPr>
          <w:snapToGrid w:val="0"/>
        </w:rPr>
        <w:t>.</w:t>
      </w:r>
      <w:r>
        <w:rPr>
          <w:snapToGrid w:val="0"/>
        </w:rPr>
        <w:tab/>
        <w:t>Proprietors and transferees for time being to stand in place of previous owners</w:t>
      </w:r>
      <w:r>
        <w:tab/>
      </w:r>
      <w:r>
        <w:fldChar w:fldCharType="begin"/>
      </w:r>
      <w:r>
        <w:instrText xml:space="preserve"> PAGEREF _Toc210130009 \h </w:instrText>
      </w:r>
      <w:r>
        <w:fldChar w:fldCharType="separate"/>
      </w:r>
      <w:r>
        <w:t>231</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Proprietor’s name, use of in court action by beneficiary etc.</w:t>
      </w:r>
      <w:r>
        <w:tab/>
      </w:r>
      <w:r>
        <w:fldChar w:fldCharType="begin"/>
      </w:r>
      <w:r>
        <w:instrText xml:space="preserve"> PAGEREF _Toc210130010 \h </w:instrText>
      </w:r>
      <w:r>
        <w:fldChar w:fldCharType="separate"/>
      </w:r>
      <w:r>
        <w:t>231</w:t>
      </w:r>
      <w:r>
        <w:fldChar w:fldCharType="end"/>
      </w:r>
    </w:p>
    <w:p>
      <w:pPr>
        <w:pStyle w:val="TOC8"/>
        <w:rPr>
          <w:rFonts w:asciiTheme="minorHAnsi" w:eastAsiaTheme="minorEastAsia" w:hAnsiTheme="minorHAnsi" w:cstheme="minorBidi"/>
          <w:szCs w:val="22"/>
        </w:rPr>
      </w:pPr>
      <w:r>
        <w:t>229A</w:t>
      </w:r>
      <w:r>
        <w:rPr>
          <w:snapToGrid w:val="0"/>
        </w:rPr>
        <w:t>.</w:t>
      </w:r>
      <w:r>
        <w:rPr>
          <w:snapToGrid w:val="0"/>
        </w:rPr>
        <w:tab/>
        <w:t>Easement not used or enjoyed for 20 years, removal of</w:t>
      </w:r>
      <w:r>
        <w:tab/>
      </w:r>
      <w:r>
        <w:fldChar w:fldCharType="begin"/>
      </w:r>
      <w:r>
        <w:instrText xml:space="preserve"> PAGEREF _Toc210130011 \h </w:instrText>
      </w:r>
      <w:r>
        <w:fldChar w:fldCharType="separate"/>
      </w:r>
      <w:r>
        <w:t>232</w:t>
      </w:r>
      <w:r>
        <w:fldChar w:fldCharType="end"/>
      </w:r>
    </w:p>
    <w:p>
      <w:pPr>
        <w:pStyle w:val="TOC8"/>
        <w:rPr>
          <w:rFonts w:asciiTheme="minorHAnsi" w:eastAsiaTheme="minorEastAsia" w:hAnsiTheme="minorHAnsi" w:cstheme="minorBidi"/>
          <w:szCs w:val="22"/>
        </w:rPr>
      </w:pPr>
      <w:r>
        <w:t>229B</w:t>
      </w:r>
      <w:r>
        <w:rPr>
          <w:snapToGrid w:val="0"/>
        </w:rPr>
        <w:t>.</w:t>
      </w:r>
      <w:r>
        <w:rPr>
          <w:snapToGrid w:val="0"/>
        </w:rPr>
        <w:tab/>
        <w:t>Orders made under s. 229A, effect of</w:t>
      </w:r>
      <w:r>
        <w:tab/>
      </w:r>
      <w:r>
        <w:fldChar w:fldCharType="begin"/>
      </w:r>
      <w:r>
        <w:instrText xml:space="preserve"> PAGEREF _Toc210130012 \h </w:instrText>
      </w:r>
      <w:r>
        <w:fldChar w:fldCharType="separate"/>
      </w:r>
      <w:r>
        <w:t>233</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On s. 20 applications, easements not used for 20 years or more may be omitted from certificate</w:t>
      </w:r>
      <w:r>
        <w:tab/>
      </w:r>
      <w:r>
        <w:fldChar w:fldCharType="begin"/>
      </w:r>
      <w:r>
        <w:instrText xml:space="preserve"> PAGEREF _Toc210130013 \h </w:instrText>
      </w:r>
      <w:r>
        <w:fldChar w:fldCharType="separate"/>
      </w:r>
      <w:r>
        <w:t>233</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Buildings on public roads etc. in Perth or Fremantle for 20 years or more</w:t>
      </w:r>
      <w:r>
        <w:tab/>
      </w:r>
      <w:r>
        <w:fldChar w:fldCharType="begin"/>
      </w:r>
      <w:r>
        <w:instrText xml:space="preserve"> PAGEREF _Toc210130014 \h </w:instrText>
      </w:r>
      <w:r>
        <w:fldChar w:fldCharType="separate"/>
      </w:r>
      <w:r>
        <w:t>234</w:t>
      </w:r>
      <w:r>
        <w:fldChar w:fldCharType="end"/>
      </w:r>
    </w:p>
    <w:p>
      <w:pPr>
        <w:pStyle w:val="TOC8"/>
        <w:rPr>
          <w:rFonts w:asciiTheme="minorHAnsi" w:eastAsiaTheme="minorEastAsia" w:hAnsiTheme="minorHAnsi" w:cstheme="minorBidi"/>
          <w:szCs w:val="22"/>
        </w:rPr>
      </w:pPr>
      <w:r>
        <w:t>232B.</w:t>
      </w:r>
      <w:r>
        <w:tab/>
        <w:t>Effect of using alternative means to provide consent, permission or approval</w:t>
      </w:r>
      <w:r>
        <w:tab/>
      </w:r>
      <w:r>
        <w:fldChar w:fldCharType="begin"/>
      </w:r>
      <w:r>
        <w:instrText xml:space="preserve"> PAGEREF _Toc210130015 \h </w:instrText>
      </w:r>
      <w:r>
        <w:fldChar w:fldCharType="separate"/>
      </w:r>
      <w:r>
        <w:t>235</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Receipt for documents lodged</w:t>
      </w:r>
      <w:r>
        <w:tab/>
      </w:r>
      <w:r>
        <w:fldChar w:fldCharType="begin"/>
      </w:r>
      <w:r>
        <w:instrText xml:space="preserve"> PAGEREF _Toc210130016 \h </w:instrText>
      </w:r>
      <w:r>
        <w:fldChar w:fldCharType="separate"/>
      </w:r>
      <w:r>
        <w:t>236</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Pending actions etc. not to affect dealings</w:t>
      </w:r>
      <w:r>
        <w:tab/>
      </w:r>
      <w:r>
        <w:fldChar w:fldCharType="begin"/>
      </w:r>
      <w:r>
        <w:instrText xml:space="preserve"> PAGEREF _Toc210130017 \h </w:instrText>
      </w:r>
      <w:r>
        <w:fldChar w:fldCharType="separate"/>
      </w:r>
      <w:r>
        <w:t>236</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Trustees etc. of bankrupts etc. may apply to be registered</w:t>
      </w:r>
      <w:r>
        <w:tab/>
      </w:r>
      <w:r>
        <w:fldChar w:fldCharType="begin"/>
      </w:r>
      <w:r>
        <w:instrText xml:space="preserve"> PAGEREF _Toc210130018 \h </w:instrText>
      </w:r>
      <w:r>
        <w:fldChar w:fldCharType="separate"/>
      </w:r>
      <w:r>
        <w:t>237</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Bankruptcy of proprietor not to affect dealings until s. 234 application or caveat lodged</w:t>
      </w:r>
      <w:r>
        <w:tab/>
      </w:r>
      <w:r>
        <w:fldChar w:fldCharType="begin"/>
      </w:r>
      <w:r>
        <w:instrText xml:space="preserve"> PAGEREF _Toc210130019 \h </w:instrText>
      </w:r>
      <w:r>
        <w:fldChar w:fldCharType="separate"/>
      </w:r>
      <w:r>
        <w:t>237</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Tenant in tail</w:t>
      </w:r>
      <w:r>
        <w:tab/>
      </w:r>
      <w:r>
        <w:fldChar w:fldCharType="begin"/>
      </w:r>
      <w:r>
        <w:instrText xml:space="preserve"> PAGEREF _Toc210130020 \h </w:instrText>
      </w:r>
      <w:r>
        <w:fldChar w:fldCharType="separate"/>
      </w:r>
      <w:r>
        <w:t>238</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Conditions of sale in Twenty</w:t>
      </w:r>
      <w:r>
        <w:rPr>
          <w:snapToGrid w:val="0"/>
        </w:rPr>
        <w:noBreakHyphen/>
        <w:t>sixth Schedule, adoption of</w:t>
      </w:r>
      <w:r>
        <w:tab/>
      </w:r>
      <w:r>
        <w:fldChar w:fldCharType="begin"/>
      </w:r>
      <w:r>
        <w:instrText xml:space="preserve"> PAGEREF _Toc210130021 \h </w:instrText>
      </w:r>
      <w:r>
        <w:fldChar w:fldCharType="separate"/>
      </w:r>
      <w:r>
        <w:t>238</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Forms may be modified</w:t>
      </w:r>
      <w:r>
        <w:tab/>
      </w:r>
      <w:r>
        <w:fldChar w:fldCharType="begin"/>
      </w:r>
      <w:r>
        <w:instrText xml:space="preserve"> PAGEREF _Toc210130022 \h </w:instrText>
      </w:r>
      <w:r>
        <w:fldChar w:fldCharType="separate"/>
      </w:r>
      <w:r>
        <w:t>238</w:t>
      </w:r>
      <w:r>
        <w:fldChar w:fldCharType="end"/>
      </w:r>
    </w:p>
    <w:p>
      <w:pPr>
        <w:pStyle w:val="TOC8"/>
        <w:rPr>
          <w:rFonts w:asciiTheme="minorHAnsi" w:eastAsiaTheme="minorEastAsia" w:hAnsiTheme="minorHAnsi" w:cstheme="minorBidi"/>
          <w:szCs w:val="22"/>
        </w:rPr>
      </w:pPr>
      <w:r>
        <w:t>238A.</w:t>
      </w:r>
      <w:r>
        <w:tab/>
        <w:t>Registrar’s copy to be definitive</w:t>
      </w:r>
      <w:r>
        <w:tab/>
      </w:r>
      <w:r>
        <w:fldChar w:fldCharType="begin"/>
      </w:r>
      <w:r>
        <w:instrText xml:space="preserve"> PAGEREF _Toc210130023 \h </w:instrText>
      </w:r>
      <w:r>
        <w:fldChar w:fldCharType="separate"/>
      </w:r>
      <w:r>
        <w:t>238</w:t>
      </w:r>
      <w:r>
        <w:fldChar w:fldCharType="end"/>
      </w:r>
    </w:p>
    <w:p>
      <w:pPr>
        <w:pStyle w:val="TOC8"/>
        <w:rPr>
          <w:rFonts w:asciiTheme="minorHAnsi" w:eastAsiaTheme="minorEastAsia" w:hAnsiTheme="minorHAnsi" w:cstheme="minorBidi"/>
          <w:szCs w:val="22"/>
        </w:rPr>
      </w:pPr>
      <w:r>
        <w:t>238B.</w:t>
      </w:r>
      <w:r>
        <w:tab/>
        <w:t>Resubmission of document lodged electronically if data capture defective</w:t>
      </w:r>
      <w:r>
        <w:tab/>
      </w:r>
      <w:r>
        <w:fldChar w:fldCharType="begin"/>
      </w:r>
      <w:r>
        <w:instrText xml:space="preserve"> PAGEREF _Toc210130024 \h </w:instrText>
      </w:r>
      <w:r>
        <w:fldChar w:fldCharType="separate"/>
      </w:r>
      <w:r>
        <w:t>239</w:t>
      </w:r>
      <w:r>
        <w:fldChar w:fldCharType="end"/>
      </w:r>
    </w:p>
    <w:p>
      <w:pPr>
        <w:pStyle w:val="TOC8"/>
        <w:rPr>
          <w:rFonts w:asciiTheme="minorHAnsi" w:eastAsiaTheme="minorEastAsia" w:hAnsiTheme="minorHAnsi" w:cstheme="minorBidi"/>
          <w:szCs w:val="22"/>
        </w:rPr>
      </w:pPr>
      <w:r>
        <w:t>239.</w:t>
      </w:r>
      <w:r>
        <w:tab/>
        <w:t>Inspection of Register and related documents; obtaining copies and print</w:t>
      </w:r>
      <w:r>
        <w:noBreakHyphen/>
        <w:t>outs</w:t>
      </w:r>
      <w:r>
        <w:tab/>
      </w:r>
      <w:r>
        <w:fldChar w:fldCharType="begin"/>
      </w:r>
      <w:r>
        <w:instrText xml:space="preserve"> PAGEREF _Toc210130025 \h </w:instrText>
      </w:r>
      <w:r>
        <w:fldChar w:fldCharType="separate"/>
      </w:r>
      <w:r>
        <w:t>241</w:t>
      </w:r>
      <w:r>
        <w:fldChar w:fldCharType="end"/>
      </w:r>
    </w:p>
    <w:p>
      <w:pPr>
        <w:pStyle w:val="TOC8"/>
        <w:rPr>
          <w:rFonts w:asciiTheme="minorHAnsi" w:eastAsiaTheme="minorEastAsia" w:hAnsiTheme="minorHAnsi" w:cstheme="minorBidi"/>
          <w:szCs w:val="22"/>
        </w:rPr>
      </w:pPr>
      <w:r>
        <w:t>239B.</w:t>
      </w:r>
      <w:r>
        <w:tab/>
        <w:t>Evidentiary documents as to current and historical matters</w:t>
      </w:r>
      <w:r>
        <w:tab/>
      </w:r>
      <w:r>
        <w:fldChar w:fldCharType="begin"/>
      </w:r>
      <w:r>
        <w:instrText xml:space="preserve"> PAGEREF _Toc210130026 \h </w:instrText>
      </w:r>
      <w:r>
        <w:fldChar w:fldCharType="separate"/>
      </w:r>
      <w:r>
        <w:t>243</w:t>
      </w:r>
      <w:r>
        <w:fldChar w:fldCharType="end"/>
      </w:r>
    </w:p>
    <w:p>
      <w:pPr>
        <w:pStyle w:val="TOC8"/>
        <w:rPr>
          <w:rFonts w:asciiTheme="minorHAnsi" w:eastAsiaTheme="minorEastAsia" w:hAnsiTheme="minorHAnsi" w:cstheme="minorBidi"/>
          <w:szCs w:val="22"/>
        </w:rPr>
      </w:pPr>
      <w:r>
        <w:t>240.</w:t>
      </w:r>
      <w:r>
        <w:tab/>
        <w:t>Service of notices</w:t>
      </w:r>
      <w:r>
        <w:tab/>
      </w:r>
      <w:r>
        <w:fldChar w:fldCharType="begin"/>
      </w:r>
      <w:r>
        <w:instrText xml:space="preserve"> PAGEREF _Toc210130027 \h </w:instrText>
      </w:r>
      <w:r>
        <w:fldChar w:fldCharType="separate"/>
      </w:r>
      <w:r>
        <w:t>244</w:t>
      </w:r>
      <w:r>
        <w:fldChar w:fldCharType="end"/>
      </w:r>
    </w:p>
    <w:p>
      <w:pPr>
        <w:pStyle w:val="TOC8"/>
        <w:rPr>
          <w:rFonts w:asciiTheme="minorHAnsi" w:eastAsiaTheme="minorEastAsia" w:hAnsiTheme="minorHAnsi" w:cstheme="minorBidi"/>
          <w:szCs w:val="22"/>
        </w:rPr>
      </w:pPr>
      <w:r>
        <w:t>240A.</w:t>
      </w:r>
      <w:r>
        <w:tab/>
        <w:t>Notification of change of address or way of receiving notices electronically</w:t>
      </w:r>
      <w:r>
        <w:tab/>
      </w:r>
      <w:r>
        <w:fldChar w:fldCharType="begin"/>
      </w:r>
      <w:r>
        <w:instrText xml:space="preserve"> PAGEREF _Toc210130028 \h </w:instrText>
      </w:r>
      <w:r>
        <w:fldChar w:fldCharType="separate"/>
      </w:r>
      <w:r>
        <w:t>244</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Interests disposed of or created by court order etc., registration of</w:t>
      </w:r>
      <w:r>
        <w:tab/>
      </w:r>
      <w:r>
        <w:fldChar w:fldCharType="begin"/>
      </w:r>
      <w:r>
        <w:instrText xml:space="preserve"> PAGEREF _Toc210130029 \h </w:instrText>
      </w:r>
      <w:r>
        <w:fldChar w:fldCharType="separate"/>
      </w:r>
      <w:r>
        <w:t>245</w:t>
      </w:r>
      <w:r>
        <w:fldChar w:fldCharType="end"/>
      </w:r>
    </w:p>
    <w:p>
      <w:pPr>
        <w:pStyle w:val="TOC8"/>
        <w:rPr>
          <w:rFonts w:asciiTheme="minorHAnsi" w:eastAsiaTheme="minorEastAsia" w:hAnsiTheme="minorHAnsi" w:cstheme="minorBidi"/>
          <w:szCs w:val="22"/>
        </w:rPr>
      </w:pPr>
      <w:r>
        <w:t>243.</w:t>
      </w:r>
      <w:r>
        <w:tab/>
        <w:t>Registrar may cancel certificate of title when land revested in Crown</w:t>
      </w:r>
      <w:r>
        <w:tab/>
      </w:r>
      <w:r>
        <w:fldChar w:fldCharType="begin"/>
      </w:r>
      <w:r>
        <w:instrText xml:space="preserve"> PAGEREF _Toc210130030 \h </w:instrText>
      </w:r>
      <w:r>
        <w:fldChar w:fldCharType="separate"/>
      </w:r>
      <w:r>
        <w:t>246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XV</w:t>
      </w:r>
      <w:r>
        <w:rPr>
          <w:b w:val="0"/>
        </w:rPr>
        <w:t> </w:t>
      </w:r>
      <w:r>
        <w:t>—</w:t>
      </w:r>
      <w:r>
        <w:rPr>
          <w:b w:val="0"/>
        </w:rPr>
        <w:t> </w:t>
      </w:r>
      <w:r>
        <w:t xml:space="preserve">Transitional provisions for </w:t>
      </w:r>
      <w:r>
        <w:rPr>
          <w:i/>
        </w:rPr>
        <w:t>Electronic Conveyancing Act 2014</w:t>
      </w:r>
    </w:p>
    <w:p>
      <w:pPr>
        <w:pStyle w:val="TOC8"/>
        <w:rPr>
          <w:rFonts w:asciiTheme="minorHAnsi" w:eastAsiaTheme="minorEastAsia" w:hAnsiTheme="minorHAnsi" w:cstheme="minorBidi"/>
          <w:szCs w:val="22"/>
        </w:rPr>
      </w:pPr>
      <w:r>
        <w:t>244.</w:t>
      </w:r>
      <w:r>
        <w:tab/>
        <w:t>Term used: amending Act</w:t>
      </w:r>
      <w:r>
        <w:tab/>
      </w:r>
      <w:r>
        <w:fldChar w:fldCharType="begin"/>
      </w:r>
      <w:r>
        <w:instrText xml:space="preserve"> PAGEREF _Toc210130032 \h </w:instrText>
      </w:r>
      <w:r>
        <w:fldChar w:fldCharType="separate"/>
      </w:r>
      <w:r>
        <w:t>247</w:t>
      </w:r>
      <w:r>
        <w:fldChar w:fldCharType="end"/>
      </w:r>
    </w:p>
    <w:p>
      <w:pPr>
        <w:pStyle w:val="TOC8"/>
        <w:rPr>
          <w:rFonts w:asciiTheme="minorHAnsi" w:eastAsiaTheme="minorEastAsia" w:hAnsiTheme="minorHAnsi" w:cstheme="minorBidi"/>
          <w:szCs w:val="22"/>
        </w:rPr>
      </w:pPr>
      <w:r>
        <w:t>245.</w:t>
      </w:r>
      <w:r>
        <w:tab/>
        <w:t>Transitional provision for s. 52(2)</w:t>
      </w:r>
      <w:r>
        <w:tab/>
      </w:r>
      <w:r>
        <w:fldChar w:fldCharType="begin"/>
      </w:r>
      <w:r>
        <w:instrText xml:space="preserve"> PAGEREF _Toc210130033 \h </w:instrText>
      </w:r>
      <w:r>
        <w:fldChar w:fldCharType="separate"/>
      </w:r>
      <w:r>
        <w:t>247</w:t>
      </w:r>
      <w:r>
        <w:fldChar w:fldCharType="end"/>
      </w:r>
    </w:p>
    <w:p>
      <w:pPr>
        <w:pStyle w:val="TOC8"/>
        <w:rPr>
          <w:rFonts w:asciiTheme="minorHAnsi" w:eastAsiaTheme="minorEastAsia" w:hAnsiTheme="minorHAnsi" w:cstheme="minorBidi"/>
          <w:szCs w:val="22"/>
        </w:rPr>
      </w:pPr>
      <w:r>
        <w:t>246.</w:t>
      </w:r>
      <w:r>
        <w:tab/>
        <w:t>Transitional provision for s. 105(4)</w:t>
      </w:r>
      <w:r>
        <w:tab/>
      </w:r>
      <w:r>
        <w:fldChar w:fldCharType="begin"/>
      </w:r>
      <w:r>
        <w:instrText xml:space="preserve"> PAGEREF _Toc210130034 \h </w:instrText>
      </w:r>
      <w:r>
        <w:fldChar w:fldCharType="separate"/>
      </w:r>
      <w:r>
        <w:t>247</w:t>
      </w:r>
      <w:r>
        <w:fldChar w:fldCharType="end"/>
      </w:r>
    </w:p>
    <w:p>
      <w:pPr>
        <w:pStyle w:val="TOC8"/>
        <w:rPr>
          <w:rFonts w:asciiTheme="minorHAnsi" w:eastAsiaTheme="minorEastAsia" w:hAnsiTheme="minorHAnsi" w:cstheme="minorBidi"/>
          <w:szCs w:val="22"/>
        </w:rPr>
      </w:pPr>
      <w:r>
        <w:t>247.</w:t>
      </w:r>
      <w:r>
        <w:tab/>
        <w:t>Transitional provision for s. 182A (requirements)</w:t>
      </w:r>
      <w:r>
        <w:tab/>
      </w:r>
      <w:r>
        <w:fldChar w:fldCharType="begin"/>
      </w:r>
      <w:r>
        <w:instrText xml:space="preserve"> PAGEREF _Toc210130035 \h </w:instrText>
      </w:r>
      <w:r>
        <w:fldChar w:fldCharType="separate"/>
      </w:r>
      <w:r>
        <w:t>247</w:t>
      </w:r>
      <w:r>
        <w:fldChar w:fldCharType="end"/>
      </w:r>
    </w:p>
    <w:p>
      <w:pPr>
        <w:pStyle w:val="TOC2"/>
        <w:tabs>
          <w:tab w:val="right" w:leader="dot" w:pos="7077"/>
        </w:tabs>
        <w:rPr>
          <w:rFonts w:asciiTheme="minorHAnsi" w:eastAsiaTheme="minorEastAsia" w:hAnsiTheme="minorHAnsi" w:cstheme="minorBidi"/>
          <w:b w:val="0"/>
          <w:sz w:val="22"/>
          <w:szCs w:val="22"/>
        </w:rPr>
      </w:pPr>
      <w:r>
        <w:t>Part 16</w:t>
      </w:r>
      <w:r>
        <w:rPr>
          <w:b w:val="0"/>
        </w:rPr>
        <w:t> </w:t>
      </w:r>
      <w:r>
        <w:t>—</w:t>
      </w:r>
      <w:r>
        <w:rPr>
          <w:b w:val="0"/>
        </w:rPr>
        <w:t> </w:t>
      </w:r>
      <w:r>
        <w:t xml:space="preserve">Transitional provisions for </w:t>
      </w:r>
      <w:r>
        <w:rPr>
          <w:i/>
        </w:rPr>
        <w:t>Transfer of Land Amendment Act 2022</w:t>
      </w:r>
    </w:p>
    <w:p>
      <w:pPr>
        <w:pStyle w:val="TOC8"/>
        <w:rPr>
          <w:rFonts w:asciiTheme="minorHAnsi" w:eastAsiaTheme="minorEastAsia" w:hAnsiTheme="minorHAnsi" w:cstheme="minorBidi"/>
          <w:szCs w:val="22"/>
        </w:rPr>
      </w:pPr>
      <w:r>
        <w:t>248.</w:t>
      </w:r>
      <w:r>
        <w:tab/>
        <w:t>Transitional provision for duplicate certificates of title</w:t>
      </w:r>
      <w:r>
        <w:tab/>
      </w:r>
      <w:r>
        <w:fldChar w:fldCharType="begin"/>
      </w:r>
      <w:r>
        <w:instrText xml:space="preserve"> PAGEREF _Toc210130037 \h </w:instrText>
      </w:r>
      <w:r>
        <w:fldChar w:fldCharType="separate"/>
      </w:r>
      <w:r>
        <w:t>249</w:t>
      </w:r>
      <w:r>
        <w:fldChar w:fldCharType="end"/>
      </w:r>
    </w:p>
    <w:p>
      <w:pPr>
        <w:pStyle w:val="TOC8"/>
        <w:rPr>
          <w:rFonts w:asciiTheme="minorHAnsi" w:eastAsiaTheme="minorEastAsia" w:hAnsiTheme="minorHAnsi" w:cstheme="minorBidi"/>
          <w:szCs w:val="22"/>
        </w:rPr>
      </w:pPr>
      <w:r>
        <w:t>249.</w:t>
      </w:r>
      <w:r>
        <w:tab/>
        <w:t>Transitional provision for service of documents</w:t>
      </w:r>
      <w:r>
        <w:tab/>
      </w:r>
      <w:r>
        <w:fldChar w:fldCharType="begin"/>
      </w:r>
      <w:r>
        <w:instrText xml:space="preserve"> PAGEREF _Toc210130038 \h </w:instrText>
      </w:r>
      <w:r>
        <w:fldChar w:fldCharType="separate"/>
      </w:r>
      <w:r>
        <w:t>249</w:t>
      </w:r>
      <w:r>
        <w:fldChar w:fldCharType="end"/>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First Schedule — Acts repealed</w:t>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Second Schedule — Application to bring land under Act</w:t>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Third Schedule — Notice to be posted on land</w:t>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Fourth Schedule — Application to be registered as proprietor by possession</w:t>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Ninth Schedule — Creation of rights of carriage</w:t>
      </w:r>
      <w:r>
        <w:rPr>
          <w:rFonts w:eastAsia="MS Mincho"/>
        </w:rPr>
        <w:noBreakHyphen/>
        <w:t>way</w:t>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Tenth Schedule — Short and long forms of certain easements</w:t>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Twelfth Schedule — Short form of covenants by lessee</w:t>
      </w:r>
    </w:p>
    <w:p>
      <w:pPr>
        <w:pStyle w:val="TOC2"/>
        <w:tabs>
          <w:tab w:val="right" w:leader="dot" w:pos="7077"/>
        </w:tabs>
        <w:rPr>
          <w:rFonts w:asciiTheme="minorHAnsi" w:eastAsiaTheme="minorEastAsia" w:hAnsiTheme="minorHAnsi" w:cstheme="minorBidi"/>
          <w:b w:val="0"/>
          <w:sz w:val="22"/>
          <w:szCs w:val="22"/>
        </w:rPr>
      </w:pPr>
      <w:r>
        <w:rPr>
          <w:rFonts w:eastAsia="MS Mincho"/>
        </w:rPr>
        <w:lastRenderedPageBreak/>
        <w:t>Sixteenth Schedule — Short form of covenant by mortgagor to insure</w:t>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Nineteenth Schedule — Power of Attorney</w:t>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Twenty</w:t>
      </w:r>
      <w:r>
        <w:rPr>
          <w:rFonts w:eastAsia="MS Mincho"/>
        </w:rPr>
        <w:noBreakHyphen/>
        <w:t>fourth Schedule — Form of application to amend certificate or amend or replace relevant graphic</w:t>
      </w:r>
    </w:p>
    <w:p>
      <w:pPr>
        <w:pStyle w:val="TOC2"/>
        <w:tabs>
          <w:tab w:val="right" w:leader="dot" w:pos="7077"/>
        </w:tabs>
        <w:rPr>
          <w:rFonts w:asciiTheme="minorHAnsi" w:eastAsiaTheme="minorEastAsia" w:hAnsiTheme="minorHAnsi" w:cstheme="minorBidi"/>
          <w:b w:val="0"/>
          <w:sz w:val="22"/>
          <w:szCs w:val="22"/>
        </w:rPr>
      </w:pPr>
      <w:r>
        <w:t>Twenty</w:t>
      </w:r>
      <w:r>
        <w:noBreakHyphen/>
        <w:t>sixth Schedule — General conditions of sale</w:t>
      </w:r>
    </w:p>
    <w:p>
      <w:pPr>
        <w:pStyle w:val="TOC2"/>
        <w:tabs>
          <w:tab w:val="right" w:leader="dot" w:pos="7077"/>
        </w:tabs>
        <w:rPr>
          <w:rFonts w:asciiTheme="minorHAnsi" w:eastAsiaTheme="minorEastAsia" w:hAnsiTheme="minorHAnsi" w:cstheme="minorBidi"/>
          <w:b w:val="0"/>
          <w:sz w:val="22"/>
          <w:szCs w:val="22"/>
        </w:rPr>
      </w:pPr>
      <w:r>
        <w:t>Twenty</w:t>
      </w:r>
      <w:r>
        <w:noBreakHyphen/>
        <w:t>eighth Schedule — Application to register Crown lease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_Toc210130052 \h </w:instrText>
      </w:r>
      <w:r>
        <w:fldChar w:fldCharType="separate"/>
      </w:r>
      <w:r>
        <w:t>276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_Toc210130053 \h </w:instrText>
      </w:r>
      <w:r>
        <w:fldChar w:fldCharType="separate"/>
      </w:r>
      <w:r>
        <w:t>283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_Toc210130054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960" w:after="1080"/>
        <w:outlineLvl w:val="0"/>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2"/>
      </w:pPr>
      <w:bookmarkStart w:id="2" w:name="_Toc166683331"/>
      <w:bookmarkStart w:id="3" w:name="_Toc166683707"/>
      <w:bookmarkStart w:id="4" w:name="_Toc166684493"/>
      <w:bookmarkStart w:id="5" w:name="_Toc210120102"/>
      <w:bookmarkStart w:id="6" w:name="_Toc210129680"/>
      <w:r>
        <w:rPr>
          <w:rStyle w:val="CharPartNo"/>
        </w:rPr>
        <w:lastRenderedPageBreak/>
        <w:t>Part IA</w:t>
      </w:r>
      <w:r>
        <w:rPr>
          <w:rStyle w:val="CharDivNo"/>
        </w:rPr>
        <w:t> </w:t>
      </w:r>
      <w:r>
        <w:t>—</w:t>
      </w:r>
      <w:r>
        <w:rPr>
          <w:rStyle w:val="CharDivText"/>
        </w:rPr>
        <w:t> </w:t>
      </w:r>
      <w:r>
        <w:rPr>
          <w:rStyle w:val="CharPartText"/>
        </w:rPr>
        <w:t>Preliminary</w:t>
      </w:r>
      <w:bookmarkEnd w:id="2"/>
      <w:bookmarkEnd w:id="3"/>
      <w:bookmarkEnd w:id="4"/>
      <w:bookmarkEnd w:id="5"/>
      <w:bookmarkEnd w:id="6"/>
    </w:p>
    <w:p>
      <w:pPr>
        <w:pStyle w:val="Footnoteheading"/>
      </w:pPr>
      <w:r>
        <w:tab/>
        <w:t>[Heading inserted: No. 19 of 2010 s. 43(2).]</w:t>
      </w:r>
    </w:p>
    <w:p>
      <w:pPr>
        <w:pStyle w:val="Heading5"/>
        <w:rPr>
          <w:snapToGrid w:val="0"/>
        </w:rPr>
      </w:pPr>
      <w:bookmarkStart w:id="7" w:name="_Toc210129681"/>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w:t>
      </w:r>
    </w:p>
    <w:p>
      <w:pPr>
        <w:pStyle w:val="Footnotesection"/>
      </w:pPr>
      <w:r>
        <w:tab/>
        <w:t>[Section 1 inserted: No. 81 of 1996 s. 4.]</w:t>
      </w:r>
    </w:p>
    <w:p>
      <w:pPr>
        <w:pStyle w:val="Heading5"/>
        <w:rPr>
          <w:snapToGrid w:val="0"/>
        </w:rPr>
      </w:pPr>
      <w:bookmarkStart w:id="8" w:name="_Toc210129682"/>
      <w:r>
        <w:rPr>
          <w:rStyle w:val="CharSectno"/>
        </w:rPr>
        <w:t>2</w:t>
      </w:r>
      <w:r>
        <w:rPr>
          <w:snapToGrid w:val="0"/>
        </w:rPr>
        <w:t>.</w:t>
      </w:r>
      <w:r>
        <w:rPr>
          <w:snapToGrid w:val="0"/>
        </w:rPr>
        <w:tab/>
        <w:t>Repeals and savings</w:t>
      </w:r>
      <w:bookmarkEnd w:id="8"/>
    </w:p>
    <w:p>
      <w:pPr>
        <w:pStyle w:val="Subsection"/>
        <w:rPr>
          <w:snapToGrid w:val="0"/>
        </w:rPr>
      </w:pPr>
      <w:r>
        <w:rPr>
          <w:snapToGrid w:val="0"/>
        </w:rPr>
        <w:tab/>
        <w:t>(1)</w:t>
      </w:r>
      <w:r>
        <w:rPr>
          <w:snapToGrid w:val="0"/>
        </w:rPr>
        <w:tab/>
        <w:t>The Acts mentioned in the First Schedule to this Act to the extent to which the same are thereby expressed to be repealed are hereby repealed.</w:t>
      </w:r>
    </w:p>
    <w:p>
      <w:pPr>
        <w:pStyle w:val="Subsection"/>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Footnotesection"/>
      </w:pPr>
      <w:r>
        <w:tab/>
        <w:t>[Section 2 amended: No. 19 of 2010 s. 51.]</w:t>
      </w:r>
    </w:p>
    <w:p>
      <w:pPr>
        <w:pStyle w:val="Heading5"/>
        <w:rPr>
          <w:snapToGrid w:val="0"/>
        </w:rPr>
      </w:pPr>
      <w:bookmarkStart w:id="9" w:name="_Toc210129683"/>
      <w:r>
        <w:rPr>
          <w:rStyle w:val="CharSectno"/>
        </w:rPr>
        <w:t>3</w:t>
      </w:r>
      <w:r>
        <w:rPr>
          <w:snapToGrid w:val="0"/>
        </w:rPr>
        <w:t>.</w:t>
      </w:r>
      <w:r>
        <w:rPr>
          <w:snapToGrid w:val="0"/>
        </w:rPr>
        <w:tab/>
        <w:t>Application of other laws etc. and this Act</w:t>
      </w:r>
      <w:bookmarkEnd w:id="9"/>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pPr>
      <w:r>
        <w:lastRenderedPageBreak/>
        <w:tab/>
        <w:t>(2A)</w:t>
      </w:r>
      <w:r>
        <w:tab/>
        <w:t xml:space="preserve">If a provision of this Act is inconsistent with a provision of the </w:t>
      </w:r>
      <w:r>
        <w:rPr>
          <w:i/>
        </w:rPr>
        <w:t>Electronic Conveyancing Act 2014</w:t>
      </w:r>
      <w:r>
        <w:t>, the provision of that Act prevails to the extent of the inconsistency.</w:t>
      </w:r>
    </w:p>
    <w:p>
      <w:pPr>
        <w:pStyle w:val="Subsection"/>
        <w:keepNext/>
        <w:rPr>
          <w:snapToGrid w:val="0"/>
        </w:rPr>
      </w:pPr>
      <w:r>
        <w:rPr>
          <w:snapToGrid w:val="0"/>
        </w:rPr>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Subsection"/>
      </w:pPr>
      <w:r>
        <w:tab/>
        <w:t>(4)</w:t>
      </w:r>
      <w:r>
        <w:tab/>
        <w:t xml:space="preserve">If a provision of this Act is inconsistent with a provision of the </w:t>
      </w:r>
      <w:r>
        <w:rPr>
          <w:i/>
        </w:rPr>
        <w:t>Strata Titles Act 1985</w:t>
      </w:r>
      <w:r>
        <w:t xml:space="preserve"> that relates to strata leases, the provision of that Act prevails to the extent of the inconsistency.</w:t>
      </w:r>
    </w:p>
    <w:p>
      <w:pPr>
        <w:pStyle w:val="Footnotesection"/>
        <w:spacing w:before="80"/>
        <w:ind w:left="890" w:hanging="890"/>
      </w:pPr>
      <w:r>
        <w:tab/>
        <w:t>[Section 3 amended: No. 31 of 1997 s. 88; No. 28 of 2003 s. 129(2); No. 35 of 2007 s. 106; No. 2 of 2014 s. 62; No. 30 of 2018 s. 194.]</w:t>
      </w:r>
    </w:p>
    <w:p>
      <w:pPr>
        <w:pStyle w:val="Heading5"/>
        <w:spacing w:before="240"/>
        <w:rPr>
          <w:snapToGrid w:val="0"/>
        </w:rPr>
      </w:pPr>
      <w:bookmarkStart w:id="10" w:name="_Toc210129684"/>
      <w:r>
        <w:rPr>
          <w:rStyle w:val="CharSectno"/>
        </w:rPr>
        <w:t>4</w:t>
      </w:r>
      <w:r>
        <w:rPr>
          <w:snapToGrid w:val="0"/>
        </w:rPr>
        <w:t>.</w:t>
      </w:r>
      <w:r>
        <w:rPr>
          <w:snapToGrid w:val="0"/>
        </w:rPr>
        <w:tab/>
        <w:t>Terms used; application of Act to Crown land</w:t>
      </w:r>
      <w:bookmarkEnd w:id="10"/>
    </w:p>
    <w:p>
      <w:pPr>
        <w:pStyle w:val="Subsection"/>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lastRenderedPageBreak/>
        <w:tab/>
      </w:r>
      <w:r>
        <w:rPr>
          <w:rStyle w:val="CharDefText"/>
        </w:rPr>
        <w:t>approved form</w:t>
      </w:r>
      <w:r>
        <w:t>, subject to section 81K, means a form approved by the Registrar of Titles;</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tab/>
      </w:r>
      <w:r>
        <w:rPr>
          <w:rStyle w:val="CharDefText"/>
        </w:rPr>
        <w:t>conveyancing transaction</w:t>
      </w:r>
      <w:r>
        <w:t xml:space="preserve"> has the meaning given in the </w:t>
      </w:r>
      <w:r>
        <w:rPr>
          <w:i/>
        </w:rPr>
        <w:t>Electronic Conveyancing Act 2014</w:t>
      </w:r>
      <w:r>
        <w:t xml:space="preserve"> section 3(1);</w:t>
      </w:r>
    </w:p>
    <w:p>
      <w:pPr>
        <w:pStyle w:val="Defstart"/>
      </w:pPr>
      <w:r>
        <w:tab/>
      </w:r>
      <w:r>
        <w:rPr>
          <w:rStyle w:val="CharDefText"/>
        </w:rPr>
        <w:t>counterpart</w:t>
      </w:r>
      <w:r>
        <w:t xml:space="preserve"> has the meaning given in subsection (1CA);</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Cs/>
        </w:rPr>
        <w:t xml:space="preserve"> </w:t>
      </w:r>
      <w:r>
        <w:rPr>
          <w:i/>
        </w:rPr>
        <w:t>Land Act 1898</w:t>
      </w:r>
      <w:r>
        <w:rPr>
          <w:vertAlign w:val="superscript"/>
        </w:rPr>
        <w:t> 1</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keepNext/>
      </w:pPr>
      <w:r>
        <w:lastRenderedPageBreak/>
        <w:tab/>
      </w:r>
      <w:r>
        <w:rPr>
          <w:rStyle w:val="CharDefText"/>
        </w:rPr>
        <w:t>digital signature</w:t>
      </w:r>
      <w:r>
        <w:t xml:space="preserve"> has the meaning given in the </w:t>
      </w:r>
      <w:r>
        <w:rPr>
          <w:i/>
        </w:rPr>
        <w:t>Electronic Conveyancing Act 2014</w:t>
      </w:r>
      <w:r>
        <w:t xml:space="preserve"> section 3(1);</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document</w:t>
      </w:r>
      <w:r>
        <w:t xml:space="preserve"> means any record of information however recorded, and includes — </w:t>
      </w:r>
    </w:p>
    <w:p>
      <w:pPr>
        <w:pStyle w:val="Defpara"/>
      </w:pPr>
      <w:r>
        <w:tab/>
        <w:t>(a)</w:t>
      </w:r>
      <w:r>
        <w:tab/>
        <w:t>anything on which there is writing; or</w:t>
      </w:r>
    </w:p>
    <w:p>
      <w:pPr>
        <w:pStyle w:val="Defpara"/>
      </w:pPr>
      <w:r>
        <w:tab/>
        <w:t>(b)</w:t>
      </w:r>
      <w:r>
        <w:tab/>
        <w:t>anything on which there are marks, figures, symbols or perforations having a meaning for persons qualified to interpret them; or</w:t>
      </w:r>
    </w:p>
    <w:p>
      <w:pPr>
        <w:pStyle w:val="Defpara"/>
      </w:pPr>
      <w:r>
        <w:tab/>
        <w:t>(c)</w:t>
      </w:r>
      <w:r>
        <w:tab/>
        <w:t>anything from which sounds, images or writings can be reproduced with or without the aid of anything else; or</w:t>
      </w:r>
    </w:p>
    <w:p>
      <w:pPr>
        <w:pStyle w:val="Defpara"/>
      </w:pPr>
      <w:r>
        <w:tab/>
        <w:t>(d)</w:t>
      </w:r>
      <w:r>
        <w:tab/>
        <w:t>a map, plan, drawing or photograph; or</w:t>
      </w:r>
    </w:p>
    <w:p>
      <w:pPr>
        <w:pStyle w:val="Defpara"/>
      </w:pPr>
      <w:r>
        <w:tab/>
        <w:t>(e)</w:t>
      </w:r>
      <w:r>
        <w:tab/>
        <w:t>any record of information that exists in a digital form and is capable of being reproduced, transmitted, stored and duplicated by electronic means;</w:t>
      </w:r>
    </w:p>
    <w:p>
      <w:pPr>
        <w:pStyle w:val="Defstart"/>
      </w:pPr>
      <w:r>
        <w:tab/>
      </w:r>
      <w:r>
        <w:rPr>
          <w:rStyle w:val="CharDefText"/>
        </w:rPr>
        <w:t>ELN</w:t>
      </w:r>
      <w:r>
        <w:t xml:space="preserve"> has the meaning given in the </w:t>
      </w:r>
      <w:r>
        <w:rPr>
          <w:i/>
        </w:rPr>
        <w:t>Electronic Conveyancing Act 2014</w:t>
      </w:r>
      <w:r>
        <w:t xml:space="preserve"> section 3(1);</w:t>
      </w:r>
    </w:p>
    <w:p>
      <w:pPr>
        <w:pStyle w:val="Defstart"/>
      </w:pPr>
      <w:r>
        <w:tab/>
      </w:r>
      <w:r>
        <w:rPr>
          <w:rStyle w:val="CharDefText"/>
        </w:rPr>
        <w:t>ELNO</w:t>
      </w:r>
      <w:r>
        <w:t xml:space="preserve"> has the meaning given in the </w:t>
      </w:r>
      <w:r>
        <w:rPr>
          <w:i/>
        </w:rPr>
        <w:t>Electronic Conveyancing Act 2014</w:t>
      </w:r>
      <w:r>
        <w:t xml:space="preserve"> section 3(1);</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keepNext/>
      </w:pPr>
      <w:r>
        <w:rPr>
          <w:b/>
        </w:rPr>
        <w:lastRenderedPageBreak/>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pPr>
      <w:r>
        <w:tab/>
        <w:t>(a)</w:t>
      </w:r>
      <w:r>
        <w:tab/>
        <w:t>a document for the conveyance, assignment, transfer, lease, sublease, mortgage or charge of freehold land; and</w:t>
      </w:r>
    </w:p>
    <w:p>
      <w:pPr>
        <w:pStyle w:val="Defpara"/>
      </w:pPr>
      <w:r>
        <w:tab/>
        <w:t>(b)</w:t>
      </w:r>
      <w:r>
        <w:tab/>
        <w:t>a document creating an easement, profit à prendre or restrictive covenant; and</w:t>
      </w:r>
    </w:p>
    <w:p>
      <w:pPr>
        <w:pStyle w:val="Defpara"/>
      </w:pPr>
      <w:r>
        <w:tab/>
        <w:t>(c)</w:t>
      </w:r>
      <w:r>
        <w:tab/>
        <w:t>a carbon right form, carbon covenant form or tree plantation agreement; and</w:t>
      </w:r>
    </w:p>
    <w:p>
      <w:pPr>
        <w:pStyle w:val="Defpara"/>
      </w:pPr>
      <w:r>
        <w:tab/>
        <w:t>(d)</w:t>
      </w:r>
      <w:r>
        <w:tab/>
        <w:t>a document for —</w:t>
      </w:r>
    </w:p>
    <w:p>
      <w:pPr>
        <w:pStyle w:val="Defsubpara"/>
        <w:keepLines w:val="0"/>
      </w:pPr>
      <w:r>
        <w:tab/>
        <w:t>(i)</w:t>
      </w:r>
      <w:r>
        <w:tab/>
        <w:t>the transfer, mortgage or charge of a carbon right, carbon covenant, plantation interest or profit à prendre or for any other dealing in relation to a carbon right, carbon covenant, plantation interest or profit à prendre; or</w:t>
      </w:r>
    </w:p>
    <w:p>
      <w:pPr>
        <w:pStyle w:val="Defsubpara"/>
        <w:keepLines w:val="0"/>
      </w:pPr>
      <w:r>
        <w:tab/>
        <w:t>(ii)</w:t>
      </w:r>
      <w:r>
        <w:tab/>
        <w:t>the extension of a carbon right, carbon covenant or plantation interest; or</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r>
      <w:r>
        <w:tab/>
        <w:t>and</w:t>
      </w:r>
    </w:p>
    <w:p>
      <w:pPr>
        <w:pStyle w:val="Defpara"/>
      </w:pPr>
      <w:r>
        <w:lastRenderedPageBreak/>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tab/>
      </w:r>
      <w:r>
        <w:rPr>
          <w:rStyle w:val="CharDefText"/>
        </w:rPr>
        <w:t>participation rules</w:t>
      </w:r>
      <w:r>
        <w:t xml:space="preserve"> has the meaning given in the </w:t>
      </w:r>
      <w:r>
        <w:rPr>
          <w:i/>
        </w:rPr>
        <w:t>Electronic Conveyancing Act 2014</w:t>
      </w:r>
      <w:r>
        <w:t xml:space="preserve"> section 3(1);</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lastRenderedPageBreak/>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keepNex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 or</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lease, mortgage, charge,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lastRenderedPageBreak/>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2</w:t>
      </w:r>
      <w:r>
        <w:rPr>
          <w:i/>
        </w:rPr>
        <w:t> </w:t>
      </w:r>
      <w:r>
        <w:t>—</w:t>
      </w:r>
    </w:p>
    <w:p>
      <w:pPr>
        <w:pStyle w:val="Defsubpara"/>
      </w:pPr>
      <w:r>
        <w:tab/>
        <w:t>(i)</w:t>
      </w:r>
      <w:r>
        <w:tab/>
        <w:t>a person appointed as a sworn valuator under the provisions of this Act as enacted before the coming into operation of that Act; or</w:t>
      </w:r>
    </w:p>
    <w:p>
      <w:pPr>
        <w:pStyle w:val="Defsubpara"/>
        <w:keepLines w:val="0"/>
      </w:pPr>
      <w:r>
        <w:tab/>
        <w:t>(ii)</w:t>
      </w:r>
      <w: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2</w:t>
      </w:r>
      <w:r>
        <w:rPr>
          <w:i/>
        </w:rPr>
        <w:t> </w:t>
      </w:r>
      <w:r>
        <w:t>— a person who is licensed under that Act;</w:t>
      </w:r>
    </w:p>
    <w:p>
      <w:pPr>
        <w:pStyle w:val="Defstart"/>
      </w:pPr>
      <w:r>
        <w:tab/>
      </w:r>
      <w:r>
        <w:rPr>
          <w:rStyle w:val="CharDefText"/>
        </w:rPr>
        <w:t>record</w:t>
      </w:r>
      <w:r>
        <w:t xml:space="preserve"> includes information stored or recorded by means of a computer;</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tab/>
      </w:r>
      <w:r>
        <w:rPr>
          <w:rStyle w:val="CharDefText"/>
        </w:rPr>
        <w:t>sign</w:t>
      </w:r>
      <w:r>
        <w:t xml:space="preserve"> includes digitally sign;</w:t>
      </w:r>
    </w:p>
    <w:p>
      <w:pPr>
        <w:pStyle w:val="Defstart"/>
      </w:pPr>
      <w:r>
        <w:tab/>
      </w:r>
      <w:r>
        <w:rPr>
          <w:rStyle w:val="CharDefText"/>
        </w:rPr>
        <w:t>signature</w:t>
      </w:r>
      <w:r>
        <w:t xml:space="preserve"> includes a digital signature;</w:t>
      </w:r>
    </w:p>
    <w:p>
      <w:pPr>
        <w:pStyle w:val="Defstart"/>
      </w:pPr>
      <w:r>
        <w:lastRenderedPageBreak/>
        <w:tab/>
      </w:r>
      <w:r>
        <w:rPr>
          <w:rStyle w:val="CharDefText"/>
        </w:rPr>
        <w:t>subscriber</w:t>
      </w:r>
      <w:r>
        <w:t xml:space="preserve"> has the meaning given in the </w:t>
      </w:r>
      <w:r>
        <w:rPr>
          <w:i/>
        </w:rPr>
        <w:t>Electronic Conveyancing Act 2014</w:t>
      </w:r>
      <w:r>
        <w:t xml:space="preserve"> section 3(1);</w:t>
      </w:r>
    </w:p>
    <w:p>
      <w:pPr>
        <w:pStyle w:val="Defstart"/>
      </w:pPr>
      <w:r>
        <w:rPr>
          <w:b/>
        </w:rPr>
        <w:tab/>
      </w:r>
      <w:r>
        <w:rPr>
          <w:rStyle w:val="CharDefText"/>
        </w:rPr>
        <w:t>symbol</w:t>
      </w:r>
      <w:r>
        <w:t xml:space="preserve"> means a symbol approved by the Registrar under section 48C;</w:t>
      </w:r>
    </w:p>
    <w:p>
      <w:pPr>
        <w:pStyle w:val="Defstart"/>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r>
        <w:t>.</w:t>
      </w:r>
    </w:p>
    <w:p>
      <w:pPr>
        <w:pStyle w:val="Subsection"/>
        <w:keepNext/>
        <w:spacing w:before="100"/>
      </w:pPr>
      <w:r>
        <w:tab/>
        <w:t>(1a)</w:t>
      </w:r>
      <w:r>
        <w:tab/>
        <w:t xml:space="preserve">This Act </w:t>
      </w:r>
      <w:r>
        <w:rPr>
          <w:snapToGrid w:val="0"/>
        </w:rPr>
        <w:t>applies</w:t>
      </w:r>
      <w:r>
        <w:t>, with such modifications —</w:t>
      </w:r>
    </w:p>
    <w:p>
      <w:pPr>
        <w:pStyle w:val="Indenta"/>
        <w:keepNext/>
      </w:pPr>
      <w:r>
        <w:tab/>
        <w:t>(a)</w:t>
      </w:r>
      <w:r>
        <w:tab/>
        <w:t>as are necessary or desirable; or</w:t>
      </w:r>
    </w:p>
    <w:p>
      <w:pPr>
        <w:pStyle w:val="Indenta"/>
      </w:pPr>
      <w:r>
        <w:tab/>
        <w:t>(b)</w:t>
      </w:r>
      <w:r>
        <w:tab/>
        <w:t>as are prescribed,</w:t>
      </w:r>
    </w:p>
    <w:p>
      <w:pPr>
        <w:pStyle w:val="Subsection"/>
      </w:pPr>
      <w:r>
        <w:tab/>
      </w:r>
      <w:r>
        <w:tab/>
        <w:t>or both, to Crown land.</w:t>
      </w:r>
    </w:p>
    <w:p>
      <w:pPr>
        <w:pStyle w:val="Subsection"/>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 or</w:t>
      </w:r>
    </w:p>
    <w:p>
      <w:pPr>
        <w:pStyle w:val="Indenta"/>
      </w:pPr>
      <w:r>
        <w:tab/>
        <w:t>(b)</w:t>
      </w:r>
      <w:r>
        <w:tab/>
        <w:t>a Crown grant includes, unless the contrary intention appears, a reference to a certificate of title created and registered on the registration of a transfer in fee simple of the relevant parcel of Crown land; or</w:t>
      </w:r>
    </w:p>
    <w:p>
      <w:pPr>
        <w:pStyle w:val="Indenta"/>
      </w:pPr>
      <w:r>
        <w:tab/>
        <w:t>(c)</w:t>
      </w:r>
      <w:r>
        <w:tab/>
        <w:t>land, to freehold land or to land under the operation of this Act includes, unless the contrary intention appears, a reference to Crown land; or</w:t>
      </w:r>
    </w:p>
    <w:p>
      <w:pPr>
        <w:pStyle w:val="Indenta"/>
      </w:pPr>
      <w:r>
        <w:tab/>
        <w:t>(d)</w:t>
      </w:r>
      <w:r>
        <w:tab/>
        <w:t>the Minister includes, unless the contrary intention appears, a reference to the Minister for Lands; or</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lastRenderedPageBreak/>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(1CA)</w:t>
      </w:r>
      <w:r>
        <w:tab/>
        <w:t xml:space="preserve">For the purposes of this Act, a document is a </w:t>
      </w:r>
      <w:r>
        <w:rPr>
          <w:rStyle w:val="CharDefText"/>
        </w:rPr>
        <w:t>counterpart</w:t>
      </w:r>
      <w:r>
        <w:t xml:space="preserve"> in relation to another document if — </w:t>
      </w:r>
    </w:p>
    <w:p>
      <w:pPr>
        <w:pStyle w:val="Indenta"/>
      </w:pPr>
      <w:r>
        <w:tab/>
        <w:t>(a)</w:t>
      </w:r>
      <w:r>
        <w:tab/>
        <w:t>the documents relate to the same conveyancing transaction; and</w:t>
      </w:r>
    </w:p>
    <w:p>
      <w:pPr>
        <w:pStyle w:val="Indenta"/>
      </w:pPr>
      <w:r>
        <w:tab/>
        <w:t>(b)</w:t>
      </w:r>
      <w:r>
        <w:tab/>
        <w:t>the documents are in the same terms or substantially the same terms.</w:t>
      </w:r>
    </w:p>
    <w:p>
      <w:pPr>
        <w:pStyle w:val="Subsection"/>
      </w:pPr>
      <w:r>
        <w:t>(1CB)</w:t>
      </w:r>
      <w:r>
        <w:tab/>
        <w:t xml:space="preserve">Without limiting subsection (1CA)(b), documents are in substantially the same terms for the purposes of that provision if the documents contain exactly the same data or information apart from all or any of the following — </w:t>
      </w:r>
    </w:p>
    <w:p>
      <w:pPr>
        <w:pStyle w:val="Indenta"/>
      </w:pPr>
      <w:r>
        <w:tab/>
        <w:t>(a)</w:t>
      </w:r>
      <w:r>
        <w:tab/>
        <w:t>any signature created for or appearing on each document;</w:t>
      </w:r>
    </w:p>
    <w:p>
      <w:pPr>
        <w:pStyle w:val="Indenta"/>
      </w:pPr>
      <w:r>
        <w:tab/>
        <w:t>(b)</w:t>
      </w:r>
      <w:r>
        <w:tab/>
        <w:t>the details of any attesting witness;</w:t>
      </w:r>
    </w:p>
    <w:p>
      <w:pPr>
        <w:pStyle w:val="Indenta"/>
      </w:pPr>
      <w:r>
        <w:tab/>
        <w:t>(c)</w:t>
      </w:r>
      <w:r>
        <w:tab/>
        <w:t>the date on which the documents were signed or witnessed;</w:t>
      </w:r>
    </w:p>
    <w:p>
      <w:pPr>
        <w:pStyle w:val="Indenta"/>
      </w:pPr>
      <w:r>
        <w:tab/>
        <w:t>(d)</w:t>
      </w:r>
      <w:r>
        <w:tab/>
        <w:t xml:space="preserve">any data or information authorised or required by a taxation Act (as defined in the </w:t>
      </w:r>
      <w:r>
        <w:rPr>
          <w:i/>
        </w:rPr>
        <w:t>Taxation Administration Act 2003</w:t>
      </w:r>
      <w:r>
        <w:t xml:space="preserve"> Glossary);</w:t>
      </w:r>
    </w:p>
    <w:p>
      <w:pPr>
        <w:pStyle w:val="Indenta"/>
      </w:pPr>
      <w:r>
        <w:tab/>
        <w:t>(e)</w:t>
      </w:r>
      <w:r>
        <w:tab/>
        <w:t>anything else prescribed by the regulations for the purposes of this subsection.</w:t>
      </w:r>
    </w:p>
    <w:p>
      <w:pPr>
        <w:pStyle w:val="Subsection"/>
      </w:pPr>
      <w:r>
        <w:lastRenderedPageBreak/>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keepNext/>
        <w:keepLines/>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pPr>
        <w:pStyle w:val="Footnotesection"/>
        <w:keepLines w:val="0"/>
        <w:ind w:left="890" w:hanging="890"/>
      </w:pPr>
      <w:r>
        <w:tab/>
        <w:t>[Section 4 amended: 2 Edw. VII. No. 10 s. 2 (as amended: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 No. 2 of 2014 s. 63; No. 30 of 2018 s. 195; No. 9 of 2022 s. 424; No. 21 of 2022 s. 4.]</w:t>
      </w:r>
    </w:p>
    <w:p>
      <w:pPr>
        <w:pStyle w:val="Heading5"/>
      </w:pPr>
      <w:bookmarkStart w:id="11" w:name="_Toc210129685"/>
      <w:r>
        <w:rPr>
          <w:rStyle w:val="CharSectno"/>
        </w:rPr>
        <w:t>4A</w:t>
      </w:r>
      <w:r>
        <w:t>.</w:t>
      </w:r>
      <w:r>
        <w:tab/>
        <w:t>Sections of this Act that do not apply to Crown land</w:t>
      </w:r>
      <w:bookmarkEnd w:id="11"/>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70, 86, 222, 223 and 223A do not apply to Crown land.</w:t>
      </w:r>
    </w:p>
    <w:p>
      <w:pPr>
        <w:pStyle w:val="Footnotesection"/>
      </w:pPr>
      <w:r>
        <w:tab/>
        <w:t>[Section 4A inserted: No. 31 of 1997 s. 90; amended: No. 21 of 2022 s. 5.]</w:t>
      </w:r>
    </w:p>
    <w:p>
      <w:pPr>
        <w:pStyle w:val="Heading2"/>
      </w:pPr>
      <w:bookmarkStart w:id="12" w:name="_Toc166683337"/>
      <w:bookmarkStart w:id="13" w:name="_Toc166683713"/>
      <w:bookmarkStart w:id="14" w:name="_Toc166684499"/>
      <w:bookmarkStart w:id="15" w:name="_Toc210120108"/>
      <w:bookmarkStart w:id="16" w:name="_Toc210129686"/>
      <w:r>
        <w:rPr>
          <w:rStyle w:val="CharPartNo"/>
        </w:rPr>
        <w:lastRenderedPageBreak/>
        <w:t>Part I</w:t>
      </w:r>
      <w:r>
        <w:rPr>
          <w:rStyle w:val="CharDivNo"/>
        </w:rPr>
        <w:t> </w:t>
      </w:r>
      <w:r>
        <w:t>—</w:t>
      </w:r>
      <w:r>
        <w:rPr>
          <w:rStyle w:val="CharDivText"/>
        </w:rPr>
        <w:t> </w:t>
      </w:r>
      <w:r>
        <w:rPr>
          <w:rStyle w:val="CharPartText"/>
        </w:rPr>
        <w:t>Officers</w:t>
      </w:r>
      <w:bookmarkEnd w:id="12"/>
      <w:bookmarkEnd w:id="13"/>
      <w:bookmarkEnd w:id="14"/>
      <w:bookmarkEnd w:id="15"/>
      <w:bookmarkEnd w:id="16"/>
    </w:p>
    <w:p>
      <w:pPr>
        <w:pStyle w:val="Heading5"/>
      </w:pPr>
      <w:bookmarkStart w:id="17" w:name="_Toc210129687"/>
      <w:r>
        <w:rPr>
          <w:rStyle w:val="CharSectno"/>
        </w:rPr>
        <w:t>5</w:t>
      </w:r>
      <w:r>
        <w:t>.</w:t>
      </w:r>
      <w:r>
        <w:tab/>
        <w:t>Commissioner of Titles</w:t>
      </w:r>
      <w:bookmarkEnd w:id="17"/>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 lawyer of not less than 7 years’ standing and practice.</w:t>
      </w:r>
    </w:p>
    <w:p>
      <w:pPr>
        <w:pStyle w:val="Subsection"/>
      </w:pPr>
      <w:r>
        <w:tab/>
        <w:t>(3)</w:t>
      </w:r>
      <w:r>
        <w:tab/>
        <w:t xml:space="preserve">When the </w:t>
      </w:r>
      <w:r>
        <w:rPr>
          <w:i/>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Footnotesection"/>
      </w:pPr>
      <w:r>
        <w:tab/>
        <w:t>[Section 5 inserted: No. 60 of 2006 s. 104; amended: No. 21 of 2008 s. 711(3); No 9 of 2022 s. 424.]</w:t>
      </w:r>
    </w:p>
    <w:p>
      <w:pPr>
        <w:pStyle w:val="Heading5"/>
        <w:rPr>
          <w:snapToGrid w:val="0"/>
        </w:rPr>
      </w:pPr>
      <w:bookmarkStart w:id="18" w:name="_Toc210129688"/>
      <w:r>
        <w:rPr>
          <w:rStyle w:val="CharSectno"/>
        </w:rPr>
        <w:t>6</w:t>
      </w:r>
      <w:r>
        <w:rPr>
          <w:snapToGrid w:val="0"/>
        </w:rPr>
        <w:t>.</w:t>
      </w:r>
      <w:r>
        <w:rPr>
          <w:snapToGrid w:val="0"/>
        </w:rPr>
        <w:tab/>
        <w:t>Deputy Commissioner of Titles</w:t>
      </w:r>
      <w:bookmarkEnd w:id="18"/>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 lawyer of not less than 5 years’ standing.</w:t>
      </w:r>
    </w:p>
    <w:p>
      <w:pPr>
        <w:pStyle w:val="Subsection"/>
      </w:pPr>
      <w:r>
        <w:tab/>
        <w:t>(2a)</w:t>
      </w:r>
      <w:r>
        <w:tab/>
        <w:t xml:space="preserve">When the </w:t>
      </w:r>
      <w:r>
        <w:rPr>
          <w:i/>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Subsection"/>
      </w:pPr>
      <w:r>
        <w:tab/>
        <w:t>(3)</w:t>
      </w:r>
      <w:r>
        <w:tab/>
        <w:t xml:space="preserve">When and as often as the Commissioner is incapacitated by illness, absence or other sufficient cause from performing the duties of the Commissioner, a Deputy Commissioner nominated </w:t>
      </w:r>
      <w:r>
        <w:lastRenderedPageBreak/>
        <w:t>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No. 14 of 1972 s. 2; amended: No. 32 of 1994 s. 18; No. 6 of 2003 s. 5; No. 65 of 2003 s. 120(3); No. 60 of 2006 s. 105; No. 21 of 2008 s. 711(4); No. 9 of 2022 s. 424.]</w:t>
      </w:r>
    </w:p>
    <w:p>
      <w:pPr>
        <w:pStyle w:val="Heading5"/>
      </w:pPr>
      <w:bookmarkStart w:id="19" w:name="_Toc210129689"/>
      <w:r>
        <w:rPr>
          <w:rStyle w:val="CharSectno"/>
        </w:rPr>
        <w:t>7</w:t>
      </w:r>
      <w:r>
        <w:t>.</w:t>
      </w:r>
      <w:r>
        <w:tab/>
        <w:t>Registrar of Titles</w:t>
      </w:r>
      <w:bookmarkEnd w:id="19"/>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lastRenderedPageBreak/>
        <w:tab/>
        <w:t>(3)</w:t>
      </w:r>
      <w:r>
        <w:tab/>
        <w:t xml:space="preserve">When the </w:t>
      </w:r>
      <w:r>
        <w:rPr>
          <w:i/>
        </w:rPr>
        <w:t>Land Information Authority Act 2006</w:t>
      </w:r>
      <w:r>
        <w:t xml:space="preserve"> section 106 comes into operation the person who, immediately before then, is the Registrar of Titles becomes the Registrar of Titles as if designated under subsection (1).</w:t>
      </w:r>
    </w:p>
    <w:p>
      <w:pPr>
        <w:pStyle w:val="Footnotesection"/>
        <w:ind w:left="890" w:hanging="890"/>
      </w:pPr>
      <w:r>
        <w:tab/>
        <w:t>[Section 7 inserted: No. 60 of 2006 s. 106.]</w:t>
      </w:r>
    </w:p>
    <w:p>
      <w:pPr>
        <w:pStyle w:val="Heading5"/>
        <w:rPr>
          <w:snapToGrid w:val="0"/>
        </w:rPr>
      </w:pPr>
      <w:bookmarkStart w:id="20" w:name="_Toc210129690"/>
      <w:r>
        <w:rPr>
          <w:rStyle w:val="CharSectno"/>
        </w:rPr>
        <w:t>7A</w:t>
      </w:r>
      <w:r>
        <w:rPr>
          <w:snapToGrid w:val="0"/>
        </w:rPr>
        <w:t>.</w:t>
      </w:r>
      <w:r>
        <w:rPr>
          <w:snapToGrid w:val="0"/>
        </w:rPr>
        <w:tab/>
        <w:t>Offices of Commissioner and Registrar may be held by one person</w:t>
      </w:r>
      <w:bookmarkEnd w:id="20"/>
    </w:p>
    <w:p>
      <w:pPr>
        <w:pStyle w:val="Subsection"/>
      </w:pPr>
      <w:r>
        <w:tab/>
        <w:t>(1)</w:t>
      </w:r>
      <w:r>
        <w:tab/>
        <w:t>A person qualified to be the Commissioner of Titles may be, and may perform the functions of, both the Commissioner of Titles and the Registrar of Titles.</w:t>
      </w:r>
    </w:p>
    <w:p>
      <w:pPr>
        <w:pStyle w:val="Subsection"/>
        <w:keepNext/>
        <w:rPr>
          <w:snapToGrid w:val="0"/>
        </w:rPr>
      </w:pPr>
      <w:r>
        <w:rPr>
          <w:snapToGrid w:val="0"/>
        </w:rPr>
        <w:tab/>
        <w:t>(2)</w:t>
      </w:r>
      <w:r>
        <w:rPr>
          <w:snapToGrid w:val="0"/>
        </w:rPr>
        <w:tab/>
        <w:t>Any act, matter, or thing which is required by this Act to be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w:t>
      </w:r>
    </w:p>
    <w:p>
      <w:pPr>
        <w:pStyle w:val="Subsection"/>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rPr>
          <w:snapToGrid w:val="0"/>
        </w:rPr>
      </w:pPr>
      <w:r>
        <w:rPr>
          <w:snapToGrid w:val="0"/>
        </w:rPr>
        <w:tab/>
        <w:t>(3)</w:t>
      </w:r>
      <w:r>
        <w:rPr>
          <w:snapToGrid w:val="0"/>
        </w:rPr>
        <w:tab/>
        <w:t>Nothing in this section shall be deemed to extend the powers of any Assistant Registrar.</w:t>
      </w:r>
    </w:p>
    <w:p>
      <w:pPr>
        <w:pStyle w:val="Footnotesection"/>
        <w:ind w:left="890" w:hanging="890"/>
      </w:pPr>
      <w:r>
        <w:tab/>
        <w:t>[Section 7A inserted: No. 5 of 1925 s. 2; amended: No. 60 of 2006 s. 107.]</w:t>
      </w:r>
    </w:p>
    <w:p>
      <w:pPr>
        <w:pStyle w:val="Heading5"/>
      </w:pPr>
      <w:bookmarkStart w:id="21" w:name="_Toc210129691"/>
      <w:r>
        <w:rPr>
          <w:rStyle w:val="CharSectno"/>
        </w:rPr>
        <w:t>8</w:t>
      </w:r>
      <w:r>
        <w:t>.</w:t>
      </w:r>
      <w:r>
        <w:tab/>
        <w:t>Examiner of Titles, Assistant Registrar of Titles</w:t>
      </w:r>
      <w:bookmarkEnd w:id="21"/>
    </w:p>
    <w:p>
      <w:pPr>
        <w:pStyle w:val="Subsection"/>
      </w:pPr>
      <w:r>
        <w:tab/>
        <w:t>(1)</w:t>
      </w:r>
      <w:r>
        <w:tab/>
        <w:t>The Governor may designate a person, or each of 2 or more persons, to be an Examiner of Titles under this Act.</w:t>
      </w:r>
    </w:p>
    <w:p>
      <w:pPr>
        <w:pStyle w:val="Subsection"/>
        <w:spacing w:before="140"/>
      </w:pPr>
      <w:r>
        <w:lastRenderedPageBreak/>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 lawyer.</w:t>
      </w:r>
    </w:p>
    <w:p>
      <w:pPr>
        <w:pStyle w:val="Subsection"/>
      </w:pPr>
      <w:r>
        <w:tab/>
        <w:t>(5)</w:t>
      </w:r>
      <w:r>
        <w:tab/>
        <w:t xml:space="preserve">When the </w:t>
      </w:r>
      <w:r>
        <w:rPr>
          <w:i/>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Footnotesection"/>
      </w:pPr>
      <w:r>
        <w:tab/>
        <w:t>[Section 8 inserted: No. 60 of 2006 s. 108; amended: No. 21 of 2008 s. 711(5); No. 9 of 2022 s. 424.]</w:t>
      </w:r>
    </w:p>
    <w:p>
      <w:pPr>
        <w:pStyle w:val="Heading5"/>
      </w:pPr>
      <w:bookmarkStart w:id="22" w:name="_Toc210129692"/>
      <w:r>
        <w:rPr>
          <w:rStyle w:val="CharSectno"/>
        </w:rPr>
        <w:t>8A</w:t>
      </w:r>
      <w:r>
        <w:t>.</w:t>
      </w:r>
      <w:r>
        <w:tab/>
        <w:t>Designating statutory officers, generally</w:t>
      </w:r>
      <w:bookmarkEnd w:id="22"/>
    </w:p>
    <w:p>
      <w:pPr>
        <w:pStyle w:val="Subsection"/>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pPr>
      <w:r>
        <w:tab/>
        <w:t>(2)</w:t>
      </w:r>
      <w:r>
        <w:tab/>
        <w:t>The power to designate a person includes —</w:t>
      </w:r>
    </w:p>
    <w:p>
      <w:pPr>
        <w:pStyle w:val="Indenta"/>
      </w:pPr>
      <w:r>
        <w:tab/>
        <w:t>(a)</w:t>
      </w:r>
      <w:r>
        <w:tab/>
        <w:t>the power to revoke a designation previously made under that power; and</w:t>
      </w:r>
    </w:p>
    <w:p>
      <w:pPr>
        <w:pStyle w:val="Indenta"/>
      </w:pPr>
      <w:r>
        <w:tab/>
        <w:t>(b)</w:t>
      </w:r>
      <w:r>
        <w:tab/>
        <w:t xml:space="preserve">the power to designate a person to perform functions of another person who has that designation when it is </w:t>
      </w:r>
      <w:r>
        <w:lastRenderedPageBreak/>
        <w:t>impractical for that other person to perform the functions.</w:t>
      </w:r>
    </w:p>
    <w:p>
      <w:pPr>
        <w:pStyle w:val="Footnotesection"/>
      </w:pPr>
      <w:r>
        <w:tab/>
        <w:t>[Section 8A inserted: No. 60 of 2006 s. 109.]</w:t>
      </w:r>
    </w:p>
    <w:p>
      <w:pPr>
        <w:pStyle w:val="Heading5"/>
        <w:rPr>
          <w:snapToGrid w:val="0"/>
        </w:rPr>
      </w:pPr>
      <w:bookmarkStart w:id="23" w:name="_Toc210129693"/>
      <w:r>
        <w:rPr>
          <w:rStyle w:val="CharSectno"/>
        </w:rPr>
        <w:t>9</w:t>
      </w:r>
      <w:r>
        <w:rPr>
          <w:snapToGrid w:val="0"/>
        </w:rPr>
        <w:t>.</w:t>
      </w:r>
      <w:r>
        <w:rPr>
          <w:snapToGrid w:val="0"/>
        </w:rPr>
        <w:tab/>
        <w:t>Certain signatures to be judicially noticed</w:t>
      </w:r>
      <w:bookmarkEnd w:id="23"/>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Subsection"/>
      </w:pPr>
      <w:r>
        <w:tab/>
        <w:t>(3)</w:t>
      </w:r>
      <w:r>
        <w:tab/>
        <w:t xml:space="preserve">Nothing in this section applies to or in relation to a duplicate certificate of title issued before the day on which the </w:t>
      </w:r>
      <w:r>
        <w:rPr>
          <w:i/>
        </w:rPr>
        <w:t>Transfer of Land Amendment Act 2022</w:t>
      </w:r>
      <w:r>
        <w:t xml:space="preserve"> section 10 comes into operation.</w:t>
      </w:r>
    </w:p>
    <w:p>
      <w:pPr>
        <w:pStyle w:val="Footnotesection"/>
      </w:pPr>
      <w:r>
        <w:tab/>
        <w:t>[Section 9 amended: No. 14 of 1972 s. 3; No. 31 of 1997 s. 92; No. 6 of 2003 s. 6; No. 21 of 2022 s. 6.]</w:t>
      </w:r>
    </w:p>
    <w:p>
      <w:pPr>
        <w:pStyle w:val="Heading5"/>
        <w:rPr>
          <w:snapToGrid w:val="0"/>
        </w:rPr>
      </w:pPr>
      <w:bookmarkStart w:id="24" w:name="_Toc210129694"/>
      <w:r>
        <w:rPr>
          <w:rStyle w:val="CharSectno"/>
        </w:rPr>
        <w:t>10</w:t>
      </w:r>
      <w:r>
        <w:rPr>
          <w:snapToGrid w:val="0"/>
        </w:rPr>
        <w:t>.</w:t>
      </w:r>
      <w:r>
        <w:rPr>
          <w:snapToGrid w:val="0"/>
        </w:rPr>
        <w:tab/>
        <w:t>Seal</w:t>
      </w:r>
      <w:bookmarkEnd w:id="24"/>
    </w:p>
    <w:p>
      <w:pPr>
        <w:pStyle w:val="Subsection"/>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lastRenderedPageBreak/>
        <w:tab/>
        <w:t>(b)</w:t>
      </w:r>
      <w:r>
        <w:rPr>
          <w:snapToGrid w:val="0"/>
        </w:rPr>
        <w:tab/>
        <w:t>the instrument, or the instrument to which the entry or memorandum relates, has been duly registered.</w:t>
      </w:r>
    </w:p>
    <w:p>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ind w:left="890" w:hanging="890"/>
      </w:pPr>
      <w:r>
        <w:tab/>
        <w:t>[Section 10 inserted: No. 81 of 1996 s. 6</w:t>
      </w:r>
      <w:r>
        <w:rPr>
          <w:i w:val="0"/>
          <w:vertAlign w:val="superscript"/>
        </w:rPr>
        <w:t> 3</w:t>
      </w:r>
      <w:r>
        <w:t>; amended: No. 6 of 2003 s. 7; No. 21 of 2022 s. 7.]</w:t>
      </w:r>
    </w:p>
    <w:p>
      <w:pPr>
        <w:pStyle w:val="Heading5"/>
        <w:rPr>
          <w:snapToGrid w:val="0"/>
        </w:rPr>
      </w:pPr>
      <w:bookmarkStart w:id="25" w:name="_Toc210129695"/>
      <w:r>
        <w:rPr>
          <w:rStyle w:val="CharSectno"/>
        </w:rPr>
        <w:t>11</w:t>
      </w:r>
      <w:r>
        <w:rPr>
          <w:snapToGrid w:val="0"/>
        </w:rPr>
        <w:t>.</w:t>
      </w:r>
      <w:r>
        <w:rPr>
          <w:snapToGrid w:val="0"/>
        </w:rPr>
        <w:tab/>
        <w:t>Assistant Registrar’s powers</w:t>
      </w:r>
      <w:bookmarkEnd w:id="25"/>
    </w:p>
    <w:p>
      <w:pPr>
        <w:pStyle w:val="Subsection"/>
        <w:rPr>
          <w:snapToGrid w:val="0"/>
        </w:rPr>
      </w:pPr>
      <w:r>
        <w:rPr>
          <w:snapToGrid w:val="0"/>
        </w:rPr>
        <w:tab/>
      </w:r>
      <w:r>
        <w:rPr>
          <w:snapToGrid w:val="0"/>
        </w:rPr>
        <w:tab/>
        <w:t xml:space="preserve">Everything by this </w:t>
      </w:r>
      <w:r>
        <w:t>or any other</w:t>
      </w:r>
      <w:r>
        <w:rPr>
          <w:snapToGrid w:val="0"/>
        </w:rPr>
        <w:t xml:space="preserve">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ind w:left="890" w:hanging="890"/>
      </w:pPr>
      <w:r>
        <w:tab/>
        <w:t>[Section 11 amended: No. 28 of 1969 s. 3; No. 60 of 2006 s. 110; No. 30 of 2018 s. 196.]</w:t>
      </w:r>
    </w:p>
    <w:p>
      <w:pPr>
        <w:pStyle w:val="Heading5"/>
        <w:rPr>
          <w:snapToGrid w:val="0"/>
        </w:rPr>
      </w:pPr>
      <w:bookmarkStart w:id="26" w:name="_Toc210129696"/>
      <w:r>
        <w:rPr>
          <w:rStyle w:val="CharSectno"/>
        </w:rPr>
        <w:t>12</w:t>
      </w:r>
      <w:r>
        <w:rPr>
          <w:snapToGrid w:val="0"/>
        </w:rPr>
        <w:t>.</w:t>
      </w:r>
      <w:r>
        <w:rPr>
          <w:snapToGrid w:val="0"/>
        </w:rPr>
        <w:tab/>
        <w:t>Commissioner and Examiner of Titles not to practise law</w:t>
      </w:r>
      <w:bookmarkEnd w:id="26"/>
    </w:p>
    <w:p>
      <w:pPr>
        <w:pStyle w:val="Subsection"/>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No. 21 of 2008 s. 711(6).]</w:t>
      </w:r>
    </w:p>
    <w:p>
      <w:pPr>
        <w:pStyle w:val="Heading5"/>
        <w:rPr>
          <w:snapToGrid w:val="0"/>
        </w:rPr>
      </w:pPr>
      <w:bookmarkStart w:id="27" w:name="_Toc210129697"/>
      <w:r>
        <w:rPr>
          <w:rStyle w:val="CharSectno"/>
        </w:rPr>
        <w:t>13</w:t>
      </w:r>
      <w:r>
        <w:rPr>
          <w:snapToGrid w:val="0"/>
        </w:rPr>
        <w:t>.</w:t>
      </w:r>
      <w:r>
        <w:rPr>
          <w:snapToGrid w:val="0"/>
        </w:rPr>
        <w:tab/>
        <w:t>Oaths of office</w:t>
      </w:r>
      <w:bookmarkEnd w:id="27"/>
    </w:p>
    <w:p>
      <w:pPr>
        <w:pStyle w:val="Subsection"/>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lastRenderedPageBreak/>
        <w:tab/>
        <w:t>[Section 13 amended: No. 60 of 2006 s. 111.]</w:t>
      </w:r>
    </w:p>
    <w:p>
      <w:pPr>
        <w:pStyle w:val="Heading5"/>
      </w:pPr>
      <w:bookmarkStart w:id="28" w:name="_Toc210129698"/>
      <w:r>
        <w:rPr>
          <w:rStyle w:val="CharSectno"/>
        </w:rPr>
        <w:t>14</w:t>
      </w:r>
      <w:r>
        <w:t>.</w:t>
      </w:r>
      <w:r>
        <w:tab/>
        <w:t>Commissioner and Registrar may exercise functions electronically</w:t>
      </w:r>
      <w:bookmarkEnd w:id="28"/>
    </w:p>
    <w:p>
      <w:pPr>
        <w:pStyle w:val="Subsection"/>
      </w:pPr>
      <w:r>
        <w:tab/>
        <w:t>(1)</w:t>
      </w:r>
      <w:r>
        <w:tab/>
        <w:t>Anything that the Commissioner is required or authorised to do under this Act may be done by the Commissioner by electronic means in any way the Commissioner determines is appropriate.</w:t>
      </w:r>
    </w:p>
    <w:p>
      <w:pPr>
        <w:pStyle w:val="Subsection"/>
      </w:pPr>
      <w:r>
        <w:tab/>
        <w:t>(2)</w:t>
      </w:r>
      <w:r>
        <w:tab/>
        <w:t>Anything that the Registrar is required or authorised to do under this Act may be done by the Registrar by electronic means in any way the Registrar determines is appropriate.</w:t>
      </w:r>
    </w:p>
    <w:p>
      <w:pPr>
        <w:pStyle w:val="Subsection"/>
      </w:pPr>
      <w:r>
        <w:tab/>
        <w:t>(3)</w:t>
      </w:r>
      <w:r>
        <w:tab/>
        <w: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(4)</w:t>
      </w:r>
      <w:r>
        <w:tab/>
        <w:t>This section applies even though the provision requiring or authorising the Commissioner or Registrar to do something expressly or impliedly requires or authorises the thing to be done by means of a paper document.</w:t>
      </w:r>
    </w:p>
    <w:p>
      <w:pPr>
        <w:pStyle w:val="Footnotesection"/>
        <w:spacing w:before="100"/>
        <w:ind w:left="890" w:hanging="890"/>
      </w:pPr>
      <w:r>
        <w:tab/>
        <w:t>[Section 14 inserted: No. 2 of 2014 s. 64.]</w:t>
      </w:r>
    </w:p>
    <w:p>
      <w:pPr>
        <w:pStyle w:val="Heading5"/>
      </w:pPr>
      <w:bookmarkStart w:id="29" w:name="_Toc210129699"/>
      <w:r>
        <w:rPr>
          <w:rStyle w:val="CharSectno"/>
        </w:rPr>
        <w:t>15</w:t>
      </w:r>
      <w:r>
        <w:t>.</w:t>
      </w:r>
      <w:r>
        <w:tab/>
        <w:t>Delegation by Commissioner</w:t>
      </w:r>
      <w:bookmarkEnd w:id="29"/>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lastRenderedPageBreak/>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spacing w:before="80"/>
        <w:ind w:left="890" w:hanging="890"/>
      </w:pPr>
      <w:r>
        <w:tab/>
        <w:t>[Section 15 inserted: No. 60 of 2006 s. 112; amended: No. 21 of 2008 s. 711(7); No. 9 of 2022 s. 424.]</w:t>
      </w:r>
    </w:p>
    <w:p>
      <w:pPr>
        <w:pStyle w:val="Heading5"/>
        <w:spacing w:before="180"/>
      </w:pPr>
      <w:bookmarkStart w:id="30" w:name="_Toc210129700"/>
      <w:r>
        <w:rPr>
          <w:rStyle w:val="CharSectno"/>
        </w:rPr>
        <w:t>15A</w:t>
      </w:r>
      <w:r>
        <w:t>.</w:t>
      </w:r>
      <w:r>
        <w:tab/>
        <w:t>Delegation by Registrar</w:t>
      </w:r>
      <w:bookmarkEnd w:id="30"/>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spacing w:before="80"/>
        <w:ind w:left="890" w:hanging="890"/>
      </w:pPr>
      <w:r>
        <w:tab/>
        <w:t>[Section 15A inserted: No. 60 of 2006 s. 112.]</w:t>
      </w:r>
    </w:p>
    <w:p>
      <w:pPr>
        <w:pStyle w:val="Heading5"/>
        <w:spacing w:before="180"/>
        <w:rPr>
          <w:snapToGrid w:val="0"/>
        </w:rPr>
      </w:pPr>
      <w:bookmarkStart w:id="31" w:name="_Toc210129701"/>
      <w:r>
        <w:rPr>
          <w:rStyle w:val="CharSectno"/>
        </w:rPr>
        <w:lastRenderedPageBreak/>
        <w:t>16</w:t>
      </w:r>
      <w:r>
        <w:rPr>
          <w:snapToGrid w:val="0"/>
        </w:rPr>
        <w:t>.</w:t>
      </w:r>
      <w:r>
        <w:rPr>
          <w:snapToGrid w:val="0"/>
        </w:rPr>
        <w:tab/>
        <w:t>Rules relating to surveyors</w:t>
      </w:r>
      <w:bookmarkEnd w:id="31"/>
    </w:p>
    <w:p>
      <w:pPr>
        <w:pStyle w:val="Subsection"/>
        <w:spacing w:before="120"/>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spacing w:before="80"/>
        <w:ind w:left="890" w:hanging="890"/>
      </w:pPr>
      <w:r>
        <w:tab/>
        <w:t>[Section 16 amended: No. 25 of 1909 s. 29; No. 17 of 1950 s. 8.]</w:t>
      </w:r>
    </w:p>
    <w:p>
      <w:pPr>
        <w:pStyle w:val="Heading5"/>
      </w:pPr>
      <w:bookmarkStart w:id="32" w:name="_Toc210129702"/>
      <w:r>
        <w:rPr>
          <w:rStyle w:val="CharSectno"/>
        </w:rPr>
        <w:t>17</w:t>
      </w:r>
      <w:r>
        <w:t>.</w:t>
      </w:r>
      <w:r>
        <w:tab/>
        <w:t>Some of Minister for Lands’ functions under this Act may be performed by authorised officer</w:t>
      </w:r>
      <w:bookmarkEnd w:id="32"/>
    </w:p>
    <w:p>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s. 70A(1), (2)(b), (3)</w:t>
            </w:r>
          </w:p>
        </w:tc>
        <w:tc>
          <w:tcPr>
            <w:tcW w:w="2764" w:type="dxa"/>
          </w:tcPr>
          <w:p>
            <w:pPr>
              <w:pStyle w:val="TableNAm"/>
            </w:pPr>
            <w:r>
              <w:t>s. 81D(1)(a)</w:t>
            </w:r>
          </w:p>
        </w:tc>
      </w:tr>
      <w:tr>
        <w:tc>
          <w:tcPr>
            <w:tcW w:w="2764" w:type="dxa"/>
          </w:tcPr>
          <w:p>
            <w:pPr>
              <w:pStyle w:val="TableNAm"/>
            </w:pPr>
            <w:r>
              <w:t>s. 81E</w:t>
            </w:r>
          </w:p>
        </w:tc>
        <w:tc>
          <w:tcPr>
            <w:tcW w:w="2764" w:type="dxa"/>
          </w:tcPr>
          <w:p>
            <w:pPr>
              <w:pStyle w:val="TableNAm"/>
            </w:pPr>
            <w:r>
              <w:t>s. 81F(1), (2), (3), (4)</w:t>
            </w:r>
          </w:p>
        </w:tc>
      </w:tr>
      <w:tr>
        <w:tc>
          <w:tcPr>
            <w:tcW w:w="2764" w:type="dxa"/>
          </w:tcPr>
          <w:p>
            <w:pPr>
              <w:pStyle w:val="TableNAm"/>
            </w:pPr>
            <w:r>
              <w:t>s. 81L</w:t>
            </w:r>
          </w:p>
        </w:tc>
        <w:tc>
          <w:tcPr>
            <w:tcW w:w="2764" w:type="dxa"/>
          </w:tcPr>
          <w:p>
            <w:pPr>
              <w:pStyle w:val="TableNAm"/>
            </w:pPr>
            <w:r>
              <w:t>s. 81V(1)</w:t>
            </w:r>
          </w:p>
        </w:tc>
      </w:tr>
      <w:tr>
        <w:tc>
          <w:tcPr>
            <w:tcW w:w="2764" w:type="dxa"/>
          </w:tcPr>
          <w:p>
            <w:pPr>
              <w:pStyle w:val="TableNAm"/>
            </w:pPr>
            <w:r>
              <w:t>s. 81ZA(3)</w:t>
            </w:r>
          </w:p>
        </w:tc>
        <w:tc>
          <w:tcPr>
            <w:tcW w:w="2764" w:type="dxa"/>
          </w:tcPr>
          <w:p>
            <w:pPr>
              <w:pStyle w:val="TableNAm"/>
            </w:pPr>
            <w:r>
              <w:t>s. 104(2)</w:t>
            </w:r>
          </w:p>
        </w:tc>
      </w:tr>
      <w:tr>
        <w:tc>
          <w:tcPr>
            <w:tcW w:w="2764" w:type="dxa"/>
          </w:tcPr>
          <w:p>
            <w:pPr>
              <w:pStyle w:val="TableNAm"/>
            </w:pPr>
            <w:r>
              <w:t>s. 129BA(2)</w:t>
            </w:r>
          </w:p>
        </w:tc>
        <w:tc>
          <w:tcPr>
            <w:tcW w:w="2764" w:type="dxa"/>
          </w:tcPr>
          <w:p>
            <w:pPr>
              <w:pStyle w:val="TableNAm"/>
            </w:pPr>
            <w:r>
              <w:t>s. 129BB(1), (2), (3)</w:t>
            </w:r>
          </w:p>
        </w:tc>
      </w:tr>
      <w:tr>
        <w:tc>
          <w:tcPr>
            <w:tcW w:w="2764" w:type="dxa"/>
          </w:tcPr>
          <w:p>
            <w:pPr>
              <w:pStyle w:val="TableNAm"/>
            </w:pPr>
            <w:r>
              <w:t>s. 136J(1), (2), (3)</w:t>
            </w:r>
          </w:p>
        </w:tc>
        <w:tc>
          <w:tcPr>
            <w:tcW w:w="2764" w:type="dxa"/>
          </w:tcPr>
          <w:p>
            <w:pPr>
              <w:pStyle w:val="TableNAm"/>
            </w:pPr>
            <w:r>
              <w:t>s. 145(2)</w:t>
            </w:r>
          </w:p>
        </w:tc>
      </w:tr>
      <w:tr>
        <w:tc>
          <w:tcPr>
            <w:tcW w:w="2764" w:type="dxa"/>
          </w:tcPr>
          <w:p>
            <w:pPr>
              <w:pStyle w:val="TableNAm"/>
            </w:pPr>
            <w:r>
              <w:t>s. 153A</w:t>
            </w:r>
          </w:p>
        </w:tc>
        <w:tc>
          <w:tcPr>
            <w:tcW w:w="2764" w:type="dxa"/>
          </w:tcPr>
          <w:p>
            <w:pPr>
              <w:pStyle w:val="TableNAm"/>
            </w:pPr>
            <w:r>
              <w:t>s. 166A(1), (3)</w:t>
            </w:r>
          </w:p>
        </w:tc>
      </w:tr>
      <w:tr>
        <w:tc>
          <w:tcPr>
            <w:tcW w:w="2764" w:type="dxa"/>
          </w:tcPr>
          <w:p>
            <w:pPr>
              <w:pStyle w:val="TableNAm"/>
            </w:pPr>
            <w:r>
              <w:t>s. 166B(1), (3)</w:t>
            </w:r>
          </w:p>
        </w:tc>
        <w:tc>
          <w:tcPr>
            <w:tcW w:w="2764" w:type="dxa"/>
          </w:tcPr>
          <w:p>
            <w:pPr>
              <w:pStyle w:val="TableNAm"/>
            </w:pPr>
          </w:p>
        </w:tc>
      </w:tr>
    </w:tbl>
    <w:p>
      <w:pPr>
        <w:pStyle w:val="Footnotesection"/>
      </w:pPr>
      <w:r>
        <w:tab/>
        <w:t>[Section 17 inserted: No. 8 of 2010 s. 29.]</w:t>
      </w:r>
    </w:p>
    <w:p>
      <w:pPr>
        <w:pStyle w:val="Heading2"/>
      </w:pPr>
      <w:bookmarkStart w:id="33" w:name="_Toc166683354"/>
      <w:bookmarkStart w:id="34" w:name="_Toc166683730"/>
      <w:bookmarkStart w:id="35" w:name="_Toc166684516"/>
      <w:bookmarkStart w:id="36" w:name="_Toc210120125"/>
      <w:bookmarkStart w:id="37" w:name="_Toc210129703"/>
      <w:r>
        <w:rPr>
          <w:rStyle w:val="CharPartNo"/>
        </w:rPr>
        <w:lastRenderedPageBreak/>
        <w:t>Part II</w:t>
      </w:r>
      <w:r>
        <w:rPr>
          <w:rStyle w:val="CharDivNo"/>
        </w:rPr>
        <w:t> </w:t>
      </w:r>
      <w:r>
        <w:t>—</w:t>
      </w:r>
      <w:r>
        <w:rPr>
          <w:rStyle w:val="CharDivText"/>
        </w:rPr>
        <w:t> </w:t>
      </w:r>
      <w:r>
        <w:rPr>
          <w:rStyle w:val="CharPartText"/>
        </w:rPr>
        <w:t>Bringing land under the Act</w:t>
      </w:r>
      <w:bookmarkEnd w:id="33"/>
      <w:bookmarkEnd w:id="34"/>
      <w:bookmarkEnd w:id="35"/>
      <w:bookmarkEnd w:id="36"/>
      <w:bookmarkEnd w:id="37"/>
    </w:p>
    <w:p>
      <w:pPr>
        <w:pStyle w:val="Ednotesection"/>
        <w:ind w:left="890" w:hanging="890"/>
      </w:pPr>
      <w:r>
        <w:t>[</w:t>
      </w:r>
      <w:r>
        <w:rPr>
          <w:b/>
        </w:rPr>
        <w:t>18.</w:t>
      </w:r>
      <w:r>
        <w:rPr>
          <w:b/>
        </w:rPr>
        <w:tab/>
      </w:r>
      <w:r>
        <w:t>Deleted: No. 31 of 1997 s. 93(1)</w:t>
      </w:r>
      <w:r>
        <w:rPr>
          <w:i w:val="0"/>
          <w:vertAlign w:val="superscript"/>
        </w:rPr>
        <w:t> 4</w:t>
      </w:r>
      <w:r>
        <w:t>.]</w:t>
      </w:r>
    </w:p>
    <w:p>
      <w:pPr>
        <w:pStyle w:val="Ednotesection"/>
        <w:ind w:left="890" w:hanging="890"/>
      </w:pPr>
      <w:r>
        <w:t>[</w:t>
      </w:r>
      <w:r>
        <w:rPr>
          <w:b/>
        </w:rPr>
        <w:t>19.</w:t>
      </w:r>
      <w:r>
        <w:tab/>
        <w:t>Deleted: No. 31 of 1997 s. 94(1)</w:t>
      </w:r>
      <w:r>
        <w:rPr>
          <w:i w:val="0"/>
          <w:vertAlign w:val="superscript"/>
        </w:rPr>
        <w:t> 5</w:t>
      </w:r>
      <w:r>
        <w:t>.]</w:t>
      </w:r>
    </w:p>
    <w:p>
      <w:pPr>
        <w:pStyle w:val="Heading5"/>
        <w:rPr>
          <w:snapToGrid w:val="0"/>
        </w:rPr>
      </w:pPr>
      <w:bookmarkStart w:id="38" w:name="_Toc210129704"/>
      <w:r>
        <w:rPr>
          <w:rStyle w:val="CharSectno"/>
        </w:rPr>
        <w:t>20</w:t>
      </w:r>
      <w:r>
        <w:rPr>
          <w:snapToGrid w:val="0"/>
        </w:rPr>
        <w:t>.</w:t>
      </w:r>
      <w:r>
        <w:rPr>
          <w:snapToGrid w:val="0"/>
        </w:rPr>
        <w:tab/>
        <w:t>Bringing lands alienated in fee before 1 July 1875 under this Act</w:t>
      </w:r>
      <w:bookmarkEnd w:id="38"/>
    </w:p>
    <w:p>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pPr>
        <w:pStyle w:val="Subsection"/>
        <w:rPr>
          <w:snapToGrid w:val="0"/>
        </w:rPr>
      </w:pPr>
      <w:r>
        <w:rPr>
          <w:snapToGrid w:val="0"/>
        </w:rPr>
        <w:tab/>
        <w:t>(2)</w:t>
      </w:r>
      <w:r>
        <w:rPr>
          <w:snapToGrid w:val="0"/>
        </w:rPr>
        <w:tab/>
        <w:t>The application may be made by any of the following persons (that is to say) —</w:t>
      </w:r>
    </w:p>
    <w:p>
      <w:pPr>
        <w:pStyle w:val="Indenta"/>
        <w:rPr>
          <w:snapToGrid w:val="0"/>
        </w:rPr>
      </w:pPr>
      <w:r>
        <w:rPr>
          <w:snapToGrid w:val="0"/>
        </w:rPr>
        <w:tab/>
        <w:t>(a)</w:t>
      </w:r>
      <w:r>
        <w:rPr>
          <w:snapToGrid w:val="0"/>
        </w:rPr>
        <w:tab/>
        <w:t>the person claiming to be the owner of the fee simple either at law or in equity;</w:t>
      </w:r>
    </w:p>
    <w:p>
      <w:pPr>
        <w:pStyle w:val="Indenta"/>
        <w:rPr>
          <w:snapToGrid w:val="0"/>
        </w:rPr>
      </w:pPr>
      <w:r>
        <w:rPr>
          <w:snapToGrid w:val="0"/>
        </w:rPr>
        <w:tab/>
        <w:t>(b)</w:t>
      </w:r>
      <w:r>
        <w:rPr>
          <w:snapToGrid w:val="0"/>
        </w:rPr>
        <w:tab/>
        <w:t>persons who collectively claim to be the owners of the fee simple either at law or in equity;</w:t>
      </w:r>
    </w:p>
    <w:p>
      <w:pPr>
        <w:pStyle w:val="Indenta"/>
        <w:rPr>
          <w:snapToGrid w:val="0"/>
        </w:rPr>
      </w:pPr>
      <w:r>
        <w:rPr>
          <w:snapToGrid w:val="0"/>
        </w:rPr>
        <w:tab/>
        <w:t>(c)</w:t>
      </w:r>
      <w:r>
        <w:rPr>
          <w:snapToGrid w:val="0"/>
        </w:rPr>
        <w:tab/>
        <w:t>persons who have the power of appointing or disposing of the fee simple;</w:t>
      </w:r>
    </w:p>
    <w:p>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keepLines/>
        <w:rPr>
          <w:snapToGrid w:val="0"/>
        </w:rPr>
      </w:pPr>
      <w:r>
        <w:rPr>
          <w:snapToGrid w:val="0"/>
        </w:rPr>
        <w:lastRenderedPageBreak/>
        <w:tab/>
        <w:t>(g)</w:t>
      </w:r>
      <w:r>
        <w:rPr>
          <w:snapToGrid w:val="0"/>
        </w:rPr>
        <w:tab/>
        <w:t>a tenant for life within the meaning of the</w:t>
      </w:r>
      <w:r>
        <w:rPr>
          <w:i/>
          <w:snapToGrid w:val="0"/>
        </w:rPr>
        <w:t xml:space="preserve"> Settled Land Act 1892</w:t>
      </w:r>
      <w:r>
        <w:rPr>
          <w:snapToGrid w:val="0"/>
          <w:vertAlign w:val="superscript"/>
        </w:rPr>
        <w:t> 6</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rPr>
          <w:snapToGrid w:val="0"/>
        </w:rPr>
      </w:pPr>
      <w:r>
        <w:rPr>
          <w:snapToGrid w:val="0"/>
        </w:rPr>
        <w:tab/>
        <w:t>(3)</w:t>
      </w:r>
      <w:r>
        <w:rPr>
          <w:snapToGrid w:val="0"/>
        </w:rPr>
        <w:tab/>
        <w:t>Despite subsection (2), a mortgagor shall not be entitled to make such application unless the mortgagee shall consent thereto.</w:t>
      </w:r>
    </w:p>
    <w:p>
      <w:pPr>
        <w:pStyle w:val="Subsection"/>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pPr>
        <w:pStyle w:val="Subsection"/>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ind w:left="890" w:hanging="890"/>
      </w:pPr>
      <w:r>
        <w:tab/>
        <w:t>[Section 20 amended: No. 17 of 1950 s. 9; No. 81 of 1996 s. 8; No. 6 of 2003 s. 9; No. 19 of 2010 s. 51.]</w:t>
      </w:r>
    </w:p>
    <w:p>
      <w:pPr>
        <w:pStyle w:val="Heading5"/>
        <w:spacing w:before="240"/>
        <w:rPr>
          <w:snapToGrid w:val="0"/>
        </w:rPr>
      </w:pPr>
      <w:bookmarkStart w:id="39" w:name="_Toc210129705"/>
      <w:r>
        <w:rPr>
          <w:rStyle w:val="CharSectno"/>
        </w:rPr>
        <w:t>20A</w:t>
      </w:r>
      <w:r>
        <w:rPr>
          <w:snapToGrid w:val="0"/>
        </w:rPr>
        <w:t>.</w:t>
      </w:r>
      <w:r>
        <w:rPr>
          <w:snapToGrid w:val="0"/>
        </w:rPr>
        <w:tab/>
        <w:t>Evidence and restrictions of requisitions</w:t>
      </w:r>
      <w:bookmarkEnd w:id="39"/>
    </w:p>
    <w:p>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w:t>
      </w:r>
      <w:r>
        <w:rPr>
          <w:snapToGrid w:val="0"/>
        </w:rPr>
        <w:lastRenderedPageBreak/>
        <w:t>unregistered conveyances or assurances affecting any part of the land the subject of the application.</w:t>
      </w:r>
    </w:p>
    <w:p>
      <w:pPr>
        <w:pStyle w:val="Footnotesection"/>
        <w:keepLines w:val="0"/>
        <w:ind w:left="890" w:hanging="890"/>
      </w:pPr>
      <w:r>
        <w:tab/>
        <w:t>[Section 20A inserted: No. 17 of 1950 s. 10; amended: No. 19 of 2010 s. 51.]</w:t>
      </w:r>
    </w:p>
    <w:p>
      <w:pPr>
        <w:pStyle w:val="Heading5"/>
        <w:rPr>
          <w:snapToGrid w:val="0"/>
        </w:rPr>
      </w:pPr>
      <w:bookmarkStart w:id="40" w:name="_Toc210129706"/>
      <w:r>
        <w:rPr>
          <w:rStyle w:val="CharSectno"/>
        </w:rPr>
        <w:t>21</w:t>
      </w:r>
      <w:r>
        <w:rPr>
          <w:snapToGrid w:val="0"/>
        </w:rPr>
        <w:t>.</w:t>
      </w:r>
      <w:r>
        <w:rPr>
          <w:snapToGrid w:val="0"/>
        </w:rPr>
        <w:tab/>
        <w:t>How application to be dealt with when no dealing has been registered</w:t>
      </w:r>
      <w:bookmarkEnd w:id="40"/>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41" w:name="_Toc210129707"/>
      <w:r>
        <w:rPr>
          <w:rStyle w:val="CharSectno"/>
        </w:rPr>
        <w:t>22</w:t>
      </w:r>
      <w:r>
        <w:rPr>
          <w:snapToGrid w:val="0"/>
        </w:rPr>
        <w:t>.</w:t>
      </w:r>
      <w:r>
        <w:rPr>
          <w:snapToGrid w:val="0"/>
        </w:rPr>
        <w:tab/>
        <w:t>How application to be dealt with when dealing has been registered</w:t>
      </w:r>
      <w:bookmarkEnd w:id="41"/>
    </w:p>
    <w:p>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w:t>
      </w:r>
      <w:r>
        <w:rPr>
          <w:snapToGrid w:val="0"/>
        </w:rPr>
        <w:lastRenderedPageBreak/>
        <w:t>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pPr>
        <w:pStyle w:val="Footnotesection"/>
        <w:ind w:left="890" w:hanging="890"/>
      </w:pPr>
      <w:r>
        <w:tab/>
        <w:t>[Section 22 amended: No. 19 of 2010 s. 51.]</w:t>
      </w:r>
    </w:p>
    <w:p>
      <w:pPr>
        <w:pStyle w:val="Heading5"/>
        <w:rPr>
          <w:snapToGrid w:val="0"/>
        </w:rPr>
      </w:pPr>
      <w:bookmarkStart w:id="42" w:name="_Toc210129708"/>
      <w:r>
        <w:rPr>
          <w:rStyle w:val="CharSectno"/>
        </w:rPr>
        <w:t>23</w:t>
      </w:r>
      <w:r>
        <w:rPr>
          <w:snapToGrid w:val="0"/>
        </w:rPr>
        <w:t>.</w:t>
      </w:r>
      <w:r>
        <w:rPr>
          <w:snapToGrid w:val="0"/>
        </w:rPr>
        <w:tab/>
        <w:t>Notice of application to bring land under this Act and rescission of previous directions on undue delay</w:t>
      </w:r>
      <w:bookmarkEnd w:id="42"/>
    </w:p>
    <w:p>
      <w:pPr>
        <w:pStyle w:val="Subsection"/>
        <w:rPr>
          <w:snapToGrid w:val="0"/>
        </w:rPr>
      </w:pPr>
      <w:r>
        <w:rPr>
          <w:snapToGrid w:val="0"/>
        </w:rPr>
        <w:tab/>
        <w:t>(1)</w:t>
      </w:r>
      <w:r>
        <w:rPr>
          <w:snapToGrid w:val="0"/>
        </w:rPr>
        <w:tab/>
        <w:t>The Registrar shall under such direction as aforesaid cause notice to be published in such manner as by such direction may be prescribed that application has been made for bringing the land under the operation of this Act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No. 81 of 1996 s. 9; No. 60 of 2006 s. 118(2); No. 19 of 2010 s. 51; No. 21 of 2022 s. 8.]</w:t>
      </w:r>
    </w:p>
    <w:p>
      <w:pPr>
        <w:pStyle w:val="Heading5"/>
        <w:rPr>
          <w:snapToGrid w:val="0"/>
        </w:rPr>
      </w:pPr>
      <w:bookmarkStart w:id="43" w:name="_Toc210129709"/>
      <w:r>
        <w:rPr>
          <w:rStyle w:val="CharSectno"/>
        </w:rPr>
        <w:lastRenderedPageBreak/>
        <w:t>24</w:t>
      </w:r>
      <w:r>
        <w:rPr>
          <w:snapToGrid w:val="0"/>
        </w:rPr>
        <w:t>.</w:t>
      </w:r>
      <w:r>
        <w:rPr>
          <w:snapToGrid w:val="0"/>
        </w:rPr>
        <w:tab/>
        <w:t>Person claiming title by possession to post notice of application on land</w:t>
      </w:r>
      <w:bookmarkEnd w:id="43"/>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ind w:left="890" w:hanging="890"/>
      </w:pPr>
      <w:r>
        <w:tab/>
        <w:t>[Section 24 amended: No. 81 of 1996 s. 10.]</w:t>
      </w:r>
    </w:p>
    <w:p>
      <w:pPr>
        <w:pStyle w:val="Heading5"/>
        <w:rPr>
          <w:snapToGrid w:val="0"/>
        </w:rPr>
      </w:pPr>
      <w:bookmarkStart w:id="44" w:name="_Toc210129710"/>
      <w:r>
        <w:rPr>
          <w:rStyle w:val="CharSectno"/>
        </w:rPr>
        <w:t>25</w:t>
      </w:r>
      <w:r>
        <w:rPr>
          <w:snapToGrid w:val="0"/>
        </w:rPr>
        <w:t>.</w:t>
      </w:r>
      <w:r>
        <w:rPr>
          <w:snapToGrid w:val="0"/>
        </w:rPr>
        <w:tab/>
        <w:t>Land to be brought under this Act unless caveat received</w:t>
      </w:r>
      <w:bookmarkEnd w:id="44"/>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No. 17 of 1950 s. 11; No. 81 of 1996 s. 11.]</w:t>
      </w:r>
    </w:p>
    <w:p>
      <w:pPr>
        <w:pStyle w:val="Heading5"/>
        <w:rPr>
          <w:snapToGrid w:val="0"/>
        </w:rPr>
      </w:pPr>
      <w:bookmarkStart w:id="45" w:name="_Toc210129711"/>
      <w:r>
        <w:rPr>
          <w:rStyle w:val="CharSectno"/>
        </w:rPr>
        <w:t>26</w:t>
      </w:r>
      <w:r>
        <w:rPr>
          <w:snapToGrid w:val="0"/>
        </w:rPr>
        <w:t>.</w:t>
      </w:r>
      <w:r>
        <w:rPr>
          <w:snapToGrid w:val="0"/>
        </w:rPr>
        <w:tab/>
        <w:t>Land occupied may be brought under this Act by different description from that in title on special application</w:t>
      </w:r>
      <w:bookmarkEnd w:id="45"/>
    </w:p>
    <w:p>
      <w:pPr>
        <w:pStyle w:val="Subsection"/>
        <w:rPr>
          <w:snapToGrid w:val="0"/>
        </w:rPr>
      </w:pPr>
      <w:r>
        <w:rPr>
          <w:snapToGrid w:val="0"/>
        </w:rPr>
        <w:tab/>
      </w:r>
      <w:r>
        <w:rPr>
          <w:snapToGrid w:val="0"/>
        </w:rPr>
        <w:tab/>
        <w:t xml:space="preserve">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w:t>
      </w:r>
      <w:r>
        <w:rPr>
          <w:snapToGrid w:val="0"/>
        </w:rPr>
        <w:lastRenderedPageBreak/>
        <w:t>best of his knowledge and belief the reasons for the discrepancy between the land as occupied and the land as described in the muniments of title.</w:t>
      </w:r>
    </w:p>
    <w:p>
      <w:pPr>
        <w:pStyle w:val="Heading5"/>
        <w:keepNext w:val="0"/>
        <w:keepLines w:val="0"/>
        <w:rPr>
          <w:snapToGrid w:val="0"/>
        </w:rPr>
      </w:pPr>
      <w:bookmarkStart w:id="46" w:name="_Toc210129712"/>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46"/>
    </w:p>
    <w:p>
      <w:pPr>
        <w:pStyle w:val="Subsection"/>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ind w:left="890" w:hanging="890"/>
      </w:pPr>
      <w:r>
        <w:tab/>
        <w:t>[Section 27 amended: No. 81 of 1996 s. 12; No. 6 of 2003 s. 10.]</w:t>
      </w:r>
    </w:p>
    <w:p>
      <w:pPr>
        <w:pStyle w:val="Heading5"/>
        <w:spacing w:before="240"/>
        <w:rPr>
          <w:snapToGrid w:val="0"/>
        </w:rPr>
      </w:pPr>
      <w:bookmarkStart w:id="47" w:name="_Toc210129713"/>
      <w:r>
        <w:rPr>
          <w:rStyle w:val="CharSectno"/>
        </w:rPr>
        <w:t>28</w:t>
      </w:r>
      <w:r>
        <w:rPr>
          <w:snapToGrid w:val="0"/>
        </w:rPr>
        <w:t>.</w:t>
      </w:r>
      <w:r>
        <w:rPr>
          <w:snapToGrid w:val="0"/>
        </w:rPr>
        <w:tab/>
        <w:t>Title may be given to excess of land occupied under Crown grant over land described in Crown grant</w:t>
      </w:r>
      <w:bookmarkEnd w:id="47"/>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 xml:space="preserve">such land the Commissioner may direct the Registrar to create and register a </w:t>
      </w:r>
      <w:r>
        <w:rPr>
          <w:snapToGrid w:val="0"/>
        </w:rPr>
        <w:lastRenderedPageBreak/>
        <w:t>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ind w:left="890" w:hanging="890"/>
      </w:pPr>
      <w:r>
        <w:tab/>
        <w:t>[Section 28 amended: No. 81 of 1996 s. 13; No. 31 of 1997 s. 95; No. 6 of 2003 s. 11.]</w:t>
      </w:r>
    </w:p>
    <w:p>
      <w:pPr>
        <w:pStyle w:val="Heading5"/>
        <w:rPr>
          <w:snapToGrid w:val="0"/>
        </w:rPr>
      </w:pPr>
      <w:bookmarkStart w:id="48" w:name="_Toc210129714"/>
      <w:r>
        <w:rPr>
          <w:rStyle w:val="CharSectno"/>
        </w:rPr>
        <w:t>29</w:t>
      </w:r>
      <w:r>
        <w:rPr>
          <w:snapToGrid w:val="0"/>
        </w:rPr>
        <w:t>.</w:t>
      </w:r>
      <w:r>
        <w:rPr>
          <w:snapToGrid w:val="0"/>
        </w:rPr>
        <w:tab/>
        <w:t>Excess of land may be apportioned between different owners or proprietors</w:t>
      </w:r>
      <w:bookmarkEnd w:id="48"/>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No. 81 of 1996 s. 14; No. 6 of 2003 s. 12.]</w:t>
      </w:r>
    </w:p>
    <w:p>
      <w:pPr>
        <w:pStyle w:val="Heading5"/>
        <w:rPr>
          <w:snapToGrid w:val="0"/>
        </w:rPr>
      </w:pPr>
      <w:bookmarkStart w:id="49" w:name="_Toc210129715"/>
      <w:r>
        <w:rPr>
          <w:rStyle w:val="CharSectno"/>
        </w:rPr>
        <w:lastRenderedPageBreak/>
        <w:t>30</w:t>
      </w:r>
      <w:r>
        <w:rPr>
          <w:snapToGrid w:val="0"/>
        </w:rPr>
        <w:t>.</w:t>
      </w:r>
      <w:r>
        <w:rPr>
          <w:snapToGrid w:val="0"/>
        </w:rPr>
        <w:tab/>
        <w:t>Parties interested may lodge caveat</w:t>
      </w:r>
      <w:bookmarkEnd w:id="49"/>
    </w:p>
    <w:p>
      <w:pPr>
        <w:pStyle w:val="Subsection"/>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pPr>
        <w:pStyle w:val="Subsection"/>
        <w:rPr>
          <w:snapToGrid w:val="0"/>
        </w:rPr>
      </w:pPr>
      <w:r>
        <w:rPr>
          <w:snapToGrid w:val="0"/>
        </w:rPr>
        <w:tab/>
        <w:t>(2)</w:t>
      </w:r>
      <w:r>
        <w:rPr>
          <w:snapToGrid w:val="0"/>
        </w:rPr>
        <w:tab/>
        <w:t>Every such caveat shall be signed by the caveator or by his agent and shall particularise the estate or interest claimed.</w:t>
      </w:r>
    </w:p>
    <w:p>
      <w:pPr>
        <w:pStyle w:val="Subsection"/>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pPr>
        <w:pStyle w:val="Subsection"/>
        <w:rPr>
          <w:snapToGrid w:val="0"/>
        </w:rPr>
      </w:pPr>
      <w:r>
        <w:rPr>
          <w:snapToGrid w:val="0"/>
        </w:rPr>
        <w:tab/>
        <w:t>(4)</w:t>
      </w:r>
      <w:r>
        <w:rPr>
          <w:snapToGrid w:val="0"/>
        </w:rPr>
        <w:tab/>
        <w:t>Unless such declaration be lodged within the time aforesaid the caveat shall lapse.</w:t>
      </w:r>
    </w:p>
    <w:p>
      <w:pPr>
        <w:pStyle w:val="Subsection"/>
      </w:pPr>
      <w:r>
        <w:tab/>
        <w:t>(5)</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Ednotepara"/>
      </w:pPr>
      <w:r>
        <w:tab/>
        <w:t>[(b)</w:t>
      </w:r>
      <w:r>
        <w:tab/>
        <w:t>deleted]</w:t>
      </w:r>
    </w:p>
    <w:p>
      <w:pPr>
        <w:pStyle w:val="Indenta"/>
      </w:pPr>
      <w:r>
        <w:tab/>
        <w:t>(c)</w:t>
      </w:r>
      <w:r>
        <w:tab/>
        <w:t>a way of receiving notices electronically (for example, an email address) that is prescribed by the regulations for the purposes of this paragraph.</w:t>
      </w:r>
    </w:p>
    <w:p>
      <w:pPr>
        <w:pStyle w:val="Subsection"/>
      </w:pPr>
      <w:r>
        <w:tab/>
        <w:t>(6)</w:t>
      </w:r>
      <w:r>
        <w:tab/>
        <w:t xml:space="preserve">A number for a facsimile machine in Australia may be used for the purposes referred to in subsection (5) if — </w:t>
      </w:r>
    </w:p>
    <w:p>
      <w:pPr>
        <w:pStyle w:val="Indenta"/>
      </w:pPr>
      <w:r>
        <w:tab/>
        <w:t>(a)</w:t>
      </w:r>
      <w:r>
        <w:tab/>
        <w:t xml:space="preserve">a caveat under this section is lodged before the day on which the </w:t>
      </w:r>
      <w:r>
        <w:rPr>
          <w:i/>
        </w:rPr>
        <w:t>Transfer of Land Amendment Act 2022</w:t>
      </w:r>
      <w:r>
        <w:t xml:space="preserve"> section 9 comes into operation; and</w:t>
      </w:r>
    </w:p>
    <w:p>
      <w:pPr>
        <w:pStyle w:val="Indenta"/>
      </w:pPr>
      <w:r>
        <w:tab/>
        <w:t>(b)</w:t>
      </w:r>
      <w:r>
        <w:tab/>
        <w:t>that number is specified in the caveat.</w:t>
      </w:r>
    </w:p>
    <w:p>
      <w:pPr>
        <w:pStyle w:val="Footnotesection"/>
        <w:spacing w:before="100"/>
        <w:ind w:left="890" w:hanging="890"/>
      </w:pPr>
      <w:r>
        <w:tab/>
        <w:t>[Section 30 amended: No. 81 of 1996 s. 15; No. 19 of 2010 s. 51; No. 2 of 2014 s. 65; No. 21 of 2022 s. 9.]</w:t>
      </w:r>
    </w:p>
    <w:p>
      <w:pPr>
        <w:pStyle w:val="Heading5"/>
        <w:rPr>
          <w:snapToGrid w:val="0"/>
        </w:rPr>
      </w:pPr>
      <w:bookmarkStart w:id="50" w:name="_Toc210129716"/>
      <w:r>
        <w:rPr>
          <w:rStyle w:val="CharSectno"/>
        </w:rPr>
        <w:lastRenderedPageBreak/>
        <w:t>31</w:t>
      </w:r>
      <w:r>
        <w:rPr>
          <w:snapToGrid w:val="0"/>
        </w:rPr>
        <w:t>.</w:t>
      </w:r>
      <w:r>
        <w:rPr>
          <w:snapToGrid w:val="0"/>
        </w:rPr>
        <w:tab/>
        <w:t>If caveat received, proceedings suspended</w:t>
      </w:r>
      <w:bookmarkEnd w:id="50"/>
    </w:p>
    <w:p>
      <w:pPr>
        <w:pStyle w:val="Subsection"/>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pPr>
        <w:pStyle w:val="Subsection"/>
        <w:rPr>
          <w:snapToGrid w:val="0"/>
        </w:rPr>
      </w:pPr>
      <w:r>
        <w:rPr>
          <w:snapToGrid w:val="0"/>
        </w:rPr>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Footnotesection"/>
        <w:spacing w:before="100"/>
        <w:ind w:left="890" w:hanging="890"/>
      </w:pPr>
      <w:r>
        <w:tab/>
        <w:t>[Section 31 amended: No. 19 of 2010 s. 51.]</w:t>
      </w:r>
    </w:p>
    <w:p>
      <w:pPr>
        <w:pStyle w:val="Heading5"/>
        <w:rPr>
          <w:snapToGrid w:val="0"/>
        </w:rPr>
      </w:pPr>
      <w:bookmarkStart w:id="51" w:name="_Toc210129717"/>
      <w:r>
        <w:rPr>
          <w:rStyle w:val="CharSectno"/>
        </w:rPr>
        <w:t>32</w:t>
      </w:r>
      <w:r>
        <w:rPr>
          <w:snapToGrid w:val="0"/>
        </w:rPr>
        <w:t>.</w:t>
      </w:r>
      <w:r>
        <w:rPr>
          <w:snapToGrid w:val="0"/>
        </w:rPr>
        <w:tab/>
        <w:t>Caveat to lapse unless proceedings taken within one month</w:t>
      </w:r>
      <w:bookmarkEnd w:id="51"/>
    </w:p>
    <w:p>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pPr>
        <w:pStyle w:val="Subsection"/>
        <w:rPr>
          <w:snapToGrid w:val="0"/>
        </w:rPr>
      </w:pPr>
      <w:r>
        <w:rPr>
          <w:snapToGrid w:val="0"/>
        </w:rPr>
        <w:tab/>
        <w:t>(2)</w:t>
      </w:r>
      <w:r>
        <w:rPr>
          <w:snapToGrid w:val="0"/>
        </w:rPr>
        <w:tab/>
        <w:t>A caveat shall not be renewed by or on behalf of the same person in respect of the same estate or interest.</w:t>
      </w:r>
    </w:p>
    <w:p>
      <w:pPr>
        <w:pStyle w:val="Footnotesection"/>
      </w:pPr>
      <w:r>
        <w:tab/>
        <w:t>[Section 32 amended: No. 19 of 2010 s. 51.]</w:t>
      </w:r>
    </w:p>
    <w:p>
      <w:pPr>
        <w:pStyle w:val="Heading5"/>
        <w:spacing w:before="180"/>
        <w:rPr>
          <w:snapToGrid w:val="0"/>
        </w:rPr>
      </w:pPr>
      <w:bookmarkStart w:id="52" w:name="_Toc210129718"/>
      <w:r>
        <w:rPr>
          <w:rStyle w:val="CharSectno"/>
        </w:rPr>
        <w:t>33</w:t>
      </w:r>
      <w:r>
        <w:rPr>
          <w:snapToGrid w:val="0"/>
        </w:rPr>
        <w:t>.</w:t>
      </w:r>
      <w:r>
        <w:rPr>
          <w:snapToGrid w:val="0"/>
        </w:rPr>
        <w:tab/>
        <w:t>Judge may require production of title deeds in support of application to bring land under this Act</w:t>
      </w:r>
      <w:bookmarkEnd w:id="52"/>
    </w:p>
    <w:p>
      <w:pPr>
        <w:pStyle w:val="Subsection"/>
        <w:rPr>
          <w:snapToGrid w:val="0"/>
        </w:rPr>
      </w:pPr>
      <w:r>
        <w:rPr>
          <w:snapToGrid w:val="0"/>
        </w:rPr>
        <w:tab/>
        <w:t>(1)</w:t>
      </w:r>
      <w:r>
        <w:rPr>
          <w:snapToGrid w:val="0"/>
        </w:rPr>
        <w:tab/>
        <w:t xml:space="preserve">After an application has been made to have any land brought under the operation of this Act a judge may require all persons having in their possession or custody any deeds instruments or </w:t>
      </w:r>
      <w:r>
        <w:rPr>
          <w:snapToGrid w:val="0"/>
        </w:rPr>
        <w:lastRenderedPageBreak/>
        <w:t>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pPr>
        <w:pStyle w:val="Subsection"/>
        <w:keepNext/>
        <w:keepLines/>
        <w:rPr>
          <w:snapToGrid w:val="0"/>
        </w:rPr>
      </w:pPr>
      <w:r>
        <w:rPr>
          <w:snapToGrid w:val="0"/>
        </w:rPr>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No. 81 of 1996 s. 16; No. 19 of 2010 s. 51.]</w:t>
      </w:r>
    </w:p>
    <w:p>
      <w:pPr>
        <w:pStyle w:val="Heading5"/>
        <w:rPr>
          <w:snapToGrid w:val="0"/>
        </w:rPr>
      </w:pPr>
      <w:bookmarkStart w:id="53" w:name="_Toc210129719"/>
      <w:r>
        <w:rPr>
          <w:rStyle w:val="CharSectno"/>
        </w:rPr>
        <w:t>34</w:t>
      </w:r>
      <w:r>
        <w:rPr>
          <w:snapToGrid w:val="0"/>
        </w:rPr>
        <w:t>.</w:t>
      </w:r>
      <w:r>
        <w:rPr>
          <w:snapToGrid w:val="0"/>
        </w:rPr>
        <w:tab/>
        <w:t>Applicant may withdraw application</w:t>
      </w:r>
      <w:bookmarkEnd w:id="53"/>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54" w:name="_Toc210129720"/>
      <w:r>
        <w:rPr>
          <w:rStyle w:val="CharSectno"/>
        </w:rPr>
        <w:t>35</w:t>
      </w:r>
      <w:r>
        <w:rPr>
          <w:snapToGrid w:val="0"/>
        </w:rPr>
        <w:t>.</w:t>
      </w:r>
      <w:r>
        <w:rPr>
          <w:snapToGrid w:val="0"/>
        </w:rPr>
        <w:tab/>
        <w:t>Documents of title</w:t>
      </w:r>
      <w:bookmarkEnd w:id="54"/>
    </w:p>
    <w:p>
      <w:pPr>
        <w:pStyle w:val="Subsection"/>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pPr>
        <w:pStyle w:val="Subsection"/>
        <w:rPr>
          <w:snapToGrid w:val="0"/>
        </w:rPr>
      </w:pPr>
      <w:r>
        <w:rPr>
          <w:snapToGrid w:val="0"/>
        </w:rPr>
        <w:tab/>
        <w:t>(2)</w:t>
      </w:r>
      <w:r>
        <w:rPr>
          <w:snapToGrid w:val="0"/>
        </w:rPr>
        <w:tab/>
        <w:t xml:space="preserve">Despite subsection (1), if any of such grants or instruments relate to any property other than the land included in such </w:t>
      </w:r>
      <w:r>
        <w:rPr>
          <w:snapToGrid w:val="0"/>
        </w:rPr>
        <w:lastRenderedPageBreak/>
        <w:t>certificate the Registrar shall return such grant or instrument to the person from whom he received the same.</w:t>
      </w:r>
    </w:p>
    <w:p>
      <w:pPr>
        <w:pStyle w:val="Subsection"/>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pPr>
        <w:pStyle w:val="Subsection"/>
        <w:rPr>
          <w:snapToGrid w:val="0"/>
        </w:rPr>
      </w:pPr>
      <w:r>
        <w:rPr>
          <w:snapToGrid w:val="0"/>
        </w:rPr>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Footnotesection"/>
        <w:spacing w:before="100"/>
        <w:ind w:left="890" w:hanging="890"/>
      </w:pPr>
      <w:r>
        <w:tab/>
        <w:t>[Section 35 amended: No. 19 of 2010 s. 51.]</w:t>
      </w:r>
    </w:p>
    <w:p>
      <w:pPr>
        <w:pStyle w:val="Heading5"/>
        <w:spacing w:before="180"/>
        <w:rPr>
          <w:snapToGrid w:val="0"/>
        </w:rPr>
      </w:pPr>
      <w:bookmarkStart w:id="55" w:name="_Toc210129721"/>
      <w:r>
        <w:rPr>
          <w:rStyle w:val="CharSectno"/>
        </w:rPr>
        <w:t>36</w:t>
      </w:r>
      <w:r>
        <w:rPr>
          <w:snapToGrid w:val="0"/>
        </w:rPr>
        <w:t>.</w:t>
      </w:r>
      <w:r>
        <w:rPr>
          <w:snapToGrid w:val="0"/>
        </w:rPr>
        <w:tab/>
        <w:t>Subsisting lease to be endorsed and returned</w:t>
      </w:r>
      <w:bookmarkEnd w:id="55"/>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spacing w:before="180"/>
        <w:rPr>
          <w:snapToGrid w:val="0"/>
        </w:rPr>
      </w:pPr>
      <w:bookmarkStart w:id="56" w:name="_Toc210129722"/>
      <w:r>
        <w:rPr>
          <w:rStyle w:val="CharSectno"/>
        </w:rPr>
        <w:t>37</w:t>
      </w:r>
      <w:r>
        <w:rPr>
          <w:snapToGrid w:val="0"/>
        </w:rPr>
        <w:t>.</w:t>
      </w:r>
      <w:r>
        <w:rPr>
          <w:snapToGrid w:val="0"/>
        </w:rPr>
        <w:tab/>
        <w:t>Additional evidence to be scheduled</w:t>
      </w:r>
      <w:bookmarkEnd w:id="56"/>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spacing w:before="180"/>
        <w:rPr>
          <w:snapToGrid w:val="0"/>
        </w:rPr>
      </w:pPr>
      <w:bookmarkStart w:id="57" w:name="_Toc210129723"/>
      <w:r>
        <w:rPr>
          <w:rStyle w:val="CharSectno"/>
        </w:rPr>
        <w:lastRenderedPageBreak/>
        <w:t>38</w:t>
      </w:r>
      <w:r>
        <w:rPr>
          <w:snapToGrid w:val="0"/>
        </w:rPr>
        <w:t>.</w:t>
      </w:r>
      <w:r>
        <w:rPr>
          <w:snapToGrid w:val="0"/>
        </w:rPr>
        <w:tab/>
        <w:t>Some certificates of title to issue in name of deceased person</w:t>
      </w:r>
      <w:bookmarkEnd w:id="57"/>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No. 81 of 1996 s. 17.]</w:t>
      </w:r>
    </w:p>
    <w:p>
      <w:pPr>
        <w:pStyle w:val="Heading5"/>
        <w:keepLines w:val="0"/>
        <w:spacing w:before="180"/>
        <w:rPr>
          <w:snapToGrid w:val="0"/>
        </w:rPr>
      </w:pPr>
      <w:bookmarkStart w:id="58" w:name="_Toc210129724"/>
      <w:r>
        <w:rPr>
          <w:rStyle w:val="CharSectno"/>
        </w:rPr>
        <w:t>39</w:t>
      </w:r>
      <w:r>
        <w:rPr>
          <w:snapToGrid w:val="0"/>
        </w:rPr>
        <w:t>.</w:t>
      </w:r>
      <w:r>
        <w:rPr>
          <w:snapToGrid w:val="0"/>
        </w:rPr>
        <w:tab/>
        <w:t>Registration of leaseholds</w:t>
      </w:r>
      <w:bookmarkEnd w:id="58"/>
    </w:p>
    <w:p>
      <w:pPr>
        <w:pStyle w:val="Subsection"/>
        <w:spacing w:before="120"/>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Footnotesection"/>
      </w:pPr>
      <w:r>
        <w:tab/>
        <w:t>[Section 39 amended: No. 19 of 2010 s. 51.]</w:t>
      </w:r>
    </w:p>
    <w:p>
      <w:pPr>
        <w:pStyle w:val="Ednotesection"/>
      </w:pPr>
      <w:r>
        <w:t>[</w:t>
      </w:r>
      <w:r>
        <w:rPr>
          <w:b/>
        </w:rPr>
        <w:t>40.</w:t>
      </w:r>
      <w:r>
        <w:tab/>
        <w:t>Deleted: No. 81 of 1996 s. 18.]</w:t>
      </w:r>
    </w:p>
    <w:p>
      <w:pPr>
        <w:pStyle w:val="Ednotesection"/>
      </w:pPr>
      <w:r>
        <w:lastRenderedPageBreak/>
        <w:t>[</w:t>
      </w:r>
      <w:r>
        <w:rPr>
          <w:b/>
        </w:rPr>
        <w:t>41.</w:t>
      </w:r>
      <w:r>
        <w:tab/>
        <w:t>Deleted: No. 81 of 1996 s. 19.]</w:t>
      </w:r>
    </w:p>
    <w:p>
      <w:pPr>
        <w:pStyle w:val="Heading5"/>
        <w:rPr>
          <w:snapToGrid w:val="0"/>
        </w:rPr>
      </w:pPr>
      <w:bookmarkStart w:id="59" w:name="_Toc210129725"/>
      <w:r>
        <w:rPr>
          <w:rStyle w:val="CharSectno"/>
        </w:rPr>
        <w:t>42</w:t>
      </w:r>
      <w:r>
        <w:rPr>
          <w:snapToGrid w:val="0"/>
        </w:rPr>
        <w:t>.</w:t>
      </w:r>
      <w:r>
        <w:rPr>
          <w:snapToGrid w:val="0"/>
        </w:rPr>
        <w:tab/>
        <w:t>Production of lease may be dispensed with on bringing land under this Act</w:t>
      </w:r>
      <w:bookmarkEnd w:id="59"/>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60" w:name="_Toc210129726"/>
      <w:r>
        <w:rPr>
          <w:rStyle w:val="CharSectno"/>
        </w:rPr>
        <w:t>43</w:t>
      </w:r>
      <w:r>
        <w:rPr>
          <w:snapToGrid w:val="0"/>
        </w:rPr>
        <w:t>.</w:t>
      </w:r>
      <w:r>
        <w:rPr>
          <w:snapToGrid w:val="0"/>
        </w:rPr>
        <w:tab/>
        <w:t>Certain memorials to be sufficient evidence of conveyances in fee</w:t>
      </w:r>
      <w:bookmarkEnd w:id="60"/>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No. 113 of 1965 s. 4; No. 81 of 1996 s. 20.]</w:t>
      </w:r>
    </w:p>
    <w:p>
      <w:pPr>
        <w:pStyle w:val="Ednotesection"/>
      </w:pPr>
      <w:r>
        <w:t>[</w:t>
      </w:r>
      <w:r>
        <w:rPr>
          <w:b/>
        </w:rPr>
        <w:t>44.</w:t>
      </w:r>
      <w:r>
        <w:tab/>
        <w:t>Deleted: No. 81 of 1996 s. 21.]</w:t>
      </w:r>
    </w:p>
    <w:p>
      <w:pPr>
        <w:pStyle w:val="Heading5"/>
        <w:rPr>
          <w:snapToGrid w:val="0"/>
        </w:rPr>
      </w:pPr>
      <w:bookmarkStart w:id="61" w:name="_Toc210129727"/>
      <w:r>
        <w:rPr>
          <w:rStyle w:val="CharSectno"/>
        </w:rPr>
        <w:t>45</w:t>
      </w:r>
      <w:r>
        <w:rPr>
          <w:snapToGrid w:val="0"/>
        </w:rPr>
        <w:t>.</w:t>
      </w:r>
      <w:r>
        <w:rPr>
          <w:snapToGrid w:val="0"/>
        </w:rPr>
        <w:tab/>
        <w:t>Commissioner may direct Registrar to bring land under this Act</w:t>
      </w:r>
      <w:bookmarkEnd w:id="61"/>
    </w:p>
    <w:p>
      <w:pPr>
        <w:pStyle w:val="Subsection"/>
        <w:keepNext/>
        <w:rPr>
          <w:snapToGrid w:val="0"/>
        </w:rPr>
      </w:pPr>
      <w:r>
        <w:rPr>
          <w:snapToGrid w:val="0"/>
        </w:rPr>
        <w:tab/>
      </w:r>
      <w:r>
        <w:rPr>
          <w:snapToGrid w:val="0"/>
        </w:rPr>
        <w:tab/>
        <w:t xml:space="preserve">Notwithstanding anything hereinbefore contained the Commissioner may after the publication of such advertisements </w:t>
      </w:r>
      <w:r>
        <w:rPr>
          <w:snapToGrid w:val="0"/>
        </w:rPr>
        <w:lastRenderedPageBreak/>
        <w:t>as he may deem fit direct the Registrar to bring any land under the operation of this Act.</w:t>
      </w:r>
    </w:p>
    <w:p>
      <w:pPr>
        <w:pStyle w:val="Footnotesection"/>
      </w:pPr>
      <w:r>
        <w:tab/>
        <w:t>[Section 45 amended: No. 81 of 1996 s. 22.]</w:t>
      </w:r>
    </w:p>
    <w:p>
      <w:pPr>
        <w:pStyle w:val="Heading5"/>
        <w:rPr>
          <w:snapToGrid w:val="0"/>
        </w:rPr>
      </w:pPr>
      <w:bookmarkStart w:id="62" w:name="_Toc210129728"/>
      <w:r>
        <w:rPr>
          <w:rStyle w:val="CharSectno"/>
        </w:rPr>
        <w:t>46</w:t>
      </w:r>
      <w:r>
        <w:rPr>
          <w:snapToGrid w:val="0"/>
        </w:rPr>
        <w:t>.</w:t>
      </w:r>
      <w:r>
        <w:rPr>
          <w:snapToGrid w:val="0"/>
        </w:rPr>
        <w:tab/>
        <w:t>Title to land sold under order or decree may be deemed sufficient</w:t>
      </w:r>
      <w:bookmarkEnd w:id="62"/>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63" w:name="_Toc210129729"/>
      <w:r>
        <w:rPr>
          <w:rStyle w:val="CharSectno"/>
        </w:rPr>
        <w:t>47</w:t>
      </w:r>
      <w:r>
        <w:rPr>
          <w:snapToGrid w:val="0"/>
        </w:rPr>
        <w:t>.</w:t>
      </w:r>
      <w:r>
        <w:rPr>
          <w:snapToGrid w:val="0"/>
        </w:rPr>
        <w:tab/>
        <w:t>Formalities of order</w:t>
      </w:r>
      <w:bookmarkEnd w:id="63"/>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No. 81 of 1996 s. 146(1).]</w:t>
      </w:r>
    </w:p>
    <w:p>
      <w:pPr>
        <w:pStyle w:val="Heading2"/>
      </w:pPr>
      <w:bookmarkStart w:id="64" w:name="_Toc166683381"/>
      <w:bookmarkStart w:id="65" w:name="_Toc166683757"/>
      <w:bookmarkStart w:id="66" w:name="_Toc166684543"/>
      <w:bookmarkStart w:id="67" w:name="_Toc210120152"/>
      <w:bookmarkStart w:id="68" w:name="_Toc210129730"/>
      <w:r>
        <w:rPr>
          <w:rStyle w:val="CharPartNo"/>
        </w:rPr>
        <w:lastRenderedPageBreak/>
        <w:t>Part III</w:t>
      </w:r>
      <w:r>
        <w:rPr>
          <w:rStyle w:val="CharDivNo"/>
        </w:rPr>
        <w:t> </w:t>
      </w:r>
      <w:r>
        <w:t>—</w:t>
      </w:r>
      <w:r>
        <w:rPr>
          <w:rStyle w:val="CharDivText"/>
        </w:rPr>
        <w:t> </w:t>
      </w:r>
      <w:r>
        <w:rPr>
          <w:rStyle w:val="CharPartText"/>
        </w:rPr>
        <w:t>Certificates of titles and registration</w:t>
      </w:r>
      <w:bookmarkEnd w:id="64"/>
      <w:bookmarkEnd w:id="65"/>
      <w:bookmarkEnd w:id="66"/>
      <w:bookmarkEnd w:id="67"/>
      <w:bookmarkEnd w:id="68"/>
    </w:p>
    <w:p>
      <w:pPr>
        <w:pStyle w:val="Heading5"/>
        <w:rPr>
          <w:snapToGrid w:val="0"/>
        </w:rPr>
      </w:pPr>
      <w:bookmarkStart w:id="69" w:name="_Toc210129731"/>
      <w:r>
        <w:rPr>
          <w:rStyle w:val="CharSectno"/>
        </w:rPr>
        <w:t>48</w:t>
      </w:r>
      <w:r>
        <w:rPr>
          <w:snapToGrid w:val="0"/>
        </w:rPr>
        <w:t>.</w:t>
      </w:r>
      <w:r>
        <w:rPr>
          <w:snapToGrid w:val="0"/>
        </w:rPr>
        <w:tab/>
        <w:t>Register</w:t>
      </w:r>
      <w:bookmarkEnd w:id="69"/>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 and</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lastRenderedPageBreak/>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No. 81 of 1996 s. 23; amended: No. 6 of 2003 s. 13.]</w:t>
      </w:r>
    </w:p>
    <w:p>
      <w:pPr>
        <w:pStyle w:val="Heading5"/>
        <w:rPr>
          <w:rFonts w:ascii="Times" w:hAnsi="Times"/>
          <w:snapToGrid w:val="0"/>
        </w:rPr>
      </w:pPr>
      <w:bookmarkStart w:id="70" w:name="_Toc210129732"/>
      <w:r>
        <w:rPr>
          <w:rStyle w:val="CharSectno"/>
          <w:rFonts w:ascii="Times" w:hAnsi="Times"/>
        </w:rPr>
        <w:t>48A</w:t>
      </w:r>
      <w:r>
        <w:rPr>
          <w:rFonts w:ascii="Times" w:hAnsi="Times"/>
          <w:snapToGrid w:val="0"/>
        </w:rPr>
        <w:t>.</w:t>
      </w:r>
      <w:r>
        <w:rPr>
          <w:rFonts w:ascii="Times" w:hAnsi="Times"/>
          <w:snapToGrid w:val="0"/>
        </w:rPr>
        <w:tab/>
        <w:t>Certificates of title</w:t>
      </w:r>
      <w:bookmarkEnd w:id="70"/>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 or</w:t>
      </w:r>
    </w:p>
    <w:p>
      <w:pPr>
        <w:pStyle w:val="Indenti"/>
        <w:rPr>
          <w:rFonts w:ascii="Times" w:hAnsi="Times"/>
        </w:rPr>
      </w:pPr>
      <w:r>
        <w:rPr>
          <w:rFonts w:ascii="Times" w:hAnsi="Times"/>
        </w:rPr>
        <w:tab/>
        <w:t>(ii)</w:t>
      </w:r>
      <w:r>
        <w:rPr>
          <w:rFonts w:ascii="Times" w:hAnsi="Times"/>
        </w:rPr>
        <w:tab/>
        <w:t>an easement affecting the whole or part of the land; or</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lastRenderedPageBreak/>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No. 81 of 1996 s. 23; amended: No. 6 of 2003 s. 14.]</w:t>
      </w:r>
    </w:p>
    <w:p>
      <w:pPr>
        <w:pStyle w:val="Heading5"/>
      </w:pPr>
      <w:bookmarkStart w:id="71" w:name="_Toc210129733"/>
      <w:r>
        <w:rPr>
          <w:rStyle w:val="CharSectno"/>
        </w:rPr>
        <w:t>48B</w:t>
      </w:r>
      <w:r>
        <w:t>.</w:t>
      </w:r>
      <w:r>
        <w:tab/>
        <w:t>No duplicate certificate of title to be issued</w:t>
      </w:r>
      <w:bookmarkEnd w:id="71"/>
    </w:p>
    <w:p>
      <w:pPr>
        <w:pStyle w:val="Subsection"/>
      </w:pPr>
      <w:r>
        <w:tab/>
      </w:r>
      <w:r>
        <w:tab/>
        <w:t>The Registrar must not issue a duplicate certificate of title.</w:t>
      </w:r>
    </w:p>
    <w:p>
      <w:pPr>
        <w:pStyle w:val="Footnotesection"/>
      </w:pPr>
      <w:r>
        <w:tab/>
        <w:t>[Section 48B inserted: No. 21 of 2022 s. 10.]</w:t>
      </w:r>
    </w:p>
    <w:p>
      <w:pPr>
        <w:pStyle w:val="Heading5"/>
        <w:spacing w:before="240"/>
        <w:rPr>
          <w:snapToGrid w:val="0"/>
        </w:rPr>
      </w:pPr>
      <w:bookmarkStart w:id="72" w:name="_Toc210129734"/>
      <w:r>
        <w:rPr>
          <w:rStyle w:val="CharSectno"/>
        </w:rPr>
        <w:t>48C</w:t>
      </w:r>
      <w:r>
        <w:rPr>
          <w:snapToGrid w:val="0"/>
        </w:rPr>
        <w:t>.</w:t>
      </w:r>
      <w:r>
        <w:rPr>
          <w:snapToGrid w:val="0"/>
        </w:rPr>
        <w:tab/>
        <w:t>Symbols</w:t>
      </w:r>
      <w:bookmarkEnd w:id="72"/>
    </w:p>
    <w:p>
      <w:pPr>
        <w:pStyle w:val="Subsection"/>
        <w:keepNext/>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No. 81 of 1996 s. 23.]</w:t>
      </w:r>
    </w:p>
    <w:p>
      <w:pPr>
        <w:pStyle w:val="Heading5"/>
        <w:spacing w:before="240"/>
        <w:rPr>
          <w:snapToGrid w:val="0"/>
        </w:rPr>
      </w:pPr>
      <w:bookmarkStart w:id="73" w:name="_Toc210129735"/>
      <w:r>
        <w:rPr>
          <w:rStyle w:val="CharSectno"/>
        </w:rPr>
        <w:t>49</w:t>
      </w:r>
      <w:r>
        <w:rPr>
          <w:snapToGrid w:val="0"/>
        </w:rPr>
        <w:t>.</w:t>
      </w:r>
      <w:r>
        <w:rPr>
          <w:snapToGrid w:val="0"/>
        </w:rPr>
        <w:tab/>
        <w:t>One certificate may be created for lands not contiguous</w:t>
      </w:r>
      <w:bookmarkEnd w:id="73"/>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No. 32 of 1917 s. 2; No. 81 of 1996 s. 24; No. 6 of 2003 s. 16.]</w:t>
      </w:r>
    </w:p>
    <w:p>
      <w:pPr>
        <w:pStyle w:val="Heading5"/>
        <w:rPr>
          <w:snapToGrid w:val="0"/>
        </w:rPr>
      </w:pPr>
      <w:bookmarkStart w:id="74" w:name="_Toc210129736"/>
      <w:r>
        <w:rPr>
          <w:rStyle w:val="CharSectno"/>
        </w:rPr>
        <w:lastRenderedPageBreak/>
        <w:t>50</w:t>
      </w:r>
      <w:r>
        <w:rPr>
          <w:snapToGrid w:val="0"/>
        </w:rPr>
        <w:t>.</w:t>
      </w:r>
      <w:r>
        <w:rPr>
          <w:snapToGrid w:val="0"/>
        </w:rPr>
        <w:tab/>
        <w:t>Area of land need not be mentioned in certificate</w:t>
      </w:r>
      <w:bookmarkEnd w:id="74"/>
    </w:p>
    <w:p>
      <w:pPr>
        <w:pStyle w:val="Subsection"/>
        <w:keepLines/>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No. 17 of 1950 s. 13; No. 94 of 1972 s. 4; No. 6 of 2003 s. 17.]</w:t>
      </w:r>
    </w:p>
    <w:p>
      <w:pPr>
        <w:pStyle w:val="Ednotesection"/>
      </w:pPr>
      <w:r>
        <w:t>[</w:t>
      </w:r>
      <w:r>
        <w:rPr>
          <w:b/>
        </w:rPr>
        <w:t>51.</w:t>
      </w:r>
      <w:r>
        <w:tab/>
        <w:t>Deleted: No. 81 of 1996 s. 25.]</w:t>
      </w:r>
    </w:p>
    <w:p>
      <w:pPr>
        <w:pStyle w:val="Heading5"/>
        <w:rPr>
          <w:snapToGrid w:val="0"/>
        </w:rPr>
      </w:pPr>
      <w:bookmarkStart w:id="75" w:name="_Toc210129737"/>
      <w:r>
        <w:rPr>
          <w:rStyle w:val="CharSectno"/>
        </w:rPr>
        <w:t>52</w:t>
      </w:r>
      <w:r>
        <w:rPr>
          <w:snapToGrid w:val="0"/>
        </w:rPr>
        <w:t>.</w:t>
      </w:r>
      <w:r>
        <w:rPr>
          <w:snapToGrid w:val="0"/>
        </w:rPr>
        <w:tab/>
        <w:t>Registration of certificates of title and instruments</w:t>
      </w:r>
      <w:bookmarkEnd w:id="75"/>
    </w:p>
    <w:p>
      <w:pPr>
        <w:pStyle w:val="Subsection"/>
        <w:keepNext/>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pPr>
      <w:r>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pPr>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rPr>
          <w:snapToGrid w:val="0"/>
        </w:rPr>
      </w:pPr>
      <w:r>
        <w:rPr>
          <w:snapToGrid w:val="0"/>
        </w:rPr>
        <w:lastRenderedPageBreak/>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No. 81 of 1996 s. 26; amended: No. 6 of 2003 s. 18; No. 2 of 2014 s. 67.]</w:t>
      </w:r>
    </w:p>
    <w:p>
      <w:pPr>
        <w:pStyle w:val="Heading5"/>
        <w:spacing w:before="240"/>
        <w:rPr>
          <w:snapToGrid w:val="0"/>
        </w:rPr>
      </w:pPr>
      <w:bookmarkStart w:id="76" w:name="_Toc210129738"/>
      <w:r>
        <w:rPr>
          <w:rStyle w:val="CharSectno"/>
        </w:rPr>
        <w:t>53</w:t>
      </w:r>
      <w:r>
        <w:rPr>
          <w:snapToGrid w:val="0"/>
        </w:rPr>
        <w:t>.</w:t>
      </w:r>
      <w:r>
        <w:rPr>
          <w:snapToGrid w:val="0"/>
        </w:rPr>
        <w:tab/>
        <w:t>Priority of registration of instruments</w:t>
      </w:r>
      <w:bookmarkEnd w:id="76"/>
    </w:p>
    <w:p>
      <w:pPr>
        <w:pStyle w:val="Subsection"/>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No. 81 of 1996 s. 27.]</w:t>
      </w:r>
    </w:p>
    <w:p>
      <w:pPr>
        <w:pStyle w:val="Heading5"/>
        <w:rPr>
          <w:snapToGrid w:val="0"/>
        </w:rPr>
      </w:pPr>
      <w:bookmarkStart w:id="77" w:name="_Toc210129739"/>
      <w:r>
        <w:rPr>
          <w:rStyle w:val="CharSectno"/>
        </w:rPr>
        <w:t>54</w:t>
      </w:r>
      <w:r>
        <w:rPr>
          <w:snapToGrid w:val="0"/>
        </w:rPr>
        <w:t>.</w:t>
      </w:r>
      <w:r>
        <w:rPr>
          <w:snapToGrid w:val="0"/>
        </w:rPr>
        <w:tab/>
        <w:t>Incorporation of terms etc. of certain memoranda</w:t>
      </w:r>
      <w:bookmarkEnd w:id="77"/>
    </w:p>
    <w:p>
      <w:pPr>
        <w:pStyle w:val="Subsection"/>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rPr>
          <w:snapToGrid w:val="0"/>
        </w:rPr>
      </w:pPr>
      <w:r>
        <w:rPr>
          <w:snapToGrid w:val="0"/>
        </w:rPr>
        <w:tab/>
        <w:t>(2)</w:t>
      </w:r>
      <w:r>
        <w:rPr>
          <w:snapToGrid w:val="0"/>
        </w:rPr>
        <w:tab/>
        <w:t>Any person may, on payment of the prescribed fee, lodge with the Registrar a memorandum in an approved form.</w:t>
      </w:r>
    </w:p>
    <w:p>
      <w:pPr>
        <w:pStyle w:val="Subsection"/>
        <w:keepNext/>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w:t>
      </w:r>
    </w:p>
    <w:p>
      <w:pPr>
        <w:pStyle w:val="Subsection"/>
        <w:rPr>
          <w:snapToGrid w:val="0"/>
        </w:rPr>
      </w:pPr>
      <w:r>
        <w:rPr>
          <w:snapToGrid w:val="0"/>
        </w:rPr>
        <w:lastRenderedPageBreak/>
        <w:tab/>
        <w:t>(4)</w:t>
      </w:r>
      <w:r>
        <w:rPr>
          <w:snapToGrid w:val="0"/>
        </w:rPr>
        <w:tab/>
        <w:t>A provision of a particular memorandum filed under this section may be incorporated into a certificate of title, instrument, plan, diagram or other document affecting land under the operation of this Act (</w:t>
      </w:r>
      <w:r>
        <w:t xml:space="preserve">the </w:t>
      </w:r>
      <w:r>
        <w:rPr>
          <w:rStyle w:val="CharDefText"/>
        </w:rPr>
        <w:t>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No. 81 of 1996 s. 28; amended: No. 2 of 2014 s. 68.]</w:t>
      </w:r>
    </w:p>
    <w:p>
      <w:pPr>
        <w:pStyle w:val="Heading5"/>
        <w:rPr>
          <w:snapToGrid w:val="0"/>
        </w:rPr>
      </w:pPr>
      <w:bookmarkStart w:id="78" w:name="_Toc210129740"/>
      <w:r>
        <w:rPr>
          <w:rStyle w:val="CharSectno"/>
        </w:rPr>
        <w:t>55</w:t>
      </w:r>
      <w:r>
        <w:rPr>
          <w:snapToGrid w:val="0"/>
        </w:rPr>
        <w:t>.</w:t>
      </w:r>
      <w:r>
        <w:rPr>
          <w:snapToGrid w:val="0"/>
        </w:rPr>
        <w:tab/>
        <w:t>Trusts</w:t>
      </w:r>
      <w:bookmarkEnd w:id="78"/>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lastRenderedPageBreak/>
        <w:tab/>
        <w:t>[Section 55 inserted: No. 81 of 1996 s. 29; amended: No. 31 of 1997 s. 96; No. 6 of 2003 s. 19.]</w:t>
      </w:r>
    </w:p>
    <w:p>
      <w:pPr>
        <w:pStyle w:val="Heading5"/>
        <w:rPr>
          <w:snapToGrid w:val="0"/>
        </w:rPr>
      </w:pPr>
      <w:bookmarkStart w:id="79" w:name="_Toc210129741"/>
      <w:r>
        <w:rPr>
          <w:rStyle w:val="CharSectno"/>
        </w:rPr>
        <w:t>56</w:t>
      </w:r>
      <w:r>
        <w:rPr>
          <w:snapToGrid w:val="0"/>
        </w:rPr>
        <w:t>.</w:t>
      </w:r>
      <w:r>
        <w:rPr>
          <w:snapToGrid w:val="0"/>
        </w:rPr>
        <w:tab/>
        <w:t>Memorandum to state certain particulars</w:t>
      </w:r>
      <w:bookmarkEnd w:id="79"/>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No. 28 of 1969 s. 5; amended: No. 81 of 1996 s. 30 and 145(1).]</w:t>
      </w:r>
    </w:p>
    <w:p>
      <w:pPr>
        <w:pStyle w:val="Ednotesection"/>
      </w:pPr>
      <w:r>
        <w:t>[</w:t>
      </w:r>
      <w:r>
        <w:rPr>
          <w:b/>
        </w:rPr>
        <w:t>57.</w:t>
      </w:r>
      <w:r>
        <w:tab/>
        <w:t>Deleted: No. 21 of 2022 s. 11.]</w:t>
      </w:r>
    </w:p>
    <w:p>
      <w:pPr>
        <w:pStyle w:val="Heading5"/>
        <w:rPr>
          <w:snapToGrid w:val="0"/>
        </w:rPr>
      </w:pPr>
      <w:bookmarkStart w:id="80" w:name="_Toc210129742"/>
      <w:r>
        <w:rPr>
          <w:rStyle w:val="CharSectno"/>
        </w:rPr>
        <w:t>58</w:t>
      </w:r>
      <w:r>
        <w:rPr>
          <w:snapToGrid w:val="0"/>
        </w:rPr>
        <w:t>.</w:t>
      </w:r>
      <w:r>
        <w:rPr>
          <w:snapToGrid w:val="0"/>
        </w:rPr>
        <w:tab/>
        <w:t>Instruments not effectual until registered</w:t>
      </w:r>
      <w:bookmarkEnd w:id="80"/>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No. 81 of 1996 s. 32; No. 31 of 1997 s. 97.]</w:t>
      </w:r>
    </w:p>
    <w:p>
      <w:pPr>
        <w:pStyle w:val="Heading5"/>
        <w:rPr>
          <w:snapToGrid w:val="0"/>
        </w:rPr>
      </w:pPr>
      <w:bookmarkStart w:id="81" w:name="_Toc210129743"/>
      <w:r>
        <w:rPr>
          <w:rStyle w:val="CharSectno"/>
        </w:rPr>
        <w:t>59</w:t>
      </w:r>
      <w:r>
        <w:rPr>
          <w:snapToGrid w:val="0"/>
        </w:rPr>
        <w:t>.</w:t>
      </w:r>
      <w:r>
        <w:rPr>
          <w:snapToGrid w:val="0"/>
        </w:rPr>
        <w:tab/>
        <w:t>Notations as to legal disability of proprietor</w:t>
      </w:r>
      <w:bookmarkEnd w:id="81"/>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the age of such minor or the nature of the disability, as the case may be, so far as is known to the Registrar.</w:t>
      </w:r>
    </w:p>
    <w:p>
      <w:pPr>
        <w:pStyle w:val="Footnotesection"/>
      </w:pPr>
      <w:r>
        <w:lastRenderedPageBreak/>
        <w:tab/>
        <w:t>[Section 59 inserted: No. 81 of 1996 s. 33; amended: No. 21 of 2022 s. 12.]</w:t>
      </w:r>
    </w:p>
    <w:p>
      <w:pPr>
        <w:pStyle w:val="Heading5"/>
        <w:rPr>
          <w:snapToGrid w:val="0"/>
        </w:rPr>
      </w:pPr>
      <w:bookmarkStart w:id="82" w:name="_Toc210129744"/>
      <w:r>
        <w:rPr>
          <w:rStyle w:val="CharSectno"/>
        </w:rPr>
        <w:t>60</w:t>
      </w:r>
      <w:r>
        <w:rPr>
          <w:snapToGrid w:val="0"/>
        </w:rPr>
        <w:t>.</w:t>
      </w:r>
      <w:r>
        <w:rPr>
          <w:snapToGrid w:val="0"/>
        </w:rPr>
        <w:tab/>
        <w:t>Joint tenants and tenants in common</w:t>
      </w:r>
      <w:bookmarkEnd w:id="82"/>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83" w:name="_Toc210129745"/>
      <w:r>
        <w:rPr>
          <w:rStyle w:val="CharSectno"/>
        </w:rPr>
        <w:t>61.</w:t>
      </w:r>
      <w:r>
        <w:rPr>
          <w:rStyle w:val="CharSectno"/>
        </w:rPr>
        <w:tab/>
      </w:r>
      <w:r>
        <w:rPr>
          <w:snapToGrid w:val="0"/>
        </w:rPr>
        <w:t>Effect of insertion of words “no survivorship”</w:t>
      </w:r>
      <w:bookmarkEnd w:id="83"/>
    </w:p>
    <w:p>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No. 81 of 1996 s. 34; No. 19 of 2010 s. 51.]</w:t>
      </w:r>
    </w:p>
    <w:p>
      <w:pPr>
        <w:pStyle w:val="Heading5"/>
        <w:rPr>
          <w:snapToGrid w:val="0"/>
        </w:rPr>
      </w:pPr>
      <w:bookmarkStart w:id="84" w:name="_Toc210129746"/>
      <w:r>
        <w:rPr>
          <w:rStyle w:val="CharSectno"/>
        </w:rPr>
        <w:lastRenderedPageBreak/>
        <w:t>62</w:t>
      </w:r>
      <w:r>
        <w:rPr>
          <w:snapToGrid w:val="0"/>
        </w:rPr>
        <w:t>.</w:t>
      </w:r>
      <w:r>
        <w:rPr>
          <w:snapToGrid w:val="0"/>
        </w:rPr>
        <w:tab/>
        <w:t>Notice to be published before effect given to order</w:t>
      </w:r>
      <w:bookmarkEnd w:id="84"/>
    </w:p>
    <w:p>
      <w:pPr>
        <w:pStyle w:val="Subsection"/>
        <w:rPr>
          <w:snapToGrid w:val="0"/>
        </w:rPr>
      </w:pPr>
      <w:r>
        <w:rPr>
          <w:snapToGrid w:val="0"/>
        </w:rPr>
        <w:tab/>
        <w:t>(1)</w:t>
      </w:r>
      <w:r>
        <w:rPr>
          <w:snapToGrid w:val="0"/>
        </w:rPr>
        <w:tab/>
        <w:t>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w:t>
      </w:r>
    </w:p>
    <w:p>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No. 26 of 1999 s. 106(2); No. 74 of 2003 s. 120; No. 19 of 2010 s. 51.]</w:t>
      </w:r>
    </w:p>
    <w:p>
      <w:pPr>
        <w:pStyle w:val="Heading5"/>
        <w:rPr>
          <w:snapToGrid w:val="0"/>
        </w:rPr>
      </w:pPr>
      <w:bookmarkStart w:id="85" w:name="_Toc210129747"/>
      <w:r>
        <w:rPr>
          <w:rStyle w:val="CharSectno"/>
        </w:rPr>
        <w:t>63</w:t>
      </w:r>
      <w:r>
        <w:rPr>
          <w:snapToGrid w:val="0"/>
        </w:rPr>
        <w:t>.</w:t>
      </w:r>
      <w:r>
        <w:rPr>
          <w:snapToGrid w:val="0"/>
        </w:rPr>
        <w:tab/>
        <w:t>Certificate to be conclusive evidence of title</w:t>
      </w:r>
      <w:bookmarkEnd w:id="85"/>
    </w:p>
    <w:p>
      <w:pPr>
        <w:pStyle w:val="Subsection"/>
        <w:rPr>
          <w:snapToGrid w:val="0"/>
        </w:rPr>
      </w:pPr>
      <w:r>
        <w:rPr>
          <w:snapToGrid w:val="0"/>
        </w:rPr>
        <w:tab/>
        <w:t>(1)</w:t>
      </w:r>
      <w:r>
        <w:rPr>
          <w:snapToGrid w:val="0"/>
        </w:rPr>
        <w:tab/>
        <w:t xml:space="preserve">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w:t>
      </w:r>
      <w:r>
        <w:rPr>
          <w:snapToGrid w:val="0"/>
        </w:rPr>
        <w:lastRenderedPageBreak/>
        <w:t>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No. 81 of 1996 s. 35 and 145(1); No. 31 of 1997 s. 98.]</w:t>
      </w:r>
    </w:p>
    <w:p>
      <w:pPr>
        <w:pStyle w:val="Heading5"/>
        <w:rPr>
          <w:snapToGrid w:val="0"/>
        </w:rPr>
      </w:pPr>
      <w:bookmarkStart w:id="86" w:name="_Toc210129748"/>
      <w:r>
        <w:rPr>
          <w:rStyle w:val="CharSectno"/>
        </w:rPr>
        <w:t>63A</w:t>
      </w:r>
      <w:r>
        <w:rPr>
          <w:snapToGrid w:val="0"/>
        </w:rPr>
        <w:t>.</w:t>
      </w:r>
      <w:r>
        <w:rPr>
          <w:snapToGrid w:val="0"/>
        </w:rPr>
        <w:tab/>
        <w:t>Certificates may contain statement of easements</w:t>
      </w:r>
      <w:bookmarkEnd w:id="86"/>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 or</w:t>
      </w:r>
    </w:p>
    <w:p>
      <w:pPr>
        <w:pStyle w:val="Indenta"/>
      </w:pPr>
      <w:r>
        <w:tab/>
        <w:t>(b)</w:t>
      </w:r>
      <w:r>
        <w:tab/>
        <w:t>refer to the instrument creating the easement if that instrument is deposited with the Authority; or</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No. 54 of 1909 s. 15 and 16 (as amended: No. 17 of 1950 s. 75); amended: No. 81 of 1996 s. 36; No. 6 of 2003 s. 21; No. 60 of 2006 s. 118(1).]</w:t>
      </w:r>
    </w:p>
    <w:p>
      <w:pPr>
        <w:pStyle w:val="Heading5"/>
        <w:spacing w:before="180"/>
        <w:rPr>
          <w:snapToGrid w:val="0"/>
        </w:rPr>
      </w:pPr>
      <w:bookmarkStart w:id="87" w:name="_Toc210129749"/>
      <w:r>
        <w:rPr>
          <w:rStyle w:val="CharSectno"/>
        </w:rPr>
        <w:lastRenderedPageBreak/>
        <w:t>64</w:t>
      </w:r>
      <w:r>
        <w:rPr>
          <w:snapToGrid w:val="0"/>
        </w:rPr>
        <w:t>.</w:t>
      </w:r>
      <w:r>
        <w:rPr>
          <w:snapToGrid w:val="0"/>
        </w:rPr>
        <w:tab/>
        <w:t>Certificate conclusive evidence as to title to easements</w:t>
      </w:r>
      <w:bookmarkEnd w:id="87"/>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r>
        <w:tab/>
        <w:t>[Section 64 amended: No. 6 of 2003 s. 22.]</w:t>
      </w:r>
    </w:p>
    <w:p>
      <w:pPr>
        <w:pStyle w:val="Heading5"/>
        <w:spacing w:before="240"/>
        <w:rPr>
          <w:snapToGrid w:val="0"/>
        </w:rPr>
      </w:pPr>
      <w:bookmarkStart w:id="88" w:name="_Toc210129750"/>
      <w:r>
        <w:rPr>
          <w:rStyle w:val="CharSectno"/>
        </w:rPr>
        <w:t>65</w:t>
      </w:r>
      <w:r>
        <w:rPr>
          <w:snapToGrid w:val="0"/>
        </w:rPr>
        <w:t>.</w:t>
      </w:r>
      <w:r>
        <w:rPr>
          <w:snapToGrid w:val="0"/>
        </w:rPr>
        <w:tab/>
        <w:t>Short forms etc. for easements, effect of</w:t>
      </w:r>
      <w:bookmarkEnd w:id="88"/>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spacing w:before="140"/>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w:t>
      </w:r>
      <w:r>
        <w:rPr>
          <w:snapToGrid w:val="0"/>
        </w:rPr>
        <w:lastRenderedPageBreak/>
        <w:t xml:space="preserve">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[Section 65 inserted: No. 81 of 1996 s. 37</w:t>
      </w:r>
      <w:r>
        <w:rPr>
          <w:vertAlign w:val="superscript"/>
        </w:rPr>
        <w:t> 7</w:t>
      </w:r>
      <w:r>
        <w:t>; amended: No. 56 of 2003 s. 12; No. 19 of 2010 s. 38(3) .]</w:t>
      </w:r>
    </w:p>
    <w:p>
      <w:pPr>
        <w:pStyle w:val="Heading5"/>
        <w:rPr>
          <w:snapToGrid w:val="0"/>
        </w:rPr>
      </w:pPr>
      <w:bookmarkStart w:id="89" w:name="_Toc210129751"/>
      <w:r>
        <w:rPr>
          <w:rStyle w:val="CharSectno"/>
        </w:rPr>
        <w:t>65A</w:t>
      </w:r>
      <w:r>
        <w:rPr>
          <w:snapToGrid w:val="0"/>
        </w:rPr>
        <w:t>.</w:t>
      </w:r>
      <w:r>
        <w:rPr>
          <w:snapToGrid w:val="0"/>
        </w:rPr>
        <w:tab/>
        <w:t>Memorandum of easement</w:t>
      </w:r>
      <w:bookmarkEnd w:id="89"/>
    </w:p>
    <w:p>
      <w:pPr>
        <w:pStyle w:val="Subsection"/>
        <w:rPr>
          <w:snapToGrid w:val="0"/>
        </w:rPr>
      </w:pPr>
      <w:r>
        <w:rPr>
          <w:snapToGrid w:val="0"/>
        </w:rPr>
        <w:tab/>
        <w:t>(1)</w:t>
      </w:r>
      <w:r>
        <w:rPr>
          <w:snapToGrid w:val="0"/>
        </w:rPr>
        <w:tab/>
        <w:t xml:space="preserve">Subject to </w:t>
      </w:r>
      <w:r>
        <w:t xml:space="preserve">subsection (2) or (3), </w:t>
      </w:r>
      <w:r>
        <w:rPr>
          <w:snapToGrid w:val="0"/>
        </w:rPr>
        <w:t>a memorandum of an easement affecting land under the operation of this Act that has been created by a plan, diagram or instrument shall be entered on the certificate of title for each dominant and servient tenement.</w:t>
      </w:r>
    </w:p>
    <w:p>
      <w:pPr>
        <w:pStyle w:val="Subsection"/>
      </w:pPr>
      <w:r>
        <w:tab/>
        <w:t>(2)</w:t>
      </w:r>
      <w:r>
        <w:tab/>
        <w:t xml:space="preserve">If an easement is created under Part IVA by notation on a scheme plan as defined in the </w:t>
      </w:r>
      <w:r>
        <w:rPr>
          <w:i/>
        </w:rPr>
        <w:t>Strata Titles Act</w:t>
      </w:r>
      <w:r>
        <w:t> </w:t>
      </w:r>
      <w:r>
        <w:rPr>
          <w:i/>
        </w:rPr>
        <w:t xml:space="preserve">1985 </w:t>
      </w:r>
      <w:r>
        <w:t>section 3(1) or as a short form easement or restrictive covenant under that Act, it is not necessary for a memorandum of the easement to be entered on the certificates of title for the dominant and servient tenements that are also a subject of that plan.</w:t>
      </w:r>
    </w:p>
    <w:p>
      <w:pPr>
        <w:pStyle w:val="Subsection"/>
      </w:pPr>
      <w:r>
        <w:tab/>
        <w:t>(3)</w:t>
      </w:r>
      <w:r>
        <w:tab/>
        <w:t xml:space="preserve">If an easement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easement to be entered on the certificates of title for the dominant and servient tenements that are also a subject of that plan.</w:t>
      </w:r>
    </w:p>
    <w:p>
      <w:pPr>
        <w:pStyle w:val="Footnotesection"/>
      </w:pPr>
      <w:r>
        <w:tab/>
        <w:t>[Section 65A inserted: No. 81 of 1996 s. 37; amended: No. 30 of 2018 s. 198; No. 32 of 2018 s. 254.]</w:t>
      </w:r>
    </w:p>
    <w:p>
      <w:pPr>
        <w:pStyle w:val="Ednotesection"/>
        <w:spacing w:before="240"/>
        <w:ind w:left="890" w:hanging="890"/>
      </w:pPr>
      <w:r>
        <w:t>[</w:t>
      </w:r>
      <w:r>
        <w:rPr>
          <w:b/>
        </w:rPr>
        <w:t>66.</w:t>
      </w:r>
      <w:r>
        <w:tab/>
        <w:t>Deleted: No. 81 of 1996 s. 38.]</w:t>
      </w:r>
    </w:p>
    <w:p>
      <w:pPr>
        <w:pStyle w:val="Heading5"/>
        <w:spacing w:before="240"/>
        <w:rPr>
          <w:snapToGrid w:val="0"/>
        </w:rPr>
      </w:pPr>
      <w:bookmarkStart w:id="90" w:name="_Toc210129752"/>
      <w:r>
        <w:rPr>
          <w:rStyle w:val="CharSectno"/>
        </w:rPr>
        <w:t>66A</w:t>
      </w:r>
      <w:r>
        <w:rPr>
          <w:snapToGrid w:val="0"/>
        </w:rPr>
        <w:t>.</w:t>
      </w:r>
      <w:r>
        <w:rPr>
          <w:snapToGrid w:val="0"/>
        </w:rPr>
        <w:tab/>
        <w:t>No separate certificate for easement</w:t>
      </w:r>
      <w:bookmarkEnd w:id="90"/>
    </w:p>
    <w:p>
      <w:pPr>
        <w:pStyle w:val="Subsection"/>
        <w:rPr>
          <w:snapToGrid w:val="0"/>
        </w:rPr>
      </w:pPr>
      <w:r>
        <w:rPr>
          <w:snapToGrid w:val="0"/>
        </w:rPr>
        <w:tab/>
      </w:r>
      <w:r>
        <w:rPr>
          <w:snapToGrid w:val="0"/>
        </w:rPr>
        <w:tab/>
        <w:t>A separate certificate of title for an easement shall not be created.</w:t>
      </w:r>
    </w:p>
    <w:p>
      <w:pPr>
        <w:pStyle w:val="Footnotesection"/>
      </w:pPr>
      <w:r>
        <w:lastRenderedPageBreak/>
        <w:tab/>
        <w:t>[Section 66A inserted: No. 17 of 1950 s. 15; amended: No. 81 of 1996 s. 39.]</w:t>
      </w:r>
    </w:p>
    <w:p>
      <w:pPr>
        <w:pStyle w:val="Heading5"/>
        <w:spacing w:before="240"/>
        <w:rPr>
          <w:snapToGrid w:val="0"/>
        </w:rPr>
      </w:pPr>
      <w:bookmarkStart w:id="91" w:name="_Toc210129753"/>
      <w:r>
        <w:rPr>
          <w:rStyle w:val="CharSectno"/>
        </w:rPr>
        <w:t>67</w:t>
      </w:r>
      <w:r>
        <w:rPr>
          <w:snapToGrid w:val="0"/>
        </w:rPr>
        <w:t>.</w:t>
      </w:r>
      <w:r>
        <w:rPr>
          <w:snapToGrid w:val="0"/>
        </w:rPr>
        <w:tab/>
        <w:t>Certificate conclusive evidence in suit for specific performance or action for damages</w:t>
      </w:r>
      <w:bookmarkEnd w:id="91"/>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240"/>
        <w:rPr>
          <w:snapToGrid w:val="0"/>
        </w:rPr>
      </w:pPr>
      <w:bookmarkStart w:id="92" w:name="_Toc210129754"/>
      <w:r>
        <w:rPr>
          <w:rStyle w:val="CharSectno"/>
        </w:rPr>
        <w:t>68</w:t>
      </w:r>
      <w:r>
        <w:rPr>
          <w:snapToGrid w:val="0"/>
        </w:rPr>
        <w:t>.</w:t>
      </w:r>
      <w:r>
        <w:rPr>
          <w:snapToGrid w:val="0"/>
        </w:rPr>
        <w:tab/>
        <w:t>Estate of registered proprietor paramount</w:t>
      </w:r>
      <w:bookmarkEnd w:id="92"/>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pPr>
        <w:pStyle w:val="Subsection"/>
        <w:rPr>
          <w:snapToGrid w:val="0"/>
        </w:rPr>
      </w:pPr>
      <w:r>
        <w:rPr>
          <w:snapToGrid w:val="0"/>
        </w:rPr>
        <w:tab/>
        <w:t>(1A)</w:t>
      </w:r>
      <w:r>
        <w:rPr>
          <w:snapToGrid w:val="0"/>
        </w:rPr>
        <w:tab/>
        <w:t xml:space="preserve">Despite subsection (1), the land which shall be included in any certificate of title or registered instrument shall be deemed to be </w:t>
      </w:r>
      <w:r>
        <w:rPr>
          <w:snapToGrid w:val="0"/>
        </w:rPr>
        <w:lastRenderedPageBreak/>
        <w:t>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lastRenderedPageBreak/>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 and</w:t>
      </w:r>
    </w:p>
    <w:p>
      <w:pPr>
        <w:pStyle w:val="Indenta"/>
        <w:rPr>
          <w:snapToGrid w:val="0"/>
        </w:rPr>
      </w:pPr>
      <w:r>
        <w:rPr>
          <w:snapToGrid w:val="0"/>
        </w:rPr>
        <w:tab/>
        <w:t>(b)</w:t>
      </w:r>
      <w:r>
        <w:rPr>
          <w:snapToGrid w:val="0"/>
        </w:rPr>
        <w:tab/>
        <w:t>any public right of way; and</w:t>
      </w:r>
    </w:p>
    <w:p>
      <w:pPr>
        <w:pStyle w:val="Indenta"/>
        <w:rPr>
          <w:snapToGrid w:val="0"/>
        </w:rPr>
      </w:pPr>
      <w:r>
        <w:rPr>
          <w:snapToGrid w:val="0"/>
        </w:rPr>
        <w:tab/>
        <w:t>(c)</w:t>
      </w:r>
      <w:r>
        <w:rPr>
          <w:snapToGrid w:val="0"/>
        </w:rPr>
        <w:tab/>
        <w:t>any easement subsisting over or upon or affecting that Crown land; and</w:t>
      </w:r>
    </w:p>
    <w:p>
      <w:pPr>
        <w:pStyle w:val="Indenta"/>
        <w:rPr>
          <w:snapToGrid w:val="0"/>
        </w:rPr>
      </w:pPr>
      <w:r>
        <w:rPr>
          <w:snapToGrid w:val="0"/>
        </w:rPr>
        <w:tab/>
        <w:t>(d)</w:t>
      </w:r>
      <w:r>
        <w:rPr>
          <w:snapToGrid w:val="0"/>
        </w:rPr>
        <w:tab/>
        <w:t>any unpaid rates; and</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No. 17 of 1950 s. 16; No. 81 of 1996 s. 40; No. 31 of 1997 s. 99; No. 19 of 2010 s. 51.]</w:t>
      </w:r>
    </w:p>
    <w:p>
      <w:pPr>
        <w:pStyle w:val="Heading5"/>
        <w:rPr>
          <w:snapToGrid w:val="0"/>
        </w:rPr>
      </w:pPr>
      <w:bookmarkStart w:id="93" w:name="_Toc210129755"/>
      <w:r>
        <w:rPr>
          <w:rStyle w:val="CharSectno"/>
        </w:rPr>
        <w:t>69</w:t>
      </w:r>
      <w:r>
        <w:rPr>
          <w:snapToGrid w:val="0"/>
        </w:rPr>
        <w:t>.</w:t>
      </w:r>
      <w:r>
        <w:rPr>
          <w:snapToGrid w:val="0"/>
        </w:rPr>
        <w:tab/>
        <w:t>Certain easements and conditions to be noted as encumbrances</w:t>
      </w:r>
      <w:bookmarkEnd w:id="93"/>
    </w:p>
    <w:p>
      <w:pPr>
        <w:pStyle w:val="Subsection"/>
        <w:rPr>
          <w:snapToGrid w:val="0"/>
        </w:rPr>
      </w:pPr>
      <w:r>
        <w:rPr>
          <w:snapToGrid w:val="0"/>
        </w:rPr>
        <w:tab/>
        <w:t>(1)</w:t>
      </w:r>
      <w:r>
        <w:rPr>
          <w:snapToGrid w:val="0"/>
        </w:rPr>
        <w:tab/>
        <w:t xml:space="preserve">Notwithstanding the reservation in the last preceding section of any easements subsisting over or upon or affecting any land comprised in any certificate of title the Registrar shall specify </w:t>
      </w:r>
      <w:r>
        <w:rPr>
          <w:snapToGrid w:val="0"/>
        </w:rPr>
        <w:lastRenderedPageBreak/>
        <w:t>upon any future certificate of such land as an encumbrance affecting the same any subsisting easement over or upon or affecting the same which shall appear to have been created by any deed or writing.</w:t>
      </w:r>
    </w:p>
    <w:p>
      <w:pPr>
        <w:pStyle w:val="Subsection"/>
        <w:rPr>
          <w:snapToGrid w:val="0"/>
        </w:rPr>
      </w:pPr>
      <w:r>
        <w:rPr>
          <w:snapToGrid w:val="0"/>
        </w:rPr>
        <w:tab/>
        <w:t>(2)</w:t>
      </w:r>
      <w:r>
        <w:rPr>
          <w:snapToGrid w:val="0"/>
        </w:rPr>
        <w:tab/>
        <w:t>Notwithstanding section 68(1A) the Registrar shall endorse as an encumbrance upon all future certificates of title any special building condition or condition against free alienation or other condition (not being a power of resumption by the Crown for any public purpose) contained in any grant conveyance or other document of title of the land described in such certificate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No. 81 of 1996 s. 41; No. 19 of 2010 s. 51; No. 21 of 2022 s. 13.]</w:t>
      </w:r>
    </w:p>
    <w:p>
      <w:pPr>
        <w:pStyle w:val="Heading5"/>
        <w:spacing w:before="180"/>
        <w:rPr>
          <w:snapToGrid w:val="0"/>
        </w:rPr>
      </w:pPr>
      <w:bookmarkStart w:id="94" w:name="_Toc210129756"/>
      <w:r>
        <w:rPr>
          <w:rStyle w:val="CharSectno"/>
        </w:rPr>
        <w:t>70</w:t>
      </w:r>
      <w:r>
        <w:rPr>
          <w:snapToGrid w:val="0"/>
        </w:rPr>
        <w:t>.</w:t>
      </w:r>
      <w:r>
        <w:rPr>
          <w:snapToGrid w:val="0"/>
        </w:rPr>
        <w:tab/>
        <w:t>Reversions expectant on leases</w:t>
      </w:r>
      <w:bookmarkEnd w:id="94"/>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180"/>
        <w:rPr>
          <w:snapToGrid w:val="0"/>
        </w:rPr>
      </w:pPr>
      <w:bookmarkStart w:id="95" w:name="_Toc210129757"/>
      <w:r>
        <w:rPr>
          <w:rStyle w:val="CharSectno"/>
        </w:rPr>
        <w:t>70A</w:t>
      </w:r>
      <w:r>
        <w:rPr>
          <w:snapToGrid w:val="0"/>
        </w:rPr>
        <w:t>.</w:t>
      </w:r>
      <w:r>
        <w:rPr>
          <w:snapToGrid w:val="0"/>
        </w:rPr>
        <w:tab/>
        <w:t>Factors affecting use and enjoyment of land, notification on title</w:t>
      </w:r>
      <w:bookmarkEnd w:id="95"/>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lastRenderedPageBreak/>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spacing w:before="140"/>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spacing w:before="140"/>
        <w:rPr>
          <w:snapToGrid w:val="0"/>
        </w:rPr>
      </w:pPr>
      <w:r>
        <w:rPr>
          <w:snapToGrid w:val="0"/>
        </w:rPr>
        <w:tab/>
        <w:t>(2)</w:t>
      </w:r>
      <w:r>
        <w:rPr>
          <w:snapToGrid w:val="0"/>
        </w:rPr>
        <w:tab/>
        <w:t>Where —</w:t>
      </w:r>
    </w:p>
    <w:p>
      <w:pPr>
        <w:pStyle w:val="Indenta"/>
        <w:keepNext/>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spacing w:before="80"/>
        <w:ind w:left="890" w:hanging="890"/>
      </w:pPr>
      <w:r>
        <w:tab/>
        <w:t>[Section 70A inserted: No. 81 of 1996 s. 42.]</w:t>
      </w:r>
    </w:p>
    <w:p>
      <w:pPr>
        <w:pStyle w:val="Heading5"/>
        <w:rPr>
          <w:snapToGrid w:val="0"/>
        </w:rPr>
      </w:pPr>
      <w:bookmarkStart w:id="96" w:name="_Toc210129758"/>
      <w:r>
        <w:rPr>
          <w:rStyle w:val="CharSectno"/>
        </w:rPr>
        <w:t>71</w:t>
      </w:r>
      <w:r>
        <w:rPr>
          <w:snapToGrid w:val="0"/>
        </w:rPr>
        <w:t>.</w:t>
      </w:r>
      <w:r>
        <w:rPr>
          <w:snapToGrid w:val="0"/>
        </w:rPr>
        <w:tab/>
        <w:t>Single certificate may be created instead of separate ones</w:t>
      </w:r>
      <w:bookmarkEnd w:id="96"/>
    </w:p>
    <w:p>
      <w:pPr>
        <w:pStyle w:val="Subsection"/>
        <w:rPr>
          <w:snapToGrid w:val="0"/>
        </w:rPr>
      </w:pPr>
      <w:r>
        <w:rPr>
          <w:snapToGrid w:val="0"/>
        </w:rPr>
        <w:tab/>
      </w:r>
      <w:r>
        <w:rPr>
          <w:snapToGrid w:val="0"/>
        </w:rPr>
        <w:tab/>
        <w:t xml:space="preserve">On the application of any proprietor or of any person entitled to become a proprietor of land under separate certificates of title the Registrar may create and register in the proprietor’s name a </w:t>
      </w:r>
      <w:r>
        <w:rPr>
          <w:snapToGrid w:val="0"/>
        </w:rPr>
        <w:lastRenderedPageBreak/>
        <w:t>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ind w:left="890" w:hanging="890"/>
      </w:pPr>
      <w:r>
        <w:tab/>
        <w:t>[Section 71 amended: No. 81 of 1996 s. 43; No. 21 of 2022 s. 14.]</w:t>
      </w:r>
    </w:p>
    <w:p>
      <w:pPr>
        <w:pStyle w:val="Heading5"/>
        <w:rPr>
          <w:snapToGrid w:val="0"/>
        </w:rPr>
      </w:pPr>
      <w:bookmarkStart w:id="97" w:name="_Toc210129759"/>
      <w:r>
        <w:rPr>
          <w:rStyle w:val="CharSectno"/>
        </w:rPr>
        <w:t>71A</w:t>
      </w:r>
      <w:r>
        <w:rPr>
          <w:snapToGrid w:val="0"/>
        </w:rPr>
        <w:t>.</w:t>
      </w:r>
      <w:r>
        <w:rPr>
          <w:snapToGrid w:val="0"/>
        </w:rPr>
        <w:tab/>
        <w:t>Separate certificates may be created instead of single one</w:t>
      </w:r>
      <w:bookmarkEnd w:id="97"/>
    </w:p>
    <w:p>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rPr>
          <w:snapToGrid w:val="0"/>
        </w:rPr>
      </w:pPr>
      <w:r>
        <w:rPr>
          <w:snapToGrid w:val="0"/>
        </w:rPr>
        <w:tab/>
        <w:t>(2)</w:t>
      </w:r>
      <w:r>
        <w:rPr>
          <w:snapToGrid w:val="0"/>
        </w:rPr>
        <w:tab/>
        <w:t>The Registrar, when required by the proprietor, shall create and register in the proprietor’s name a certificate of title for the land remaining the subject of the partially cancelled certificate of title.</w:t>
      </w:r>
    </w:p>
    <w:p>
      <w:pPr>
        <w:pStyle w:val="Footnotesection"/>
        <w:ind w:left="890" w:hanging="890"/>
      </w:pPr>
      <w:r>
        <w:tab/>
        <w:t>[Section 71A inserted: No. 17 of 1950 s. 17; amended: No. 81 of 1996 s. 44; No. 21 of 2022 s. 15.]</w:t>
      </w:r>
    </w:p>
    <w:p>
      <w:pPr>
        <w:pStyle w:val="Ednotesection"/>
      </w:pPr>
      <w:r>
        <w:t>[</w:t>
      </w:r>
      <w:r>
        <w:rPr>
          <w:b/>
        </w:rPr>
        <w:t>71B.</w:t>
      </w:r>
      <w:r>
        <w:tab/>
        <w:t>Deleted: No. 21 of 2022 s. 16.]</w:t>
      </w:r>
    </w:p>
    <w:p>
      <w:pPr>
        <w:pStyle w:val="Heading5"/>
        <w:rPr>
          <w:snapToGrid w:val="0"/>
        </w:rPr>
      </w:pPr>
      <w:bookmarkStart w:id="98" w:name="_Toc210129760"/>
      <w:r>
        <w:rPr>
          <w:rStyle w:val="CharSectno"/>
        </w:rPr>
        <w:t>72</w:t>
      </w:r>
      <w:r>
        <w:rPr>
          <w:snapToGrid w:val="0"/>
        </w:rPr>
        <w:t>.</w:t>
      </w:r>
      <w:r>
        <w:rPr>
          <w:snapToGrid w:val="0"/>
        </w:rPr>
        <w:tab/>
        <w:t>History of dealings to be preserved</w:t>
      </w:r>
      <w:bookmarkEnd w:id="98"/>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w:t>
      </w:r>
      <w:r>
        <w:rPr>
          <w:snapToGrid w:val="0"/>
        </w:rPr>
        <w:lastRenderedPageBreak/>
        <w:t>every such copy shall be deemed complete notwithstanding the omission of such references.</w:t>
      </w:r>
    </w:p>
    <w:p>
      <w:pPr>
        <w:pStyle w:val="Footnotesection"/>
        <w:ind w:left="890" w:hanging="890"/>
      </w:pPr>
      <w:r>
        <w:tab/>
        <w:t>[Section 72 amended: No. 81 of 1996 s. 145(1); No. 6 of 2003 s. 23.]</w:t>
      </w:r>
    </w:p>
    <w:p>
      <w:pPr>
        <w:pStyle w:val="Ednotesection"/>
      </w:pPr>
      <w:r>
        <w:t>[</w:t>
      </w:r>
      <w:r>
        <w:rPr>
          <w:b/>
        </w:rPr>
        <w:t>73.</w:t>
      </w:r>
      <w:r>
        <w:tab/>
        <w:t>Deleted: No. 31 of 1997 s. 100.]</w:t>
      </w:r>
    </w:p>
    <w:p>
      <w:pPr>
        <w:pStyle w:val="Ednotesection"/>
      </w:pPr>
      <w:r>
        <w:t>[</w:t>
      </w:r>
      <w:r>
        <w:rPr>
          <w:b/>
        </w:rPr>
        <w:t>74.</w:t>
      </w:r>
      <w:r>
        <w:tab/>
        <w:t>Deleted: No. 21 of 2022 s. 17.]</w:t>
      </w:r>
    </w:p>
    <w:p>
      <w:pPr>
        <w:pStyle w:val="Heading5"/>
        <w:spacing w:before="180"/>
        <w:rPr>
          <w:snapToGrid w:val="0"/>
        </w:rPr>
      </w:pPr>
      <w:bookmarkStart w:id="99" w:name="_Toc210129761"/>
      <w:r>
        <w:rPr>
          <w:rStyle w:val="CharSectno"/>
        </w:rPr>
        <w:t>74A</w:t>
      </w:r>
      <w:r>
        <w:rPr>
          <w:snapToGrid w:val="0"/>
        </w:rPr>
        <w:t>.</w:t>
      </w:r>
      <w:r>
        <w:rPr>
          <w:snapToGrid w:val="0"/>
        </w:rPr>
        <w:tab/>
        <w:t>Substitute certificates of title</w:t>
      </w:r>
      <w:bookmarkEnd w:id="99"/>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 No. 81 of 1996 s. 47; amended: No. 6 of 2003 s. 25; No. 21 of 2022 s. 18.]</w:t>
      </w:r>
    </w:p>
    <w:p>
      <w:pPr>
        <w:pStyle w:val="Ednotesection"/>
      </w:pPr>
      <w:r>
        <w:t>[</w:t>
      </w:r>
      <w:r>
        <w:rPr>
          <w:b/>
        </w:rPr>
        <w:t>74B-79.</w:t>
      </w:r>
      <w:r>
        <w:tab/>
      </w:r>
      <w:r>
        <w:tab/>
        <w:t>Deleted: No. 21 of 2022 s. 19.]</w:t>
      </w:r>
    </w:p>
    <w:p>
      <w:pPr>
        <w:pStyle w:val="Ednotesection"/>
      </w:pPr>
      <w:r>
        <w:t>[</w:t>
      </w:r>
      <w:r>
        <w:rPr>
          <w:b/>
        </w:rPr>
        <w:t>80.</w:t>
      </w:r>
      <w:r>
        <w:tab/>
        <w:t>Deleted: No. 17 of 1950 s. 19.]</w:t>
      </w:r>
    </w:p>
    <w:p>
      <w:pPr>
        <w:pStyle w:val="Heading5"/>
        <w:rPr>
          <w:snapToGrid w:val="0"/>
        </w:rPr>
      </w:pPr>
      <w:bookmarkStart w:id="100" w:name="_Toc210129762"/>
      <w:r>
        <w:rPr>
          <w:rStyle w:val="CharSectno"/>
        </w:rPr>
        <w:t>81</w:t>
      </w:r>
      <w:r>
        <w:rPr>
          <w:snapToGrid w:val="0"/>
        </w:rPr>
        <w:t>.</w:t>
      </w:r>
      <w:r>
        <w:rPr>
          <w:snapToGrid w:val="0"/>
        </w:rPr>
        <w:tab/>
        <w:t>Words of inheritance or succession to be implied</w:t>
      </w:r>
      <w:bookmarkEnd w:id="100"/>
    </w:p>
    <w:p>
      <w:pPr>
        <w:pStyle w:val="Subsection"/>
        <w:rPr>
          <w:snapToGrid w:val="0"/>
        </w:rPr>
      </w:pPr>
      <w:r>
        <w:rPr>
          <w:snapToGrid w:val="0"/>
        </w:rPr>
        <w:tab/>
      </w:r>
      <w:r>
        <w:rPr>
          <w:snapToGrid w:val="0"/>
        </w:rPr>
        <w:tab/>
        <w:t xml:space="preserve">Every certificate of any person or corporation sole or aggregate being the proprietor of an estate in fee simple whether in possession remainder or reversion, the holder of an interest in </w:t>
      </w:r>
      <w:r>
        <w:rPr>
          <w:snapToGrid w:val="0"/>
        </w:rPr>
        <w:lastRenderedPageBreak/>
        <w:t>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No. 31 of 1997 s. 102.]</w:t>
      </w:r>
    </w:p>
    <w:p>
      <w:pPr>
        <w:pStyle w:val="Heading2"/>
      </w:pPr>
      <w:bookmarkStart w:id="101" w:name="_Toc166683414"/>
      <w:bookmarkStart w:id="102" w:name="_Toc166683790"/>
      <w:bookmarkStart w:id="103" w:name="_Toc166684576"/>
      <w:bookmarkStart w:id="104" w:name="_Toc210120185"/>
      <w:bookmarkStart w:id="105" w:name="_Toc210129763"/>
      <w:r>
        <w:rPr>
          <w:rStyle w:val="CharPartNo"/>
        </w:rPr>
        <w:lastRenderedPageBreak/>
        <w:t>Part IIIA</w:t>
      </w:r>
      <w:r>
        <w:rPr>
          <w:rStyle w:val="CharDivNo"/>
        </w:rPr>
        <w:t> </w:t>
      </w:r>
      <w:r>
        <w:t>—</w:t>
      </w:r>
      <w:r>
        <w:rPr>
          <w:rStyle w:val="CharDivText"/>
        </w:rPr>
        <w:t> </w:t>
      </w:r>
      <w:r>
        <w:rPr>
          <w:rStyle w:val="CharPartText"/>
        </w:rPr>
        <w:t>Crown leases</w:t>
      </w:r>
      <w:bookmarkEnd w:id="101"/>
      <w:bookmarkEnd w:id="102"/>
      <w:bookmarkEnd w:id="103"/>
      <w:bookmarkEnd w:id="104"/>
      <w:bookmarkEnd w:id="105"/>
    </w:p>
    <w:p>
      <w:pPr>
        <w:pStyle w:val="Footnoteheading"/>
        <w:spacing w:before="80"/>
      </w:pPr>
      <w:r>
        <w:tab/>
        <w:t>[Heading inserted: No. 54 of 1909 s. 2A (as amended: No. 17 of 1950 s. 75).]</w:t>
      </w:r>
    </w:p>
    <w:p>
      <w:pPr>
        <w:pStyle w:val="Heading5"/>
        <w:spacing w:before="160"/>
        <w:rPr>
          <w:snapToGrid w:val="0"/>
        </w:rPr>
      </w:pPr>
      <w:bookmarkStart w:id="106" w:name="_Toc210129764"/>
      <w:r>
        <w:rPr>
          <w:rStyle w:val="CharSectno"/>
        </w:rPr>
        <w:t>81A</w:t>
      </w:r>
      <w:r>
        <w:rPr>
          <w:snapToGrid w:val="0"/>
        </w:rPr>
        <w:t>.</w:t>
      </w:r>
      <w:r>
        <w:rPr>
          <w:snapToGrid w:val="0"/>
        </w:rPr>
        <w:tab/>
        <w:t>Registration of Crown leases issued on or after 2 May 1910</w:t>
      </w:r>
      <w:bookmarkEnd w:id="106"/>
    </w:p>
    <w:p>
      <w:pPr>
        <w:pStyle w:val="Subsection"/>
        <w:spacing w:before="100"/>
        <w:rPr>
          <w:snapToGrid w:val="0"/>
        </w:rPr>
      </w:pPr>
      <w:r>
        <w:rPr>
          <w:snapToGrid w:val="0"/>
        </w:rPr>
        <w:tab/>
        <w:t>(1)</w:t>
      </w:r>
      <w:r>
        <w:rPr>
          <w:snapToGrid w:val="0"/>
        </w:rPr>
        <w:tab/>
        <w:t>Subject to subsection (3), every Crown lease issued after the commencement of the</w:t>
      </w:r>
      <w:r>
        <w:rPr>
          <w:iCs/>
          <w:snapToGrid w:val="0"/>
        </w:rPr>
        <w:t xml:space="preserve"> </w:t>
      </w:r>
      <w:r>
        <w:rPr>
          <w:i/>
          <w:snapToGrid w:val="0"/>
        </w:rPr>
        <w:t>Transfer of Land Act Amendment Act 1909</w:t>
      </w:r>
      <w:r>
        <w:rPr>
          <w:snapToGrid w:val="0"/>
        </w:rPr>
        <w:t>, shall be issued in duplicate under seal and forwarded by the Minister for Lands direct to the Registrar for registration under section 53.</w:t>
      </w:r>
    </w:p>
    <w:p>
      <w:pPr>
        <w:pStyle w:val="Subsection"/>
        <w:spacing w:before="100"/>
        <w:rPr>
          <w:snapToGrid w:val="0"/>
        </w:rPr>
      </w:pPr>
      <w:r>
        <w:rPr>
          <w:snapToGrid w:val="0"/>
        </w:rPr>
        <w:tab/>
        <w:t>(2)</w:t>
      </w:r>
      <w:r>
        <w:rPr>
          <w:snapToGrid w:val="0"/>
        </w:rPr>
        <w:tab/>
        <w:t>The Registrar shall —</w:t>
      </w:r>
    </w:p>
    <w:p>
      <w:pPr>
        <w:pStyle w:val="Indenta"/>
        <w:spacing w:before="60"/>
        <w:rPr>
          <w:snapToGrid w:val="0"/>
        </w:rPr>
      </w:pPr>
      <w:r>
        <w:rPr>
          <w:snapToGrid w:val="0"/>
        </w:rPr>
        <w:tab/>
        <w:t>(a)</w:t>
      </w:r>
      <w:r>
        <w:rPr>
          <w:snapToGrid w:val="0"/>
        </w:rPr>
        <w:tab/>
        <w:t>enter in a journal particulars of the lease, and mark on each part thereof the number appearing in such journal, and sign his name to each part; and</w:t>
      </w:r>
    </w:p>
    <w:p>
      <w:pPr>
        <w:pStyle w:val="Indenta"/>
        <w:spacing w:before="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60"/>
        <w:rPr>
          <w:snapToGrid w:val="0"/>
        </w:rPr>
      </w:pPr>
      <w:r>
        <w:rPr>
          <w:snapToGrid w:val="0"/>
        </w:rPr>
        <w:tab/>
        <w:t>(c)</w:t>
      </w:r>
      <w:r>
        <w:rPr>
          <w:snapToGrid w:val="0"/>
        </w:rPr>
        <w:tab/>
        <w:t>register the original in the Register of Leases.</w:t>
      </w:r>
    </w:p>
    <w:p>
      <w:pPr>
        <w:pStyle w:val="Subsection"/>
        <w:spacing w:before="10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rPr>
        <w:t>.</w:t>
      </w:r>
    </w:p>
    <w:p>
      <w:pPr>
        <w:pStyle w:val="Footnotesection"/>
        <w:spacing w:before="80"/>
        <w:ind w:left="890" w:hanging="890"/>
      </w:pPr>
      <w:r>
        <w:tab/>
        <w:t>[Section 81A inserted: No. 54 of 1909 s. 3 (as amended: No. 17 of 1950 s. 75); amended: No. 81 of 1996 s. 52; No. 31 of 1997 s. 103.]</w:t>
      </w:r>
    </w:p>
    <w:p>
      <w:pPr>
        <w:pStyle w:val="Heading5"/>
        <w:spacing w:before="160"/>
        <w:rPr>
          <w:snapToGrid w:val="0"/>
        </w:rPr>
      </w:pPr>
      <w:bookmarkStart w:id="107" w:name="_Toc210129765"/>
      <w:r>
        <w:rPr>
          <w:rStyle w:val="CharSectno"/>
        </w:rPr>
        <w:t>81B</w:t>
      </w:r>
      <w:r>
        <w:rPr>
          <w:snapToGrid w:val="0"/>
        </w:rPr>
        <w:t>.</w:t>
      </w:r>
      <w:r>
        <w:rPr>
          <w:snapToGrid w:val="0"/>
        </w:rPr>
        <w:tab/>
        <w:t>Registration of Crown leases issued before 2 May 1910</w:t>
      </w:r>
      <w:bookmarkEnd w:id="107"/>
    </w:p>
    <w:p>
      <w:pPr>
        <w:pStyle w:val="Subsection"/>
        <w:spacing w:before="100"/>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may be made subject to and registered under the operation of this Act, by an application in the form in the Twenty</w:t>
      </w:r>
      <w:r>
        <w:rPr>
          <w:snapToGrid w:val="0"/>
        </w:rPr>
        <w:noBreakHyphen/>
        <w:t>eighth Schedule.</w:t>
      </w:r>
    </w:p>
    <w:p>
      <w:pPr>
        <w:pStyle w:val="Subsection"/>
        <w:spacing w:before="100"/>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spacing w:before="60"/>
        <w:rPr>
          <w:snapToGrid w:val="0"/>
        </w:rPr>
      </w:pPr>
      <w:r>
        <w:rPr>
          <w:snapToGrid w:val="0"/>
        </w:rPr>
        <w:lastRenderedPageBreak/>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vertAlign w:val="superscript"/>
        </w:rPr>
        <w:t> 1</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8</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 xml:space="preserve">when so recorded, shall be read as if it contained all the covenants, powers, and conditions which by this Act are implied in mortgages or subleases or conferred upon the </w:t>
      </w:r>
      <w:r>
        <w:rPr>
          <w:snapToGrid w:val="0"/>
        </w:rPr>
        <w:lastRenderedPageBreak/>
        <w:t>parties thereto, except so far as such mortgage or sublease contains express provisions to the contrary.</w:t>
      </w:r>
    </w:p>
    <w:p>
      <w:pPr>
        <w:pStyle w:val="Footnotesection"/>
      </w:pPr>
      <w:r>
        <w:tab/>
        <w:t>[Section 81B inserted: No. 54 of 1909 s. 4 (as amended: No. 17 of 1950 s. 75).]</w:t>
      </w:r>
    </w:p>
    <w:p>
      <w:pPr>
        <w:pStyle w:val="Heading5"/>
        <w:rPr>
          <w:snapToGrid w:val="0"/>
        </w:rPr>
      </w:pPr>
      <w:bookmarkStart w:id="108" w:name="_Toc210129766"/>
      <w:r>
        <w:rPr>
          <w:rStyle w:val="CharSectno"/>
        </w:rPr>
        <w:t>81C</w:t>
      </w:r>
      <w:r>
        <w:rPr>
          <w:snapToGrid w:val="0"/>
        </w:rPr>
        <w:t>.</w:t>
      </w:r>
      <w:r>
        <w:rPr>
          <w:snapToGrid w:val="0"/>
        </w:rPr>
        <w:tab/>
        <w:t>Effect of registration</w:t>
      </w:r>
      <w:bookmarkEnd w:id="108"/>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No. 54 of 1909 s. 5 (as amended: No. 17 of 1950 s. 75).]</w:t>
      </w:r>
    </w:p>
    <w:p>
      <w:pPr>
        <w:pStyle w:val="Heading5"/>
        <w:rPr>
          <w:snapToGrid w:val="0"/>
        </w:rPr>
      </w:pPr>
      <w:bookmarkStart w:id="109" w:name="_Toc210129767"/>
      <w:r>
        <w:rPr>
          <w:rStyle w:val="CharSectno"/>
        </w:rPr>
        <w:t>81D</w:t>
      </w:r>
      <w:r>
        <w:rPr>
          <w:snapToGrid w:val="0"/>
        </w:rPr>
        <w:t>.</w:t>
      </w:r>
      <w:r>
        <w:rPr>
          <w:snapToGrid w:val="0"/>
        </w:rPr>
        <w:tab/>
        <w:t>Registration of transfer etc.</w:t>
      </w:r>
      <w:bookmarkEnd w:id="109"/>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vertAlign w:val="superscript"/>
        </w:rPr>
        <w:t> 1</w:t>
      </w:r>
      <w:r>
        <w:rPr>
          <w:snapToGrid w:val="0"/>
        </w:rPr>
        <w:t>, whereby a transferee or sublessee is required to be a person who is not disqualified under that Act to be a lessee of the land intended to be transferred or sublet.</w:t>
      </w:r>
    </w:p>
    <w:p>
      <w:pPr>
        <w:pStyle w:val="Subsection"/>
      </w:pPr>
      <w:r>
        <w:lastRenderedPageBreak/>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keepNext/>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No. 54 of 1909 s. 6 (as amended: No. 17 of 1950 s. 75); amended: No. 81 of 1996 s. 53; No. 59 of 2000 s. 51; No. 8 of 2010 s. 30.]</w:t>
      </w:r>
    </w:p>
    <w:p>
      <w:pPr>
        <w:pStyle w:val="Heading5"/>
        <w:tabs>
          <w:tab w:val="clear" w:pos="879"/>
          <w:tab w:val="left" w:pos="851"/>
        </w:tabs>
        <w:ind w:left="851" w:hanging="851"/>
        <w:rPr>
          <w:snapToGrid w:val="0"/>
        </w:rPr>
      </w:pPr>
      <w:bookmarkStart w:id="110" w:name="_Toc210129768"/>
      <w:r>
        <w:rPr>
          <w:rStyle w:val="CharSectno"/>
        </w:rPr>
        <w:lastRenderedPageBreak/>
        <w:t>81E</w:t>
      </w:r>
      <w:r>
        <w:rPr>
          <w:snapToGrid w:val="0"/>
        </w:rPr>
        <w:t>.</w:t>
      </w:r>
      <w:r>
        <w:rPr>
          <w:snapToGrid w:val="0"/>
        </w:rPr>
        <w:tab/>
        <w:t>No foreclosure without consent of Minister for Lands</w:t>
      </w:r>
      <w:bookmarkEnd w:id="110"/>
    </w:p>
    <w:p>
      <w:pPr>
        <w:pStyle w:val="Subsection"/>
        <w:spacing w:before="150"/>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spacing w:before="100"/>
        <w:ind w:left="890" w:hanging="890"/>
      </w:pPr>
      <w:r>
        <w:tab/>
        <w:t>[Section 81E inserted: No. 54 of 1909 s. 7 (as amended: No. 17 of 1950 s. 75).]</w:t>
      </w:r>
    </w:p>
    <w:p>
      <w:pPr>
        <w:pStyle w:val="Heading5"/>
        <w:spacing w:before="180"/>
        <w:rPr>
          <w:snapToGrid w:val="0"/>
        </w:rPr>
      </w:pPr>
      <w:bookmarkStart w:id="111" w:name="_Toc210129769"/>
      <w:r>
        <w:rPr>
          <w:rStyle w:val="CharSectno"/>
        </w:rPr>
        <w:t>81F</w:t>
      </w:r>
      <w:r>
        <w:rPr>
          <w:snapToGrid w:val="0"/>
        </w:rPr>
        <w:t>.</w:t>
      </w:r>
      <w:r>
        <w:rPr>
          <w:snapToGrid w:val="0"/>
        </w:rPr>
        <w:tab/>
        <w:t>Entry of forfeiture</w:t>
      </w:r>
      <w:bookmarkEnd w:id="111"/>
    </w:p>
    <w:p>
      <w:pPr>
        <w:pStyle w:val="Subsection"/>
        <w:spacing w:before="140"/>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spacing w:before="140"/>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spacing w:before="140"/>
        <w:rPr>
          <w:snapToGrid w:val="0"/>
        </w:rPr>
      </w:pPr>
      <w:r>
        <w:rPr>
          <w:snapToGrid w:val="0"/>
        </w:rPr>
        <w:tab/>
        <w:t>(3)</w:t>
      </w:r>
      <w:r>
        <w:rPr>
          <w:snapToGrid w:val="0"/>
        </w:rPr>
        <w:tab/>
        <w:t>The Minister for Lands may, by notice to the Registrar, allow a longer period than 30 days.</w:t>
      </w:r>
    </w:p>
    <w:p>
      <w:pPr>
        <w:pStyle w:val="Subsection"/>
        <w:spacing w:before="140"/>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vertAlign w:val="superscript"/>
        </w:rPr>
        <w:t> 1</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spacing w:before="80"/>
        <w:ind w:left="890" w:hanging="890"/>
      </w:pPr>
      <w:r>
        <w:tab/>
        <w:t>[Section 81F inserted: No. 54 of 1909 s. 8 (as amended: No. 17 of 1950 s. 75); amended: No. 81 of 1996 s. 54.]</w:t>
      </w:r>
    </w:p>
    <w:p>
      <w:pPr>
        <w:pStyle w:val="Heading5"/>
        <w:spacing w:before="180"/>
        <w:rPr>
          <w:snapToGrid w:val="0"/>
        </w:rPr>
      </w:pPr>
      <w:bookmarkStart w:id="112" w:name="_Toc210129770"/>
      <w:r>
        <w:rPr>
          <w:rStyle w:val="CharSectno"/>
        </w:rPr>
        <w:t>81G</w:t>
      </w:r>
      <w:r>
        <w:rPr>
          <w:snapToGrid w:val="0"/>
        </w:rPr>
        <w:t>.</w:t>
      </w:r>
      <w:r>
        <w:rPr>
          <w:snapToGrid w:val="0"/>
        </w:rPr>
        <w:tab/>
        <w:t>Crown lessee to be deemed of full age</w:t>
      </w:r>
      <w:bookmarkEnd w:id="112"/>
    </w:p>
    <w:p>
      <w:pPr>
        <w:pStyle w:val="Subsection"/>
        <w:spacing w:before="120"/>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spacing w:before="120"/>
        <w:rPr>
          <w:snapToGrid w:val="0"/>
        </w:rPr>
      </w:pPr>
      <w:r>
        <w:rPr>
          <w:snapToGrid w:val="0"/>
        </w:rPr>
        <w:lastRenderedPageBreak/>
        <w:tab/>
        <w:t>(2)</w:t>
      </w:r>
      <w:r>
        <w:rPr>
          <w:snapToGrid w:val="0"/>
        </w:rPr>
        <w:tab/>
        <w:t xml:space="preserve">The provisions of this section shall be deemed to have applied to all holdings under the </w:t>
      </w:r>
      <w:r>
        <w:rPr>
          <w:i/>
          <w:snapToGrid w:val="0"/>
        </w:rPr>
        <w:t>Land Act 1898</w:t>
      </w:r>
      <w:r>
        <w:rPr>
          <w:snapToGrid w:val="0"/>
          <w:vertAlign w:val="superscript"/>
        </w:rPr>
        <w:t> 1</w:t>
      </w:r>
      <w:r>
        <w:rPr>
          <w:snapToGrid w:val="0"/>
        </w:rPr>
        <w:t>, from 1 January 1899.</w:t>
      </w:r>
    </w:p>
    <w:p>
      <w:pPr>
        <w:pStyle w:val="Subsection"/>
        <w:spacing w:before="120"/>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spacing w:before="80"/>
        <w:ind w:left="890" w:hanging="890"/>
      </w:pPr>
      <w:r>
        <w:tab/>
        <w:t>[Section 81G inserted: No. 54 of 1909 s. 9 (as amended: No. 17 of 1950 s. 75).]</w:t>
      </w:r>
    </w:p>
    <w:p>
      <w:pPr>
        <w:pStyle w:val="Heading5"/>
        <w:rPr>
          <w:snapToGrid w:val="0"/>
        </w:rPr>
      </w:pPr>
      <w:bookmarkStart w:id="113" w:name="_Toc210129771"/>
      <w:r>
        <w:rPr>
          <w:rStyle w:val="CharSectno"/>
        </w:rP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bookmarkEnd w:id="113"/>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w:t>
      </w:r>
      <w:r>
        <w:rPr>
          <w:snapToGrid w:val="0"/>
          <w:vertAlign w:val="superscript"/>
        </w:rPr>
        <w:t> 1</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No. 54 of 1909 s. 10 (as amended: No. 17 of 1950 s. 75); amended: No. 26 of 1911 s. 3.]</w:t>
      </w:r>
    </w:p>
    <w:p>
      <w:pPr>
        <w:pStyle w:val="Heading5"/>
        <w:rPr>
          <w:snapToGrid w:val="0"/>
        </w:rPr>
      </w:pPr>
      <w:bookmarkStart w:id="114" w:name="_Toc210129772"/>
      <w:r>
        <w:rPr>
          <w:rStyle w:val="CharSectno"/>
        </w:rPr>
        <w:t>81I</w:t>
      </w:r>
      <w:r>
        <w:rPr>
          <w:snapToGrid w:val="0"/>
        </w:rPr>
        <w:t>.</w:t>
      </w:r>
      <w:r>
        <w:rPr>
          <w:snapToGrid w:val="0"/>
        </w:rPr>
        <w:tab/>
        <w:t>Mortgage of Crown lease to be transferred to Crown grant</w:t>
      </w:r>
      <w:bookmarkEnd w:id="114"/>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xml:space="preserve">,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w:t>
      </w:r>
      <w:r>
        <w:rPr>
          <w:snapToGrid w:val="0"/>
        </w:rPr>
        <w:lastRenderedPageBreak/>
        <w:t>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snapToGrid w:val="0"/>
        </w:rPr>
        <w:t>.</w:t>
      </w:r>
    </w:p>
    <w:p>
      <w:pPr>
        <w:pStyle w:val="Footnotesection"/>
      </w:pPr>
      <w:r>
        <w:tab/>
        <w:t>[Section 81I inserted: No. 26 of 1911 s. 2 (as amended: No. 17 of 1950 s. 75); amended: No. 81 of 1996 s. 55.]</w:t>
      </w:r>
    </w:p>
    <w:p>
      <w:pPr>
        <w:pStyle w:val="Heading2"/>
      </w:pPr>
      <w:bookmarkStart w:id="115" w:name="_Toc166683424"/>
      <w:bookmarkStart w:id="116" w:name="_Toc166683800"/>
      <w:bookmarkStart w:id="117" w:name="_Toc166684586"/>
      <w:bookmarkStart w:id="118" w:name="_Toc210120195"/>
      <w:bookmarkStart w:id="119" w:name="_Toc210129773"/>
      <w:r>
        <w:rPr>
          <w:rStyle w:val="CharPartNo"/>
        </w:rPr>
        <w:lastRenderedPageBreak/>
        <w:t>Part IIIB</w:t>
      </w:r>
      <w:r>
        <w:t> — </w:t>
      </w:r>
      <w:r>
        <w:rPr>
          <w:rStyle w:val="CharPartText"/>
        </w:rPr>
        <w:t>Registration and recording in relation to Crown land</w:t>
      </w:r>
      <w:bookmarkEnd w:id="115"/>
      <w:bookmarkEnd w:id="116"/>
      <w:bookmarkEnd w:id="117"/>
      <w:bookmarkEnd w:id="118"/>
      <w:bookmarkEnd w:id="119"/>
    </w:p>
    <w:p>
      <w:pPr>
        <w:pStyle w:val="Footnoteheading"/>
      </w:pPr>
      <w:r>
        <w:tab/>
        <w:t>[Heading inserted: No. 31 of 1997 s. 104(1).]</w:t>
      </w:r>
    </w:p>
    <w:p>
      <w:pPr>
        <w:pStyle w:val="Heading3"/>
      </w:pPr>
      <w:bookmarkStart w:id="120" w:name="_Toc166683425"/>
      <w:bookmarkStart w:id="121" w:name="_Toc166683801"/>
      <w:bookmarkStart w:id="122" w:name="_Toc166684587"/>
      <w:bookmarkStart w:id="123" w:name="_Toc210120196"/>
      <w:bookmarkStart w:id="124" w:name="_Toc210129774"/>
      <w:r>
        <w:rPr>
          <w:rStyle w:val="CharDivNo"/>
        </w:rPr>
        <w:t>Division 1</w:t>
      </w:r>
      <w:r>
        <w:t> — </w:t>
      </w:r>
      <w:r>
        <w:rPr>
          <w:rStyle w:val="CharDivText"/>
        </w:rPr>
        <w:t>General</w:t>
      </w:r>
      <w:bookmarkEnd w:id="120"/>
      <w:bookmarkEnd w:id="121"/>
      <w:bookmarkEnd w:id="122"/>
      <w:bookmarkEnd w:id="123"/>
      <w:bookmarkEnd w:id="124"/>
    </w:p>
    <w:p>
      <w:pPr>
        <w:pStyle w:val="Footnoteheading"/>
      </w:pPr>
      <w:r>
        <w:tab/>
        <w:t>[Heading inserted: No. 31 of 1997 s. 104(1).]</w:t>
      </w:r>
    </w:p>
    <w:p>
      <w:pPr>
        <w:pStyle w:val="Heading5"/>
      </w:pPr>
      <w:bookmarkStart w:id="125" w:name="_Toc210129775"/>
      <w:r>
        <w:rPr>
          <w:rStyle w:val="CharSectno"/>
        </w:rPr>
        <w:t>81J</w:t>
      </w:r>
      <w:r>
        <w:t>.</w:t>
      </w:r>
      <w:r>
        <w:tab/>
        <w:t>Application of this Part</w:t>
      </w:r>
      <w:bookmarkEnd w:id="125"/>
    </w:p>
    <w:p>
      <w:pPr>
        <w:pStyle w:val="Subsection"/>
      </w:pPr>
      <w:r>
        <w:tab/>
      </w:r>
      <w:r>
        <w:tab/>
        <w:t>This Part applies solely to Crown land.</w:t>
      </w:r>
    </w:p>
    <w:p>
      <w:pPr>
        <w:pStyle w:val="Footnotesection"/>
      </w:pPr>
      <w:r>
        <w:tab/>
        <w:t>[Section 81J inserted: No. 31 of 1997 s. 104(1).]</w:t>
      </w:r>
    </w:p>
    <w:p>
      <w:pPr>
        <w:pStyle w:val="Heading5"/>
      </w:pPr>
      <w:bookmarkStart w:id="126" w:name="_Toc210129776"/>
      <w:r>
        <w:rPr>
          <w:rStyle w:val="CharSectno"/>
        </w:rPr>
        <w:t>81K</w:t>
      </w:r>
      <w:r>
        <w:t>.</w:t>
      </w:r>
      <w:r>
        <w:tab/>
        <w:t>Terms used</w:t>
      </w:r>
      <w:bookmarkEnd w:id="126"/>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No. 31 of 1997 s. 104(1).]</w:t>
      </w:r>
    </w:p>
    <w:p>
      <w:pPr>
        <w:pStyle w:val="Heading5"/>
      </w:pPr>
      <w:bookmarkStart w:id="127" w:name="_Toc210129777"/>
      <w:r>
        <w:rPr>
          <w:rStyle w:val="CharSectno"/>
        </w:rPr>
        <w:t>81L</w:t>
      </w:r>
      <w:r>
        <w:t>.</w:t>
      </w:r>
      <w:r>
        <w:tab/>
        <w:t>Creation and registration of certificates of Crown land title and qualified certificates of Crown land title</w:t>
      </w:r>
      <w:bookmarkEnd w:id="127"/>
    </w:p>
    <w:p>
      <w:pPr>
        <w:pStyle w:val="Subsection"/>
      </w:pPr>
      <w:r>
        <w:tab/>
      </w:r>
      <w:r>
        <w:tab/>
        <w:t xml:space="preserve">On receiving from the Minister for Lands an application requesting him to do so in respect of a parcel of Crown land, the Registrar shall create and register a certificate of Crown land title or a qualified certificate of Crown land title in an approved </w:t>
      </w:r>
      <w:r>
        <w:lastRenderedPageBreak/>
        <w:t>form for that parcel and may endorse on the certificate of Crown land title or qualified certificate of Crown land title such particulars of any dealing as he considers appropriate.</w:t>
      </w:r>
    </w:p>
    <w:p>
      <w:pPr>
        <w:pStyle w:val="Footnotesection"/>
      </w:pPr>
      <w:r>
        <w:tab/>
        <w:t>[Section 81L inserted: No. 31 of 1997 s. 104(1).]</w:t>
      </w:r>
    </w:p>
    <w:p>
      <w:pPr>
        <w:pStyle w:val="Heading5"/>
      </w:pPr>
      <w:bookmarkStart w:id="128" w:name="_Toc210129778"/>
      <w:r>
        <w:rPr>
          <w:rStyle w:val="CharSectno"/>
        </w:rPr>
        <w:t>81M</w:t>
      </w:r>
      <w:r>
        <w:t>.</w:t>
      </w:r>
      <w:r>
        <w:tab/>
        <w:t>Lodging etc. of management orders</w:t>
      </w:r>
      <w:bookmarkEnd w:id="128"/>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No. 31 of 1997 s. 104(1).]</w:t>
      </w:r>
    </w:p>
    <w:p>
      <w:pPr>
        <w:pStyle w:val="Heading5"/>
      </w:pPr>
      <w:bookmarkStart w:id="129" w:name="_Toc210129779"/>
      <w:r>
        <w:rPr>
          <w:rStyle w:val="CharSectno"/>
        </w:rPr>
        <w:t>81N</w:t>
      </w:r>
      <w:r>
        <w:t>.</w:t>
      </w:r>
      <w:r>
        <w:tab/>
        <w:t>Crown surveys</w:t>
      </w:r>
      <w:bookmarkEnd w:id="129"/>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No. 31 of 1997 s. 104(1).]</w:t>
      </w:r>
    </w:p>
    <w:p>
      <w:pPr>
        <w:pStyle w:val="Heading5"/>
      </w:pPr>
      <w:bookmarkStart w:id="130" w:name="_Toc210129780"/>
      <w:r>
        <w:rPr>
          <w:rStyle w:val="CharSectno"/>
        </w:rPr>
        <w:t>81O</w:t>
      </w:r>
      <w:r>
        <w:t>.</w:t>
      </w:r>
      <w:r>
        <w:tab/>
        <w:t>No duplicate certificates of Crown land title or duplicate qualified certificates of Crown land title to be issued</w:t>
      </w:r>
      <w:bookmarkEnd w:id="130"/>
    </w:p>
    <w:p>
      <w:pPr>
        <w:pStyle w:val="Subsection"/>
      </w:pPr>
      <w:r>
        <w:tab/>
      </w:r>
      <w:r>
        <w:tab/>
        <w:t>The Registrar shall not issue duplicate certificates of Crown land title or duplicate qualified certificates of Crown land title.</w:t>
      </w:r>
    </w:p>
    <w:p>
      <w:pPr>
        <w:pStyle w:val="Footnotesection"/>
      </w:pPr>
      <w:r>
        <w:tab/>
        <w:t>[Section 81O inserted: No. 31 of 1997 s. 104(1).]</w:t>
      </w:r>
    </w:p>
    <w:p>
      <w:pPr>
        <w:pStyle w:val="Heading5"/>
      </w:pPr>
      <w:bookmarkStart w:id="131" w:name="_Toc210129781"/>
      <w:r>
        <w:rPr>
          <w:rStyle w:val="CharSectno"/>
        </w:rPr>
        <w:t>81P</w:t>
      </w:r>
      <w:r>
        <w:t>.</w:t>
      </w:r>
      <w:r>
        <w:tab/>
        <w:t>Endorsements on certificates of Crown land title and qualified certificates of Crown land title</w:t>
      </w:r>
      <w:bookmarkEnd w:id="131"/>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w:t>
      </w:r>
      <w:r>
        <w:lastRenderedPageBreak/>
        <w:t xml:space="preserve">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No. 31 of 1997 s. 104(1).]</w:t>
      </w:r>
    </w:p>
    <w:p>
      <w:pPr>
        <w:pStyle w:val="Heading5"/>
      </w:pPr>
      <w:bookmarkStart w:id="132" w:name="_Toc210129782"/>
      <w:r>
        <w:rPr>
          <w:rStyle w:val="CharSectno"/>
        </w:rPr>
        <w:t>81Q</w:t>
      </w:r>
      <w:r>
        <w:t>.</w:t>
      </w:r>
      <w:r>
        <w:tab/>
        <w:t>Leases and subleases of Crown land, registration of</w:t>
      </w:r>
      <w:bookmarkEnd w:id="132"/>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lastRenderedPageBreak/>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[Section 81Q inserted: No. 31 of 1997 s. 104(1)</w:t>
      </w:r>
      <w:r>
        <w:rPr>
          <w:i w:val="0"/>
          <w:vertAlign w:val="superscript"/>
        </w:rPr>
        <w:t> 9</w:t>
      </w:r>
      <w:r>
        <w:t>; amended: No. 6 of 2003 s. 29.]</w:t>
      </w:r>
    </w:p>
    <w:p>
      <w:pPr>
        <w:pStyle w:val="Heading5"/>
      </w:pPr>
      <w:bookmarkStart w:id="133" w:name="_Toc210129783"/>
      <w:r>
        <w:rPr>
          <w:rStyle w:val="CharSectno"/>
        </w:rPr>
        <w:t>81R</w:t>
      </w:r>
      <w:r>
        <w:t>.</w:t>
      </w:r>
      <w:r>
        <w:tab/>
        <w:t>Profits à prendre, registration of</w:t>
      </w:r>
      <w:bookmarkEnd w:id="133"/>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No. 31 of 1997 s. 104(1).]</w:t>
      </w:r>
    </w:p>
    <w:p>
      <w:pPr>
        <w:pStyle w:val="Heading5"/>
      </w:pPr>
      <w:bookmarkStart w:id="134" w:name="_Toc210129784"/>
      <w:r>
        <w:rPr>
          <w:rStyle w:val="CharSectno"/>
        </w:rPr>
        <w:t>81RA</w:t>
      </w:r>
      <w:r>
        <w:t>.</w:t>
      </w:r>
      <w:r>
        <w:tab/>
        <w:t>Other encumbrances in respect of fee simple in Crown land</w:t>
      </w:r>
      <w:bookmarkEnd w:id="134"/>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lastRenderedPageBreak/>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No. 59 of 2000 s. 51.]</w:t>
      </w:r>
    </w:p>
    <w:p>
      <w:pPr>
        <w:pStyle w:val="Heading5"/>
      </w:pPr>
      <w:bookmarkStart w:id="135" w:name="_Toc210129785"/>
      <w:r>
        <w:rPr>
          <w:rStyle w:val="CharSectno"/>
        </w:rPr>
        <w:t>81S</w:t>
      </w:r>
      <w:r>
        <w:t>.</w:t>
      </w:r>
      <w:r>
        <w:tab/>
        <w:t>Prerequisites to registering dealings as to Crown land</w:t>
      </w:r>
      <w:bookmarkEnd w:id="135"/>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 or</w:t>
      </w:r>
    </w:p>
    <w:p>
      <w:pPr>
        <w:pStyle w:val="Indenta"/>
      </w:pPr>
      <w:r>
        <w:lastRenderedPageBreak/>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ind w:left="890" w:hanging="890"/>
      </w:pPr>
      <w:r>
        <w:tab/>
        <w:t>[Section 81S inserted: No. 31 of 1997 s. 104(1); amended: No. 59 of 2000 s. 51.]</w:t>
      </w:r>
    </w:p>
    <w:p>
      <w:pPr>
        <w:pStyle w:val="Heading5"/>
      </w:pPr>
      <w:bookmarkStart w:id="136" w:name="_Toc210129786"/>
      <w:r>
        <w:rPr>
          <w:rStyle w:val="CharSectno"/>
        </w:rPr>
        <w:t>81T</w:t>
      </w:r>
      <w:r>
        <w:t>.</w:t>
      </w:r>
      <w:r>
        <w:tab/>
        <w:t>Registered proprietors etc. protected against ejectment except in certain cases</w:t>
      </w:r>
      <w:bookmarkEnd w:id="136"/>
    </w:p>
    <w:p>
      <w:pPr>
        <w:pStyle w:val="Subsection"/>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 or</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 or</w:t>
      </w:r>
    </w:p>
    <w:p>
      <w:pPr>
        <w:pStyle w:val="Indenta"/>
      </w:pPr>
      <w:r>
        <w:tab/>
        <w:t>(c)</w:t>
      </w:r>
      <w:r>
        <w:tab/>
        <w:t xml:space="preserve">the Minister for Lands exercising the power conferred by section 36(c)(ii) of the </w:t>
      </w:r>
      <w:r>
        <w:rPr>
          <w:i/>
        </w:rPr>
        <w:t>Land Administration Act 1997</w:t>
      </w:r>
      <w:r>
        <w:t xml:space="preserve"> as against that person; or</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lastRenderedPageBreak/>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 or</w:t>
      </w:r>
    </w:p>
    <w:p>
      <w:pPr>
        <w:pStyle w:val="Ednotepara"/>
      </w:pPr>
      <w:r>
        <w:tab/>
        <w:t>[(b)</w:t>
      </w:r>
      <w:r>
        <w:tab/>
        <w:t>deleted]</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 or</w:t>
      </w:r>
    </w:p>
    <w:p>
      <w:pPr>
        <w:pStyle w:val="Indenta"/>
      </w:pPr>
      <w:r>
        <w:tab/>
        <w:t>(d)</w:t>
      </w:r>
      <w:r>
        <w:tab/>
        <w:t xml:space="preserve">the Minister for Lands accepting the surrender of that Crown lease or other lease under section 81(1) of the </w:t>
      </w:r>
      <w:r>
        <w:rPr>
          <w:i/>
        </w:rPr>
        <w:t>Land Administration Act 1997</w:t>
      </w:r>
      <w:r>
        <w:t>; or</w:t>
      </w:r>
    </w:p>
    <w:p>
      <w:pPr>
        <w:pStyle w:val="Indenta"/>
      </w:pPr>
      <w:r>
        <w:tab/>
        <w:t>(e)</w:t>
      </w:r>
      <w:r>
        <w:tab/>
        <w:t xml:space="preserve">an acquiring authority taking that Crown lease or other lease under Part 9 of the </w:t>
      </w:r>
      <w:r>
        <w:rPr>
          <w:i/>
        </w:rPr>
        <w:t>Land Administration Act 1997</w:t>
      </w:r>
      <w:r>
        <w:t>; or</w:t>
      </w:r>
    </w:p>
    <w:p>
      <w:pPr>
        <w:pStyle w:val="Indenta"/>
      </w:pPr>
      <w:r>
        <w:tab/>
        <w:t>(f)</w:t>
      </w:r>
      <w:r>
        <w:tab/>
        <w:t xml:space="preserve">the purchaser of that Crown lease or other lease under section 261(1) of the </w:t>
      </w:r>
      <w:r>
        <w:rPr>
          <w:i/>
        </w:rPr>
        <w:t>Land Administration Act 1997</w:t>
      </w:r>
      <w:r>
        <w:t>; or</w:t>
      </w:r>
    </w:p>
    <w:p>
      <w:pPr>
        <w:pStyle w:val="Indenta"/>
        <w:keepNext/>
      </w:pPr>
      <w:r>
        <w:lastRenderedPageBreak/>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No. 31 of 1997 s. 104(1); amended: No. 4 of 2023 s. 149.]</w:t>
      </w:r>
    </w:p>
    <w:p>
      <w:pPr>
        <w:pStyle w:val="Heading3"/>
        <w:keepNext w:val="0"/>
      </w:pPr>
      <w:bookmarkStart w:id="137" w:name="_Toc166683438"/>
      <w:bookmarkStart w:id="138" w:name="_Toc166683814"/>
      <w:bookmarkStart w:id="139" w:name="_Toc166684600"/>
      <w:bookmarkStart w:id="140" w:name="_Toc210120209"/>
      <w:bookmarkStart w:id="141" w:name="_Toc210129787"/>
      <w:r>
        <w:rPr>
          <w:rStyle w:val="CharDivNo"/>
        </w:rPr>
        <w:t>Division 2</w:t>
      </w:r>
      <w:r>
        <w:t> — </w:t>
      </w:r>
      <w:r>
        <w:rPr>
          <w:rStyle w:val="CharDivText"/>
        </w:rPr>
        <w:t>Transitional</w:t>
      </w:r>
      <w:bookmarkEnd w:id="137"/>
      <w:bookmarkEnd w:id="138"/>
      <w:bookmarkEnd w:id="139"/>
      <w:bookmarkEnd w:id="140"/>
      <w:bookmarkEnd w:id="141"/>
    </w:p>
    <w:p>
      <w:pPr>
        <w:pStyle w:val="Footnoteheading"/>
        <w:keepNext/>
        <w:keepLines/>
      </w:pPr>
      <w:r>
        <w:tab/>
        <w:t>[Heading inserted: No. 31 of 1997 s. 104(1).]</w:t>
      </w:r>
    </w:p>
    <w:p>
      <w:pPr>
        <w:pStyle w:val="Heading5"/>
      </w:pPr>
      <w:bookmarkStart w:id="142" w:name="_Toc210129788"/>
      <w:r>
        <w:rPr>
          <w:rStyle w:val="CharSectno"/>
        </w:rPr>
        <w:t>81U</w:t>
      </w:r>
      <w:r>
        <w:t>.</w:t>
      </w:r>
      <w:r>
        <w:tab/>
        <w:t>Registrar may accept for registration signed and stamped duplicate original documents</w:t>
      </w:r>
      <w:bookmarkEnd w:id="142"/>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No. 31 of 1997 s. 104(1); amended: No. 45 of 2002 s. 25; No. 12 of 2008 Sch. 1 cl. 38(1).]</w:t>
      </w:r>
    </w:p>
    <w:p>
      <w:pPr>
        <w:pStyle w:val="Heading5"/>
      </w:pPr>
      <w:bookmarkStart w:id="143" w:name="_Toc210129789"/>
      <w:r>
        <w:rPr>
          <w:rStyle w:val="CharSectno"/>
        </w:rPr>
        <w:t>81V</w:t>
      </w:r>
      <w:r>
        <w:t>.</w:t>
      </w:r>
      <w:r>
        <w:tab/>
        <w:t>Minister for Lands may apply for cancellation, creation etc. of certificates of Crown land title etc.</w:t>
      </w:r>
      <w:bookmarkEnd w:id="143"/>
    </w:p>
    <w:p>
      <w:pPr>
        <w:pStyle w:val="Subsection"/>
      </w:pPr>
      <w:r>
        <w:tab/>
        <w:t>(1)</w:t>
      </w:r>
      <w:r>
        <w:tab/>
        <w:t>The Minister for Lands may at any time apply, whether on behalf of another person or on his own initiative, to the Registrar for —</w:t>
      </w:r>
    </w:p>
    <w:p>
      <w:pPr>
        <w:pStyle w:val="Indenta"/>
      </w:pPr>
      <w:r>
        <w:lastRenderedPageBreak/>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No. 31 of 1997 s. 104(1).]</w:t>
      </w:r>
    </w:p>
    <w:p>
      <w:pPr>
        <w:pStyle w:val="Heading5"/>
      </w:pPr>
      <w:bookmarkStart w:id="144" w:name="_Toc210129790"/>
      <w:r>
        <w:rPr>
          <w:rStyle w:val="CharSectno"/>
        </w:rPr>
        <w:t>81W</w:t>
      </w:r>
      <w:r>
        <w:t>.</w:t>
      </w:r>
      <w:r>
        <w:tab/>
        <w:t>Procedure when applications referred to Commissioner</w:t>
      </w:r>
      <w:bookmarkEnd w:id="144"/>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lastRenderedPageBreak/>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If —</w:t>
      </w:r>
    </w:p>
    <w:p>
      <w:pPr>
        <w:pStyle w:val="Indenta"/>
      </w:pPr>
      <w:r>
        <w:tab/>
        <w:t>(a)</w:t>
      </w:r>
      <w:r>
        <w:tab/>
        <w:t>the Commissioner is satisfied in respect of the matters referred to in subsection (1)(a); and</w:t>
      </w:r>
    </w:p>
    <w:p>
      <w:pPr>
        <w:pStyle w:val="Indenta"/>
      </w:pPr>
      <w:r>
        <w:tab/>
        <w:t>(b)</w:t>
      </w:r>
      <w:r>
        <w:tab/>
        <w:t xml:space="preserve">the Minister for Lands has, before making the relevant application under section 81V(1), advertised under </w:t>
      </w:r>
      <w:r>
        <w:lastRenderedPageBreak/>
        <w:t xml:space="preserve">clause 45(3) of Schedule 2 to the </w:t>
      </w:r>
      <w:r>
        <w:rPr>
          <w:i/>
        </w:rPr>
        <w:t>Land Administration Act 1997</w:t>
      </w:r>
      <w:r>
        <w:t xml:space="preserve"> in connection with the matter the subject of that application; and</w:t>
      </w:r>
    </w:p>
    <w:p>
      <w:pPr>
        <w:pStyle w:val="Indenta"/>
        <w:keepNext/>
      </w:pPr>
      <w:r>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r>
      <w:r>
        <w:tab/>
        <w:t>or</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pPr>
      <w:r>
        <w:tab/>
      </w:r>
      <w:r>
        <w:tab/>
        <w:t xml:space="preserve">on or after the expiry of which period the Commissioner shall, unless a caveat is in force under this Division forbidding him to </w:t>
      </w:r>
      <w:r>
        <w:lastRenderedPageBreak/>
        <w:t>do so or he is restrained from doing so by an order made under section 81X(3), direct the Registrar to grant the application.</w:t>
      </w:r>
    </w:p>
    <w:p>
      <w:pPr>
        <w:pStyle w:val="Subsection"/>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pPr>
      <w:r>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 xml:space="preserve">A caveat cannot be lodged under subsection (6) unless one of the following is specified in it for the purposes of the service of notices in relation to the caveat — </w:t>
      </w:r>
    </w:p>
    <w:p>
      <w:pPr>
        <w:pStyle w:val="Indenta"/>
      </w:pPr>
      <w:r>
        <w:tab/>
        <w:t>(a)</w:t>
      </w:r>
      <w:r>
        <w:tab/>
        <w:t>an address in Australia;</w:t>
      </w:r>
    </w:p>
    <w:p>
      <w:pPr>
        <w:pStyle w:val="Ednotepara"/>
      </w:pPr>
      <w:r>
        <w:tab/>
        <w:t>[(b)</w:t>
      </w:r>
      <w:r>
        <w:tab/>
        <w:t>deleted]</w:t>
      </w:r>
    </w:p>
    <w:p>
      <w:pPr>
        <w:pStyle w:val="Indenta"/>
      </w:pPr>
      <w:r>
        <w:tab/>
        <w:t>(c)</w:t>
      </w:r>
      <w:r>
        <w:tab/>
        <w:t>a way of receiving notices electronically (for example, an email address) that is prescribed by the regulations for the purposes of this paragraph.</w:t>
      </w:r>
    </w:p>
    <w:p>
      <w:pPr>
        <w:pStyle w:val="Subsection"/>
      </w:pPr>
      <w:r>
        <w:tab/>
        <w:t>(10)</w:t>
      </w:r>
      <w:r>
        <w:tab/>
        <w:t xml:space="preserve">A number for a facsimile machine in Australia may be used for the purposes referred to in subsection (9) if — </w:t>
      </w:r>
    </w:p>
    <w:p>
      <w:pPr>
        <w:pStyle w:val="Indenta"/>
      </w:pPr>
      <w:r>
        <w:tab/>
        <w:t>(a)</w:t>
      </w:r>
      <w:r>
        <w:tab/>
        <w:t xml:space="preserve">a caveat is lodged under subsection (6) before the day on which the </w:t>
      </w:r>
      <w:r>
        <w:rPr>
          <w:i/>
        </w:rPr>
        <w:t>Transfer of Land Amendment Act 2022</w:t>
      </w:r>
      <w:r>
        <w:t xml:space="preserve"> section 20 comes into operation; and</w:t>
      </w:r>
    </w:p>
    <w:p>
      <w:pPr>
        <w:pStyle w:val="Indenta"/>
      </w:pPr>
      <w:r>
        <w:lastRenderedPageBreak/>
        <w:tab/>
        <w:t>(b)</w:t>
      </w:r>
      <w:r>
        <w:tab/>
        <w:t>that number is specified in the caveat.</w:t>
      </w:r>
    </w:p>
    <w:p>
      <w:pPr>
        <w:pStyle w:val="Footnotesection"/>
      </w:pPr>
      <w:r>
        <w:tab/>
        <w:t>[Section 81W inserted: No. 31 of 1997 s. 104(1); amended: No. 2 of 2014 s. 72; No. 21 of 2022 s. 20.]</w:t>
      </w:r>
    </w:p>
    <w:p>
      <w:pPr>
        <w:pStyle w:val="Heading5"/>
      </w:pPr>
      <w:bookmarkStart w:id="145" w:name="_Toc210129791"/>
      <w:r>
        <w:rPr>
          <w:rStyle w:val="CharSectno"/>
        </w:rPr>
        <w:t>81X</w:t>
      </w:r>
      <w:r>
        <w:t>.</w:t>
      </w:r>
      <w:r>
        <w:tab/>
        <w:t>Procedure on lodging of caveat under s. 81W(6)</w:t>
      </w:r>
      <w:bookmarkEnd w:id="145"/>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No. 31 of 1997 s. 104(1).]</w:t>
      </w:r>
    </w:p>
    <w:p>
      <w:pPr>
        <w:pStyle w:val="Heading5"/>
      </w:pPr>
      <w:bookmarkStart w:id="146" w:name="_Toc210129792"/>
      <w:r>
        <w:rPr>
          <w:rStyle w:val="CharSectno"/>
        </w:rPr>
        <w:lastRenderedPageBreak/>
        <w:t>81Y</w:t>
      </w:r>
      <w:r>
        <w:t>.</w:t>
      </w:r>
      <w:r>
        <w:tab/>
        <w:t>Registrar’s duties when applications made under s. 81V(1)(a) granted</w:t>
      </w:r>
      <w:bookmarkEnd w:id="146"/>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No. 31 of 1997 s. 104(1).]</w:t>
      </w:r>
    </w:p>
    <w:p>
      <w:pPr>
        <w:pStyle w:val="Heading5"/>
      </w:pPr>
      <w:bookmarkStart w:id="147" w:name="_Toc210129793"/>
      <w:r>
        <w:rPr>
          <w:rStyle w:val="CharSectno"/>
        </w:rPr>
        <w:t>81Z</w:t>
      </w:r>
      <w:r>
        <w:t>.</w:t>
      </w:r>
      <w:r>
        <w:tab/>
        <w:t>Registrar’s duties when applications made under s. 81V(1)(b) granted</w:t>
      </w:r>
      <w:bookmarkEnd w:id="147"/>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lastRenderedPageBreak/>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No. 31 of 1997 s. 104(1).]</w:t>
      </w:r>
    </w:p>
    <w:p>
      <w:pPr>
        <w:pStyle w:val="Heading5"/>
      </w:pPr>
      <w:bookmarkStart w:id="148" w:name="_Toc210129794"/>
      <w:r>
        <w:rPr>
          <w:rStyle w:val="CharSectno"/>
        </w:rPr>
        <w:t>81ZA</w:t>
      </w:r>
      <w:r>
        <w:t>.</w:t>
      </w:r>
      <w:r>
        <w:tab/>
        <w:t>Procedure for registering interests for which no certificate of Crown land title or qualified certificate of Crown land title exists</w:t>
      </w:r>
      <w:bookmarkEnd w:id="148"/>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keepNext/>
      </w:pPr>
      <w:r>
        <w:lastRenderedPageBreak/>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No. 31 of 1997 s. 104(1).]</w:t>
      </w:r>
    </w:p>
    <w:p>
      <w:pPr>
        <w:pStyle w:val="Heading5"/>
      </w:pPr>
      <w:bookmarkStart w:id="149" w:name="_Toc210129795"/>
      <w:r>
        <w:rPr>
          <w:rStyle w:val="CharSectno"/>
        </w:rPr>
        <w:t>81ZB</w:t>
      </w:r>
      <w:r>
        <w:t>.</w:t>
      </w:r>
      <w:r>
        <w:tab/>
        <w:t>Qualified certificates of Crown land title, general matters</w:t>
      </w:r>
      <w:bookmarkEnd w:id="149"/>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lastRenderedPageBreak/>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No. 31 of 1997 s. 104(1).]</w:t>
      </w:r>
    </w:p>
    <w:p>
      <w:pPr>
        <w:pStyle w:val="Heading5"/>
      </w:pPr>
      <w:bookmarkStart w:id="150" w:name="_Toc210129796"/>
      <w:r>
        <w:rPr>
          <w:rStyle w:val="CharSectno"/>
        </w:rPr>
        <w:t>81ZC</w:t>
      </w:r>
      <w:r>
        <w:t>.</w:t>
      </w:r>
      <w:r>
        <w:tab/>
        <w:t>Interests in Crown land not registered within transitional period void as against registered interests in Crown land etc.</w:t>
      </w:r>
      <w:bookmarkEnd w:id="150"/>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 or</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lastRenderedPageBreak/>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No. 31 of 1997 s. 104(1).]</w:t>
      </w:r>
    </w:p>
    <w:p>
      <w:pPr>
        <w:pStyle w:val="Heading5"/>
      </w:pPr>
      <w:bookmarkStart w:id="151" w:name="_Toc210129797"/>
      <w:r>
        <w:rPr>
          <w:rStyle w:val="CharSectno"/>
        </w:rPr>
        <w:t>81ZD</w:t>
      </w:r>
      <w:r>
        <w:t>.</w:t>
      </w:r>
      <w:r>
        <w:tab/>
        <w:t>Registrar may convert Crown leases into leases registered under s. 81Q</w:t>
      </w:r>
      <w:bookmarkEnd w:id="151"/>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No. 31 of 1997 s. 104(1).]</w:t>
      </w:r>
    </w:p>
    <w:p>
      <w:pPr>
        <w:pStyle w:val="Heading2"/>
      </w:pPr>
      <w:bookmarkStart w:id="152" w:name="_Toc166683449"/>
      <w:bookmarkStart w:id="153" w:name="_Toc166683825"/>
      <w:bookmarkStart w:id="154" w:name="_Toc166684611"/>
      <w:bookmarkStart w:id="155" w:name="_Toc210120220"/>
      <w:bookmarkStart w:id="156" w:name="_Toc210129798"/>
      <w:r>
        <w:rPr>
          <w:rStyle w:val="CharPartNo"/>
        </w:rPr>
        <w:lastRenderedPageBreak/>
        <w:t>Part IV</w:t>
      </w:r>
      <w:r>
        <w:t> — </w:t>
      </w:r>
      <w:r>
        <w:rPr>
          <w:rStyle w:val="CharPartText"/>
        </w:rPr>
        <w:t>Dealings with land</w:t>
      </w:r>
      <w:bookmarkEnd w:id="152"/>
      <w:bookmarkEnd w:id="153"/>
      <w:bookmarkEnd w:id="154"/>
      <w:bookmarkEnd w:id="155"/>
      <w:bookmarkEnd w:id="156"/>
    </w:p>
    <w:p>
      <w:pPr>
        <w:pStyle w:val="Heading3"/>
      </w:pPr>
      <w:bookmarkStart w:id="157" w:name="_Toc166683450"/>
      <w:bookmarkStart w:id="158" w:name="_Toc166683826"/>
      <w:bookmarkStart w:id="159" w:name="_Toc166684612"/>
      <w:bookmarkStart w:id="160" w:name="_Toc210120221"/>
      <w:bookmarkStart w:id="161" w:name="_Toc210129799"/>
      <w:r>
        <w:rPr>
          <w:rStyle w:val="CharDivNo"/>
        </w:rPr>
        <w:t>Division 1</w:t>
      </w:r>
      <w:r>
        <w:rPr>
          <w:snapToGrid w:val="0"/>
        </w:rPr>
        <w:t> — </w:t>
      </w:r>
      <w:r>
        <w:rPr>
          <w:rStyle w:val="CharDivText"/>
        </w:rPr>
        <w:t>Transfers</w:t>
      </w:r>
      <w:bookmarkEnd w:id="157"/>
      <w:bookmarkEnd w:id="158"/>
      <w:bookmarkEnd w:id="159"/>
      <w:bookmarkEnd w:id="160"/>
      <w:bookmarkEnd w:id="161"/>
    </w:p>
    <w:p>
      <w:pPr>
        <w:pStyle w:val="Heading5"/>
        <w:rPr>
          <w:snapToGrid w:val="0"/>
        </w:rPr>
      </w:pPr>
      <w:bookmarkStart w:id="162" w:name="_Toc210129800"/>
      <w:r>
        <w:rPr>
          <w:rStyle w:val="CharSectno"/>
        </w:rPr>
        <w:t>82</w:t>
      </w:r>
      <w:r>
        <w:rPr>
          <w:snapToGrid w:val="0"/>
        </w:rPr>
        <w:t>.</w:t>
      </w:r>
      <w:r>
        <w:rPr>
          <w:snapToGrid w:val="0"/>
        </w:rPr>
        <w:tab/>
        <w:t>Transfers</w:t>
      </w:r>
      <w:bookmarkEnd w:id="162"/>
    </w:p>
    <w:p>
      <w:pPr>
        <w:pStyle w:val="Subsection"/>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pPr>
        <w:pStyle w:val="Subsection"/>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ind w:left="890" w:hanging="890"/>
      </w:pPr>
      <w:r>
        <w:tab/>
        <w:t>[Section 82 amended: No. 17 of 1950 s. 20; No. 81 of 1996 s. 56; No. 6 of 2003 s. 30; No. 19 of 2010 s. 51.]</w:t>
      </w:r>
    </w:p>
    <w:p>
      <w:pPr>
        <w:pStyle w:val="Heading5"/>
        <w:rPr>
          <w:snapToGrid w:val="0"/>
        </w:rPr>
      </w:pPr>
      <w:bookmarkStart w:id="163" w:name="_Toc210129801"/>
      <w:r>
        <w:rPr>
          <w:rStyle w:val="CharSectno"/>
        </w:rPr>
        <w:t>83</w:t>
      </w:r>
      <w:r>
        <w:rPr>
          <w:snapToGrid w:val="0"/>
        </w:rPr>
        <w:t>.</w:t>
      </w:r>
      <w:r>
        <w:rPr>
          <w:snapToGrid w:val="0"/>
        </w:rPr>
        <w:tab/>
        <w:t>Transfer to include right to sue thereunder</w:t>
      </w:r>
      <w:bookmarkEnd w:id="163"/>
    </w:p>
    <w:p>
      <w:pPr>
        <w:pStyle w:val="Subsection"/>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pPr>
        <w:pStyle w:val="Subsection"/>
        <w:rPr>
          <w:snapToGrid w:val="0"/>
        </w:rPr>
      </w:pPr>
      <w:r>
        <w:rPr>
          <w:snapToGrid w:val="0"/>
        </w:rPr>
        <w:tab/>
        <w:t>(2)</w:t>
      </w:r>
      <w:r>
        <w:rPr>
          <w:snapToGrid w:val="0"/>
        </w:rPr>
        <w:tab/>
        <w:t xml:space="preserve">Nothing herein contained shall prevent a court in its equitable jurisdiction from giving effect to any trusts affecting such debt </w:t>
      </w:r>
      <w:r>
        <w:rPr>
          <w:snapToGrid w:val="0"/>
        </w:rPr>
        <w:lastRenderedPageBreak/>
        <w:t>sum of money annuity or damages in case the transferee shall as between himself and any other person hold the same as a trustee.</w:t>
      </w:r>
    </w:p>
    <w:p>
      <w:pPr>
        <w:pStyle w:val="Footnotesection"/>
        <w:spacing w:before="160"/>
        <w:ind w:left="890" w:hanging="890"/>
      </w:pPr>
      <w:r>
        <w:tab/>
        <w:t>[Section 83 amended: No. 19 of 2010 s. 51.]</w:t>
      </w:r>
    </w:p>
    <w:p>
      <w:pPr>
        <w:pStyle w:val="Heading5"/>
        <w:spacing w:before="180"/>
        <w:rPr>
          <w:snapToGrid w:val="0"/>
        </w:rPr>
      </w:pPr>
      <w:bookmarkStart w:id="164" w:name="_Toc210129802"/>
      <w:r>
        <w:rPr>
          <w:rStyle w:val="CharSectno"/>
        </w:rPr>
        <w:t>84</w:t>
      </w:r>
      <w:r>
        <w:rPr>
          <w:snapToGrid w:val="0"/>
        </w:rPr>
        <w:t>.</w:t>
      </w:r>
      <w:r>
        <w:rPr>
          <w:snapToGrid w:val="0"/>
        </w:rPr>
        <w:tab/>
        <w:t>Transfers may be to proprietor and others jointly etc.</w:t>
      </w:r>
      <w:bookmarkEnd w:id="164"/>
    </w:p>
    <w:p>
      <w:pPr>
        <w:pStyle w:val="Subsection"/>
        <w:spacing w:before="12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No. 28 of 2003 s. 129(3).]</w:t>
      </w:r>
    </w:p>
    <w:p>
      <w:pPr>
        <w:pStyle w:val="Heading5"/>
        <w:spacing w:before="180"/>
        <w:rPr>
          <w:snapToGrid w:val="0"/>
        </w:rPr>
      </w:pPr>
      <w:bookmarkStart w:id="165" w:name="_Toc210129803"/>
      <w:r>
        <w:rPr>
          <w:rStyle w:val="CharSectno"/>
        </w:rPr>
        <w:t>85</w:t>
      </w:r>
      <w:r>
        <w:rPr>
          <w:snapToGrid w:val="0"/>
        </w:rPr>
        <w:t>.</w:t>
      </w:r>
      <w:r>
        <w:rPr>
          <w:snapToGrid w:val="0"/>
        </w:rPr>
        <w:tab/>
        <w:t>Signed and registered instruments have efficacy of deeds</w:t>
      </w:r>
      <w:bookmarkEnd w:id="165"/>
    </w:p>
    <w:p>
      <w:pPr>
        <w:pStyle w:val="Subsection"/>
        <w:spacing w:before="12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spacing w:before="80"/>
        <w:ind w:left="890" w:hanging="890"/>
      </w:pPr>
      <w:r>
        <w:lastRenderedPageBreak/>
        <w:tab/>
        <w:t>[Section 85 amended: No. 81 of 1996 s. 145(1); No. 28 of 2003 s. 129(4).]</w:t>
      </w:r>
    </w:p>
    <w:p>
      <w:pPr>
        <w:pStyle w:val="Heading5"/>
        <w:rPr>
          <w:snapToGrid w:val="0"/>
        </w:rPr>
      </w:pPr>
      <w:bookmarkStart w:id="166" w:name="_Toc210129804"/>
      <w:r>
        <w:rPr>
          <w:rStyle w:val="CharSectno"/>
        </w:rPr>
        <w:t>86</w:t>
      </w:r>
      <w:r>
        <w:rPr>
          <w:snapToGrid w:val="0"/>
        </w:rPr>
        <w:t>.</w:t>
      </w:r>
      <w:r>
        <w:rPr>
          <w:snapToGrid w:val="0"/>
        </w:rPr>
        <w:tab/>
        <w:t>Registration of transfer</w:t>
      </w:r>
      <w:bookmarkEnd w:id="166"/>
    </w:p>
    <w:p>
      <w:pPr>
        <w:pStyle w:val="Subsection"/>
        <w:spacing w:before="120"/>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Registrar shall after registering the transfer endorse on the certificate a memorandum cancelling the same either wholly or partially in accordance with the transfer.</w:t>
      </w:r>
    </w:p>
    <w:p>
      <w:pPr>
        <w:pStyle w:val="Ednotesubsection"/>
      </w:pPr>
      <w:r>
        <w:tab/>
        <w:t>[(2)</w:t>
      </w:r>
      <w:r>
        <w:tab/>
        <w:t>deleted]</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spacing w:before="120"/>
        <w:rPr>
          <w:snapToGrid w:val="0"/>
        </w:rPr>
      </w:pPr>
      <w:r>
        <w:rPr>
          <w:snapToGrid w:val="0"/>
        </w:rPr>
        <w:tab/>
        <w:t>(4)</w:t>
      </w:r>
      <w:r>
        <w:rPr>
          <w:snapToGrid w:val="0"/>
        </w:rPr>
        <w:tab/>
        <w:t>If the land to be transferred is leasehold, the lease and duplicate (if any) shall not be cancelled and the latter document shall be delivered to the transferee.</w:t>
      </w:r>
    </w:p>
    <w:p>
      <w:pPr>
        <w:pStyle w:val="Footnotesection"/>
        <w:spacing w:before="80"/>
        <w:ind w:left="890" w:hanging="890"/>
      </w:pPr>
      <w:r>
        <w:tab/>
        <w:t>[Section 86 inserted: No. 81 of 1996 s. 57; amended: No. 6 of 2003 s. 31; No. 21 of 2022 s. 21.]</w:t>
      </w:r>
    </w:p>
    <w:p>
      <w:pPr>
        <w:pStyle w:val="Heading5"/>
        <w:spacing w:before="160"/>
      </w:pPr>
      <w:bookmarkStart w:id="167" w:name="_Toc210129805"/>
      <w:r>
        <w:rPr>
          <w:rStyle w:val="CharSectno"/>
        </w:rPr>
        <w:t>87</w:t>
      </w:r>
      <w:r>
        <w:t>.</w:t>
      </w:r>
      <w:r>
        <w:tab/>
        <w:t>Total transfer by endorsement on paper title or by entering transferee’s name on digital title</w:t>
      </w:r>
      <w:bookmarkEnd w:id="167"/>
    </w:p>
    <w:p>
      <w:pPr>
        <w:pStyle w:val="Subsection"/>
      </w:pPr>
      <w:r>
        <w:tab/>
        <w:t>(1)</w:t>
      </w:r>
      <w:r>
        <w:tab/>
        <w:t>If a transfer purports to transfer the whole of the land mentioned in a paper title, the Registrar may, if the Registrar thinks fit, instead of cancelling the certificate of title under section 86, enter on the certificate of title a memorandum of the transfer.</w:t>
      </w:r>
    </w:p>
    <w:p>
      <w:pPr>
        <w:pStyle w:val="Subsection"/>
      </w:pPr>
      <w:r>
        <w:tab/>
        <w:t>(2)</w:t>
      </w:r>
      <w:r>
        <w:tab/>
        <w:t>If a transfer purports to transfer the whole of the land mentioned in a digital title, the Registrar may, if the Registrar thinks fit, instead of cancelling the certificate of title under section 86, enter the name of the transferee as the new proprietor on the certificate of title.</w:t>
      </w:r>
    </w:p>
    <w:p>
      <w:pPr>
        <w:pStyle w:val="Indenta"/>
        <w:rPr>
          <w:snapToGrid w:val="0"/>
        </w:rPr>
      </w:pPr>
    </w:p>
    <w:p>
      <w:pPr>
        <w:pStyle w:val="Subsection"/>
        <w:rPr>
          <w:snapToGrid w:val="0"/>
        </w:rPr>
      </w:pPr>
      <w:r>
        <w:rPr>
          <w:snapToGrid w:val="0"/>
        </w:rPr>
        <w:lastRenderedPageBreak/>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No. 6 of 2003 s. 32; amended: No. 21 of 2022 s. 22.]</w:t>
      </w:r>
    </w:p>
    <w:p>
      <w:pPr>
        <w:pStyle w:val="Heading5"/>
        <w:rPr>
          <w:snapToGrid w:val="0"/>
        </w:rPr>
      </w:pPr>
      <w:bookmarkStart w:id="168" w:name="_Toc210129806"/>
      <w:r>
        <w:rPr>
          <w:rStyle w:val="CharSectno"/>
        </w:rPr>
        <w:t>88</w:t>
      </w:r>
      <w:r>
        <w:rPr>
          <w:snapToGrid w:val="0"/>
        </w:rPr>
        <w:t>.</w:t>
      </w:r>
      <w:r>
        <w:rPr>
          <w:snapToGrid w:val="0"/>
        </w:rPr>
        <w:tab/>
        <w:t>Transferee of encumbered land to indemnify transferor</w:t>
      </w:r>
      <w:bookmarkEnd w:id="168"/>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69" w:name="_Toc210129807"/>
      <w:r>
        <w:rPr>
          <w:rStyle w:val="CharSectno"/>
        </w:rPr>
        <w:t>88A</w:t>
      </w:r>
      <w:r>
        <w:rPr>
          <w:snapToGrid w:val="0"/>
        </w:rPr>
        <w:t>.</w:t>
      </w:r>
      <w:r>
        <w:rPr>
          <w:snapToGrid w:val="0"/>
        </w:rPr>
        <w:tab/>
        <w:t>Memorial of easements to be registered</w:t>
      </w:r>
      <w:bookmarkEnd w:id="169"/>
    </w:p>
    <w:p>
      <w:pPr>
        <w:pStyle w:val="Subsection"/>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No. 17 of 1950 s. 22; amended: No. 81 of 1996 s. 59.]</w:t>
      </w:r>
    </w:p>
    <w:p>
      <w:pPr>
        <w:pStyle w:val="Ednotesection"/>
        <w:ind w:left="890" w:hanging="890"/>
      </w:pPr>
      <w:r>
        <w:t>[</w:t>
      </w:r>
      <w:r>
        <w:rPr>
          <w:b/>
        </w:rPr>
        <w:t>89.</w:t>
      </w:r>
      <w:r>
        <w:tab/>
        <w:t>Deleted: No. 26 of 1999 s. 106(3).]</w:t>
      </w:r>
    </w:p>
    <w:p>
      <w:pPr>
        <w:pStyle w:val="Ednotesection"/>
        <w:ind w:left="890" w:hanging="890"/>
      </w:pPr>
      <w:r>
        <w:lastRenderedPageBreak/>
        <w:t>[</w:t>
      </w:r>
      <w:r>
        <w:rPr>
          <w:b/>
        </w:rPr>
        <w:t>90.</w:t>
      </w:r>
      <w:r>
        <w:tab/>
        <w:t>Deleted: No. 59 of 2004 s. 140.]</w:t>
      </w:r>
    </w:p>
    <w:p>
      <w:pPr>
        <w:pStyle w:val="Heading3"/>
        <w:spacing w:before="260"/>
      </w:pPr>
      <w:bookmarkStart w:id="170" w:name="_Toc166683459"/>
      <w:bookmarkStart w:id="171" w:name="_Toc166683835"/>
      <w:bookmarkStart w:id="172" w:name="_Toc166684621"/>
      <w:bookmarkStart w:id="173" w:name="_Toc210120230"/>
      <w:bookmarkStart w:id="174" w:name="_Toc210129808"/>
      <w:r>
        <w:rPr>
          <w:rStyle w:val="CharDivNo"/>
        </w:rPr>
        <w:t>Division 2</w:t>
      </w:r>
      <w:r>
        <w:t> — </w:t>
      </w:r>
      <w:r>
        <w:rPr>
          <w:rStyle w:val="CharDivText"/>
        </w:rPr>
        <w:t>Leases and subleases</w:t>
      </w:r>
      <w:bookmarkEnd w:id="170"/>
      <w:bookmarkEnd w:id="171"/>
      <w:bookmarkEnd w:id="172"/>
      <w:bookmarkEnd w:id="173"/>
      <w:bookmarkEnd w:id="174"/>
    </w:p>
    <w:p>
      <w:pPr>
        <w:pStyle w:val="Heading5"/>
        <w:keepLines w:val="0"/>
        <w:rPr>
          <w:snapToGrid w:val="0"/>
        </w:rPr>
      </w:pPr>
      <w:bookmarkStart w:id="175" w:name="_Toc210129809"/>
      <w:r>
        <w:rPr>
          <w:rStyle w:val="CharSectno"/>
        </w:rPr>
        <w:t>91</w:t>
      </w:r>
      <w:r>
        <w:rPr>
          <w:snapToGrid w:val="0"/>
        </w:rPr>
        <w:t>.</w:t>
      </w:r>
      <w:r>
        <w:rPr>
          <w:snapToGrid w:val="0"/>
        </w:rPr>
        <w:tab/>
        <w:t>Leases</w:t>
      </w:r>
      <w:bookmarkEnd w:id="175"/>
    </w:p>
    <w:p>
      <w:pPr>
        <w:pStyle w:val="Subsection"/>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No. 17 of 1950 s. 23; No. 81 of 1996 s. 61; No. 56 of 2003 s. 13.]</w:t>
      </w:r>
    </w:p>
    <w:p>
      <w:pPr>
        <w:pStyle w:val="Heading5"/>
        <w:rPr>
          <w:snapToGrid w:val="0"/>
        </w:rPr>
      </w:pPr>
      <w:bookmarkStart w:id="176" w:name="_Toc210129810"/>
      <w:r>
        <w:rPr>
          <w:rStyle w:val="CharSectno"/>
        </w:rPr>
        <w:t>92</w:t>
      </w:r>
      <w:r>
        <w:rPr>
          <w:snapToGrid w:val="0"/>
        </w:rPr>
        <w:t>.</w:t>
      </w:r>
      <w:r>
        <w:rPr>
          <w:snapToGrid w:val="0"/>
        </w:rPr>
        <w:tab/>
        <w:t>Covenants by lessee implied in leases</w:t>
      </w:r>
      <w:bookmarkEnd w:id="176"/>
    </w:p>
    <w:p>
      <w:pPr>
        <w:pStyle w:val="Subsection"/>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(b)</w:t>
      </w:r>
      <w:r>
        <w:rPr>
          <w:snapToGrid w:val="0"/>
        </w:rPr>
        <w:tab/>
        <w:t>that he or they will keep and yield up the leased property in good and tenantable repair accidents and damage from storm and tempest and reasonable wear and tear excepted.</w:t>
      </w:r>
    </w:p>
    <w:p>
      <w:pPr>
        <w:pStyle w:val="Footnotesection"/>
      </w:pPr>
      <w:r>
        <w:lastRenderedPageBreak/>
        <w:tab/>
        <w:t>[Section 92 amended: No. 19 of 2010 s. 51.]</w:t>
      </w:r>
    </w:p>
    <w:p>
      <w:pPr>
        <w:pStyle w:val="Heading5"/>
        <w:spacing w:before="240"/>
        <w:rPr>
          <w:snapToGrid w:val="0"/>
        </w:rPr>
      </w:pPr>
      <w:bookmarkStart w:id="177" w:name="_Toc210129811"/>
      <w:r>
        <w:rPr>
          <w:rStyle w:val="CharSectno"/>
        </w:rPr>
        <w:t>93</w:t>
      </w:r>
      <w:r>
        <w:rPr>
          <w:snapToGrid w:val="0"/>
        </w:rPr>
        <w:t>.</w:t>
      </w:r>
      <w:r>
        <w:rPr>
          <w:snapToGrid w:val="0"/>
        </w:rPr>
        <w:tab/>
        <w:t>Lessor’s powers implied in leases</w:t>
      </w:r>
      <w:bookmarkEnd w:id="177"/>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Footnotesection"/>
      </w:pPr>
      <w:r>
        <w:tab/>
        <w:t>[Section 93 amended: No. 19 of 2010 s. 51.]</w:t>
      </w:r>
    </w:p>
    <w:p>
      <w:pPr>
        <w:pStyle w:val="Heading5"/>
        <w:spacing w:before="240"/>
        <w:rPr>
          <w:snapToGrid w:val="0"/>
        </w:rPr>
      </w:pPr>
      <w:bookmarkStart w:id="178" w:name="_Toc210129812"/>
      <w:r>
        <w:rPr>
          <w:rStyle w:val="CharSectno"/>
        </w:rPr>
        <w:t>94</w:t>
      </w:r>
      <w:r>
        <w:rPr>
          <w:snapToGrid w:val="0"/>
        </w:rPr>
        <w:t>.</w:t>
      </w:r>
      <w:r>
        <w:rPr>
          <w:snapToGrid w:val="0"/>
        </w:rPr>
        <w:tab/>
        <w:t>Short forms of covenants by lessees</w:t>
      </w:r>
      <w:bookmarkEnd w:id="178"/>
    </w:p>
    <w:p>
      <w:pPr>
        <w:pStyle w:val="Subsection"/>
        <w:spacing w:before="180"/>
        <w:rPr>
          <w:snapToGrid w:val="0"/>
        </w:rPr>
      </w:pPr>
      <w:r>
        <w:rPr>
          <w:snapToGrid w:val="0"/>
        </w:rPr>
        <w:tab/>
        <w:t>(1)</w:t>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w:t>
      </w:r>
    </w:p>
    <w:p>
      <w:pPr>
        <w:pStyle w:val="Subsection"/>
        <w:spacing w:before="180"/>
        <w:rPr>
          <w:snapToGrid w:val="0"/>
        </w:rPr>
      </w:pPr>
      <w:r>
        <w:rPr>
          <w:snapToGrid w:val="0"/>
        </w:rPr>
        <w:lastRenderedPageBreak/>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Footnotesection"/>
      </w:pPr>
      <w:r>
        <w:tab/>
        <w:t>[Section 94 amended: No. 19 of 2010 s. 51.]</w:t>
      </w:r>
    </w:p>
    <w:p>
      <w:pPr>
        <w:pStyle w:val="Heading5"/>
        <w:spacing w:before="240"/>
        <w:rPr>
          <w:snapToGrid w:val="0"/>
        </w:rPr>
      </w:pPr>
      <w:bookmarkStart w:id="179" w:name="_Toc210129813"/>
      <w:r>
        <w:rPr>
          <w:rStyle w:val="CharSectno"/>
        </w:rPr>
        <w:t>95</w:t>
      </w:r>
      <w:r>
        <w:rPr>
          <w:snapToGrid w:val="0"/>
        </w:rPr>
        <w:t>.</w:t>
      </w:r>
      <w:r>
        <w:rPr>
          <w:snapToGrid w:val="0"/>
        </w:rPr>
        <w:tab/>
        <w:t>Covenant to be implied on transfer of lease</w:t>
      </w:r>
      <w:bookmarkEnd w:id="179"/>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Lines w:val="0"/>
        <w:rPr>
          <w:snapToGrid w:val="0"/>
        </w:rPr>
      </w:pPr>
      <w:bookmarkStart w:id="180" w:name="_Toc210129814"/>
      <w:r>
        <w:rPr>
          <w:rStyle w:val="CharSectno"/>
        </w:rPr>
        <w:t>96</w:t>
      </w:r>
      <w:r>
        <w:rPr>
          <w:snapToGrid w:val="0"/>
        </w:rPr>
        <w:t>.</w:t>
      </w:r>
      <w:r>
        <w:rPr>
          <w:snapToGrid w:val="0"/>
        </w:rPr>
        <w:tab/>
        <w:t>Recovery of possession by lessors to be entered in Register</w:t>
      </w:r>
      <w:bookmarkEnd w:id="180"/>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No. 81 of 1996 s. 145(1).]</w:t>
      </w:r>
    </w:p>
    <w:p>
      <w:pPr>
        <w:pStyle w:val="Heading5"/>
        <w:keepLines w:val="0"/>
        <w:rPr>
          <w:snapToGrid w:val="0"/>
        </w:rPr>
      </w:pPr>
      <w:bookmarkStart w:id="181" w:name="_Toc210129815"/>
      <w:r>
        <w:rPr>
          <w:rStyle w:val="CharSectno"/>
        </w:rPr>
        <w:lastRenderedPageBreak/>
        <w:t>97</w:t>
      </w:r>
      <w:r>
        <w:rPr>
          <w:snapToGrid w:val="0"/>
        </w:rPr>
        <w:t>.</w:t>
      </w:r>
      <w:r>
        <w:rPr>
          <w:snapToGrid w:val="0"/>
        </w:rPr>
        <w:tab/>
        <w:t>Mortgagee of interest of bankrupt lessee may apply to be entered as transferee of lease and on default lessor may apply</w:t>
      </w:r>
      <w:bookmarkEnd w:id="181"/>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transferees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No. 81 of 1996 s. 62 and 145(1).]</w:t>
      </w:r>
    </w:p>
    <w:p>
      <w:pPr>
        <w:pStyle w:val="Heading5"/>
        <w:keepLines w:val="0"/>
        <w:rPr>
          <w:snapToGrid w:val="0"/>
        </w:rPr>
      </w:pPr>
      <w:bookmarkStart w:id="182" w:name="_Toc210129816"/>
      <w:r>
        <w:rPr>
          <w:rStyle w:val="CharSectno"/>
        </w:rPr>
        <w:t>98</w:t>
      </w:r>
      <w:r>
        <w:rPr>
          <w:snapToGrid w:val="0"/>
        </w:rPr>
        <w:t>.</w:t>
      </w:r>
      <w:r>
        <w:rPr>
          <w:snapToGrid w:val="0"/>
        </w:rPr>
        <w:tab/>
        <w:t>Surrendering leases</w:t>
      </w:r>
      <w:bookmarkEnd w:id="182"/>
    </w:p>
    <w:p>
      <w:pPr>
        <w:pStyle w:val="Subsection"/>
        <w:spacing w:before="140"/>
        <w:rPr>
          <w:snapToGrid w:val="0"/>
        </w:rPr>
      </w:pPr>
      <w:r>
        <w:rPr>
          <w:snapToGrid w:val="0"/>
        </w:rPr>
        <w:tab/>
        <w:t>(1)</w:t>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w:t>
      </w:r>
      <w:r>
        <w:rPr>
          <w:snapToGrid w:val="0"/>
        </w:rPr>
        <w:lastRenderedPageBreak/>
        <w:t>any) and signed by the lessee or his transferee and by the lessor or his transferee and attested by a witness.</w:t>
      </w:r>
    </w:p>
    <w:p>
      <w:pPr>
        <w:pStyle w:val="Subsection"/>
        <w:spacing w:before="140"/>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pPr>
        <w:pStyle w:val="Subsection"/>
        <w:spacing w:before="140"/>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pPr>
        <w:pStyle w:val="Subsection"/>
        <w:spacing w:before="140"/>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pPr>
        <w:pStyle w:val="Subsection"/>
        <w:spacing w:before="140"/>
        <w:rPr>
          <w:snapToGrid w:val="0"/>
        </w:rPr>
      </w:pPr>
      <w:r>
        <w:rPr>
          <w:snapToGrid w:val="0"/>
        </w:rPr>
        <w:tab/>
        <w:t>(5)</w:t>
      </w:r>
      <w:r>
        <w:rPr>
          <w:snapToGrid w:val="0"/>
        </w:rPr>
        <w:tab/>
        <w:t>Despite subsection (1), no lease subject to a mortgage or charge shall be so surrendered without the consent in writing of the proprietor thereof.</w:t>
      </w:r>
    </w:p>
    <w:p>
      <w:pPr>
        <w:pStyle w:val="Footnotesection"/>
        <w:keepLines w:val="0"/>
        <w:spacing w:before="100"/>
        <w:ind w:left="890" w:hanging="890"/>
      </w:pPr>
      <w:r>
        <w:tab/>
        <w:t>[Section 98 amended: No. 81 of 1996 s. 145(1); No. 6 of 2003 s. 33; No. 19 of 2010 s. 51.]</w:t>
      </w:r>
    </w:p>
    <w:p>
      <w:pPr>
        <w:pStyle w:val="Heading5"/>
        <w:spacing w:before="180"/>
        <w:rPr>
          <w:snapToGrid w:val="0"/>
        </w:rPr>
      </w:pPr>
      <w:bookmarkStart w:id="183" w:name="_Toc210129817"/>
      <w:r>
        <w:rPr>
          <w:rStyle w:val="CharSectno"/>
        </w:rPr>
        <w:t>99</w:t>
      </w:r>
      <w:r>
        <w:rPr>
          <w:snapToGrid w:val="0"/>
        </w:rPr>
        <w:t>.</w:t>
      </w:r>
      <w:r>
        <w:rPr>
          <w:snapToGrid w:val="0"/>
        </w:rPr>
        <w:tab/>
        <w:t>Lessee may sublet</w:t>
      </w:r>
      <w:bookmarkEnd w:id="183"/>
    </w:p>
    <w:p>
      <w:pPr>
        <w:pStyle w:val="Subsection"/>
        <w:spacing w:before="14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No. 81 of 1996 s. 63; No. 31 of 1997 s. 106.]</w:t>
      </w:r>
    </w:p>
    <w:p>
      <w:pPr>
        <w:pStyle w:val="Heading5"/>
      </w:pPr>
      <w:bookmarkStart w:id="184" w:name="_Toc210129818"/>
      <w:r>
        <w:rPr>
          <w:rStyle w:val="CharSectno"/>
        </w:rPr>
        <w:lastRenderedPageBreak/>
        <w:t>100</w:t>
      </w:r>
      <w:r>
        <w:t>.</w:t>
      </w:r>
      <w:r>
        <w:tab/>
        <w:t>Registration of subleases</w:t>
      </w:r>
      <w:bookmarkEnd w:id="184"/>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No. 6 of 2003 s. 34.]</w:t>
      </w:r>
    </w:p>
    <w:p>
      <w:pPr>
        <w:pStyle w:val="Ednotesection"/>
        <w:rPr>
          <w:rFonts w:ascii="Times" w:hAnsi="Times"/>
        </w:rPr>
      </w:pPr>
      <w:r>
        <w:rPr>
          <w:rFonts w:ascii="Times" w:hAnsi="Times"/>
        </w:rPr>
        <w:t>[</w:t>
      </w:r>
      <w:r>
        <w:rPr>
          <w:rFonts w:ascii="Times" w:hAnsi="Times"/>
          <w:b/>
        </w:rPr>
        <w:t>101.</w:t>
      </w:r>
      <w:r>
        <w:rPr>
          <w:rFonts w:ascii="Times" w:hAnsi="Times"/>
        </w:rPr>
        <w:tab/>
        <w:t>Deleted: No. 6 of 2003 s. 35.]</w:t>
      </w:r>
    </w:p>
    <w:p>
      <w:pPr>
        <w:pStyle w:val="Heading5"/>
        <w:rPr>
          <w:rFonts w:ascii="Times" w:hAnsi="Times"/>
          <w:snapToGrid w:val="0"/>
        </w:rPr>
      </w:pPr>
      <w:bookmarkStart w:id="185" w:name="_Toc210129819"/>
      <w:r>
        <w:rPr>
          <w:rStyle w:val="CharSectno"/>
          <w:rFonts w:ascii="Times" w:hAnsi="Times"/>
        </w:rPr>
        <w:t>102</w:t>
      </w:r>
      <w:r>
        <w:rPr>
          <w:rFonts w:ascii="Times" w:hAnsi="Times"/>
          <w:snapToGrid w:val="0"/>
        </w:rPr>
        <w:t>.</w:t>
      </w:r>
      <w:r>
        <w:rPr>
          <w:rFonts w:ascii="Times" w:hAnsi="Times"/>
          <w:snapToGrid w:val="0"/>
        </w:rPr>
        <w:tab/>
        <w:t>Provisions about leases apply to subleases</w:t>
      </w:r>
      <w:bookmarkEnd w:id="185"/>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 xml:space="preserve">a paper title, be made on the sublease and on the lease but not on the certificate of title and the memorandum </w:t>
      </w:r>
      <w:r>
        <w:rPr>
          <w:rFonts w:ascii="Times" w:hAnsi="Times"/>
          <w:snapToGrid w:val="0"/>
        </w:rPr>
        <w:lastRenderedPageBreak/>
        <w:t>directed by section 98 to be endorsed on either or both the lease and the duplicate lease (if any) shall be endorsed on either or both the sublease and the duplicate sublease (if any); and</w:t>
      </w:r>
    </w:p>
    <w:p>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No. 17 of 1950 s. 24; No. 81 of 1996 s. 145(1); No. 6 of 2003 s. 36.]</w:t>
      </w:r>
    </w:p>
    <w:p>
      <w:pPr>
        <w:pStyle w:val="Heading5"/>
        <w:rPr>
          <w:snapToGrid w:val="0"/>
        </w:rPr>
      </w:pPr>
      <w:bookmarkStart w:id="186" w:name="_Toc210129820"/>
      <w:r>
        <w:rPr>
          <w:rStyle w:val="CharSectno"/>
        </w:rPr>
        <w:t>103</w:t>
      </w:r>
      <w:r>
        <w:rPr>
          <w:snapToGrid w:val="0"/>
        </w:rPr>
        <w:t>.</w:t>
      </w:r>
      <w:r>
        <w:rPr>
          <w:snapToGrid w:val="0"/>
        </w:rPr>
        <w:tab/>
        <w:t>Covenants implied in subleases</w:t>
      </w:r>
      <w:bookmarkEnd w:id="186"/>
    </w:p>
    <w:p>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pPr>
        <w:pStyle w:val="Footnotesection"/>
        <w:keepLines w:val="0"/>
        <w:spacing w:before="100"/>
        <w:ind w:left="890" w:hanging="890"/>
      </w:pPr>
      <w:r>
        <w:tab/>
        <w:t>[Section 103 amended: No. 19 of 2010 s. 51.]</w:t>
      </w:r>
    </w:p>
    <w:p>
      <w:pPr>
        <w:pStyle w:val="Heading5"/>
        <w:keepLines w:val="0"/>
        <w:rPr>
          <w:snapToGrid w:val="0"/>
        </w:rPr>
      </w:pPr>
      <w:bookmarkStart w:id="187" w:name="_Toc210129821"/>
      <w:r>
        <w:rPr>
          <w:rStyle w:val="CharSectno"/>
        </w:rPr>
        <w:t>104</w:t>
      </w:r>
      <w:r>
        <w:rPr>
          <w:snapToGrid w:val="0"/>
        </w:rPr>
        <w:t>.</w:t>
      </w:r>
      <w:r>
        <w:rPr>
          <w:snapToGrid w:val="0"/>
        </w:rPr>
        <w:tab/>
        <w:t>Determination of lease or sublease by re</w:t>
      </w:r>
      <w:r>
        <w:rPr>
          <w:snapToGrid w:val="0"/>
        </w:rPr>
        <w:noBreakHyphen/>
        <w:t>entry to be entered in Register</w:t>
      </w:r>
      <w:bookmarkEnd w:id="187"/>
    </w:p>
    <w:p>
      <w:pPr>
        <w:pStyle w:val="Subsection"/>
        <w:rPr>
          <w:snapToGrid w:val="0"/>
        </w:rPr>
      </w:pPr>
      <w:r>
        <w:tab/>
        <w:t>(1)</w:t>
      </w:r>
      <w:r>
        <w:tab/>
      </w:r>
      <w:r>
        <w:rPr>
          <w:snapToGrid w:val="0"/>
        </w:rPr>
        <w:t>In the case of a lease or sublease of land under this Act if it be proved to the satisfaction of the Commissioner that the lessor or sublessor his assign or transferee has re</w:t>
      </w:r>
      <w:r>
        <w:rPr>
          <w:snapToGrid w:val="0"/>
        </w:rPr>
        <w:noBreakHyphen/>
        <w:t xml:space="preserve">entered upon the </w:t>
      </w:r>
      <w:r>
        <w:rPr>
          <w:snapToGrid w:val="0"/>
        </w:rPr>
        <w:lastRenderedPageBreak/>
        <w:t>premises in strict conformity with the provisions for re</w:t>
      </w:r>
      <w:r>
        <w:rPr>
          <w:snapToGrid w:val="0"/>
        </w:rPr>
        <w:noBreakHyphen/>
        <w:t>entry 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 or</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No. 81 of 1996 s. 145(1); No. 31 of 1997 s. 107; No. 6 of 2003 s. 37; No. 19 of 2010 s. 51.]</w:t>
      </w:r>
    </w:p>
    <w:p>
      <w:pPr>
        <w:pStyle w:val="Heading3"/>
        <w:keepNext w:val="0"/>
        <w:pageBreakBefore/>
        <w:spacing w:before="0"/>
      </w:pPr>
      <w:bookmarkStart w:id="188" w:name="_Toc166683473"/>
      <w:bookmarkStart w:id="189" w:name="_Toc166683849"/>
      <w:bookmarkStart w:id="190" w:name="_Toc166684635"/>
      <w:bookmarkStart w:id="191" w:name="_Toc210120244"/>
      <w:bookmarkStart w:id="192" w:name="_Toc210129822"/>
      <w:r>
        <w:rPr>
          <w:rStyle w:val="CharDivNo"/>
        </w:rPr>
        <w:lastRenderedPageBreak/>
        <w:t>Division 2A</w:t>
      </w:r>
      <w:r>
        <w:t> — </w:t>
      </w:r>
      <w:r>
        <w:rPr>
          <w:rStyle w:val="CharDivText"/>
        </w:rPr>
        <w:t>Carbon rights and carbon covenants</w:t>
      </w:r>
      <w:bookmarkEnd w:id="188"/>
      <w:bookmarkEnd w:id="189"/>
      <w:bookmarkEnd w:id="190"/>
      <w:bookmarkEnd w:id="191"/>
      <w:bookmarkEnd w:id="192"/>
    </w:p>
    <w:p>
      <w:pPr>
        <w:pStyle w:val="Footnoteheading"/>
        <w:keepNext/>
        <w:keepLines/>
      </w:pPr>
      <w:r>
        <w:tab/>
        <w:t>[Heading inserted: No. 56 of 2003 s. 14.]</w:t>
      </w:r>
    </w:p>
    <w:p>
      <w:pPr>
        <w:pStyle w:val="Heading5"/>
      </w:pPr>
      <w:bookmarkStart w:id="193" w:name="_Toc210129823"/>
      <w:r>
        <w:rPr>
          <w:rStyle w:val="CharSectno"/>
        </w:rPr>
        <w:t>104A</w:t>
      </w:r>
      <w:r>
        <w:t>.</w:t>
      </w:r>
      <w:r>
        <w:tab/>
        <w:t>Terms used</w:t>
      </w:r>
      <w:bookmarkEnd w:id="193"/>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No. 56 of 2003 s. 14.]</w:t>
      </w:r>
    </w:p>
    <w:p>
      <w:pPr>
        <w:pStyle w:val="Heading5"/>
      </w:pPr>
      <w:bookmarkStart w:id="194" w:name="_Toc210129824"/>
      <w:r>
        <w:rPr>
          <w:rStyle w:val="CharSectno"/>
        </w:rPr>
        <w:t>104B</w:t>
      </w:r>
      <w:r>
        <w:t>.</w:t>
      </w:r>
      <w:r>
        <w:tab/>
        <w:t>Registration of carbon right form</w:t>
      </w:r>
      <w:bookmarkEnd w:id="194"/>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No. 56 of 2003 s. 14.]</w:t>
      </w:r>
    </w:p>
    <w:p>
      <w:pPr>
        <w:pStyle w:val="Heading5"/>
      </w:pPr>
      <w:bookmarkStart w:id="195" w:name="_Toc210129825"/>
      <w:r>
        <w:rPr>
          <w:rStyle w:val="CharSectno"/>
        </w:rPr>
        <w:t>104C</w:t>
      </w:r>
      <w:r>
        <w:t>.</w:t>
      </w:r>
      <w:r>
        <w:tab/>
        <w:t>Extension of carbon right</w:t>
      </w:r>
      <w:bookmarkEnd w:id="195"/>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lastRenderedPageBreak/>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No. 56 of 2003 s. 14.]</w:t>
      </w:r>
    </w:p>
    <w:p>
      <w:pPr>
        <w:pStyle w:val="Heading5"/>
      </w:pPr>
      <w:bookmarkStart w:id="196" w:name="_Toc210129826"/>
      <w:r>
        <w:rPr>
          <w:rStyle w:val="CharSectno"/>
        </w:rPr>
        <w:t>104D</w:t>
      </w:r>
      <w:r>
        <w:t>.</w:t>
      </w:r>
      <w:r>
        <w:tab/>
        <w:t>Transfer of carbon right</w:t>
      </w:r>
      <w:bookmarkEnd w:id="196"/>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spacing w:before="150"/>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spacing w:before="150"/>
        <w:rPr>
          <w:b/>
          <w:i/>
        </w:rPr>
      </w:pPr>
      <w:r>
        <w:tab/>
        <w:t>(4)</w:t>
      </w:r>
      <w:r>
        <w:tab/>
        <w:t xml:space="preserve">If a carbon right is registered in respect of Crown land, a transfer of the carbon right shall not be registered unless there is </w:t>
      </w:r>
      <w:r>
        <w:lastRenderedPageBreak/>
        <w:t xml:space="preserve">compliance with section 18 of the </w:t>
      </w:r>
      <w:r>
        <w:rPr>
          <w:i/>
        </w:rPr>
        <w:t>Land Administration Act 1997</w:t>
      </w:r>
      <w:r>
        <w:t>.</w:t>
      </w:r>
    </w:p>
    <w:p>
      <w:pPr>
        <w:pStyle w:val="Footnotesection"/>
      </w:pPr>
      <w:r>
        <w:tab/>
        <w:t>[Section 104D inserted: No. 56 of 2003 s. 14.]</w:t>
      </w:r>
    </w:p>
    <w:p>
      <w:pPr>
        <w:pStyle w:val="Heading5"/>
      </w:pPr>
      <w:bookmarkStart w:id="197" w:name="_Toc210129827"/>
      <w:r>
        <w:rPr>
          <w:rStyle w:val="CharSectno"/>
        </w:rPr>
        <w:t>104E</w:t>
      </w:r>
      <w:r>
        <w:t>.</w:t>
      </w:r>
      <w:r>
        <w:tab/>
        <w:t>Mortgage of carbon right</w:t>
      </w:r>
      <w:bookmarkEnd w:id="197"/>
    </w:p>
    <w:p>
      <w:pPr>
        <w:pStyle w:val="Subsection"/>
        <w:spacing w:before="150"/>
      </w:pPr>
      <w:r>
        <w:tab/>
        <w:t>(1)</w:t>
      </w:r>
      <w:r>
        <w:tab/>
        <w:t>The requirements of subsection (2) are in addition to the requirements of Part IV Division 3 and any other provision of this Act relevant to the mortgage of land.</w:t>
      </w:r>
    </w:p>
    <w:p>
      <w:pPr>
        <w:pStyle w:val="Subsection"/>
        <w:keepLines/>
        <w:spacing w:before="150"/>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No. 56 of 2003 s. 14.]</w:t>
      </w:r>
    </w:p>
    <w:p>
      <w:pPr>
        <w:pStyle w:val="Heading5"/>
      </w:pPr>
      <w:bookmarkStart w:id="198" w:name="_Toc210129828"/>
      <w:r>
        <w:rPr>
          <w:rStyle w:val="CharSectno"/>
        </w:rPr>
        <w:t>104F</w:t>
      </w:r>
      <w:r>
        <w:t>.</w:t>
      </w:r>
      <w:r>
        <w:tab/>
        <w:t>Surrender of carbon right</w:t>
      </w:r>
      <w:bookmarkEnd w:id="198"/>
    </w:p>
    <w:p>
      <w:pPr>
        <w:pStyle w:val="Subsection"/>
        <w:spacing w:before="150"/>
      </w:pPr>
      <w:r>
        <w:tab/>
        <w:t>(1)</w:t>
      </w:r>
      <w:r>
        <w:tab/>
        <w:t>A carbon right may be wholly or partially surrendered by an instrument of surrender in an approved form that is signed by each proprietor of the carbon right.</w:t>
      </w:r>
    </w:p>
    <w:p>
      <w:pPr>
        <w:pStyle w:val="Subsection"/>
        <w:spacing w:before="15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lastRenderedPageBreak/>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No. 56 of 2003 s. 14.]</w:t>
      </w:r>
    </w:p>
    <w:p>
      <w:pPr>
        <w:pStyle w:val="Heading5"/>
        <w:keepNext w:val="0"/>
        <w:keepLines w:val="0"/>
      </w:pPr>
      <w:bookmarkStart w:id="199" w:name="_Toc210129829"/>
      <w:r>
        <w:rPr>
          <w:rStyle w:val="CharSectno"/>
        </w:rPr>
        <w:t>104G</w:t>
      </w:r>
      <w:r>
        <w:t>.</w:t>
      </w:r>
      <w:r>
        <w:tab/>
        <w:t>Registration of carbon covenant form</w:t>
      </w:r>
      <w:bookmarkEnd w:id="199"/>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No. 56 of 2003 s. 14.]</w:t>
      </w:r>
    </w:p>
    <w:p>
      <w:pPr>
        <w:pStyle w:val="Heading5"/>
      </w:pPr>
      <w:bookmarkStart w:id="200" w:name="_Toc210129830"/>
      <w:r>
        <w:rPr>
          <w:rStyle w:val="CharSectno"/>
        </w:rPr>
        <w:t>104H</w:t>
      </w:r>
      <w:r>
        <w:t>.</w:t>
      </w:r>
      <w:r>
        <w:tab/>
        <w:t>Extension of carbon covenant</w:t>
      </w:r>
      <w:bookmarkEnd w:id="200"/>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w:t>
      </w:r>
      <w:r>
        <w:lastRenderedPageBreak/>
        <w:t xml:space="preserve">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 and</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No. 56 of 2003 s. 14.]</w:t>
      </w:r>
    </w:p>
    <w:p>
      <w:pPr>
        <w:pStyle w:val="Heading5"/>
        <w:spacing w:before="180"/>
      </w:pPr>
      <w:bookmarkStart w:id="201" w:name="_Toc210129831"/>
      <w:r>
        <w:rPr>
          <w:rStyle w:val="CharSectno"/>
        </w:rPr>
        <w:t>104I</w:t>
      </w:r>
      <w:r>
        <w:t>.</w:t>
      </w:r>
      <w:r>
        <w:tab/>
        <w:t>Variation of carbon covenant</w:t>
      </w:r>
      <w:bookmarkEnd w:id="201"/>
    </w:p>
    <w:p>
      <w:pPr>
        <w:pStyle w:val="Subsection"/>
        <w:spacing w:before="180"/>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spacing w:before="100"/>
      </w:pPr>
      <w:r>
        <w:tab/>
        <w:t>(a)</w:t>
      </w:r>
      <w:r>
        <w:tab/>
        <w:t>the carbon covenant; and</w:t>
      </w:r>
    </w:p>
    <w:p>
      <w:pPr>
        <w:pStyle w:val="Indenta"/>
        <w:spacing w:before="100"/>
      </w:pPr>
      <w:r>
        <w:lastRenderedPageBreak/>
        <w:tab/>
        <w:t>(b)</w:t>
      </w:r>
      <w:r>
        <w:tab/>
        <w:t>the burdened land.</w:t>
      </w:r>
    </w:p>
    <w:p>
      <w:pPr>
        <w:pStyle w:val="Subsection"/>
        <w:spacing w:before="180"/>
      </w:pPr>
      <w:r>
        <w:tab/>
        <w:t>(2)</w:t>
      </w:r>
      <w:r>
        <w:tab/>
        <w:t>An instrument of variation of a carbon covenant —</w:t>
      </w:r>
    </w:p>
    <w:p>
      <w:pPr>
        <w:pStyle w:val="Indenta"/>
        <w:spacing w:before="100"/>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spacing w:before="100"/>
      </w:pPr>
      <w:r>
        <w:tab/>
        <w:t>(b)</w:t>
      </w:r>
      <w:r>
        <w:tab/>
        <w:t>shall not be used to effect —</w:t>
      </w:r>
    </w:p>
    <w:p>
      <w:pPr>
        <w:pStyle w:val="Indenti"/>
        <w:spacing w:before="100"/>
      </w:pPr>
      <w:r>
        <w:tab/>
        <w:t>(i)</w:t>
      </w:r>
      <w:r>
        <w:tab/>
        <w:t>a change to the proprietors of the carbon covenant or the burdened land; or</w:t>
      </w:r>
    </w:p>
    <w:p>
      <w:pPr>
        <w:pStyle w:val="Indenti"/>
        <w:spacing w:before="100"/>
      </w:pPr>
      <w:r>
        <w:tab/>
        <w:t>(ii)</w:t>
      </w:r>
      <w:r>
        <w:tab/>
        <w:t>a change to the area of the burdened land to which the covenant applies; or</w:t>
      </w:r>
    </w:p>
    <w:p>
      <w:pPr>
        <w:pStyle w:val="Indenti"/>
        <w:spacing w:before="100"/>
      </w:pPr>
      <w:r>
        <w:tab/>
        <w:t>(iii)</w:t>
      </w:r>
      <w:r>
        <w:tab/>
        <w:t>an extension or other change to the term of a carbon covenant.</w:t>
      </w:r>
    </w:p>
    <w:p>
      <w:pPr>
        <w:pStyle w:val="Subsection"/>
        <w:keepNext/>
        <w:spacing w:before="180"/>
      </w:pPr>
      <w:r>
        <w:tab/>
        <w:t>(3)</w:t>
      </w:r>
      <w:r>
        <w:tab/>
        <w:t>An instrument of variation of a carbon covenant shall not be registered unless it is accompanied by —</w:t>
      </w:r>
    </w:p>
    <w:p>
      <w:pPr>
        <w:pStyle w:val="Indenta"/>
        <w:spacing w:before="100"/>
      </w:pPr>
      <w:r>
        <w:tab/>
        <w:t>(a)</w:t>
      </w:r>
      <w:r>
        <w:tab/>
        <w:t>the written consent of each person who has a registered interest in —</w:t>
      </w:r>
    </w:p>
    <w:p>
      <w:pPr>
        <w:pStyle w:val="Indenti"/>
        <w:spacing w:before="100"/>
      </w:pPr>
      <w:r>
        <w:tab/>
        <w:t>(i)</w:t>
      </w:r>
      <w:r>
        <w:tab/>
        <w:t>the carbon covenant; and</w:t>
      </w:r>
    </w:p>
    <w:p>
      <w:pPr>
        <w:pStyle w:val="Indenti"/>
        <w:spacing w:before="100"/>
      </w:pPr>
      <w:r>
        <w:tab/>
        <w:t>(ii)</w:t>
      </w:r>
      <w:r>
        <w:tab/>
        <w:t>the burdened land; and</w:t>
      </w:r>
    </w:p>
    <w:p>
      <w:pPr>
        <w:pStyle w:val="Indenti"/>
        <w:spacing w:before="100"/>
      </w:pPr>
      <w:r>
        <w:tab/>
        <w:t>(iii)</w:t>
      </w:r>
      <w:r>
        <w:tab/>
        <w:t>the relevant carbon right;</w:t>
      </w:r>
    </w:p>
    <w:p>
      <w:pPr>
        <w:pStyle w:val="Indenta"/>
        <w:spacing w:before="100"/>
      </w:pPr>
      <w:r>
        <w:tab/>
      </w:r>
      <w:r>
        <w:tab/>
        <w:t>and</w:t>
      </w:r>
    </w:p>
    <w:p>
      <w:pPr>
        <w:pStyle w:val="Indenta"/>
        <w:spacing w:before="100"/>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No. 56 of 2003 s. 14.]</w:t>
      </w:r>
    </w:p>
    <w:p>
      <w:pPr>
        <w:pStyle w:val="Heading5"/>
      </w:pPr>
      <w:bookmarkStart w:id="202" w:name="_Toc210129832"/>
      <w:r>
        <w:rPr>
          <w:rStyle w:val="CharSectno"/>
        </w:rPr>
        <w:lastRenderedPageBreak/>
        <w:t>104J</w:t>
      </w:r>
      <w:r>
        <w:t>.</w:t>
      </w:r>
      <w:r>
        <w:tab/>
        <w:t>Transfer of benefits under carbon covenant</w:t>
      </w:r>
      <w:bookmarkEnd w:id="202"/>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No. 56 of 2003 s. 14.]</w:t>
      </w:r>
    </w:p>
    <w:p>
      <w:pPr>
        <w:pStyle w:val="Heading5"/>
      </w:pPr>
      <w:bookmarkStart w:id="203" w:name="_Toc210129833"/>
      <w:r>
        <w:rPr>
          <w:rStyle w:val="CharSectno"/>
        </w:rPr>
        <w:t>104K</w:t>
      </w:r>
      <w:r>
        <w:t>.</w:t>
      </w:r>
      <w:r>
        <w:tab/>
        <w:t>Mortgage of carbon covenant</w:t>
      </w:r>
      <w:bookmarkEnd w:id="203"/>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keepNext/>
        <w:keepLines/>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No. 56 of 2003 s. 14.]</w:t>
      </w:r>
    </w:p>
    <w:p>
      <w:pPr>
        <w:pStyle w:val="Heading5"/>
      </w:pPr>
      <w:bookmarkStart w:id="204" w:name="_Toc210129834"/>
      <w:r>
        <w:rPr>
          <w:rStyle w:val="CharSectno"/>
        </w:rPr>
        <w:lastRenderedPageBreak/>
        <w:t>104L</w:t>
      </w:r>
      <w:r>
        <w:t>.</w:t>
      </w:r>
      <w:r>
        <w:tab/>
        <w:t>Surrender of carbon covenant</w:t>
      </w:r>
      <w:bookmarkEnd w:id="204"/>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No. 56 of 2003 s. 14.]</w:t>
      </w:r>
    </w:p>
    <w:p>
      <w:pPr>
        <w:pStyle w:val="Heading3"/>
      </w:pPr>
      <w:bookmarkStart w:id="205" w:name="_Toc166683486"/>
      <w:bookmarkStart w:id="206" w:name="_Toc166683862"/>
      <w:bookmarkStart w:id="207" w:name="_Toc166684648"/>
      <w:bookmarkStart w:id="208" w:name="_Toc210120257"/>
      <w:bookmarkStart w:id="209" w:name="_Toc210129835"/>
      <w:r>
        <w:rPr>
          <w:rStyle w:val="CharDivNo"/>
        </w:rPr>
        <w:t>Division 2B</w:t>
      </w:r>
      <w:r>
        <w:t> — </w:t>
      </w:r>
      <w:r>
        <w:rPr>
          <w:rStyle w:val="CharDivText"/>
        </w:rPr>
        <w:t>Tree plantation agreements and plantation interests</w:t>
      </w:r>
      <w:bookmarkEnd w:id="205"/>
      <w:bookmarkEnd w:id="206"/>
      <w:bookmarkEnd w:id="207"/>
      <w:bookmarkEnd w:id="208"/>
      <w:bookmarkEnd w:id="209"/>
    </w:p>
    <w:p>
      <w:pPr>
        <w:pStyle w:val="Footnoteheading"/>
      </w:pPr>
      <w:r>
        <w:tab/>
        <w:t>[Heading inserted: No. 56 of 2003 s. 14.]</w:t>
      </w:r>
    </w:p>
    <w:p>
      <w:pPr>
        <w:pStyle w:val="Heading5"/>
      </w:pPr>
      <w:bookmarkStart w:id="210" w:name="_Toc210129836"/>
      <w:r>
        <w:rPr>
          <w:rStyle w:val="CharSectno"/>
        </w:rPr>
        <w:t>104M</w:t>
      </w:r>
      <w:r>
        <w:t>.</w:t>
      </w:r>
      <w:r>
        <w:tab/>
        <w:t>Terms used</w:t>
      </w:r>
      <w:bookmarkEnd w:id="210"/>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lastRenderedPageBreak/>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No. 56 of 2003 s. 14.]</w:t>
      </w:r>
    </w:p>
    <w:p>
      <w:pPr>
        <w:pStyle w:val="Heading5"/>
      </w:pPr>
      <w:bookmarkStart w:id="211" w:name="_Toc210129837"/>
      <w:r>
        <w:rPr>
          <w:rStyle w:val="CharSectno"/>
        </w:rPr>
        <w:t>104N</w:t>
      </w:r>
      <w:r>
        <w:t>.</w:t>
      </w:r>
      <w:r>
        <w:tab/>
        <w:t>Registration of tree plantation agreement</w:t>
      </w:r>
      <w:bookmarkEnd w:id="211"/>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 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No. 56 of 2003 s. 14.]</w:t>
      </w:r>
    </w:p>
    <w:p>
      <w:pPr>
        <w:pStyle w:val="Heading5"/>
      </w:pPr>
      <w:bookmarkStart w:id="212" w:name="_Toc210129838"/>
      <w:r>
        <w:rPr>
          <w:rStyle w:val="CharSectno"/>
        </w:rPr>
        <w:t>104O</w:t>
      </w:r>
      <w:r>
        <w:t>.</w:t>
      </w:r>
      <w:r>
        <w:tab/>
        <w:t>Extension of plantation interest</w:t>
      </w:r>
      <w:bookmarkEnd w:id="212"/>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w:t>
      </w:r>
      <w:r>
        <w:lastRenderedPageBreak/>
        <w:t xml:space="preserve">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pPr>
      <w:r>
        <w:tab/>
        <w:t>(a)</w:t>
      </w:r>
      <w:r>
        <w:tab/>
        <w:t>the written consent of —</w:t>
      </w:r>
    </w:p>
    <w:p>
      <w:pPr>
        <w:pStyle w:val="Indenti"/>
      </w:pPr>
      <w:r>
        <w:tab/>
        <w:t>(i)</w:t>
      </w:r>
      <w:r>
        <w:tab/>
        <w:t>each person who has a registered interest in the relevant agreement land; 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lastRenderedPageBreak/>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No. 56 of 2003 s. 14.]</w:t>
      </w:r>
    </w:p>
    <w:p>
      <w:pPr>
        <w:pStyle w:val="Heading5"/>
      </w:pPr>
      <w:bookmarkStart w:id="213" w:name="_Toc210129839"/>
      <w:r>
        <w:rPr>
          <w:rStyle w:val="CharSectno"/>
        </w:rPr>
        <w:t>104P</w:t>
      </w:r>
      <w:r>
        <w:t>.</w:t>
      </w:r>
      <w:r>
        <w:tab/>
        <w:t>Variation of agreement</w:t>
      </w:r>
      <w:bookmarkEnd w:id="213"/>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 or</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keepNext/>
      </w:pPr>
      <w:r>
        <w:lastRenderedPageBreak/>
        <w:tab/>
        <w:t>(3)</w:t>
      </w:r>
      <w:r>
        <w:tab/>
        <w:t>An instrument of variation of an agreement shall not be registered unless it is accompanied by —</w:t>
      </w:r>
    </w:p>
    <w:p>
      <w:pPr>
        <w:pStyle w:val="Indenta"/>
        <w:keepNext/>
      </w:pPr>
      <w:r>
        <w:tab/>
        <w:t>(a)</w:t>
      </w:r>
      <w:r>
        <w:tab/>
        <w:t>the written consent of —</w:t>
      </w:r>
    </w:p>
    <w:p>
      <w:pPr>
        <w:pStyle w:val="Indenti"/>
      </w:pPr>
      <w:r>
        <w:tab/>
        <w:t>(i)</w:t>
      </w:r>
      <w:r>
        <w:tab/>
        <w:t>each person who has a registered interest in the agreement land; and</w:t>
      </w:r>
    </w:p>
    <w:p>
      <w:pPr>
        <w:pStyle w:val="Indenti"/>
      </w:pPr>
      <w:r>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No. 56 of 2003 s. 14.]</w:t>
      </w:r>
    </w:p>
    <w:p>
      <w:pPr>
        <w:pStyle w:val="Heading5"/>
      </w:pPr>
      <w:bookmarkStart w:id="214" w:name="_Toc210129840"/>
      <w:r>
        <w:rPr>
          <w:rStyle w:val="CharSectno"/>
        </w:rPr>
        <w:lastRenderedPageBreak/>
        <w:t>104Q</w:t>
      </w:r>
      <w:r>
        <w:t>.</w:t>
      </w:r>
      <w:r>
        <w:tab/>
        <w:t>Transfer of plantation interests</w:t>
      </w:r>
      <w:bookmarkEnd w:id="214"/>
    </w:p>
    <w:p>
      <w:pPr>
        <w:pStyle w:val="Subsection"/>
      </w:pPr>
      <w:r>
        <w:tab/>
        <w:t>(1)</w:t>
      </w:r>
      <w:r>
        <w:tab/>
        <w:t>The requirements of subsections (2) and (3) are in addition to the requirements of Part IV Division 1 and any other provision of this Act relevant to the transfer of land or an interest in land.</w:t>
      </w:r>
    </w:p>
    <w:p>
      <w:pPr>
        <w:pStyle w:val="Subsection"/>
      </w:pPr>
      <w:r>
        <w:tab/>
        <w:t>(2)</w:t>
      </w:r>
      <w:r>
        <w:tab/>
        <w:t>A plantation interest can only be transferred in relation to the whole of the area of the relevant agreement land.</w:t>
      </w:r>
    </w:p>
    <w:p>
      <w:pPr>
        <w:pStyle w:val="Subsection"/>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ind w:left="890" w:hanging="890"/>
      </w:pPr>
      <w:r>
        <w:tab/>
        <w:t>[Section 104Q inserted: No. 56 of 2003 s. 14.]</w:t>
      </w:r>
    </w:p>
    <w:p>
      <w:pPr>
        <w:pStyle w:val="Heading5"/>
      </w:pPr>
      <w:bookmarkStart w:id="215" w:name="_Toc210129841"/>
      <w:r>
        <w:rPr>
          <w:rStyle w:val="CharSectno"/>
        </w:rPr>
        <w:t>104R</w:t>
      </w:r>
      <w:r>
        <w:t>.</w:t>
      </w:r>
      <w:r>
        <w:tab/>
        <w:t>Mortgage of plantation interests</w:t>
      </w:r>
      <w:bookmarkEnd w:id="215"/>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No. 56 of 2003 s. 14.]</w:t>
      </w:r>
    </w:p>
    <w:p>
      <w:pPr>
        <w:pStyle w:val="Heading5"/>
      </w:pPr>
      <w:bookmarkStart w:id="216" w:name="_Toc210129842"/>
      <w:r>
        <w:rPr>
          <w:rStyle w:val="CharSectno"/>
        </w:rPr>
        <w:t>104S</w:t>
      </w:r>
      <w:r>
        <w:t>.</w:t>
      </w:r>
      <w:r>
        <w:tab/>
        <w:t>Surrender of plantation interests</w:t>
      </w:r>
      <w:bookmarkEnd w:id="216"/>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keepNext/>
      </w:pPr>
      <w:r>
        <w:lastRenderedPageBreak/>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No. 56 of 2003 s. 14.]</w:t>
      </w:r>
    </w:p>
    <w:p>
      <w:pPr>
        <w:pStyle w:val="Heading3"/>
      </w:pPr>
      <w:bookmarkStart w:id="217" w:name="_Toc166683494"/>
      <w:bookmarkStart w:id="218" w:name="_Toc166683870"/>
      <w:bookmarkStart w:id="219" w:name="_Toc166684656"/>
      <w:bookmarkStart w:id="220" w:name="_Toc210120265"/>
      <w:bookmarkStart w:id="221" w:name="_Toc210129843"/>
      <w:r>
        <w:rPr>
          <w:rStyle w:val="CharDivNo"/>
        </w:rPr>
        <w:t>Division 3</w:t>
      </w:r>
      <w:r>
        <w:rPr>
          <w:snapToGrid w:val="0"/>
        </w:rPr>
        <w:t> — </w:t>
      </w:r>
      <w:r>
        <w:rPr>
          <w:rStyle w:val="CharDivText"/>
        </w:rPr>
        <w:t>Mortgages and annuities</w:t>
      </w:r>
      <w:bookmarkEnd w:id="217"/>
      <w:bookmarkEnd w:id="218"/>
      <w:bookmarkEnd w:id="219"/>
      <w:bookmarkEnd w:id="220"/>
      <w:bookmarkEnd w:id="221"/>
    </w:p>
    <w:p>
      <w:pPr>
        <w:pStyle w:val="Heading5"/>
        <w:rPr>
          <w:snapToGrid w:val="0"/>
        </w:rPr>
      </w:pPr>
      <w:bookmarkStart w:id="222" w:name="_Toc210129844"/>
      <w:r>
        <w:rPr>
          <w:rStyle w:val="CharSectno"/>
        </w:rPr>
        <w:t>105</w:t>
      </w:r>
      <w:r>
        <w:rPr>
          <w:snapToGrid w:val="0"/>
        </w:rPr>
        <w:t>.</w:t>
      </w:r>
      <w:r>
        <w:rPr>
          <w:snapToGrid w:val="0"/>
        </w:rPr>
        <w:tab/>
        <w:t>Mortgages and charges for annuities, creating</w:t>
      </w:r>
      <w:bookmarkEnd w:id="222"/>
    </w:p>
    <w:p>
      <w:pPr>
        <w:pStyle w:val="Subsection"/>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rPr>
          <w:snapToGrid w:val="0"/>
        </w:rPr>
      </w:pPr>
      <w:r>
        <w:rPr>
          <w:snapToGrid w:val="0"/>
        </w:rPr>
        <w:tab/>
        <w:t>(2)</w:t>
      </w:r>
      <w:r>
        <w:rPr>
          <w:snapToGrid w:val="0"/>
        </w:rPr>
        <w:tab/>
        <w:t>A mortgage or charge shall be in an approved form.</w:t>
      </w:r>
    </w:p>
    <w:p>
      <w:pPr>
        <w:pStyle w:val="Subsection"/>
      </w:pPr>
      <w:r>
        <w:tab/>
        <w:t>(3)</w:t>
      </w:r>
      <w:r>
        <w:tab/>
        <w:t xml:space="preserve">Subsection (4) applies if — </w:t>
      </w:r>
    </w:p>
    <w:p>
      <w:pPr>
        <w:pStyle w:val="Indenta"/>
      </w:pPr>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p>
    <w:p>
      <w:pPr>
        <w:pStyle w:val="Indenta"/>
      </w:pPr>
      <w:r>
        <w:lastRenderedPageBreak/>
        <w:tab/>
        <w:t>(b)</w:t>
      </w:r>
      <w:r>
        <w:tab/>
        <w:t xml:space="preserve">the counterpart of the charging instrument lodged — </w:t>
      </w:r>
    </w:p>
    <w:p>
      <w:pPr>
        <w:pStyle w:val="Indenti"/>
      </w:pPr>
      <w:r>
        <w:tab/>
        <w:t>(i)</w:t>
      </w:r>
      <w:r>
        <w:tab/>
        <w:t>purports to be signed by the person who, on registration of the mortgage or charge, will become the proprietor of the mortgage or charge; but</w:t>
      </w:r>
    </w:p>
    <w:p>
      <w:pPr>
        <w:pStyle w:val="Indenti"/>
      </w:pPr>
      <w:r>
        <w:tab/>
        <w:t>(ii)</w:t>
      </w:r>
      <w:r>
        <w:tab/>
        <w:t>does not purport to be signed by the proprietor of the land;</w:t>
      </w:r>
    </w:p>
    <w:p>
      <w:pPr>
        <w:pStyle w:val="Indenta"/>
      </w:pPr>
      <w:r>
        <w:tab/>
      </w:r>
      <w:r>
        <w:tab/>
        <w:t>and</w:t>
      </w:r>
    </w:p>
    <w:p>
      <w:pPr>
        <w:pStyle w:val="Indenta"/>
      </w:pPr>
      <w:r>
        <w:tab/>
        <w:t>(c)</w:t>
      </w:r>
      <w:r>
        <w:tab/>
        <w:t>a counterpart of the charging instrument purporting to be signed by the proprietor of the land is not also lodged for registration; and</w:t>
      </w:r>
    </w:p>
    <w:p>
      <w:pPr>
        <w:pStyle w:val="Indenta"/>
      </w:pPr>
      <w:r>
        <w:tab/>
        <w:t>(d)</w:t>
      </w:r>
      <w:r>
        <w:tab/>
        <w:t>the charging instrument is registered.</w:t>
      </w:r>
    </w:p>
    <w:p>
      <w:pPr>
        <w:pStyle w:val="Subsection"/>
      </w:pPr>
      <w:r>
        <w:tab/>
        <w:t>(4)</w:t>
      </w:r>
      <w:r>
        <w:tab/>
        <w:t>If this subsection applies, the mortgage or charge is not valid or binding against the proprietor of the land unless, before the charging instrument was registered, the proprietor of the land signed a counterpart of the charging instrument.</w:t>
      </w:r>
    </w:p>
    <w:p>
      <w:pPr>
        <w:pStyle w:val="Subsection"/>
        <w:rPr>
          <w:snapToGrid w:val="0"/>
        </w:rPr>
      </w:pPr>
      <w:r>
        <w:tab/>
        <w:t>(5)</w:t>
      </w:r>
      <w:r>
        <w:tab/>
        <w:t>Subsection (4) overrides section 58.</w:t>
      </w:r>
    </w:p>
    <w:p>
      <w:pPr>
        <w:pStyle w:val="Footnotesection"/>
        <w:ind w:left="890" w:hanging="890"/>
        <w:rPr>
          <w:i w:val="0"/>
        </w:rPr>
      </w:pPr>
      <w:r>
        <w:tab/>
        <w:t>[Section 105 inserted: No. 81 of 1996 s. 65; amended: No. 2 of 2014 s. 73.]</w:t>
      </w:r>
    </w:p>
    <w:p>
      <w:pPr>
        <w:pStyle w:val="Heading5"/>
        <w:rPr>
          <w:b w:val="0"/>
        </w:rPr>
      </w:pPr>
      <w:bookmarkStart w:id="223" w:name="_Toc210129845"/>
      <w:r>
        <w:rPr>
          <w:rStyle w:val="CharSectno"/>
        </w:rPr>
        <w:t>105AA</w:t>
      </w:r>
      <w:r>
        <w:t>.</w:t>
      </w:r>
      <w:r>
        <w:tab/>
        <w:t>Mortgages lodged electronically</w:t>
      </w:r>
      <w:bookmarkEnd w:id="223"/>
    </w:p>
    <w:p>
      <w:pPr>
        <w:pStyle w:val="Subsection"/>
      </w:pPr>
      <w:r>
        <w:tab/>
      </w:r>
      <w:r>
        <w:tab/>
        <w:t xml:space="preserve">A mortgage must not be lodged electronically under the </w:t>
      </w:r>
      <w:r>
        <w:rPr>
          <w:i/>
        </w:rPr>
        <w:t>Electronic Conveyancing Act 2014</w:t>
      </w:r>
      <w:r>
        <w:t xml:space="preserve"> unless the mortgagee — </w:t>
      </w:r>
    </w:p>
    <w:p>
      <w:pPr>
        <w:pStyle w:val="Indenta"/>
      </w:pPr>
      <w:r>
        <w:tab/>
        <w:t>(a)</w:t>
      </w:r>
      <w:r>
        <w:tab/>
        <w:t>has signed the mortgage instrument; and</w:t>
      </w:r>
    </w:p>
    <w:p>
      <w:pPr>
        <w:pStyle w:val="Indenta"/>
      </w:pPr>
      <w:r>
        <w:tab/>
        <w:t>(b)</w:t>
      </w:r>
      <w:r>
        <w:tab/>
        <w:t>holds a counterpart of the mortgage instrument signed by the proprietor of the land.</w:t>
      </w:r>
    </w:p>
    <w:p>
      <w:pPr>
        <w:pStyle w:val="Ednotesubsection"/>
      </w:pPr>
      <w:r>
        <w:tab/>
      </w:r>
      <w:r>
        <w:tab/>
        <w:t>[Section 105AA inserted: No. 21 of 2022 s. 23]</w:t>
      </w:r>
    </w:p>
    <w:p>
      <w:pPr>
        <w:pStyle w:val="Heading5"/>
        <w:rPr>
          <w:snapToGrid w:val="0"/>
        </w:rPr>
      </w:pPr>
      <w:bookmarkStart w:id="224" w:name="_Toc210129846"/>
      <w:r>
        <w:rPr>
          <w:rStyle w:val="CharSectno"/>
        </w:rPr>
        <w:t>105A</w:t>
      </w:r>
      <w:r>
        <w:rPr>
          <w:snapToGrid w:val="0"/>
        </w:rPr>
        <w:t>.</w:t>
      </w:r>
      <w:r>
        <w:rPr>
          <w:snapToGrid w:val="0"/>
        </w:rPr>
        <w:tab/>
        <w:t>Extension of mortgage, charge or lease</w:t>
      </w:r>
      <w:bookmarkEnd w:id="224"/>
    </w:p>
    <w:p>
      <w:pPr>
        <w:pStyle w:val="Subsection"/>
        <w:rPr>
          <w:snapToGrid w:val="0"/>
        </w:rPr>
      </w:pPr>
      <w:r>
        <w:rPr>
          <w:snapToGrid w:val="0"/>
        </w:rPr>
        <w:tab/>
        <w:t>(1)</w:t>
      </w:r>
      <w:r>
        <w:rPr>
          <w:snapToGrid w:val="0"/>
        </w:rPr>
        <w:tab/>
        <w:t xml:space="preserve">A mortgage, charge or lease may be extended by an instrument of extension executed by all the parties to the mortgage, charge </w:t>
      </w:r>
      <w:r>
        <w:rPr>
          <w:snapToGrid w:val="0"/>
        </w:rPr>
        <w:lastRenderedPageBreak/>
        <w:t>or lease, as the case may be, and setting out the term of the extension and the conditions on which the extension is made.</w:t>
      </w:r>
    </w:p>
    <w:p>
      <w:pPr>
        <w:pStyle w:val="Subsection"/>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spacing w:before="80"/>
        <w:ind w:left="890" w:hanging="890"/>
      </w:pPr>
      <w:r>
        <w:tab/>
        <w:t>[Section 105A inserted: No. 81 of 1996 s. 65; amended: No. 6 of 2003 s. 38; No. 60 of 2006 s. 118(1).]</w:t>
      </w:r>
    </w:p>
    <w:p>
      <w:pPr>
        <w:pStyle w:val="Heading5"/>
        <w:spacing w:before="180"/>
        <w:rPr>
          <w:snapToGrid w:val="0"/>
        </w:rPr>
      </w:pPr>
      <w:bookmarkStart w:id="225" w:name="_Toc210129847"/>
      <w:r>
        <w:rPr>
          <w:rStyle w:val="CharSectno"/>
        </w:rPr>
        <w:t>106</w:t>
      </w:r>
      <w:r>
        <w:rPr>
          <w:snapToGrid w:val="0"/>
        </w:rPr>
        <w:t>.</w:t>
      </w:r>
      <w:r>
        <w:rPr>
          <w:snapToGrid w:val="0"/>
        </w:rPr>
        <w:tab/>
        <w:t>Mortgage or charge not to operate as transfer; default procedures</w:t>
      </w:r>
      <w:bookmarkEnd w:id="225"/>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w:t>
      </w:r>
      <w:r>
        <w:rPr>
          <w:snapToGrid w:val="0"/>
        </w:rPr>
        <w:lastRenderedPageBreak/>
        <w:t>or to perform and observe the aforesaid covenants (as the case may be).</w:t>
      </w:r>
    </w:p>
    <w:p>
      <w:pPr>
        <w:pStyle w:val="Subsection"/>
        <w:rPr>
          <w:snapToGrid w:val="0"/>
        </w:rPr>
      </w:pPr>
      <w:r>
        <w:rPr>
          <w:snapToGrid w:val="0"/>
        </w:rPr>
        <w:tab/>
        <w:t>(2)</w:t>
      </w:r>
      <w:r>
        <w:rPr>
          <w:snapToGrid w:val="0"/>
        </w:rPr>
        <w:tab/>
        <w:t>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 or</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or charged land; or</w:t>
      </w:r>
    </w:p>
    <w:p>
      <w:pPr>
        <w:pStyle w:val="Indenta"/>
      </w:pPr>
      <w:r>
        <w:tab/>
        <w:t>(d)</w:t>
      </w:r>
      <w:r>
        <w:tab/>
        <w:t>the notice is sent to the mortgagor or the grantor or the mortgagor’s or grantor’s transferees, as the case requires, in compliance with a way of sending notices electronically (for example, to an email address) that is prescribed by the regulations for the purposes of this paragraph.</w:t>
      </w:r>
    </w:p>
    <w:p>
      <w:pPr>
        <w:pStyle w:val="Subsection"/>
      </w:pPr>
      <w:r>
        <w:tab/>
        <w:t>(3)</w:t>
      </w:r>
      <w:r>
        <w:tab/>
        <w:t xml:space="preserve">A notice may be sent under subsection (2) to the number of the facsimile machine of the mortgagor or the grantor or the mortgagor’s or grantor’s transferees, as the case requires, if, under subsection (2)(d) as in force immediately before the commencement of the </w:t>
      </w:r>
      <w:r>
        <w:rPr>
          <w:i/>
        </w:rPr>
        <w:t>Transfer of Land Amendment Act 2022</w:t>
      </w:r>
      <w:r>
        <w:t xml:space="preserve"> section 24(1)(b), the mortgagor, the grantor or the transferee has specified in writing that notices under this section may be served by facsimile transmission.</w:t>
      </w:r>
    </w:p>
    <w:p>
      <w:pPr>
        <w:pStyle w:val="Footnotesection"/>
      </w:pPr>
      <w:r>
        <w:tab/>
        <w:t>[Section 106 amended: No. 81 of 1996 s. 66; No. 31 of 1997 s. 108; No. 10 of 1998 s. 69(1); No. 21 of 2022 s. 24.]</w:t>
      </w:r>
    </w:p>
    <w:p>
      <w:pPr>
        <w:pStyle w:val="Heading5"/>
        <w:rPr>
          <w:snapToGrid w:val="0"/>
        </w:rPr>
      </w:pPr>
      <w:bookmarkStart w:id="226" w:name="_Toc210129848"/>
      <w:r>
        <w:rPr>
          <w:rStyle w:val="CharSectno"/>
        </w:rPr>
        <w:lastRenderedPageBreak/>
        <w:t>107</w:t>
      </w:r>
      <w:r>
        <w:rPr>
          <w:snapToGrid w:val="0"/>
        </w:rPr>
        <w:t>.</w:t>
      </w:r>
      <w:r>
        <w:rPr>
          <w:snapToGrid w:val="0"/>
        </w:rPr>
        <w:tab/>
        <w:t>Written demand equivalent to written notice</w:t>
      </w:r>
      <w:bookmarkEnd w:id="226"/>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ind w:left="890" w:hanging="890"/>
      </w:pPr>
      <w:r>
        <w:tab/>
        <w:t>[Section 107 amended: No. 31 of 1997 s. 109.]</w:t>
      </w:r>
    </w:p>
    <w:p>
      <w:pPr>
        <w:pStyle w:val="Heading5"/>
        <w:rPr>
          <w:snapToGrid w:val="0"/>
        </w:rPr>
      </w:pPr>
      <w:bookmarkStart w:id="227" w:name="_Toc210129849"/>
      <w:r>
        <w:rPr>
          <w:rStyle w:val="CharSectno"/>
        </w:rPr>
        <w:t>108</w:t>
      </w:r>
      <w:r>
        <w:rPr>
          <w:snapToGrid w:val="0"/>
        </w:rPr>
        <w:t>.</w:t>
      </w:r>
      <w:r>
        <w:rPr>
          <w:snapToGrid w:val="0"/>
        </w:rPr>
        <w:tab/>
        <w:t>Power to sell in cases of continuing default</w:t>
      </w:r>
      <w:bookmarkEnd w:id="227"/>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ind w:left="890" w:hanging="890"/>
      </w:pPr>
      <w:r>
        <w:lastRenderedPageBreak/>
        <w:tab/>
        <w:t>[Section 108 amended: No. 17 of 1950 s. 25; No. 31 of 1997 s. 110.]</w:t>
      </w:r>
    </w:p>
    <w:p>
      <w:pPr>
        <w:pStyle w:val="Heading5"/>
        <w:rPr>
          <w:snapToGrid w:val="0"/>
        </w:rPr>
      </w:pPr>
      <w:bookmarkStart w:id="228" w:name="_Toc210129850"/>
      <w:r>
        <w:rPr>
          <w:rStyle w:val="CharSectno"/>
        </w:rPr>
        <w:t>109</w:t>
      </w:r>
      <w:r>
        <w:rPr>
          <w:snapToGrid w:val="0"/>
        </w:rPr>
        <w:t>.</w:t>
      </w:r>
      <w:r>
        <w:rPr>
          <w:snapToGrid w:val="0"/>
        </w:rPr>
        <w:tab/>
        <w:t>Application of purchase money</w:t>
      </w:r>
      <w:bookmarkEnd w:id="228"/>
    </w:p>
    <w:p>
      <w:pPr>
        <w:pStyle w:val="Subsection"/>
      </w:pPr>
      <w:r>
        <w:tab/>
        <w:t>(1)</w:t>
      </w:r>
      <w:r>
        <w:tab/>
        <w:t>If mortgaged or charged land is sold by the mortgagee or his transferees, the purchase money arising from the sale shall be applied as follows —</w:t>
      </w:r>
    </w:p>
    <w:p>
      <w:pPr>
        <w:pStyle w:val="Indenta"/>
        <w:spacing w:before="60"/>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secondly in payment of the moneys which may be due or owing on the mortgage;</w:t>
      </w:r>
    </w:p>
    <w:p>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pPr>
        <w:pStyle w:val="Subsection"/>
        <w:rPr>
          <w:snapToGrid w:val="0"/>
        </w:rPr>
      </w:pPr>
      <w:r>
        <w:tab/>
      </w:r>
      <w:r>
        <w:tab/>
        <w:t>and the surplus</w:t>
      </w:r>
      <w:r>
        <w:rPr>
          <w:snapToGrid w:val="0"/>
        </w:rPr>
        <w:t xml:space="preserve"> (if any) shall be paid to the mortgagor.</w:t>
      </w:r>
    </w:p>
    <w:p>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pPr>
      <w:r>
        <w:tab/>
        <w:t>(1B)</w:t>
      </w:r>
      <w:r>
        <w:tab/>
        <w:t>If mortgaged or charged land is sold by the annuitant or his transferees, the purchase money arising from the sale shall be applied as follows —</w:t>
      </w:r>
    </w:p>
    <w:p>
      <w:pPr>
        <w:pStyle w:val="Indenta"/>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then in payment of the moneys which may be due or owing to the annuitant or his transferees,</w:t>
      </w:r>
    </w:p>
    <w:p>
      <w:pPr>
        <w:pStyle w:val="Subsection"/>
        <w:rPr>
          <w:snapToGrid w:val="0"/>
        </w:rPr>
      </w:pPr>
      <w:r>
        <w:rPr>
          <w:snapToGrid w:val="0"/>
        </w:rPr>
        <w:tab/>
      </w:r>
      <w:r>
        <w:rPr>
          <w:snapToGrid w:val="0"/>
        </w:rPr>
        <w:tab/>
        <w:t xml:space="preserve">and the residue shall be deposited by him or them at interest in the Commonwealth Savings Bank or in some other bank in Perth in the joint names of the annuitant or his transferees and of the Registrar to satisfy the accruing payments of the charge </w:t>
      </w:r>
      <w:r>
        <w:rPr>
          <w:snapToGrid w:val="0"/>
        </w:rPr>
        <w:lastRenderedPageBreak/>
        <w:t>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No. 17 of 1950 s. 26; No. 31 of 1997 s. 111; No. 19 of 2010 s. 51.]</w:t>
      </w:r>
    </w:p>
    <w:p>
      <w:pPr>
        <w:pStyle w:val="Heading5"/>
        <w:spacing w:before="240"/>
        <w:rPr>
          <w:snapToGrid w:val="0"/>
        </w:rPr>
      </w:pPr>
      <w:bookmarkStart w:id="229" w:name="_Toc210129851"/>
      <w:r>
        <w:rPr>
          <w:rStyle w:val="CharSectno"/>
        </w:rPr>
        <w:t>110</w:t>
      </w:r>
      <w:r>
        <w:rPr>
          <w:snapToGrid w:val="0"/>
        </w:rPr>
        <w:t>.</w:t>
      </w:r>
      <w:r>
        <w:rPr>
          <w:snapToGrid w:val="0"/>
        </w:rPr>
        <w:tab/>
        <w:t>Transfer after sale by mortgagee etc., effect of</w:t>
      </w:r>
      <w:bookmarkEnd w:id="229"/>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No. 17 of 1950 s. 27; No. 81 of 1996 s. 67; No. 31 of 1997 s. 112; No. 56 of 2003 s. 15; No. 60 of 2003 s. 100.]</w:t>
      </w:r>
    </w:p>
    <w:p>
      <w:pPr>
        <w:pStyle w:val="Heading5"/>
        <w:spacing w:before="240"/>
        <w:rPr>
          <w:snapToGrid w:val="0"/>
        </w:rPr>
      </w:pPr>
      <w:bookmarkStart w:id="230" w:name="_Toc210129852"/>
      <w:r>
        <w:rPr>
          <w:rStyle w:val="CharSectno"/>
        </w:rPr>
        <w:lastRenderedPageBreak/>
        <w:t>111</w:t>
      </w:r>
      <w:r>
        <w:rPr>
          <w:snapToGrid w:val="0"/>
        </w:rPr>
        <w:t>.</w:t>
      </w:r>
      <w:r>
        <w:rPr>
          <w:snapToGrid w:val="0"/>
        </w:rPr>
        <w:tab/>
        <w:t>Remedies of mortgagee or annuitant in cases of default</w:t>
      </w:r>
      <w:bookmarkEnd w:id="230"/>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No. 17 of 1950 s. 28.]</w:t>
      </w:r>
    </w:p>
    <w:p>
      <w:pPr>
        <w:pStyle w:val="Heading5"/>
        <w:rPr>
          <w:snapToGrid w:val="0"/>
        </w:rPr>
      </w:pPr>
      <w:bookmarkStart w:id="231" w:name="_Toc210129853"/>
      <w:r>
        <w:rPr>
          <w:rStyle w:val="CharSectno"/>
        </w:rPr>
        <w:t>112</w:t>
      </w:r>
      <w:r>
        <w:rPr>
          <w:snapToGrid w:val="0"/>
        </w:rPr>
        <w:t>.</w:t>
      </w:r>
      <w:r>
        <w:rPr>
          <w:snapToGrid w:val="0"/>
        </w:rPr>
        <w:tab/>
        <w:t>Further remedies of mortgagee or annuitant</w:t>
      </w:r>
      <w:bookmarkEnd w:id="231"/>
    </w:p>
    <w:p>
      <w:pPr>
        <w:pStyle w:val="Subsection"/>
        <w:rPr>
          <w:snapToGrid w:val="0"/>
        </w:rPr>
      </w:pPr>
      <w:r>
        <w:rPr>
          <w:snapToGrid w:val="0"/>
        </w:rPr>
        <w:tab/>
        <w:t>(1)</w:t>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w:t>
      </w:r>
      <w:r>
        <w:rPr>
          <w:snapToGrid w:val="0"/>
        </w:rPr>
        <w:lastRenderedPageBreak/>
        <w:t>the sale moneys to retain the moneys which shall be so in arrear and all costs and expenses occasioned by such distress and sale.</w:t>
      </w:r>
    </w:p>
    <w:p>
      <w:pPr>
        <w:pStyle w:val="Subsection"/>
        <w:rPr>
          <w:snapToGrid w:val="0"/>
        </w:rPr>
      </w:pPr>
      <w:r>
        <w:rPr>
          <w:snapToGrid w:val="0"/>
        </w:rPr>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pPr>
        <w:pStyle w:val="Subsection"/>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pPr>
        <w:pStyle w:val="Footnotesection"/>
        <w:ind w:left="890" w:hanging="890"/>
      </w:pPr>
      <w:r>
        <w:tab/>
        <w:t>[Section 112 amended: No. 17 of 1950 s. 28; No. 19 of 2010 s. 51.]</w:t>
      </w:r>
    </w:p>
    <w:p>
      <w:pPr>
        <w:pStyle w:val="Heading5"/>
        <w:spacing w:before="180"/>
        <w:rPr>
          <w:snapToGrid w:val="0"/>
        </w:rPr>
      </w:pPr>
      <w:bookmarkStart w:id="232" w:name="_Toc210129854"/>
      <w:r>
        <w:rPr>
          <w:rStyle w:val="CharSectno"/>
        </w:rPr>
        <w:t>112A</w:t>
      </w:r>
      <w:r>
        <w:rPr>
          <w:snapToGrid w:val="0"/>
        </w:rPr>
        <w:t>.</w:t>
      </w:r>
      <w:r>
        <w:rPr>
          <w:snapToGrid w:val="0"/>
        </w:rPr>
        <w:tab/>
        <w:t>Abolition of power of distress</w:t>
      </w:r>
      <w:bookmarkEnd w:id="232"/>
    </w:p>
    <w:p>
      <w:pPr>
        <w:pStyle w:val="Subsection"/>
        <w:spacing w:before="12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No. 17 of 1950 s. 29.]</w:t>
      </w:r>
    </w:p>
    <w:p>
      <w:pPr>
        <w:pStyle w:val="Heading5"/>
        <w:spacing w:before="180"/>
        <w:rPr>
          <w:snapToGrid w:val="0"/>
        </w:rPr>
      </w:pPr>
      <w:bookmarkStart w:id="233" w:name="_Toc210129855"/>
      <w:r>
        <w:rPr>
          <w:rStyle w:val="CharSectno"/>
        </w:rPr>
        <w:t>113</w:t>
      </w:r>
      <w:r>
        <w:rPr>
          <w:snapToGrid w:val="0"/>
        </w:rPr>
        <w:t>.</w:t>
      </w:r>
      <w:r>
        <w:rPr>
          <w:snapToGrid w:val="0"/>
        </w:rPr>
        <w:tab/>
        <w:t>Covenants implied in mortgages</w:t>
      </w:r>
      <w:bookmarkEnd w:id="233"/>
    </w:p>
    <w:p>
      <w:pPr>
        <w:pStyle w:val="Subsection"/>
        <w:spacing w:before="120"/>
        <w:rPr>
          <w:snapToGrid w:val="0"/>
        </w:rPr>
      </w:pPr>
      <w:r>
        <w:rPr>
          <w:snapToGrid w:val="0"/>
        </w:rPr>
        <w:tab/>
      </w:r>
      <w:r>
        <w:rPr>
          <w:snapToGrid w:val="0"/>
        </w:rPr>
        <w:tab/>
        <w:t xml:space="preserve">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w:t>
      </w:r>
      <w:r>
        <w:rPr>
          <w:snapToGrid w:val="0"/>
        </w:rPr>
        <w:lastRenderedPageBreak/>
        <w:t>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180"/>
        <w:rPr>
          <w:snapToGrid w:val="0"/>
        </w:rPr>
      </w:pPr>
      <w:bookmarkStart w:id="234" w:name="_Toc210129856"/>
      <w:r>
        <w:rPr>
          <w:rStyle w:val="CharSectno"/>
        </w:rPr>
        <w:t>114</w:t>
      </w:r>
      <w:r>
        <w:rPr>
          <w:snapToGrid w:val="0"/>
        </w:rPr>
        <w:t>.</w:t>
      </w:r>
      <w:r>
        <w:rPr>
          <w:snapToGrid w:val="0"/>
        </w:rPr>
        <w:tab/>
        <w:t>Mortgagee or annuitant of leasehold entering into possession become liable to lessor</w:t>
      </w:r>
      <w:bookmarkEnd w:id="234"/>
    </w:p>
    <w:p>
      <w:pPr>
        <w:pStyle w:val="Subsection"/>
        <w:spacing w:before="120"/>
        <w:rPr>
          <w:snapToGrid w:val="0"/>
        </w:rPr>
      </w:pPr>
      <w:r>
        <w:rPr>
          <w:snapToGrid w:val="0"/>
        </w:rPr>
        <w:tab/>
      </w:r>
      <w:r>
        <w:rPr>
          <w:snapToGrid w:val="0"/>
        </w:rPr>
        <w:tab/>
        <w:t>A mortgagee of or annuitant upon land leased under this Act and his transferees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180"/>
        <w:rPr>
          <w:snapToGrid w:val="0"/>
        </w:rPr>
      </w:pPr>
      <w:bookmarkStart w:id="235" w:name="_Toc210129857"/>
      <w:r>
        <w:rPr>
          <w:rStyle w:val="CharSectno"/>
        </w:rPr>
        <w:t>115</w:t>
      </w:r>
      <w:r>
        <w:rPr>
          <w:snapToGrid w:val="0"/>
        </w:rPr>
        <w:t>.</w:t>
      </w:r>
      <w:r>
        <w:rPr>
          <w:snapToGrid w:val="0"/>
        </w:rPr>
        <w:tab/>
        <w:t>Short form of covenant by mortgagor to insure</w:t>
      </w:r>
      <w:bookmarkEnd w:id="235"/>
    </w:p>
    <w:p>
      <w:pPr>
        <w:pStyle w:val="Subsection"/>
        <w:spacing w:before="120"/>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pPr>
        <w:pStyle w:val="Subsection"/>
        <w:spacing w:before="120"/>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pPr>
        <w:pStyle w:val="Footnotesection"/>
        <w:keepLines w:val="0"/>
        <w:ind w:left="890" w:hanging="890"/>
      </w:pPr>
      <w:r>
        <w:tab/>
        <w:t>[Section 115 amended: No. 19 of 2010 s. 51.]</w:t>
      </w:r>
    </w:p>
    <w:p>
      <w:pPr>
        <w:pStyle w:val="Heading5"/>
        <w:keepNext w:val="0"/>
        <w:keepLines w:val="0"/>
        <w:spacing w:before="180"/>
        <w:rPr>
          <w:snapToGrid w:val="0"/>
        </w:rPr>
      </w:pPr>
      <w:bookmarkStart w:id="236" w:name="_Toc210129858"/>
      <w:r>
        <w:rPr>
          <w:rStyle w:val="CharSectno"/>
        </w:rPr>
        <w:lastRenderedPageBreak/>
        <w:t>116</w:t>
      </w:r>
      <w:r>
        <w:rPr>
          <w:snapToGrid w:val="0"/>
        </w:rPr>
        <w:t>.</w:t>
      </w:r>
      <w:r>
        <w:rPr>
          <w:snapToGrid w:val="0"/>
        </w:rPr>
        <w:tab/>
        <w:t>Rights of mortgagees generally</w:t>
      </w:r>
      <w:bookmarkEnd w:id="236"/>
    </w:p>
    <w:p>
      <w:pPr>
        <w:pStyle w:val="Subsection"/>
        <w:spacing w:before="120"/>
        <w:rPr>
          <w:snapToGrid w:val="0"/>
        </w:rPr>
      </w:pPr>
      <w:r>
        <w:rPr>
          <w:snapToGrid w:val="0"/>
        </w:rPr>
        <w:tab/>
        <w:t>(1)</w:t>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pPr>
        <w:pStyle w:val="Subsection"/>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ind w:left="890" w:hanging="890"/>
      </w:pPr>
      <w:r>
        <w:tab/>
        <w:t>[Section 116 amended: No. 81 of 1996 s. 145(1); No. 59 of 2004 s. 140; No. 19 of 2010 s. 51.]</w:t>
      </w:r>
    </w:p>
    <w:p>
      <w:pPr>
        <w:pStyle w:val="Heading5"/>
        <w:rPr>
          <w:snapToGrid w:val="0"/>
        </w:rPr>
      </w:pPr>
      <w:bookmarkStart w:id="237" w:name="_Toc210129859"/>
      <w:r>
        <w:rPr>
          <w:rStyle w:val="CharSectno"/>
        </w:rPr>
        <w:t>117</w:t>
      </w:r>
      <w:r>
        <w:rPr>
          <w:snapToGrid w:val="0"/>
        </w:rPr>
        <w:t>.</w:t>
      </w:r>
      <w:r>
        <w:rPr>
          <w:snapToGrid w:val="0"/>
        </w:rPr>
        <w:tab/>
        <w:t>Mortgagor not to sue on cause of action available to mortgagee without mortgagee’s consent</w:t>
      </w:r>
      <w:bookmarkEnd w:id="237"/>
    </w:p>
    <w:p>
      <w:pPr>
        <w:pStyle w:val="Subsection"/>
        <w:rPr>
          <w:snapToGrid w:val="0"/>
        </w:rPr>
      </w:pPr>
      <w:r>
        <w:rPr>
          <w:snapToGrid w:val="0"/>
        </w:rPr>
        <w:tab/>
        <w:t>(1)</w:t>
      </w:r>
      <w:r>
        <w:rPr>
          <w:snapToGrid w:val="0"/>
        </w:rPr>
        <w:tab/>
        <w:t xml:space="preserve">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t>
      </w:r>
      <w:r>
        <w:rPr>
          <w:snapToGrid w:val="0"/>
        </w:rPr>
        <w:lastRenderedPageBreak/>
        <w:t>writing of such mortgagee or transferee or his agent to the commencement of such action after giving which consent such mortgagee or transferee shall not be entitled to bring in his name any action at law in respect of the cause of action specified in such consent.</w:t>
      </w:r>
    </w:p>
    <w:p>
      <w:pPr>
        <w:pStyle w:val="Subsection"/>
        <w:rPr>
          <w:snapToGrid w:val="0"/>
        </w:rPr>
      </w:pPr>
      <w:r>
        <w:rPr>
          <w:snapToGrid w:val="0"/>
        </w:rPr>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Footnotesection"/>
      </w:pPr>
      <w:r>
        <w:tab/>
        <w:t>[Section 117 amended: No. 19 of 2010 s. 51.]</w:t>
      </w:r>
    </w:p>
    <w:p>
      <w:pPr>
        <w:pStyle w:val="Heading5"/>
        <w:rPr>
          <w:snapToGrid w:val="0"/>
        </w:rPr>
      </w:pPr>
      <w:bookmarkStart w:id="238" w:name="_Toc210129860"/>
      <w:r>
        <w:rPr>
          <w:rStyle w:val="CharSectno"/>
        </w:rPr>
        <w:t>118</w:t>
      </w:r>
      <w:r>
        <w:t>.</w:t>
      </w:r>
      <w:r>
        <w:rPr>
          <w:rStyle w:val="CharSectno"/>
        </w:rPr>
        <w:tab/>
      </w:r>
      <w:r>
        <w:rPr>
          <w:snapToGrid w:val="0"/>
        </w:rPr>
        <w:t>Application of money obtained by mortgagor in action for waste of or damage to mortgaged lands</w:t>
      </w:r>
      <w:bookmarkEnd w:id="238"/>
    </w:p>
    <w:p>
      <w:pPr>
        <w:pStyle w:val="Subsection"/>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rPr>
          <w:snapToGrid w:val="0"/>
        </w:rPr>
      </w:pPr>
      <w:bookmarkStart w:id="239" w:name="_Toc210129861"/>
      <w:r>
        <w:rPr>
          <w:rStyle w:val="CharSectno"/>
        </w:rPr>
        <w:t>119</w:t>
      </w:r>
      <w:r>
        <w:rPr>
          <w:snapToGrid w:val="0"/>
        </w:rPr>
        <w:t>.</w:t>
      </w:r>
      <w:r>
        <w:rPr>
          <w:snapToGrid w:val="0"/>
        </w:rPr>
        <w:tab/>
        <w:t>Mortgagee may seek court order as to money recovered by mortgagor in action</w:t>
      </w:r>
      <w:bookmarkEnd w:id="239"/>
    </w:p>
    <w:p>
      <w:pPr>
        <w:pStyle w:val="Subsection"/>
        <w:rPr>
          <w:snapToGrid w:val="0"/>
        </w:rPr>
      </w:pPr>
      <w:r>
        <w:rPr>
          <w:snapToGrid w:val="0"/>
        </w:rPr>
        <w:tab/>
        <w:t>(1)</w:t>
      </w:r>
      <w:r>
        <w:rPr>
          <w:snapToGrid w:val="0"/>
        </w:rPr>
        <w:tab/>
        <w:t xml:space="preserve">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w:t>
      </w:r>
      <w:r>
        <w:rPr>
          <w:snapToGrid w:val="0"/>
        </w:rPr>
        <w:lastRenderedPageBreak/>
        <w:t>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w:t>
      </w:r>
    </w:p>
    <w:p>
      <w:pPr>
        <w:pStyle w:val="Subsection"/>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pPr>
        <w:pStyle w:val="Footnotesection"/>
      </w:pPr>
      <w:r>
        <w:tab/>
        <w:t>[Section 119 amended: No. 113 of 1965 s. 4; No. 59 of 2004 s. 140; No. 19 of 2010 s. 51.]</w:t>
      </w:r>
    </w:p>
    <w:p>
      <w:pPr>
        <w:pStyle w:val="Heading5"/>
        <w:rPr>
          <w:snapToGrid w:val="0"/>
        </w:rPr>
      </w:pPr>
      <w:bookmarkStart w:id="240" w:name="_Toc210129862"/>
      <w:r>
        <w:rPr>
          <w:rStyle w:val="CharSectno"/>
        </w:rPr>
        <w:t>120</w:t>
      </w:r>
      <w:r>
        <w:rPr>
          <w:snapToGrid w:val="0"/>
        </w:rPr>
        <w:t>.</w:t>
      </w:r>
      <w:r>
        <w:rPr>
          <w:snapToGrid w:val="0"/>
        </w:rPr>
        <w:tab/>
        <w:t>Application of moneys obtained by mortgagee in action</w:t>
      </w:r>
      <w:bookmarkEnd w:id="240"/>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rPr>
          <w:snapToGrid w:val="0"/>
        </w:rPr>
      </w:pPr>
      <w:bookmarkStart w:id="241" w:name="_Toc210129863"/>
      <w:r>
        <w:rPr>
          <w:rStyle w:val="CharSectno"/>
        </w:rPr>
        <w:t>121</w:t>
      </w:r>
      <w:r>
        <w:rPr>
          <w:snapToGrid w:val="0"/>
        </w:rPr>
        <w:t>.</w:t>
      </w:r>
      <w:r>
        <w:rPr>
          <w:snapToGrid w:val="0"/>
        </w:rPr>
        <w:tab/>
        <w:t>Foreclosure, application for order for</w:t>
      </w:r>
      <w:bookmarkEnd w:id="241"/>
    </w:p>
    <w:p>
      <w:pPr>
        <w:pStyle w:val="Subsection"/>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pPr>
        <w:pStyle w:val="Subsection"/>
        <w:rPr>
          <w:snapToGrid w:val="0"/>
        </w:rPr>
      </w:pPr>
      <w:r>
        <w:rPr>
          <w:snapToGrid w:val="0"/>
        </w:rPr>
        <w:tab/>
        <w:t>(1A)</w:t>
      </w:r>
      <w:r>
        <w:rPr>
          <w:snapToGrid w:val="0"/>
        </w:rPr>
        <w:tab/>
        <w:t xml:space="preserve">Such application shall state that such default has been made and has continued for the period aforesaid and that the land mortgaged has been offered for sale at public auction by a </w:t>
      </w:r>
      <w:r>
        <w:rPr>
          <w:snapToGrid w:val="0"/>
        </w:rPr>
        <w:lastRenderedPageBreak/>
        <w:t>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w:t>
      </w:r>
    </w:p>
    <w:p>
      <w:pPr>
        <w:pStyle w:val="Subsection"/>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pPr>
        <w:pStyle w:val="Subsection"/>
        <w:rPr>
          <w:snapToGrid w:val="0"/>
        </w:rPr>
      </w:pPr>
      <w:r>
        <w:rPr>
          <w:snapToGrid w:val="0"/>
        </w:rPr>
        <w:tab/>
        <w:t>(1C)</w:t>
      </w:r>
      <w:r>
        <w:rPr>
          <w:snapToGrid w:val="0"/>
        </w:rPr>
        <w:tab/>
        <w:t>The statements made in such application shall be verified by statutory declaration.</w:t>
      </w:r>
    </w:p>
    <w:p>
      <w:pPr>
        <w:pStyle w:val="Subsection"/>
        <w:rPr>
          <w:snapToGrid w:val="0"/>
        </w:rPr>
      </w:pPr>
      <w:r>
        <w:rPr>
          <w:snapToGrid w:val="0"/>
        </w:rPr>
        <w:tab/>
        <w:t>(2)</w:t>
      </w:r>
      <w:r>
        <w:rPr>
          <w:snapToGrid w:val="0"/>
        </w:rPr>
        <w:tab/>
        <w:t>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 or</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land; or</w:t>
      </w:r>
    </w:p>
    <w:p>
      <w:pPr>
        <w:pStyle w:val="Indenta"/>
      </w:pPr>
      <w:r>
        <w:tab/>
        <w:t>(d)</w:t>
      </w:r>
      <w:r>
        <w:tab/>
        <w:t>the notice is sent to the person in compliance with a way of sending notices electronically (for example, to an email address) that is prescribed by the regulations for the purposes of this paragraph.</w:t>
      </w:r>
    </w:p>
    <w:p>
      <w:pPr>
        <w:pStyle w:val="Subsection"/>
      </w:pPr>
      <w:r>
        <w:lastRenderedPageBreak/>
        <w:tab/>
        <w:t>(3)</w:t>
      </w:r>
      <w:r>
        <w:tab/>
        <w:t xml:space="preserve">A notice may be sent under subsection (2) to the number of the person’s facsimile machine if, under subsection (2)(d) as in force immediately before the commencement of the </w:t>
      </w:r>
      <w:r>
        <w:rPr>
          <w:i/>
        </w:rPr>
        <w:t>Transfer of Land Amendment Act 2022</w:t>
      </w:r>
      <w:r>
        <w:t xml:space="preserve"> section 25(1)(b), the person has specified in writing to the mortgagee or the mortgagee’s transferees, as the case requires, that notices of intention under this section may be served on the person by facsimile transmission.</w:t>
      </w:r>
    </w:p>
    <w:p>
      <w:pPr>
        <w:pStyle w:val="Footnotesection"/>
        <w:ind w:left="890" w:hanging="890"/>
      </w:pPr>
      <w:r>
        <w:tab/>
        <w:t>[Section 121 amended: 60 Vict. No. 22 s. 3; No. 17 of 1950 s. 30; No. 81 of 1996 s. 68; No. 10 of 1998 s. 69(2); No. 19 of 2010 s. 51; No. 21 of 2022 s. 25.]</w:t>
      </w:r>
    </w:p>
    <w:p>
      <w:pPr>
        <w:pStyle w:val="Heading5"/>
        <w:keepLines w:val="0"/>
        <w:rPr>
          <w:snapToGrid w:val="0"/>
        </w:rPr>
      </w:pPr>
      <w:bookmarkStart w:id="242" w:name="_Toc210129864"/>
      <w:r>
        <w:rPr>
          <w:rStyle w:val="CharSectno"/>
        </w:rPr>
        <w:t>122</w:t>
      </w:r>
      <w:r>
        <w:rPr>
          <w:snapToGrid w:val="0"/>
        </w:rPr>
        <w:t>.</w:t>
      </w:r>
      <w:r>
        <w:rPr>
          <w:snapToGrid w:val="0"/>
        </w:rPr>
        <w:tab/>
        <w:t>Application for foreclosure to be advertised</w:t>
      </w:r>
      <w:bookmarkEnd w:id="242"/>
    </w:p>
    <w:p>
      <w:pPr>
        <w:pStyle w:val="Subsection"/>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ind w:left="890" w:hanging="890"/>
      </w:pPr>
      <w:r>
        <w:lastRenderedPageBreak/>
        <w:tab/>
        <w:t>[Section 122 amended: No. 81 of 1996 s. 69 and 145(1).]</w:t>
      </w:r>
    </w:p>
    <w:p>
      <w:pPr>
        <w:pStyle w:val="Heading5"/>
        <w:rPr>
          <w:snapToGrid w:val="0"/>
        </w:rPr>
      </w:pPr>
      <w:bookmarkStart w:id="243" w:name="_Toc210129865"/>
      <w:r>
        <w:rPr>
          <w:rStyle w:val="CharSectno"/>
        </w:rPr>
        <w:t>123</w:t>
      </w:r>
      <w:r>
        <w:rPr>
          <w:snapToGrid w:val="0"/>
        </w:rPr>
        <w:t>.</w:t>
      </w:r>
      <w:r>
        <w:rPr>
          <w:snapToGrid w:val="0"/>
        </w:rPr>
        <w:tab/>
        <w:t>Discharge of mortgages and annuities</w:t>
      </w:r>
      <w:bookmarkEnd w:id="243"/>
    </w:p>
    <w:p>
      <w:pPr>
        <w:pStyle w:val="Subsection"/>
      </w:pPr>
      <w:r>
        <w:rPr>
          <w:snapToGrid w:val="0"/>
        </w:rPr>
        <w:tab/>
      </w:r>
      <w:r>
        <w:rPr>
          <w:snapToGrid w:val="0"/>
        </w:rPr>
        <w:tab/>
        <w:t>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w:t>
      </w:r>
    </w:p>
    <w:p>
      <w:pPr>
        <w:pStyle w:val="Ednotepara"/>
      </w:pPr>
      <w:r>
        <w:tab/>
        <w:t>[(a), (b)</w:t>
      </w:r>
      <w:r>
        <w:tab/>
        <w:t>deleted]</w:t>
      </w:r>
    </w:p>
    <w:p>
      <w:pPr>
        <w:pStyle w:val="Footnotesection"/>
        <w:ind w:left="890" w:hanging="890"/>
      </w:pPr>
      <w:r>
        <w:tab/>
        <w:t>[Section 123 amended: No. 81 of 1996 s. 70 and 145(1); No. 6 of 2003 s. 39; No. 21 of 2022 s. 26.]</w:t>
      </w:r>
    </w:p>
    <w:p>
      <w:pPr>
        <w:pStyle w:val="Heading5"/>
        <w:rPr>
          <w:snapToGrid w:val="0"/>
        </w:rPr>
      </w:pPr>
      <w:bookmarkStart w:id="244" w:name="_Toc210129866"/>
      <w:r>
        <w:rPr>
          <w:rStyle w:val="CharSectno"/>
        </w:rPr>
        <w:t>124</w:t>
      </w:r>
      <w:r>
        <w:rPr>
          <w:snapToGrid w:val="0"/>
        </w:rPr>
        <w:t>.</w:t>
      </w:r>
      <w:r>
        <w:rPr>
          <w:snapToGrid w:val="0"/>
        </w:rPr>
        <w:tab/>
        <w:t>Mortgages etc. made before land brought under this Act</w:t>
      </w:r>
      <w:bookmarkEnd w:id="244"/>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2 Edw. VII. No. 10 s. 5; No. 81 of 1996 s. 71.]</w:t>
      </w:r>
    </w:p>
    <w:p>
      <w:pPr>
        <w:pStyle w:val="Heading5"/>
        <w:rPr>
          <w:snapToGrid w:val="0"/>
        </w:rPr>
      </w:pPr>
      <w:bookmarkStart w:id="245" w:name="_Toc210129867"/>
      <w:r>
        <w:rPr>
          <w:rStyle w:val="CharSectno"/>
        </w:rPr>
        <w:lastRenderedPageBreak/>
        <w:t>125</w:t>
      </w:r>
      <w:r>
        <w:rPr>
          <w:snapToGrid w:val="0"/>
        </w:rPr>
        <w:t>.</w:t>
      </w:r>
      <w:r>
        <w:rPr>
          <w:snapToGrid w:val="0"/>
        </w:rPr>
        <w:tab/>
        <w:t>Entry of satisfaction of annuity</w:t>
      </w:r>
      <w:bookmarkEnd w:id="245"/>
    </w:p>
    <w:p>
      <w:pPr>
        <w:pStyle w:val="Subsection"/>
        <w:rPr>
          <w:snapToGrid w:val="0"/>
        </w:rPr>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p>
    <w:p>
      <w:pPr>
        <w:pStyle w:val="Ednotepara"/>
      </w:pPr>
      <w:r>
        <w:tab/>
      </w:r>
      <w:r>
        <w:tab/>
        <w:t>[(a), (b)</w:t>
      </w:r>
      <w:r>
        <w:tab/>
        <w:t>deleted]</w:t>
      </w:r>
    </w:p>
    <w:p>
      <w:pPr>
        <w:pStyle w:val="Footnotesection"/>
        <w:ind w:left="890" w:hanging="890"/>
      </w:pPr>
      <w:r>
        <w:tab/>
        <w:t>[Section 125 amended: No. 17 of 1950 s. 31; No. 81 of 1996 s. 145(1); No. 6 of 2003 s. 40; No. 21 of 2022 s. 27.]</w:t>
      </w:r>
    </w:p>
    <w:p>
      <w:pPr>
        <w:pStyle w:val="Heading5"/>
        <w:spacing w:before="180"/>
        <w:rPr>
          <w:snapToGrid w:val="0"/>
        </w:rPr>
      </w:pPr>
      <w:bookmarkStart w:id="246" w:name="_Toc210129868"/>
      <w:r>
        <w:rPr>
          <w:rStyle w:val="CharSectno"/>
        </w:rPr>
        <w:t>126</w:t>
      </w:r>
      <w:r>
        <w:rPr>
          <w:snapToGrid w:val="0"/>
        </w:rPr>
        <w:t>.</w:t>
      </w:r>
      <w:r>
        <w:rPr>
          <w:snapToGrid w:val="0"/>
        </w:rPr>
        <w:tab/>
        <w:t>Payments under and discharge of mortgages when mortgagee absent from State etc.</w:t>
      </w:r>
      <w:bookmarkEnd w:id="246"/>
    </w:p>
    <w:p>
      <w:pPr>
        <w:pStyle w:val="Subsection"/>
        <w:spacing w:before="120"/>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pPr>
        <w:pStyle w:val="Subsection"/>
        <w:spacing w:before="120"/>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pPr>
        <w:pStyle w:val="Ednotesubsection"/>
      </w:pPr>
      <w:r>
        <w:tab/>
        <w:t>[(1B)</w:t>
      </w:r>
      <w:r>
        <w:tab/>
        <w:t>deleted]</w:t>
      </w:r>
    </w:p>
    <w:p>
      <w:pPr>
        <w:pStyle w:val="Subsection"/>
        <w:rPr>
          <w:snapToGrid w:val="0"/>
        </w:rPr>
      </w:pPr>
      <w:r>
        <w:tab/>
        <w:t>(1C)</w:t>
      </w:r>
      <w:r>
        <w:tab/>
        <w:t>The Treasurer</w:t>
      </w:r>
      <w:r>
        <w:rPr>
          <w:snapToGrid w:val="0"/>
        </w:rPr>
        <w:t xml:space="preserve"> shall from time to time invest all mortgage moneys and interest which shall be received by him under this </w:t>
      </w:r>
      <w:r>
        <w:rPr>
          <w:snapToGrid w:val="0"/>
        </w:rPr>
        <w:lastRenderedPageBreak/>
        <w:t>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pPr>
        <w:pStyle w:val="Subsection"/>
        <w:rPr>
          <w:snapToGrid w:val="0"/>
        </w:rPr>
      </w:pPr>
      <w:r>
        <w:rPr>
          <w:snapToGrid w:val="0"/>
        </w:rPr>
        <w:tab/>
        <w:t>(1E)</w:t>
      </w:r>
      <w:r>
        <w:rPr>
          <w:snapToGrid w:val="0"/>
        </w:rPr>
        <w:tab/>
        <w:t xml:space="preserve">In subsections (1) to (1D) — </w:t>
      </w:r>
    </w:p>
    <w:p>
      <w:pPr>
        <w:pStyle w:val="Defstart"/>
      </w:pPr>
      <w:r>
        <w:tab/>
      </w:r>
      <w:r>
        <w:rPr>
          <w:rStyle w:val="CharDefText"/>
        </w:rPr>
        <w:t>mortgage money</w:t>
      </w:r>
      <w: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p>
    <w:p>
      <w:pPr>
        <w:pStyle w:val="Ednotepara"/>
      </w:pPr>
      <w:r>
        <w:tab/>
        <w:t>[(a), (b)</w:t>
      </w:r>
      <w:r>
        <w:tab/>
        <w:t>deleted]</w:t>
      </w:r>
    </w:p>
    <w:p>
      <w:pPr>
        <w:pStyle w:val="Footnotesection"/>
      </w:pPr>
      <w:r>
        <w:tab/>
        <w:t>[Section 126 amended: No. 6 of 1946 s. 2; No. 17 of 1950 s. 32; No. 6 of 1993 s. 11; No. 81 of 1996 s. 72 and 145(1); No. 6 of 2003 s. 41; No. 77 of 2006 s. 4; No. 19 of 2010 s. 51; No. 21 of 2022 s. 28.]</w:t>
      </w:r>
    </w:p>
    <w:p>
      <w:pPr>
        <w:pStyle w:val="Heading5"/>
      </w:pPr>
      <w:bookmarkStart w:id="247" w:name="_Toc210129869"/>
      <w:r>
        <w:rPr>
          <w:rStyle w:val="CharSectno"/>
        </w:rPr>
        <w:t>127A</w:t>
      </w:r>
      <w:r>
        <w:t>.</w:t>
      </w:r>
      <w:r>
        <w:tab/>
        <w:t>Subsequent mortgages or charges</w:t>
      </w:r>
      <w:bookmarkEnd w:id="247"/>
    </w:p>
    <w:p>
      <w:pPr>
        <w:pStyle w:val="Subsection"/>
        <w:keepNext/>
      </w:pPr>
      <w:r>
        <w:tab/>
        <w:t>(1)</w:t>
      </w:r>
      <w:r>
        <w:tab/>
        <w:t xml:space="preserve">In this section — </w:t>
      </w:r>
    </w:p>
    <w:p>
      <w:pPr>
        <w:pStyle w:val="Defstart"/>
      </w:pPr>
      <w:r>
        <w:tab/>
      </w:r>
      <w:r>
        <w:rPr>
          <w:rStyle w:val="CharDefText"/>
        </w:rPr>
        <w:t>mortgage</w:t>
      </w:r>
      <w:r>
        <w:t xml:space="preserve"> includes a charge;</w:t>
      </w:r>
    </w:p>
    <w:p>
      <w:pPr>
        <w:pStyle w:val="Defstart"/>
      </w:pPr>
      <w:r>
        <w:lastRenderedPageBreak/>
        <w:tab/>
      </w:r>
      <w:r>
        <w:rPr>
          <w:rStyle w:val="CharDefText"/>
        </w:rPr>
        <w:t>mortgagee</w:t>
      </w:r>
      <w:r>
        <w:t xml:space="preserve"> includes an annuitant.</w:t>
      </w:r>
    </w:p>
    <w:p>
      <w:pPr>
        <w:pStyle w:val="Subsection"/>
      </w:pPr>
      <w:r>
        <w:tab/>
        <w:t>(2)</w:t>
      </w:r>
      <w:r>
        <w:tab/>
        <w:t>If any land under the operation of this Act is subject to a mortgage, the registration of a subsequent mortgage does not require the consent of the existing mortgagee.</w:t>
      </w:r>
    </w:p>
    <w:p>
      <w:pPr>
        <w:pStyle w:val="Subsection"/>
      </w:pPr>
      <w:r>
        <w:tab/>
        <w:t>(3)</w:t>
      </w:r>
      <w:r>
        <w:tab/>
        <w:t xml:space="preserve">If any land under the operation of this Act is subject to a mortgage, the execution or attempted execution of a subsequent mortgage does not — </w:t>
      </w:r>
    </w:p>
    <w:p>
      <w:pPr>
        <w:pStyle w:val="Indenta"/>
      </w:pPr>
      <w:r>
        <w:tab/>
        <w:t>(a)</w:t>
      </w:r>
      <w:r>
        <w:tab/>
        <w:t>constitute a breach of any term, covenant or condition contained in the existing mortgage; or</w:t>
      </w:r>
    </w:p>
    <w:p>
      <w:pPr>
        <w:pStyle w:val="Indenta"/>
      </w:pPr>
      <w:r>
        <w:tab/>
        <w:t>(b)</w:t>
      </w:r>
      <w:r>
        <w:tab/>
        <w:t>give rise to any forfeiture or penalty; or</w:t>
      </w:r>
    </w:p>
    <w:p>
      <w:pPr>
        <w:pStyle w:val="Indenta"/>
      </w:pPr>
      <w:r>
        <w:tab/>
        <w:t>(c)</w:t>
      </w:r>
      <w:r>
        <w:tab/>
        <w:t>make payable or accelerate the time for payment of any sum or sums that, if the execution or attempted execution of the subsequent mortgage had not happened, would not have been payable or would not have been payable at that time.</w:t>
      </w:r>
    </w:p>
    <w:p>
      <w:pPr>
        <w:pStyle w:val="Subsection"/>
      </w:pPr>
      <w:r>
        <w:tab/>
        <w:t>(4)</w:t>
      </w:r>
      <w:r>
        <w:tab/>
        <w:t>This section has effect despite any provision to the contrary in any mortgage.</w:t>
      </w:r>
    </w:p>
    <w:p>
      <w:pPr>
        <w:pStyle w:val="Subsection"/>
      </w:pPr>
      <w:r>
        <w:tab/>
        <w:t>(5)</w:t>
      </w:r>
      <w:r>
        <w:tab/>
        <w:t xml:space="preserve">This section does not apply to or in relation to any mortgage registered before the </w:t>
      </w:r>
      <w:r>
        <w:rPr>
          <w:i/>
        </w:rPr>
        <w:t>Electronic Conveyancing Act 2014</w:t>
      </w:r>
      <w:r>
        <w:t xml:space="preserve"> section 74 comes into operation.</w:t>
      </w:r>
    </w:p>
    <w:p>
      <w:pPr>
        <w:pStyle w:val="Footnotesection"/>
        <w:spacing w:before="100"/>
        <w:ind w:left="890" w:hanging="890"/>
      </w:pPr>
      <w:r>
        <w:tab/>
        <w:t>[Section 127A inserted: No. 2 of 2014 s. 74.]</w:t>
      </w:r>
    </w:p>
    <w:p>
      <w:pPr>
        <w:pStyle w:val="Ednotesection"/>
        <w:rPr>
          <w:rStyle w:val="CharSectno"/>
        </w:rPr>
      </w:pPr>
      <w:r>
        <w:t>[</w:t>
      </w:r>
      <w:r>
        <w:rPr>
          <w:b/>
        </w:rPr>
        <w:t>127.</w:t>
      </w:r>
      <w:r>
        <w:rPr>
          <w:b/>
        </w:rPr>
        <w:tab/>
      </w:r>
      <w:r>
        <w:t>Deleted: No. 21 of 2022 s. 29]</w:t>
      </w:r>
    </w:p>
    <w:p>
      <w:pPr>
        <w:pStyle w:val="Heading5"/>
        <w:spacing w:before="180"/>
        <w:rPr>
          <w:snapToGrid w:val="0"/>
        </w:rPr>
      </w:pPr>
      <w:bookmarkStart w:id="248" w:name="_Toc210129870"/>
      <w:r>
        <w:rPr>
          <w:rStyle w:val="CharSectno"/>
        </w:rPr>
        <w:t>128</w:t>
      </w:r>
      <w:r>
        <w:rPr>
          <w:snapToGrid w:val="0"/>
        </w:rPr>
        <w:t>.</w:t>
      </w:r>
      <w:r>
        <w:rPr>
          <w:snapToGrid w:val="0"/>
        </w:rPr>
        <w:tab/>
        <w:t>Land brought under this Act subject to mortgage, rights of mortgagee etc.</w:t>
      </w:r>
      <w:bookmarkEnd w:id="248"/>
    </w:p>
    <w:p>
      <w:pPr>
        <w:pStyle w:val="Subsection"/>
        <w:rPr>
          <w:snapToGrid w:val="0"/>
        </w:rPr>
      </w:pPr>
      <w:r>
        <w:rPr>
          <w:snapToGrid w:val="0"/>
        </w:rPr>
        <w:tab/>
      </w:r>
      <w:r>
        <w:rPr>
          <w:snapToGrid w:val="0"/>
        </w:rPr>
        <w:tab/>
        <w:t xml:space="preserve">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w:t>
      </w:r>
      <w:r>
        <w:rPr>
          <w:snapToGrid w:val="0"/>
        </w:rPr>
        <w:lastRenderedPageBreak/>
        <w:t>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rPr>
          <w:snapToGrid w:val="0"/>
        </w:rPr>
      </w:pPr>
      <w:bookmarkStart w:id="249" w:name="_Toc210129871"/>
      <w:r>
        <w:rPr>
          <w:rStyle w:val="CharSectno"/>
        </w:rPr>
        <w:t>128A</w:t>
      </w:r>
      <w:r>
        <w:rPr>
          <w:snapToGrid w:val="0"/>
        </w:rPr>
        <w:t>.</w:t>
      </w:r>
      <w:r>
        <w:rPr>
          <w:snapToGrid w:val="0"/>
        </w:rPr>
        <w:tab/>
        <w:t>Another mortgagee may tender payment</w:t>
      </w:r>
      <w:bookmarkEnd w:id="249"/>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No. 17 of 1950 s. 33.]</w:t>
      </w:r>
    </w:p>
    <w:p>
      <w:pPr>
        <w:pStyle w:val="Ednotesection"/>
        <w:spacing w:before="240"/>
        <w:ind w:left="890" w:hanging="890"/>
      </w:pPr>
      <w:r>
        <w:t>[</w:t>
      </w:r>
      <w:r>
        <w:rPr>
          <w:b/>
        </w:rPr>
        <w:t>129.</w:t>
      </w:r>
      <w:r>
        <w:tab/>
        <w:t>Deleted: No. 26 of 1999 s. 106(4).]</w:t>
      </w:r>
    </w:p>
    <w:p>
      <w:pPr>
        <w:pStyle w:val="Heading3"/>
      </w:pPr>
      <w:bookmarkStart w:id="250" w:name="_Toc166683523"/>
      <w:bookmarkStart w:id="251" w:name="_Toc166683899"/>
      <w:bookmarkStart w:id="252" w:name="_Toc166684685"/>
      <w:bookmarkStart w:id="253" w:name="_Toc210120294"/>
      <w:bookmarkStart w:id="254" w:name="_Toc210129872"/>
      <w:r>
        <w:rPr>
          <w:rStyle w:val="CharDivNo"/>
        </w:rPr>
        <w:t>Division 3A</w:t>
      </w:r>
      <w:r>
        <w:rPr>
          <w:snapToGrid w:val="0"/>
        </w:rPr>
        <w:t> — </w:t>
      </w:r>
      <w:r>
        <w:rPr>
          <w:rStyle w:val="CharDivText"/>
        </w:rPr>
        <w:t>Restrictive covenants and the modification, discharge and enforcement of restrictive covenants and easements</w:t>
      </w:r>
      <w:bookmarkEnd w:id="250"/>
      <w:bookmarkEnd w:id="251"/>
      <w:bookmarkEnd w:id="252"/>
      <w:bookmarkEnd w:id="253"/>
      <w:bookmarkEnd w:id="254"/>
    </w:p>
    <w:p>
      <w:pPr>
        <w:pStyle w:val="Footnoteheading"/>
        <w:spacing w:before="160"/>
        <w:rPr>
          <w:snapToGrid w:val="0"/>
        </w:rPr>
      </w:pPr>
      <w:r>
        <w:rPr>
          <w:snapToGrid w:val="0"/>
        </w:rPr>
        <w:tab/>
        <w:t>[Heading inserted: No. 81 of 1996 s. 73.]</w:t>
      </w:r>
    </w:p>
    <w:p>
      <w:pPr>
        <w:pStyle w:val="Heading5"/>
        <w:rPr>
          <w:snapToGrid w:val="0"/>
        </w:rPr>
      </w:pPr>
      <w:bookmarkStart w:id="255" w:name="_Toc210129873"/>
      <w:r>
        <w:rPr>
          <w:rStyle w:val="CharSectno"/>
        </w:rPr>
        <w:t>129A</w:t>
      </w:r>
      <w:r>
        <w:rPr>
          <w:snapToGrid w:val="0"/>
        </w:rPr>
        <w:t>.</w:t>
      </w:r>
      <w:r>
        <w:rPr>
          <w:snapToGrid w:val="0"/>
        </w:rPr>
        <w:tab/>
        <w:t>Creation of restrictive covenants</w:t>
      </w:r>
      <w:bookmarkEnd w:id="255"/>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lastRenderedPageBreak/>
        <w:tab/>
        <w:t>(2)</w:t>
      </w:r>
      <w:r>
        <w:rPr>
          <w:snapToGrid w:val="0"/>
        </w:rPr>
        <w:tab/>
        <w:t>Nothing in subsection (1) limits the creation of a restrictive covenant under Part IVA.</w:t>
      </w:r>
    </w:p>
    <w:p>
      <w:pPr>
        <w:pStyle w:val="Subsection"/>
        <w:rPr>
          <w:snapToGrid w:val="0"/>
        </w:rPr>
      </w:pPr>
      <w:r>
        <w:rPr>
          <w:snapToGrid w:val="0"/>
        </w:rPr>
        <w:tab/>
        <w:t>(3)</w:t>
      </w:r>
      <w:r>
        <w:rPr>
          <w:snapToGrid w:val="0"/>
        </w:rPr>
        <w:tab/>
        <w:t xml:space="preserve">Notwithstanding </w:t>
      </w:r>
      <w:r>
        <w:t xml:space="preserve">section 52(2), </w:t>
      </w:r>
      <w:r>
        <w:rPr>
          <w:snapToGrid w:val="0"/>
        </w:rPr>
        <w:t>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rPr>
          <w:snapToGrid w:val="0"/>
        </w:rPr>
      </w:pPr>
      <w:r>
        <w:rPr>
          <w:snapToGrid w:val="0"/>
        </w:rPr>
        <w:tab/>
        <w:t>(5)</w:t>
      </w:r>
      <w:r>
        <w:rPr>
          <w:snapToGrid w:val="0"/>
        </w:rPr>
        <w:tab/>
        <w:t xml:space="preserve">Subject to </w:t>
      </w:r>
      <w:r>
        <w:t xml:space="preserve">subsection (6) or (7), </w:t>
      </w:r>
      <w:r>
        <w:rPr>
          <w:snapToGrid w:val="0"/>
        </w:rPr>
        <w:t>where a restrictive covenant is created under Part IVA, the Registrar shall enter a memorandum of the restrictive covenant on the certificate of title for the land (if any) benefited, and the land burdened, by the restrictive covenant.</w:t>
      </w:r>
    </w:p>
    <w:p>
      <w:pPr>
        <w:pStyle w:val="Subsection"/>
      </w:pPr>
      <w:r>
        <w:tab/>
        <w:t>(6)</w:t>
      </w:r>
      <w:r>
        <w:tab/>
        <w:t xml:space="preserve">If a restrictive covenant is created under Part IVA by notation on a scheme plan as defined in the </w:t>
      </w:r>
      <w:r>
        <w:rPr>
          <w:i/>
        </w:rPr>
        <w:t xml:space="preserve">Strata Titles Act 1985 </w:t>
      </w:r>
      <w:r>
        <w:t>section 3(1) 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Subsection"/>
      </w:pPr>
      <w:r>
        <w:tab/>
        <w:t>(7)</w:t>
      </w:r>
      <w:r>
        <w:tab/>
        <w:t xml:space="preserve">If a restrictive covenant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Footnotesection"/>
        <w:ind w:left="890" w:hanging="890"/>
      </w:pPr>
      <w:r>
        <w:lastRenderedPageBreak/>
        <w:tab/>
        <w:t>[Section 129A inserted: No. 17 of 1950 s. 34; amended: No. 81 of 1996 s. 74; No. 56 of 2003 s. 16; No. 2 of 2014 s. 75; No. 30 of 2018 s. 199; No. 32 of 2018 s. 255.]</w:t>
      </w:r>
    </w:p>
    <w:p>
      <w:pPr>
        <w:pStyle w:val="Heading5"/>
        <w:keepLines w:val="0"/>
        <w:rPr>
          <w:snapToGrid w:val="0"/>
        </w:rPr>
      </w:pPr>
      <w:bookmarkStart w:id="256" w:name="_Toc210129874"/>
      <w:r>
        <w:rPr>
          <w:rStyle w:val="CharSectno"/>
        </w:rPr>
        <w:t>129B</w:t>
      </w:r>
      <w:r>
        <w:rPr>
          <w:snapToGrid w:val="0"/>
        </w:rPr>
        <w:t>.</w:t>
      </w:r>
      <w:r>
        <w:rPr>
          <w:snapToGrid w:val="0"/>
        </w:rPr>
        <w:tab/>
        <w:t>Discharge and modification of restrictive covenants</w:t>
      </w:r>
      <w:bookmarkEnd w:id="256"/>
    </w:p>
    <w:p>
      <w:pPr>
        <w:pStyle w:val="Subsection"/>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rPr>
          <w:snapToGrid w:val="0"/>
        </w:rPr>
      </w:pPr>
      <w:r>
        <w:rPr>
          <w:snapToGrid w:val="0"/>
        </w:rPr>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keepNext/>
        <w:rPr>
          <w:snapToGrid w:val="0"/>
        </w:rPr>
      </w:pPr>
      <w:r>
        <w:rPr>
          <w:snapToGrid w:val="0"/>
        </w:rPr>
        <w:tab/>
        <w:t>(b)</w:t>
      </w:r>
      <w:r>
        <w:rPr>
          <w:snapToGrid w:val="0"/>
        </w:rPr>
        <w:tab/>
        <w:t>Part IVA shall be in accordance with section 136J.</w:t>
      </w:r>
    </w:p>
    <w:p>
      <w:pPr>
        <w:pStyle w:val="Footnotesection"/>
        <w:spacing w:before="80"/>
        <w:ind w:left="890" w:hanging="890"/>
      </w:pPr>
      <w:r>
        <w:tab/>
        <w:t>[Section 129B inserted: No. 17 of 1950 s. 34; amended: No. 81 of 1996 s. 75.]</w:t>
      </w:r>
    </w:p>
    <w:p>
      <w:pPr>
        <w:pStyle w:val="Heading5"/>
        <w:spacing w:before="180"/>
        <w:rPr>
          <w:snapToGrid w:val="0"/>
        </w:rPr>
      </w:pPr>
      <w:bookmarkStart w:id="257" w:name="_Toc210129875"/>
      <w:r>
        <w:rPr>
          <w:rStyle w:val="CharSectno"/>
        </w:rPr>
        <w:t>129BA</w:t>
      </w:r>
      <w:r>
        <w:rPr>
          <w:snapToGrid w:val="0"/>
        </w:rPr>
        <w:t>.</w:t>
      </w:r>
      <w:r>
        <w:rPr>
          <w:snapToGrid w:val="0"/>
        </w:rPr>
        <w:tab/>
        <w:t>Restrictive covenants benefiting local governments and public authorities</w:t>
      </w:r>
      <w:bookmarkEnd w:id="257"/>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lastRenderedPageBreak/>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No. 81 of 1996 s. 76.]</w:t>
      </w:r>
    </w:p>
    <w:p>
      <w:pPr>
        <w:pStyle w:val="Heading5"/>
        <w:keepLines w:val="0"/>
        <w:spacing w:before="180"/>
      </w:pPr>
      <w:bookmarkStart w:id="258" w:name="_Toc210129876"/>
      <w:r>
        <w:rPr>
          <w:rStyle w:val="CharSectno"/>
        </w:rPr>
        <w:t>129BB</w:t>
      </w:r>
      <w:r>
        <w:t>.</w:t>
      </w:r>
      <w:r>
        <w:tab/>
        <w:t>Discharge and modification of s. 129BA covenants</w:t>
      </w:r>
      <w:bookmarkEnd w:id="258"/>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t xml:space="preserve">the </w:t>
      </w:r>
      <w:r>
        <w:rPr>
          <w:rStyle w:val="CharDefText"/>
        </w:rPr>
        <w:t>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keepNext/>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 xml:space="preserve">the </w:t>
      </w:r>
      <w:r>
        <w:t>relevant</w:t>
      </w:r>
      <w:r>
        <w:rPr>
          <w:snapToGrid w:val="0"/>
        </w:rPr>
        <w:t xml:space="preserve"> authority; and</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lastRenderedPageBreak/>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 and</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 xml:space="preserve">up to the time of making the application, the applicant had received no notice of objection to </w:t>
      </w:r>
      <w:r>
        <w:rPr>
          <w:snapToGrid w:val="0"/>
        </w:rPr>
        <w:lastRenderedPageBreak/>
        <w:t>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spacing w:before="180"/>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spacing w:before="18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8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ind w:left="890" w:hanging="890"/>
      </w:pPr>
      <w:r>
        <w:tab/>
        <w:t>[Section 129BB inserted: No. 81 of 1996 s. 76.]</w:t>
      </w:r>
    </w:p>
    <w:p>
      <w:pPr>
        <w:pStyle w:val="Heading5"/>
        <w:keepNext w:val="0"/>
        <w:keepLines w:val="0"/>
        <w:spacing w:before="240"/>
        <w:rPr>
          <w:snapToGrid w:val="0"/>
        </w:rPr>
      </w:pPr>
      <w:bookmarkStart w:id="259" w:name="_Toc210129877"/>
      <w:r>
        <w:rPr>
          <w:rStyle w:val="CharSectno"/>
        </w:rPr>
        <w:t>129C</w:t>
      </w:r>
      <w:r>
        <w:rPr>
          <w:snapToGrid w:val="0"/>
        </w:rPr>
        <w:t>.</w:t>
      </w:r>
      <w:r>
        <w:rPr>
          <w:snapToGrid w:val="0"/>
        </w:rPr>
        <w:tab/>
        <w:t>Supreme Court’s powers as to easements etc.</w:t>
      </w:r>
      <w:bookmarkEnd w:id="259"/>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 xml:space="preserve">that by reason of any change in the user of any land to which the easement or the benefit of the restriction is </w:t>
      </w:r>
      <w:r>
        <w:rPr>
          <w:snapToGrid w:val="0"/>
        </w:rPr>
        <w:lastRenderedPageBreak/>
        <w:t>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keepNext/>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lastRenderedPageBreak/>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keepNext/>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 xml:space="preserve">When any proceedings by suit or otherwise are instituted to enforce an easement, or to enforce any rights arising out of the breach of a restrictive covenant affecting land under this Act or any local government or public authority then any person </w:t>
      </w:r>
      <w:r>
        <w:rPr>
          <w:snapToGrid w:val="0"/>
        </w:rPr>
        <w:lastRenderedPageBreak/>
        <w:t>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lastRenderedPageBreak/>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 No. 17 of 1950 s. 34; amended: No. 14 of 1972 s. 4; No. 14 of 1996, s. 4; No. 81 of 1996 s. 77 and 145(1) and (2); No. 31 of 1997 s. 113; No. 3 of 1999 s. 4; No. 30 of 2018 s. 200.]</w:t>
      </w:r>
    </w:p>
    <w:p>
      <w:pPr>
        <w:pStyle w:val="Heading3"/>
        <w:keepNext w:val="0"/>
      </w:pPr>
      <w:bookmarkStart w:id="260" w:name="_Toc166683529"/>
      <w:bookmarkStart w:id="261" w:name="_Toc166683905"/>
      <w:bookmarkStart w:id="262" w:name="_Toc166684691"/>
      <w:bookmarkStart w:id="263" w:name="_Toc210120300"/>
      <w:bookmarkStart w:id="264" w:name="_Toc210129878"/>
      <w:r>
        <w:rPr>
          <w:rStyle w:val="CharDivNo"/>
        </w:rPr>
        <w:t>Division 4</w:t>
      </w:r>
      <w:r>
        <w:rPr>
          <w:snapToGrid w:val="0"/>
        </w:rPr>
        <w:t> — </w:t>
      </w:r>
      <w:r>
        <w:rPr>
          <w:rStyle w:val="CharDivText"/>
        </w:rPr>
        <w:t>Miscellaneous</w:t>
      </w:r>
      <w:bookmarkEnd w:id="260"/>
      <w:bookmarkEnd w:id="261"/>
      <w:bookmarkEnd w:id="262"/>
      <w:bookmarkEnd w:id="263"/>
      <w:bookmarkEnd w:id="264"/>
    </w:p>
    <w:p>
      <w:pPr>
        <w:pStyle w:val="Heading5"/>
        <w:spacing w:before="200"/>
        <w:rPr>
          <w:snapToGrid w:val="0"/>
        </w:rPr>
      </w:pPr>
      <w:bookmarkStart w:id="265" w:name="_Toc210129879"/>
      <w:r>
        <w:rPr>
          <w:rStyle w:val="CharSectno"/>
        </w:rPr>
        <w:t>130</w:t>
      </w:r>
      <w:r>
        <w:rPr>
          <w:snapToGrid w:val="0"/>
        </w:rPr>
        <w:t>.</w:t>
      </w:r>
      <w:r>
        <w:rPr>
          <w:snapToGrid w:val="0"/>
        </w:rPr>
        <w:tab/>
        <w:t>Seal of corporation substitute for signature</w:t>
      </w:r>
      <w:bookmarkEnd w:id="265"/>
    </w:p>
    <w:p>
      <w:pPr>
        <w:pStyle w:val="Subsection"/>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pPr>
        <w:pStyle w:val="Subsection"/>
        <w:spacing w:before="120"/>
        <w:rPr>
          <w:snapToGrid w:val="0"/>
        </w:rPr>
      </w:pPr>
      <w:r>
        <w:rPr>
          <w:snapToGrid w:val="0"/>
        </w:rPr>
        <w:tab/>
        <w:t>(2)</w:t>
      </w:r>
      <w:r>
        <w:rPr>
          <w:snapToGrid w:val="0"/>
        </w:rPr>
        <w:tab/>
        <w:t xml:space="preserve">The seal of the attorney of any corporation whose chief or head office of business shall be out of Western Australia whether such attorney shall have been already constituted or shall </w:t>
      </w:r>
      <w:r>
        <w:rPr>
          <w:snapToGrid w:val="0"/>
        </w:rPr>
        <w:lastRenderedPageBreak/>
        <w:t>hereafter be constituted by a power of attorney under a seal purporting to be the common seal of the corporation giving the power shall be deemed to be the common seal of such corporation within the meaning and for the purposes of this section.</w:t>
      </w:r>
    </w:p>
    <w:p>
      <w:pPr>
        <w:pStyle w:val="Footnotesection"/>
        <w:spacing w:before="80"/>
        <w:ind w:left="890" w:hanging="890"/>
      </w:pPr>
      <w:r>
        <w:tab/>
        <w:t>[Section 130 amended: No. 19 of 2010 s. 51.]</w:t>
      </w:r>
    </w:p>
    <w:p>
      <w:pPr>
        <w:pStyle w:val="Heading5"/>
        <w:spacing w:before="180"/>
        <w:rPr>
          <w:snapToGrid w:val="0"/>
        </w:rPr>
      </w:pPr>
      <w:bookmarkStart w:id="266" w:name="_Toc210129880"/>
      <w:r>
        <w:rPr>
          <w:rStyle w:val="CharSectno"/>
        </w:rPr>
        <w:t>131</w:t>
      </w:r>
      <w:r>
        <w:rPr>
          <w:snapToGrid w:val="0"/>
        </w:rPr>
        <w:t>.</w:t>
      </w:r>
      <w:r>
        <w:rPr>
          <w:snapToGrid w:val="0"/>
        </w:rPr>
        <w:tab/>
        <w:t>Implied covenants and powers may be modified or negatived</w:t>
      </w:r>
      <w:bookmarkEnd w:id="266"/>
    </w:p>
    <w:p>
      <w:pPr>
        <w:pStyle w:val="Subsection"/>
        <w:spacing w:before="120"/>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spacing w:before="80"/>
        <w:ind w:left="890" w:hanging="890"/>
      </w:pPr>
      <w:r>
        <w:tab/>
        <w:t>[Section 131 amended: No. 17 of 1950 s. 35.]</w:t>
      </w:r>
    </w:p>
    <w:p>
      <w:pPr>
        <w:pStyle w:val="Ednotesection"/>
      </w:pPr>
      <w:r>
        <w:t>[</w:t>
      </w:r>
      <w:r>
        <w:rPr>
          <w:b/>
        </w:rPr>
        <w:t>132.</w:t>
      </w:r>
      <w:r>
        <w:tab/>
        <w:t>Deleted: No. 17 of 1950 s. 36.]</w:t>
      </w:r>
    </w:p>
    <w:p>
      <w:pPr>
        <w:pStyle w:val="Heading5"/>
      </w:pPr>
      <w:bookmarkStart w:id="267" w:name="_Toc210129881"/>
      <w:r>
        <w:rPr>
          <w:rStyle w:val="CharSectno"/>
        </w:rPr>
        <w:t>133</w:t>
      </w:r>
      <w:r>
        <w:t>.</w:t>
      </w:r>
      <w:r>
        <w:tab/>
        <w:t>Property (seizure and sale) order, registration of etc.</w:t>
      </w:r>
      <w:bookmarkEnd w:id="267"/>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lastRenderedPageBreak/>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pPr>
      <w:r>
        <w:tab/>
        <w:t>(1a)</w:t>
      </w:r>
      <w:r>
        <w:tab/>
        <w:t>An application to the Registrar under this section must be made in an approved form.</w:t>
      </w:r>
    </w:p>
    <w:p>
      <w:pPr>
        <w:pStyle w:val="Subsection"/>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spacing w:before="100"/>
      </w:pPr>
      <w:r>
        <w:tab/>
        <w:t>(c)</w:t>
      </w:r>
      <w:r>
        <w:tab/>
        <w:t>identify the land in which the judgment debtor has a saleable interest; and</w:t>
      </w:r>
    </w:p>
    <w:p>
      <w:pPr>
        <w:pStyle w:val="Indenta"/>
        <w:spacing w:before="100"/>
      </w:pPr>
      <w:r>
        <w:tab/>
        <w:t>(d)</w:t>
      </w:r>
      <w:r>
        <w:tab/>
        <w:t>identify the judgment debtor’s saleable interest; and</w:t>
      </w:r>
    </w:p>
    <w:p>
      <w:pPr>
        <w:pStyle w:val="Indenta"/>
        <w:keepNext/>
        <w:spacing w:before="100"/>
      </w:pPr>
      <w:r>
        <w:tab/>
        <w:t>(e)</w:t>
      </w:r>
      <w:r>
        <w:tab/>
        <w:t>be accompanied by a copy of —</w:t>
      </w:r>
    </w:p>
    <w:p>
      <w:pPr>
        <w:pStyle w:val="Indenti"/>
        <w:spacing w:before="100"/>
      </w:pPr>
      <w:r>
        <w:tab/>
        <w:t>(i)</w:t>
      </w:r>
      <w:r>
        <w:tab/>
        <w:t>the order, certified as a true copy by the sheriff; and</w:t>
      </w:r>
    </w:p>
    <w:p>
      <w:pPr>
        <w:pStyle w:val="Indenti"/>
        <w:spacing w:before="100"/>
      </w:pPr>
      <w:r>
        <w:tab/>
        <w:t>(ii)</w:t>
      </w:r>
      <w:r>
        <w:tab/>
        <w:t xml:space="preserve">any order made under section 15 of the </w:t>
      </w:r>
      <w:r>
        <w:rPr>
          <w:i/>
        </w:rPr>
        <w:t>Civil Judgments Enforcement Act 2004</w:t>
      </w:r>
      <w:r>
        <w:t xml:space="preserve"> that affects the order or the judgment to which it relates;</w:t>
      </w:r>
    </w:p>
    <w:p>
      <w:pPr>
        <w:pStyle w:val="Indenta"/>
        <w:spacing w:before="100"/>
      </w:pPr>
      <w:r>
        <w:lastRenderedPageBreak/>
        <w:tab/>
      </w:r>
      <w:r>
        <w:tab/>
        <w:t>and</w:t>
      </w:r>
    </w:p>
    <w:p>
      <w:pPr>
        <w:pStyle w:val="Indenta"/>
        <w:spacing w:before="100"/>
      </w:pPr>
      <w:r>
        <w:tab/>
        <w:t>(f)</w:t>
      </w:r>
      <w:r>
        <w:tab/>
        <w:t>be accompanied by the prescribed fee; and</w:t>
      </w:r>
    </w:p>
    <w:p>
      <w:pPr>
        <w:pStyle w:val="Indenta"/>
        <w:spacing w:before="100"/>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spacing w:before="100"/>
      </w:pPr>
      <w:r>
        <w:tab/>
        <w:t>(a)</w:t>
      </w:r>
      <w:r>
        <w:tab/>
        <w:t>the application is made in accordance with subsection (3); and</w:t>
      </w:r>
    </w:p>
    <w:p>
      <w:pPr>
        <w:pStyle w:val="Indenta"/>
        <w:spacing w:before="100"/>
      </w:pPr>
      <w:r>
        <w:tab/>
        <w:t>(b)</w:t>
      </w:r>
      <w:r>
        <w:tab/>
        <w:t>the judgment to which the order relates has not been satisfied; and</w:t>
      </w:r>
    </w:p>
    <w:p>
      <w:pPr>
        <w:pStyle w:val="Indenta"/>
        <w:spacing w:before="100"/>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Until the order is registered in respect of a saleable interest, a sherif</w:t>
      </w:r>
      <w:r>
        <w:rPr>
          <w:rFonts w:ascii="Times" w:hAnsi="Times"/>
          <w:spacing w:val="8"/>
        </w:rPr>
        <w:t>f</w:t>
      </w:r>
      <w:r>
        <w:rPr>
          <w:rFonts w:ascii="Times" w:hAnsi="Times"/>
          <w:kern w:val="16"/>
        </w:rPr>
        <w:t>’</w:t>
      </w:r>
      <w:r>
        <w:t>s dealing in relation to the interest is not valid as against a purchaser of the interest for valuable consideration, notwithstanding that at the time of the purchase —</w:t>
      </w:r>
    </w:p>
    <w:p>
      <w:pPr>
        <w:pStyle w:val="Indenta"/>
        <w:spacing w:before="60"/>
      </w:pPr>
      <w:r>
        <w:tab/>
        <w:t>(a)</w:t>
      </w:r>
      <w:r>
        <w:tab/>
        <w:t>the order had been received by the sheriff; or</w:t>
      </w:r>
    </w:p>
    <w:p>
      <w:pPr>
        <w:pStyle w:val="Indenta"/>
      </w:pPr>
      <w:r>
        <w:tab/>
        <w:t>(b)</w:t>
      </w:r>
      <w:r>
        <w:tab/>
        <w:t>the purchaser had actual or constructive notice of the order.</w:t>
      </w:r>
    </w:p>
    <w:p>
      <w:pPr>
        <w:pStyle w:val="Subsection"/>
        <w:spacing w:before="180"/>
      </w:pPr>
      <w:r>
        <w:tab/>
        <w:t>(7)</w:t>
      </w:r>
      <w:r>
        <w:tab/>
        <w:t>While the order has effect in respect of a saleable interest none of the following prevails against a sherif</w:t>
      </w:r>
      <w:r>
        <w:rPr>
          <w:rFonts w:ascii="Times" w:hAnsi="Times"/>
          <w:spacing w:val="8"/>
        </w:rPr>
        <w:t>f</w:t>
      </w:r>
      <w:r>
        <w:t>’s dealing in relation to the interest —</w:t>
      </w:r>
    </w:p>
    <w:p>
      <w:pPr>
        <w:pStyle w:val="Indenta"/>
      </w:pPr>
      <w:r>
        <w:tab/>
        <w:t>(a)</w:t>
      </w:r>
      <w:r>
        <w:tab/>
        <w:t>an unregistered instrument, document, or writing;</w:t>
      </w:r>
    </w:p>
    <w:p>
      <w:pPr>
        <w:pStyle w:val="Indenta"/>
      </w:pPr>
      <w:r>
        <w:lastRenderedPageBreak/>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w:t>
      </w:r>
      <w:r>
        <w:rPr>
          <w:rFonts w:ascii="Times" w:hAnsi="Times"/>
          <w:spacing w:val="8"/>
        </w:rPr>
        <w:t>f</w:t>
      </w:r>
      <w:r>
        <w:t>’s dealing is lodged, the Registrar must register the dealing.</w:t>
      </w:r>
    </w:p>
    <w:p>
      <w:pPr>
        <w:pStyle w:val="Ednotesubsection"/>
      </w:pPr>
      <w:r>
        <w:tab/>
        <w:t>[(10</w:t>
      </w:r>
      <w:r>
        <w:tab/>
        <w:t>deleted]</w:t>
      </w:r>
    </w:p>
    <w:p>
      <w:pPr>
        <w:pStyle w:val="Subsection"/>
        <w:spacing w:before="200"/>
      </w:pPr>
      <w:r>
        <w:tab/>
        <w:t>(11)</w:t>
      </w:r>
      <w:r>
        <w:tab/>
        <w:t>When a sherif</w:t>
      </w:r>
      <w:r>
        <w:rPr>
          <w:rFonts w:ascii="Times" w:hAnsi="Times"/>
          <w:spacing w:val="8"/>
        </w:rPr>
        <w:t>f</w:t>
      </w:r>
      <w:r>
        <w:t>’s dealing is registered under subsection (9) in respect of a saleable interest —</w:t>
      </w:r>
    </w:p>
    <w:p>
      <w:pPr>
        <w:pStyle w:val="Indenta"/>
        <w:spacing w:before="100"/>
      </w:pPr>
      <w:r>
        <w:tab/>
        <w:t>(a)</w:t>
      </w:r>
      <w:r>
        <w:tab/>
        <w:t>the dealing, if made by the sheriff, has effect as if it was made by the judgment debtor; and</w:t>
      </w:r>
    </w:p>
    <w:p>
      <w:pPr>
        <w:pStyle w:val="Indenta"/>
        <w:spacing w:before="100"/>
      </w:pPr>
      <w:r>
        <w:tab/>
        <w:t>(b)</w:t>
      </w:r>
      <w:r>
        <w:tab/>
        <w:t>the judgment debtor’s title to the saleable interest is extinguished; and</w:t>
      </w:r>
    </w:p>
    <w:p>
      <w:pPr>
        <w:pStyle w:val="Indenta"/>
        <w:spacing w:before="100"/>
      </w:pPr>
      <w:r>
        <w:tab/>
        <w:t>(c)</w:t>
      </w:r>
      <w:r>
        <w:tab/>
        <w:t xml:space="preserve">any estate or interest of an unregistered purchaser, transferee or mortgagee of the saleable interest or of a </w:t>
      </w:r>
      <w:r>
        <w:lastRenderedPageBreak/>
        <w:t>person claiming under or through the judgment debtor is extinguished unless it is the subject of a caveat —</w:t>
      </w:r>
    </w:p>
    <w:p>
      <w:pPr>
        <w:pStyle w:val="Indenti"/>
        <w:spacing w:before="100"/>
      </w:pPr>
      <w:r>
        <w:tab/>
        <w:t>(i)</w:t>
      </w:r>
      <w:r>
        <w:tab/>
        <w:t>lodged before the Registrar received the application to register the order; or</w:t>
      </w:r>
    </w:p>
    <w:p>
      <w:pPr>
        <w:pStyle w:val="Indenti"/>
        <w:spacing w:before="100"/>
      </w:pPr>
      <w:r>
        <w:tab/>
        <w:t>(ii)</w:t>
      </w:r>
      <w:r>
        <w:tab/>
        <w:t>lodged with the permission of the sheriff while the order has effect.</w:t>
      </w:r>
    </w:p>
    <w:p>
      <w:pPr>
        <w:pStyle w:val="Subsection"/>
        <w:keepNext/>
        <w:spacing w:before="200"/>
      </w:pPr>
      <w:r>
        <w:tab/>
        <w:t>(12)</w:t>
      </w:r>
      <w:r>
        <w:tab/>
        <w:t>If while the order has effect —</w:t>
      </w:r>
    </w:p>
    <w:p>
      <w:pPr>
        <w:pStyle w:val="Indenta"/>
        <w:spacing w:before="100"/>
      </w:pPr>
      <w:r>
        <w:tab/>
        <w:t>(a)</w:t>
      </w:r>
      <w:r>
        <w:tab/>
        <w:t>a saleable interest in respect of which the order is registered is transferred by the registration of a sherif</w:t>
      </w:r>
      <w:r>
        <w:rPr>
          <w:rFonts w:ascii="Times" w:hAnsi="Times"/>
          <w:spacing w:val="8"/>
        </w:rPr>
        <w:t>f</w:t>
      </w:r>
      <w:r>
        <w:t>’s dealing or otherwise; or</w:t>
      </w:r>
    </w:p>
    <w:p>
      <w:pPr>
        <w:pStyle w:val="Indenta"/>
        <w:spacing w:before="100"/>
      </w:pPr>
      <w:r>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lastRenderedPageBreak/>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w:t>
      </w:r>
      <w:r>
        <w:rPr>
          <w:rFonts w:ascii="Times" w:hAnsi="Times"/>
          <w:spacing w:val="8"/>
        </w:rPr>
        <w:t>f</w:t>
      </w:r>
      <w:r>
        <w:t>’s permission is lodged, the sherif</w:t>
      </w:r>
      <w:r>
        <w:rPr>
          <w:rFonts w:ascii="Times" w:hAnsi="Times"/>
          <w:spacing w:val="8"/>
        </w:rPr>
        <w:t>f</w:t>
      </w:r>
      <w:r>
        <w:t>’s written permission must be lodged with or endorsed on the instrument or caveat.</w:t>
      </w:r>
    </w:p>
    <w:p>
      <w:pPr>
        <w:pStyle w:val="Footnotesection"/>
      </w:pPr>
      <w:r>
        <w:tab/>
        <w:t>[Section 133 inserted: No. 59 of 2004 s. 138; amended: No. 5 of 2008 s. 122; No. 21 of 2022 s. 30.]</w:t>
      </w:r>
    </w:p>
    <w:p>
      <w:pPr>
        <w:pStyle w:val="Heading5"/>
        <w:rPr>
          <w:snapToGrid w:val="0"/>
        </w:rPr>
      </w:pPr>
      <w:bookmarkStart w:id="268" w:name="_Toc210129882"/>
      <w:r>
        <w:rPr>
          <w:rStyle w:val="CharSectno"/>
        </w:rPr>
        <w:t>134</w:t>
      </w:r>
      <w:r>
        <w:rPr>
          <w:snapToGrid w:val="0"/>
        </w:rPr>
        <w:t>.</w:t>
      </w:r>
      <w:r>
        <w:rPr>
          <w:snapToGrid w:val="0"/>
        </w:rPr>
        <w:tab/>
        <w:t>Purchaser from registered proprietor not required to inquire into title and not affected by notice of unregistered interest etc.</w:t>
      </w:r>
      <w:bookmarkEnd w:id="268"/>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lastRenderedPageBreak/>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enquire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No. 17 of 1950 s. 37; No. 81 of 1996 s. 145(1); No. 31 of 1997 s. 114.]</w:t>
      </w:r>
    </w:p>
    <w:p>
      <w:pPr>
        <w:pStyle w:val="Heading5"/>
        <w:rPr>
          <w:snapToGrid w:val="0"/>
        </w:rPr>
      </w:pPr>
      <w:bookmarkStart w:id="269" w:name="_Toc210129883"/>
      <w:r>
        <w:rPr>
          <w:rStyle w:val="CharSectno"/>
        </w:rPr>
        <w:t>135</w:t>
      </w:r>
      <w:r>
        <w:rPr>
          <w:snapToGrid w:val="0"/>
        </w:rPr>
        <w:t>.</w:t>
      </w:r>
      <w:r>
        <w:rPr>
          <w:snapToGrid w:val="0"/>
        </w:rPr>
        <w:tab/>
        <w:t>Transferee of tenant in tail may be registered for larger estate which tenant in tail can confer</w:t>
      </w:r>
      <w:bookmarkEnd w:id="269"/>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No. 81 of 1996 s. 79.]</w:t>
      </w:r>
    </w:p>
    <w:p>
      <w:pPr>
        <w:pStyle w:val="Heading5"/>
        <w:rPr>
          <w:snapToGrid w:val="0"/>
        </w:rPr>
      </w:pPr>
      <w:bookmarkStart w:id="270" w:name="_Toc210129884"/>
      <w:r>
        <w:rPr>
          <w:rStyle w:val="CharSectno"/>
        </w:rPr>
        <w:lastRenderedPageBreak/>
        <w:t>136</w:t>
      </w:r>
      <w:r>
        <w:rPr>
          <w:snapToGrid w:val="0"/>
        </w:rPr>
        <w:t>.</w:t>
      </w:r>
      <w:r>
        <w:rPr>
          <w:snapToGrid w:val="0"/>
        </w:rPr>
        <w:tab/>
        <w:t>Registrar to furnish plan showing land dealt with where memorandum on certificate does not describe the land</w:t>
      </w:r>
      <w:bookmarkEnd w:id="270"/>
    </w:p>
    <w:p>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w:t>
      </w:r>
    </w:p>
    <w:p>
      <w:pPr>
        <w:pStyle w:val="Subsection"/>
        <w:keepNext/>
        <w:keepLines/>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No. 81 of 1996 s. 80; No. 6 of 2003 s. 42; No. 19 of 2010 s. 51.]</w:t>
      </w:r>
    </w:p>
    <w:p>
      <w:pPr>
        <w:pStyle w:val="Heading2"/>
      </w:pPr>
      <w:bookmarkStart w:id="271" w:name="_Toc166683536"/>
      <w:bookmarkStart w:id="272" w:name="_Toc166683912"/>
      <w:bookmarkStart w:id="273" w:name="_Toc166684698"/>
      <w:bookmarkStart w:id="274" w:name="_Toc210120307"/>
      <w:bookmarkStart w:id="275" w:name="_Toc210129885"/>
      <w:r>
        <w:rPr>
          <w:rStyle w:val="CharPartNo"/>
        </w:rPr>
        <w:lastRenderedPageBreak/>
        <w:t>Part IVA</w:t>
      </w:r>
      <w:r>
        <w:rPr>
          <w:rStyle w:val="CharDivNo"/>
        </w:rPr>
        <w:t> </w:t>
      </w:r>
      <w:r>
        <w:t>—</w:t>
      </w:r>
      <w:r>
        <w:rPr>
          <w:rStyle w:val="CharDivText"/>
        </w:rPr>
        <w:t> </w:t>
      </w:r>
      <w:r>
        <w:rPr>
          <w:rStyle w:val="CharPartText"/>
        </w:rPr>
        <w:t>Creation of easements and restrictive covenants by notations on subdivision plans and diagrams</w:t>
      </w:r>
      <w:bookmarkEnd w:id="271"/>
      <w:bookmarkEnd w:id="272"/>
      <w:bookmarkEnd w:id="273"/>
      <w:bookmarkEnd w:id="274"/>
      <w:bookmarkEnd w:id="275"/>
    </w:p>
    <w:p>
      <w:pPr>
        <w:pStyle w:val="Footnoteheading"/>
        <w:rPr>
          <w:snapToGrid w:val="0"/>
        </w:rPr>
      </w:pPr>
      <w:r>
        <w:rPr>
          <w:snapToGrid w:val="0"/>
        </w:rPr>
        <w:tab/>
        <w:t>[Heading inserted: No. 81 of 1996 s. 81.]</w:t>
      </w:r>
    </w:p>
    <w:p>
      <w:pPr>
        <w:pStyle w:val="Heading5"/>
        <w:spacing w:before="180"/>
        <w:rPr>
          <w:snapToGrid w:val="0"/>
        </w:rPr>
      </w:pPr>
      <w:bookmarkStart w:id="276" w:name="_Toc210129886"/>
      <w:r>
        <w:rPr>
          <w:rStyle w:val="CharSectno"/>
        </w:rPr>
        <w:t>136A</w:t>
      </w:r>
      <w:r>
        <w:rPr>
          <w:snapToGrid w:val="0"/>
        </w:rPr>
        <w:t>.</w:t>
      </w:r>
      <w:r>
        <w:rPr>
          <w:snapToGrid w:val="0"/>
        </w:rPr>
        <w:tab/>
        <w:t>Term used: plan</w:t>
      </w:r>
      <w:bookmarkEnd w:id="276"/>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spacing w:before="60"/>
        <w:rPr>
          <w:snapToGrid w:val="0"/>
        </w:rPr>
      </w:pPr>
      <w:r>
        <w:rPr>
          <w:snapToGrid w:val="0"/>
        </w:rPr>
        <w:tab/>
        <w:t>(a)</w:t>
      </w:r>
      <w:r>
        <w:rPr>
          <w:snapToGrid w:val="0"/>
        </w:rPr>
        <w:tab/>
        <w:t>a plan or diagram referred to in section 166 or 166A; or</w:t>
      </w:r>
    </w:p>
    <w:p>
      <w:pPr>
        <w:pStyle w:val="Indenta"/>
      </w:pPr>
      <w:r>
        <w:tab/>
        <w:t>(ab)</w:t>
      </w:r>
      <w:r>
        <w:tab/>
        <w:t xml:space="preserve">a scheme plan lodged for registration under the </w:t>
      </w:r>
      <w:r>
        <w:rPr>
          <w:i/>
        </w:rPr>
        <w:t>Community Titles Act 2018</w:t>
      </w:r>
      <w:r>
        <w:t>; or</w:t>
      </w:r>
    </w:p>
    <w:p>
      <w:pPr>
        <w:pStyle w:val="Indenta"/>
        <w:spacing w:before="60"/>
        <w:rPr>
          <w:snapToGrid w:val="0"/>
        </w:rPr>
      </w:pPr>
      <w:r>
        <w:rPr>
          <w:snapToGrid w:val="0"/>
        </w:rPr>
        <w:tab/>
        <w:t>(b)</w:t>
      </w:r>
      <w:r>
        <w:rPr>
          <w:snapToGrid w:val="0"/>
        </w:rPr>
        <w:tab/>
        <w:t xml:space="preserve">a </w:t>
      </w:r>
      <w:r>
        <w:t>scheme</w:t>
      </w:r>
      <w:r>
        <w:rPr>
          <w:snapToGrid w:val="0"/>
        </w:rPr>
        <w:t xml:space="preserve">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No. 81 of 1996 s. 81; amended: No. 31 of 1997 s. 115; No. 30 of 2018 s. 201; No. 32 of 2018 s. 256.]</w:t>
      </w:r>
    </w:p>
    <w:p>
      <w:pPr>
        <w:pStyle w:val="Heading5"/>
        <w:spacing w:before="180"/>
        <w:rPr>
          <w:snapToGrid w:val="0"/>
        </w:rPr>
      </w:pPr>
      <w:bookmarkStart w:id="277" w:name="_Toc210129887"/>
      <w:r>
        <w:rPr>
          <w:rStyle w:val="CharSectno"/>
        </w:rPr>
        <w:t>136B</w:t>
      </w:r>
      <w:r>
        <w:rPr>
          <w:snapToGrid w:val="0"/>
        </w:rPr>
        <w:t>.</w:t>
      </w:r>
      <w:r>
        <w:rPr>
          <w:snapToGrid w:val="0"/>
        </w:rPr>
        <w:tab/>
        <w:t>Application of this Part</w:t>
      </w:r>
      <w:bookmarkEnd w:id="277"/>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spacing w:before="60"/>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spacing w:before="60"/>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No. 81 of 1996 s. 81.]</w:t>
      </w:r>
    </w:p>
    <w:p>
      <w:pPr>
        <w:pStyle w:val="Heading5"/>
        <w:rPr>
          <w:snapToGrid w:val="0"/>
        </w:rPr>
      </w:pPr>
      <w:bookmarkStart w:id="278" w:name="_Toc210129888"/>
      <w:r>
        <w:rPr>
          <w:rStyle w:val="CharSectno"/>
        </w:rPr>
        <w:t>136C</w:t>
      </w:r>
      <w:r>
        <w:rPr>
          <w:snapToGrid w:val="0"/>
        </w:rPr>
        <w:t>.</w:t>
      </w:r>
      <w:r>
        <w:rPr>
          <w:snapToGrid w:val="0"/>
        </w:rPr>
        <w:tab/>
        <w:t>Notation of easements on subdivision plans</w:t>
      </w:r>
      <w:bookmarkEnd w:id="278"/>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rPr>
          <w:snapToGrid w:val="0"/>
        </w:rPr>
      </w:pPr>
      <w:r>
        <w:rPr>
          <w:snapToGrid w:val="0"/>
        </w:rPr>
        <w:lastRenderedPageBreak/>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 and</w:t>
      </w:r>
    </w:p>
    <w:p>
      <w:pPr>
        <w:pStyle w:val="Indenta"/>
        <w:rPr>
          <w:snapToGrid w:val="0"/>
        </w:rPr>
      </w:pPr>
      <w:r>
        <w:rPr>
          <w:snapToGrid w:val="0"/>
        </w:rPr>
        <w:tab/>
        <w:t>(c)</w:t>
      </w:r>
      <w:r>
        <w:rPr>
          <w:snapToGrid w:val="0"/>
        </w:rPr>
        <w:tab/>
        <w:t>a description of the easement, whether by way of a short form, a modified or supplemented short form or in another manner; and</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lastRenderedPageBreak/>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No. 81 of 1996 s. 81; amended: No. 6 of 2003 s. 44.]</w:t>
      </w:r>
    </w:p>
    <w:p>
      <w:pPr>
        <w:pStyle w:val="Heading5"/>
        <w:rPr>
          <w:snapToGrid w:val="0"/>
        </w:rPr>
      </w:pPr>
      <w:bookmarkStart w:id="279" w:name="_Toc210129889"/>
      <w:r>
        <w:rPr>
          <w:rStyle w:val="CharSectno"/>
        </w:rPr>
        <w:t>136D</w:t>
      </w:r>
      <w:r>
        <w:rPr>
          <w:snapToGrid w:val="0"/>
        </w:rPr>
        <w:t>.</w:t>
      </w:r>
      <w:r>
        <w:rPr>
          <w:snapToGrid w:val="0"/>
        </w:rPr>
        <w:tab/>
        <w:t>Notation of restrictive covenants on subdivision plans</w:t>
      </w:r>
      <w:bookmarkEnd w:id="279"/>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 and</w:t>
      </w:r>
    </w:p>
    <w:p>
      <w:pPr>
        <w:pStyle w:val="Indenta"/>
        <w:rPr>
          <w:snapToGrid w:val="0"/>
        </w:rPr>
      </w:pPr>
      <w:r>
        <w:rPr>
          <w:snapToGrid w:val="0"/>
        </w:rPr>
        <w:tab/>
        <w:t>(b)</w:t>
      </w:r>
      <w:r>
        <w:rPr>
          <w:snapToGrid w:val="0"/>
        </w:rPr>
        <w:tab/>
        <w:t>the land to be benefited by the restrictive covenant; and</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lastRenderedPageBreak/>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No. 81 of 1996 s. 81; amended: No. 6 of 2003 s. 45.]</w:t>
      </w:r>
    </w:p>
    <w:p>
      <w:pPr>
        <w:pStyle w:val="Heading5"/>
        <w:rPr>
          <w:snapToGrid w:val="0"/>
        </w:rPr>
      </w:pPr>
      <w:bookmarkStart w:id="280" w:name="_Toc210129890"/>
      <w:r>
        <w:rPr>
          <w:rStyle w:val="CharSectno"/>
        </w:rPr>
        <w:t>136E</w:t>
      </w:r>
      <w:r>
        <w:rPr>
          <w:snapToGrid w:val="0"/>
        </w:rPr>
        <w:t>.</w:t>
      </w:r>
      <w:r>
        <w:rPr>
          <w:snapToGrid w:val="0"/>
        </w:rPr>
        <w:tab/>
        <w:t>Consent of certain persons required to creation of easements and restrictive covenants</w:t>
      </w:r>
      <w:bookmarkEnd w:id="280"/>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 or</w:t>
      </w:r>
    </w:p>
    <w:p>
      <w:pPr>
        <w:pStyle w:val="Indenta"/>
        <w:rPr>
          <w:snapToGrid w:val="0"/>
        </w:rPr>
      </w:pPr>
      <w:r>
        <w:rPr>
          <w:snapToGrid w:val="0"/>
        </w:rPr>
        <w:tab/>
        <w:t>(b)</w:t>
      </w:r>
      <w:r>
        <w:rPr>
          <w:snapToGrid w:val="0"/>
        </w:rPr>
        <w:tab/>
        <w:t>is a caveator in respect of any land that would be burdened by the easement or the restrictive covenant; or</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No. 81 of 1996 s. 81.]</w:t>
      </w:r>
    </w:p>
    <w:p>
      <w:pPr>
        <w:pStyle w:val="Heading5"/>
        <w:rPr>
          <w:snapToGrid w:val="0"/>
        </w:rPr>
      </w:pPr>
      <w:bookmarkStart w:id="281" w:name="_Toc210129891"/>
      <w:r>
        <w:rPr>
          <w:rStyle w:val="CharSectno"/>
        </w:rPr>
        <w:lastRenderedPageBreak/>
        <w:t>136F</w:t>
      </w:r>
      <w:r>
        <w:rPr>
          <w:snapToGrid w:val="0"/>
        </w:rPr>
        <w:t>.</w:t>
      </w:r>
      <w:r>
        <w:rPr>
          <w:snapToGrid w:val="0"/>
        </w:rPr>
        <w:tab/>
        <w:t>When easements and restrictive covenants under this Part have effect</w:t>
      </w:r>
      <w:bookmarkEnd w:id="281"/>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w:t>
      </w:r>
      <w:r>
        <w:t>scheme</w:t>
      </w:r>
      <w:r>
        <w:rPr>
          <w:snapToGrid w:val="0"/>
        </w:rPr>
        <w:t xml:space="preserve"> plan lodged for registration under </w:t>
      </w:r>
      <w:r>
        <w:t xml:space="preserve">the </w:t>
      </w:r>
      <w:r>
        <w:rPr>
          <w:i/>
        </w:rPr>
        <w:t>Community Titles Act 2018</w:t>
      </w:r>
      <w:r>
        <w:t xml:space="preserve"> or</w:t>
      </w:r>
      <w:r>
        <w:rPr>
          <w:snapToGrid w:val="0"/>
        </w:rPr>
        <w:t xml:space="preserve"> the </w:t>
      </w:r>
      <w:r>
        <w:rPr>
          <w:i/>
          <w:snapToGrid w:val="0"/>
        </w:rPr>
        <w:t>Strata Titles Act 1985</w:t>
      </w:r>
      <w:r>
        <w:rPr>
          <w:snapToGrid w:val="0"/>
        </w:rPr>
        <w:t xml:space="preserve">, at the time the Registrar registers the </w:t>
      </w:r>
      <w:r>
        <w:t>scheme</w:t>
      </w:r>
      <w:r>
        <w:rPr>
          <w:snapToGrid w:val="0"/>
        </w:rPr>
        <w:t xml:space="preserv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No. 81 of 1996 s. 81; amended: No. 30 of 2018 s. 202; No. 32 of 2018 s. 257.]</w:t>
      </w:r>
    </w:p>
    <w:p>
      <w:pPr>
        <w:pStyle w:val="Heading5"/>
        <w:spacing w:before="240"/>
        <w:rPr>
          <w:snapToGrid w:val="0"/>
        </w:rPr>
      </w:pPr>
      <w:bookmarkStart w:id="282" w:name="_Toc210129892"/>
      <w:r>
        <w:rPr>
          <w:rStyle w:val="CharSectno"/>
        </w:rPr>
        <w:t>136G</w:t>
      </w:r>
      <w:r>
        <w:rPr>
          <w:snapToGrid w:val="0"/>
        </w:rPr>
        <w:t>.</w:t>
      </w:r>
      <w:r>
        <w:rPr>
          <w:snapToGrid w:val="0"/>
        </w:rPr>
        <w:tab/>
        <w:t>Easements and restrictive covenants under this Part may be effective for specified term only</w:t>
      </w:r>
      <w:bookmarkEnd w:id="282"/>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No. 81 of 1996 s. 81.]</w:t>
      </w:r>
    </w:p>
    <w:p>
      <w:pPr>
        <w:pStyle w:val="Heading5"/>
        <w:spacing w:before="240"/>
        <w:rPr>
          <w:snapToGrid w:val="0"/>
        </w:rPr>
      </w:pPr>
      <w:bookmarkStart w:id="283" w:name="_Toc210129893"/>
      <w:r>
        <w:rPr>
          <w:rStyle w:val="CharSectno"/>
        </w:rPr>
        <w:t>136H</w:t>
      </w:r>
      <w:r>
        <w:rPr>
          <w:snapToGrid w:val="0"/>
        </w:rPr>
        <w:t>.</w:t>
      </w:r>
      <w:r>
        <w:rPr>
          <w:snapToGrid w:val="0"/>
        </w:rPr>
        <w:tab/>
        <w:t>Easements and restrictive covenants under this Part may both burden and benefit land of same proprietor</w:t>
      </w:r>
      <w:bookmarkEnd w:id="283"/>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w:t>
      </w:r>
      <w:r>
        <w:rPr>
          <w:snapToGrid w:val="0"/>
        </w:rPr>
        <w:lastRenderedPageBreak/>
        <w:t>restrictive covenant has the same proprietor as any land benefited by the easement or restrictive covenant.</w:t>
      </w:r>
    </w:p>
    <w:p>
      <w:pPr>
        <w:pStyle w:val="Footnotesection"/>
        <w:spacing w:before="160"/>
        <w:ind w:left="890" w:hanging="890"/>
      </w:pPr>
      <w:r>
        <w:tab/>
        <w:t>[Section 136H inserted: No. 81 of 1996 s. 81.]</w:t>
      </w:r>
    </w:p>
    <w:p>
      <w:pPr>
        <w:pStyle w:val="Heading5"/>
        <w:spacing w:before="240"/>
        <w:rPr>
          <w:snapToGrid w:val="0"/>
        </w:rPr>
      </w:pPr>
      <w:bookmarkStart w:id="284" w:name="_Toc210129894"/>
      <w:r>
        <w:rPr>
          <w:rStyle w:val="CharSectno"/>
        </w:rPr>
        <w:t>136I</w:t>
      </w:r>
      <w:r>
        <w:rPr>
          <w:snapToGrid w:val="0"/>
        </w:rPr>
        <w:t>.</w:t>
      </w:r>
      <w:r>
        <w:rPr>
          <w:snapToGrid w:val="0"/>
        </w:rPr>
        <w:tab/>
        <w:t>Recordings in Register</w:t>
      </w:r>
      <w:bookmarkEnd w:id="284"/>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No. 81 of 1996 s. 81.]</w:t>
      </w:r>
    </w:p>
    <w:p>
      <w:pPr>
        <w:pStyle w:val="Heading5"/>
        <w:rPr>
          <w:snapToGrid w:val="0"/>
        </w:rPr>
      </w:pPr>
      <w:bookmarkStart w:id="285" w:name="_Toc210129895"/>
      <w:r>
        <w:rPr>
          <w:rStyle w:val="CharSectno"/>
        </w:rPr>
        <w:t>136J</w:t>
      </w:r>
      <w:r>
        <w:rPr>
          <w:snapToGrid w:val="0"/>
        </w:rPr>
        <w:t>.</w:t>
      </w:r>
      <w:r>
        <w:rPr>
          <w:snapToGrid w:val="0"/>
        </w:rPr>
        <w:tab/>
        <w:t>Discharge and modification of easements and restrictive covenants under this Part</w:t>
      </w:r>
      <w:bookmarkEnd w:id="285"/>
    </w:p>
    <w:p>
      <w:pPr>
        <w:pStyle w:val="Subsection"/>
        <w:keepNext/>
        <w:keepLines/>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t xml:space="preserve">the </w:t>
      </w:r>
      <w:r>
        <w:rPr>
          <w:rStyle w:val="CharDefText"/>
        </w:rPr>
        <w:t>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lastRenderedPageBreak/>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 and</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w:t>
      </w:r>
      <w:r>
        <w:rPr>
          <w:snapToGrid w:val="0"/>
        </w:rPr>
        <w:lastRenderedPageBreak/>
        <w:t>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No. 81 of 1996 s. 81; amended: No. 3 of 1999 s. 5.]</w:t>
      </w:r>
    </w:p>
    <w:p>
      <w:pPr>
        <w:pStyle w:val="Heading2"/>
      </w:pPr>
      <w:bookmarkStart w:id="286" w:name="_Toc166683547"/>
      <w:bookmarkStart w:id="287" w:name="_Toc166683923"/>
      <w:bookmarkStart w:id="288" w:name="_Toc166684709"/>
      <w:bookmarkStart w:id="289" w:name="_Toc210120318"/>
      <w:bookmarkStart w:id="290" w:name="_Toc210129896"/>
      <w:r>
        <w:rPr>
          <w:rStyle w:val="CharPartNo"/>
        </w:rPr>
        <w:lastRenderedPageBreak/>
        <w:t>Part V</w:t>
      </w:r>
      <w:r>
        <w:rPr>
          <w:rStyle w:val="CharDivNo"/>
        </w:rPr>
        <w:t> </w:t>
      </w:r>
      <w:r>
        <w:t>—</w:t>
      </w:r>
      <w:r>
        <w:rPr>
          <w:rStyle w:val="CharDivText"/>
        </w:rPr>
        <w:t> </w:t>
      </w:r>
      <w:r>
        <w:rPr>
          <w:rStyle w:val="CharPartText"/>
        </w:rPr>
        <w:t>Caveats</w:t>
      </w:r>
      <w:bookmarkEnd w:id="286"/>
      <w:bookmarkEnd w:id="287"/>
      <w:bookmarkEnd w:id="288"/>
      <w:bookmarkEnd w:id="289"/>
      <w:bookmarkEnd w:id="290"/>
    </w:p>
    <w:p>
      <w:pPr>
        <w:pStyle w:val="Heading5"/>
        <w:rPr>
          <w:snapToGrid w:val="0"/>
        </w:rPr>
      </w:pPr>
      <w:bookmarkStart w:id="291" w:name="_Toc210129897"/>
      <w:r>
        <w:rPr>
          <w:rStyle w:val="CharSectno"/>
        </w:rPr>
        <w:t>136K</w:t>
      </w:r>
      <w:r>
        <w:rPr>
          <w:snapToGrid w:val="0"/>
        </w:rPr>
        <w:t>.</w:t>
      </w:r>
      <w:r>
        <w:rPr>
          <w:snapToGrid w:val="0"/>
        </w:rPr>
        <w:tab/>
        <w:t>Term used: section 138A caveat; application of this Part</w:t>
      </w:r>
      <w:bookmarkEnd w:id="291"/>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No. 81 of 1996 s. 82; amended: No. 31 of 1997 s. 116; No. 59 of 2004 s. 140.]</w:t>
      </w:r>
    </w:p>
    <w:p>
      <w:pPr>
        <w:pStyle w:val="Heading5"/>
        <w:rPr>
          <w:snapToGrid w:val="0"/>
        </w:rPr>
      </w:pPr>
      <w:bookmarkStart w:id="292" w:name="_Toc210129898"/>
      <w:r>
        <w:rPr>
          <w:rStyle w:val="CharSectno"/>
        </w:rPr>
        <w:t>137</w:t>
      </w:r>
      <w:r>
        <w:rPr>
          <w:snapToGrid w:val="0"/>
        </w:rPr>
        <w:t>.</w:t>
      </w:r>
      <w:r>
        <w:rPr>
          <w:snapToGrid w:val="0"/>
        </w:rPr>
        <w:tab/>
        <w:t>Lodging caveats for land already under this Act</w:t>
      </w:r>
      <w:bookmarkEnd w:id="292"/>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pPr>
        <w:pStyle w:val="Subsection"/>
        <w:rPr>
          <w:snapToGrid w:val="0"/>
        </w:rPr>
      </w:pPr>
      <w:r>
        <w:rPr>
          <w:snapToGrid w:val="0"/>
        </w:rPr>
        <w:lastRenderedPageBreak/>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pPr>
        <w:pStyle w:val="Subsection"/>
      </w:pPr>
      <w:r>
        <w:tab/>
        <w:t>(1D)</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Ednotepara"/>
      </w:pPr>
      <w:r>
        <w:tab/>
        <w:t>[(b)</w:t>
      </w:r>
      <w:r>
        <w:tab/>
        <w:t>deleted]</w:t>
      </w:r>
    </w:p>
    <w:p>
      <w:pPr>
        <w:pStyle w:val="Indenta"/>
      </w:pPr>
      <w:r>
        <w:tab/>
        <w:t>(c)</w:t>
      </w:r>
      <w:r>
        <w:tab/>
        <w:t>a way of receiving notices electronically (for example, an email address) that is prescribed by the regulations for the purposes of this paragraph.</w:t>
      </w:r>
    </w:p>
    <w:p>
      <w:pPr>
        <w:pStyle w:val="Subsection"/>
      </w:pPr>
      <w:r>
        <w:tab/>
        <w:t>(1E)</w:t>
      </w:r>
      <w:r>
        <w:tab/>
        <w:t xml:space="preserve">A number for a facsimile machine in Australia may be used for the purposes referred to in subsection (1D) if — </w:t>
      </w:r>
    </w:p>
    <w:p>
      <w:pPr>
        <w:pStyle w:val="Indenta"/>
      </w:pPr>
      <w:r>
        <w:tab/>
        <w:t>(a)</w:t>
      </w:r>
      <w:r>
        <w:tab/>
        <w:t xml:space="preserve">a caveat under this section is lodged before the day on which the </w:t>
      </w:r>
      <w:r>
        <w:rPr>
          <w:i/>
        </w:rPr>
        <w:t>Transfer of Land Amendment Act 2022</w:t>
      </w:r>
      <w:r>
        <w:t xml:space="preserve"> section 31 comes into operation; and</w:t>
      </w:r>
    </w:p>
    <w:p>
      <w:pPr>
        <w:pStyle w:val="Indenta"/>
      </w:pPr>
      <w:r>
        <w:tab/>
        <w:t>(b)</w:t>
      </w:r>
      <w:r>
        <w:tab/>
        <w:t>that number is specified in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lastRenderedPageBreak/>
        <w:tab/>
        <w:t>[Section 137 amended: 60 Vict. No. 22 s. 4; No. 17 of 1950 s. 38; No. 81 of 1996 s. 83 and 146(1); No. 56 of 2003 s. 17; No. 19 of 2010 s. 51; No. 2 of 2014 s. 76; No. 21 of 2022 s. 31.]</w:t>
      </w:r>
    </w:p>
    <w:p>
      <w:pPr>
        <w:pStyle w:val="Heading5"/>
        <w:rPr>
          <w:snapToGrid w:val="0"/>
        </w:rPr>
      </w:pPr>
      <w:bookmarkStart w:id="293" w:name="_Toc210129899"/>
      <w:r>
        <w:rPr>
          <w:rStyle w:val="CharSectno"/>
        </w:rPr>
        <w:t>138</w:t>
      </w:r>
      <w:r>
        <w:rPr>
          <w:snapToGrid w:val="0"/>
        </w:rPr>
        <w:t>.</w:t>
      </w:r>
      <w:r>
        <w:rPr>
          <w:snapToGrid w:val="0"/>
        </w:rPr>
        <w:tab/>
        <w:t>Consequences of lodging caveat</w:t>
      </w:r>
      <w:bookmarkEnd w:id="293"/>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 xml:space="preserve">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w:t>
      </w:r>
      <w:r>
        <w:rPr>
          <w:snapToGrid w:val="0"/>
        </w:rPr>
        <w:lastRenderedPageBreak/>
        <w:t>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ind w:left="890" w:hanging="890"/>
      </w:pPr>
      <w:r>
        <w:tab/>
        <w:t>[Section 138 amended: No. 17 of 1950 s. 39; No. 81 of 1996 s. 145(1); No. 59 of 2004 s. 139; No. 5 of 2008 s. 123.]</w:t>
      </w:r>
    </w:p>
    <w:p>
      <w:pPr>
        <w:pStyle w:val="Heading5"/>
        <w:rPr>
          <w:snapToGrid w:val="0"/>
        </w:rPr>
      </w:pPr>
      <w:bookmarkStart w:id="294" w:name="_Toc210129900"/>
      <w:r>
        <w:rPr>
          <w:rStyle w:val="CharSectno"/>
        </w:rPr>
        <w:t>138A</w:t>
      </w:r>
      <w:r>
        <w:rPr>
          <w:snapToGrid w:val="0"/>
        </w:rPr>
        <w:t>.</w:t>
      </w:r>
      <w:r>
        <w:rPr>
          <w:snapToGrid w:val="0"/>
        </w:rPr>
        <w:tab/>
        <w:t>Caveats to which s. 138B to 138D apply</w:t>
      </w:r>
      <w:bookmarkEnd w:id="294"/>
    </w:p>
    <w:p>
      <w:pPr>
        <w:pStyle w:val="Subsection"/>
        <w:rPr>
          <w:snapToGrid w:val="0"/>
        </w:rPr>
      </w:pPr>
      <w:r>
        <w:rPr>
          <w:snapToGrid w:val="0"/>
        </w:rPr>
        <w:tab/>
      </w:r>
      <w:r>
        <w:rPr>
          <w:snapToGrid w:val="0"/>
        </w:rPr>
        <w:tab/>
        <w:t>A caveat that has not been lodged —</w:t>
      </w:r>
    </w:p>
    <w:p>
      <w:pPr>
        <w:pStyle w:val="Indenta"/>
        <w:rPr>
          <w:snapToGrid w:val="0"/>
        </w:rPr>
      </w:pPr>
      <w:r>
        <w:rPr>
          <w:snapToGrid w:val="0"/>
        </w:rPr>
        <w:tab/>
        <w:t>(a)</w:t>
      </w:r>
      <w:r>
        <w:rPr>
          <w:snapToGrid w:val="0"/>
        </w:rPr>
        <w:tab/>
        <w:t>under section 30, 176 or 223A; or</w:t>
      </w:r>
    </w:p>
    <w:p>
      <w:pPr>
        <w:pStyle w:val="Indenta"/>
        <w:rPr>
          <w:snapToGrid w:val="0"/>
        </w:rPr>
      </w:pPr>
      <w:r>
        <w:rPr>
          <w:snapToGrid w:val="0"/>
        </w:rPr>
        <w:tab/>
        <w:t>(b)</w:t>
      </w:r>
      <w:r>
        <w:rPr>
          <w:snapToGrid w:val="0"/>
        </w:rPr>
        <w:tab/>
        <w:t>by or on behalf of a beneficiary claiming under a will or settlement; or</w:t>
      </w:r>
    </w:p>
    <w:p>
      <w:pPr>
        <w:pStyle w:val="Indenta"/>
        <w:rPr>
          <w:snapToGrid w:val="0"/>
        </w:rPr>
      </w:pPr>
      <w:r>
        <w:rPr>
          <w:snapToGrid w:val="0"/>
        </w:rPr>
        <w:tab/>
        <w:t>(c)</w:t>
      </w:r>
      <w:r>
        <w:rPr>
          <w:snapToGrid w:val="0"/>
        </w:rPr>
        <w:tab/>
        <w:t>under a court order; or</w:t>
      </w:r>
    </w:p>
    <w:p>
      <w:pPr>
        <w:pStyle w:val="Indenta"/>
        <w:rPr>
          <w:snapToGrid w:val="0"/>
        </w:rPr>
      </w:pPr>
      <w:r>
        <w:rPr>
          <w:snapToGrid w:val="0"/>
        </w:rPr>
        <w:tab/>
        <w:t>(d)</w:t>
      </w:r>
      <w:r>
        <w:rPr>
          <w:snapToGrid w:val="0"/>
        </w:rPr>
        <w:tab/>
        <w:t>by the Registrar on the direction of the Commissioner; or</w:t>
      </w:r>
    </w:p>
    <w:p>
      <w:pPr>
        <w:pStyle w:val="Indenta"/>
        <w:rPr>
          <w:snapToGrid w:val="0"/>
        </w:rPr>
      </w:pPr>
      <w:r>
        <w:rPr>
          <w:snapToGrid w:val="0"/>
        </w:rPr>
        <w:tab/>
        <w:t>(e)</w:t>
      </w:r>
      <w:r>
        <w:rPr>
          <w:snapToGrid w:val="0"/>
        </w:rPr>
        <w:tab/>
        <w:t>under any written law other than this Act; or</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ind w:left="890" w:hanging="890"/>
      </w:pPr>
      <w:r>
        <w:tab/>
        <w:t>[Section 138A inserted: No. 81 of 1996 s. 84.]</w:t>
      </w:r>
    </w:p>
    <w:p>
      <w:pPr>
        <w:pStyle w:val="Heading5"/>
        <w:rPr>
          <w:snapToGrid w:val="0"/>
        </w:rPr>
      </w:pPr>
      <w:bookmarkStart w:id="295" w:name="_Toc210129901"/>
      <w:r>
        <w:rPr>
          <w:rStyle w:val="CharSectno"/>
        </w:rPr>
        <w:t>138B</w:t>
      </w:r>
      <w:r>
        <w:rPr>
          <w:snapToGrid w:val="0"/>
        </w:rPr>
        <w:t>.</w:t>
      </w:r>
      <w:r>
        <w:rPr>
          <w:snapToGrid w:val="0"/>
        </w:rPr>
        <w:tab/>
        <w:t>Requiring caveator to seek court order extending s. 138A caveat</w:t>
      </w:r>
      <w:bookmarkEnd w:id="295"/>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w:t>
      </w:r>
      <w:r>
        <w:lastRenderedPageBreak/>
        <w:t xml:space="preserve">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pPr>
        <w:pStyle w:val="Indenta"/>
      </w:pPr>
      <w:r>
        <w:tab/>
        <w:t>(a)</w:t>
      </w:r>
      <w:r>
        <w:tab/>
        <w:t>obtained from the Supreme Court an order extending the operation of the caveat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ind w:left="890" w:hanging="890"/>
      </w:pPr>
      <w:r>
        <w:tab/>
        <w:t>[Section 138B inserted: No. 81 of 1996 s. 84; amended: No. 59 of 2004 s. 140.]</w:t>
      </w:r>
    </w:p>
    <w:p>
      <w:pPr>
        <w:pStyle w:val="Heading5"/>
        <w:rPr>
          <w:snapToGrid w:val="0"/>
        </w:rPr>
      </w:pPr>
      <w:bookmarkStart w:id="296" w:name="_Toc210129902"/>
      <w:r>
        <w:rPr>
          <w:rStyle w:val="CharSectno"/>
        </w:rPr>
        <w:t>138C</w:t>
      </w:r>
      <w:r>
        <w:rPr>
          <w:snapToGrid w:val="0"/>
        </w:rPr>
        <w:t>.</w:t>
      </w:r>
      <w:r>
        <w:rPr>
          <w:snapToGrid w:val="0"/>
        </w:rPr>
        <w:tab/>
        <w:t>Supreme Court’s powers on application by caveator</w:t>
      </w:r>
      <w:bookmarkEnd w:id="296"/>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w:t>
      </w:r>
    </w:p>
    <w:p>
      <w:pPr>
        <w:pStyle w:val="Indenta"/>
        <w:rPr>
          <w:snapToGrid w:val="0"/>
        </w:rPr>
      </w:pPr>
      <w:r>
        <w:rPr>
          <w:snapToGrid w:val="0"/>
        </w:rPr>
        <w:tab/>
        <w:t>(a)</w:t>
      </w:r>
      <w:r>
        <w:rPr>
          <w:snapToGrid w:val="0"/>
        </w:rPr>
        <w:tab/>
        <w:t>if satisfied that the caveator’s claim has or may have substance —</w:t>
      </w:r>
    </w:p>
    <w:p>
      <w:pPr>
        <w:pStyle w:val="Indenti"/>
        <w:rPr>
          <w:snapToGrid w:val="0"/>
        </w:rPr>
      </w:pPr>
      <w:r>
        <w:rPr>
          <w:snapToGrid w:val="0"/>
        </w:rPr>
        <w:tab/>
        <w:t>(i)</w:t>
      </w:r>
      <w:r>
        <w:rPr>
          <w:snapToGrid w:val="0"/>
        </w:rPr>
        <w:tab/>
        <w:t>may make an order extending the operation of the caveat for such period as is specified in the order; or</w:t>
      </w:r>
    </w:p>
    <w:p>
      <w:pPr>
        <w:pStyle w:val="Indenti"/>
        <w:rPr>
          <w:snapToGrid w:val="0"/>
        </w:rPr>
      </w:pPr>
      <w:r>
        <w:rPr>
          <w:snapToGrid w:val="0"/>
        </w:rPr>
        <w:lastRenderedPageBreak/>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if not satisfied that the caveator’s claim has or may have substance, shall dismiss the application; and</w:t>
      </w:r>
    </w:p>
    <w:p>
      <w:pPr>
        <w:pStyle w:val="Indenta"/>
        <w:spacing w:before="60"/>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ind w:left="890" w:hanging="890"/>
      </w:pPr>
      <w:r>
        <w:tab/>
        <w:t>[Section 138C inserted: No. 81 of 1996 s. 84.]</w:t>
      </w:r>
    </w:p>
    <w:p>
      <w:pPr>
        <w:pStyle w:val="Heading5"/>
        <w:rPr>
          <w:snapToGrid w:val="0"/>
        </w:rPr>
      </w:pPr>
      <w:bookmarkStart w:id="297" w:name="_Toc210129903"/>
      <w:r>
        <w:rPr>
          <w:rStyle w:val="CharSectno"/>
        </w:rPr>
        <w:t>138D</w:t>
      </w:r>
      <w:r>
        <w:rPr>
          <w:snapToGrid w:val="0"/>
        </w:rPr>
        <w:t>.</w:t>
      </w:r>
      <w:r>
        <w:rPr>
          <w:snapToGrid w:val="0"/>
        </w:rPr>
        <w:tab/>
        <w:t>Restrictions on caveators lodging further s. 138A caveats</w:t>
      </w:r>
      <w:bookmarkEnd w:id="297"/>
    </w:p>
    <w:p>
      <w:pPr>
        <w:pStyle w:val="Subsection"/>
        <w:rPr>
          <w:snapToGrid w:val="0"/>
        </w:rPr>
      </w:pPr>
      <w:r>
        <w:rPr>
          <w:snapToGrid w:val="0"/>
        </w:rPr>
        <w:tab/>
        <w:t>(1)</w:t>
      </w:r>
      <w:r>
        <w:rPr>
          <w:snapToGrid w:val="0"/>
        </w:rPr>
        <w:tab/>
        <w:t>If a section 138A caveat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 or</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w:t>
      </w:r>
    </w:p>
    <w:p>
      <w:pPr>
        <w:pStyle w:val="Indenta"/>
      </w:pPr>
      <w:r>
        <w:tab/>
        <w:t>(d)</w:t>
      </w:r>
      <w:r>
        <w:tab/>
      </w:r>
      <w:r>
        <w:rPr>
          <w:snapToGrid w:val="0"/>
        </w:rPr>
        <w:t>the consent of the proprietor to do so and</w:t>
      </w:r>
      <w:r>
        <w:t xml:space="preserve">, if the notice issued under section 138B(1) was issued on the application of a judgment creditor, the consent of the </w:t>
      </w:r>
      <w:r>
        <w:lastRenderedPageBreak/>
        <w:t>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ind w:left="890" w:hanging="890"/>
      </w:pPr>
      <w:r>
        <w:tab/>
        <w:t>[Section 138D inserted: No. 81 of 1996 s. 84; amended: No. 59 of 2004 s. 140.]</w:t>
      </w:r>
    </w:p>
    <w:p>
      <w:pPr>
        <w:pStyle w:val="Heading5"/>
        <w:rPr>
          <w:snapToGrid w:val="0"/>
        </w:rPr>
      </w:pPr>
      <w:bookmarkStart w:id="298" w:name="_Toc210129904"/>
      <w:r>
        <w:rPr>
          <w:rStyle w:val="CharSectno"/>
        </w:rPr>
        <w:t>139</w:t>
      </w:r>
      <w:r>
        <w:rPr>
          <w:snapToGrid w:val="0"/>
        </w:rPr>
        <w:t>.</w:t>
      </w:r>
      <w:r>
        <w:rPr>
          <w:snapToGrid w:val="0"/>
        </w:rPr>
        <w:tab/>
        <w:t>Effect of caveats</w:t>
      </w:r>
      <w:bookmarkEnd w:id="298"/>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lastRenderedPageBreak/>
        <w:tab/>
        <w:t>[Section 139 amended: No. 17 of 1950 s. 40; No. 81 of 1996 s. 145(1); No. 5 of 2008 s. 124.]</w:t>
      </w:r>
    </w:p>
    <w:p>
      <w:pPr>
        <w:pStyle w:val="Heading5"/>
        <w:rPr>
          <w:snapToGrid w:val="0"/>
        </w:rPr>
      </w:pPr>
      <w:bookmarkStart w:id="299" w:name="_Toc210129905"/>
      <w:r>
        <w:rPr>
          <w:rStyle w:val="CharSectno"/>
        </w:rPr>
        <w:t>140</w:t>
      </w:r>
      <w:r>
        <w:rPr>
          <w:snapToGrid w:val="0"/>
        </w:rPr>
        <w:t>.</w:t>
      </w:r>
      <w:r>
        <w:rPr>
          <w:snapToGrid w:val="0"/>
        </w:rPr>
        <w:tab/>
        <w:t>Compensation for caveat lodged without reasonable cause</w:t>
      </w:r>
      <w:bookmarkEnd w:id="299"/>
    </w:p>
    <w:p>
      <w:pPr>
        <w:pStyle w:val="Subsection"/>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300" w:name="_Toc210129906"/>
      <w:r>
        <w:rPr>
          <w:rStyle w:val="CharSectno"/>
        </w:rPr>
        <w:t>141</w:t>
      </w:r>
      <w:r>
        <w:rPr>
          <w:snapToGrid w:val="0"/>
        </w:rPr>
        <w:t>.</w:t>
      </w:r>
      <w:r>
        <w:rPr>
          <w:snapToGrid w:val="0"/>
        </w:rPr>
        <w:tab/>
        <w:t>Registrar’s duties when caveat lodged or lapses</w:t>
      </w:r>
      <w:bookmarkEnd w:id="300"/>
    </w:p>
    <w:p>
      <w:pPr>
        <w:pStyle w:val="Subsection"/>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ind w:left="890" w:hanging="890"/>
      </w:pPr>
      <w:r>
        <w:tab/>
        <w:t>[Section 141 inserted: No. 81 of 1996 s. 85.]</w:t>
      </w:r>
    </w:p>
    <w:p>
      <w:pPr>
        <w:pStyle w:val="Heading5"/>
        <w:rPr>
          <w:snapToGrid w:val="0"/>
        </w:rPr>
      </w:pPr>
      <w:bookmarkStart w:id="301" w:name="_Toc210129907"/>
      <w:r>
        <w:rPr>
          <w:rStyle w:val="CharSectno"/>
        </w:rPr>
        <w:t>141A</w:t>
      </w:r>
      <w:r>
        <w:rPr>
          <w:snapToGrid w:val="0"/>
        </w:rPr>
        <w:t>.</w:t>
      </w:r>
      <w:r>
        <w:rPr>
          <w:snapToGrid w:val="0"/>
        </w:rPr>
        <w:tab/>
        <w:t>Requiring caveators to withdraw caveats or substantiate their claims</w:t>
      </w:r>
      <w:bookmarkEnd w:id="301"/>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w:t>
      </w:r>
      <w:r>
        <w:lastRenderedPageBreak/>
        <w:t>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keepNext/>
      </w:pPr>
      <w:r>
        <w:tab/>
        <w:t>(1a)</w:t>
      </w:r>
      <w:r>
        <w:tab/>
        <w:t>If a caveator commences proceedings in court to substantiate his claim under this section, he shall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ind w:left="890" w:hanging="890"/>
      </w:pPr>
      <w:r>
        <w:tab/>
        <w:t>[Section 141A inserted: No. 17 of 1950 s. 41; amended: No. 81 of 1996 s. 86 and 145(1); No. 24 of 2000 s. 42(1) and (2); No. 59 of 2004 s. 140.]</w:t>
      </w:r>
    </w:p>
    <w:p>
      <w:pPr>
        <w:pStyle w:val="Heading5"/>
        <w:rPr>
          <w:snapToGrid w:val="0"/>
        </w:rPr>
      </w:pPr>
      <w:bookmarkStart w:id="302" w:name="_Toc210129908"/>
      <w:r>
        <w:rPr>
          <w:rStyle w:val="CharSectno"/>
        </w:rPr>
        <w:t>142</w:t>
      </w:r>
      <w:r>
        <w:rPr>
          <w:snapToGrid w:val="0"/>
        </w:rPr>
        <w:t>.</w:t>
      </w:r>
      <w:r>
        <w:rPr>
          <w:snapToGrid w:val="0"/>
        </w:rPr>
        <w:tab/>
        <w:t>Caveat on behalf of beneficiary under will or settlement does not bar registration in certain cases</w:t>
      </w:r>
      <w:bookmarkEnd w:id="302"/>
    </w:p>
    <w:p>
      <w:pPr>
        <w:pStyle w:val="Subsection"/>
        <w:rPr>
          <w:snapToGrid w:val="0"/>
        </w:rPr>
      </w:pPr>
      <w:r>
        <w:rPr>
          <w:snapToGrid w:val="0"/>
        </w:rPr>
        <w:tab/>
      </w:r>
      <w:r>
        <w:rPr>
          <w:snapToGrid w:val="0"/>
        </w:rPr>
        <w:tab/>
        <w:t xml:space="preserve">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w:t>
      </w:r>
      <w:r>
        <w:rPr>
          <w:snapToGrid w:val="0"/>
        </w:rPr>
        <w:lastRenderedPageBreak/>
        <w:t>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303" w:name="_Toc166683560"/>
      <w:bookmarkStart w:id="304" w:name="_Toc166683936"/>
      <w:bookmarkStart w:id="305" w:name="_Toc166684722"/>
      <w:bookmarkStart w:id="306" w:name="_Toc210120331"/>
      <w:bookmarkStart w:id="307" w:name="_Toc210129909"/>
      <w:r>
        <w:rPr>
          <w:rStyle w:val="CharPartNo"/>
        </w:rPr>
        <w:lastRenderedPageBreak/>
        <w:t>Part VI</w:t>
      </w:r>
      <w:r>
        <w:rPr>
          <w:rStyle w:val="CharDivNo"/>
        </w:rPr>
        <w:t> </w:t>
      </w:r>
      <w:r>
        <w:t>—</w:t>
      </w:r>
      <w:r>
        <w:rPr>
          <w:rStyle w:val="CharDivText"/>
        </w:rPr>
        <w:t> </w:t>
      </w:r>
      <w:r>
        <w:rPr>
          <w:rStyle w:val="CharPartText"/>
        </w:rPr>
        <w:t>Powers of attorney and attestation of instruments</w:t>
      </w:r>
      <w:bookmarkEnd w:id="303"/>
      <w:bookmarkEnd w:id="304"/>
      <w:bookmarkEnd w:id="305"/>
      <w:bookmarkEnd w:id="306"/>
      <w:bookmarkEnd w:id="307"/>
    </w:p>
    <w:p>
      <w:pPr>
        <w:pStyle w:val="Heading5"/>
        <w:rPr>
          <w:snapToGrid w:val="0"/>
        </w:rPr>
      </w:pPr>
      <w:bookmarkStart w:id="308" w:name="_Toc210129910"/>
      <w:r>
        <w:rPr>
          <w:rStyle w:val="CharSectno"/>
        </w:rPr>
        <w:t>143</w:t>
      </w:r>
      <w:r>
        <w:rPr>
          <w:snapToGrid w:val="0"/>
        </w:rPr>
        <w:t>.</w:t>
      </w:r>
      <w:r>
        <w:rPr>
          <w:snapToGrid w:val="0"/>
        </w:rPr>
        <w:tab/>
        <w:t>Powers of attorney, creation and filing of</w:t>
      </w:r>
      <w:bookmarkEnd w:id="308"/>
    </w:p>
    <w:p>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pPr>
        <w:pStyle w:val="Subsection"/>
        <w:tabs>
          <w:tab w:val="left" w:pos="5529"/>
        </w:tabs>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10</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lastRenderedPageBreak/>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ind w:left="890" w:hanging="890"/>
      </w:pPr>
      <w:r>
        <w:tab/>
        <w:t xml:space="preserve">[Section 143 amended: 62 Vict. No. 22 s. 2; No. 17 of 1950 s. 42; No. 10 of 1982 s. 28; No. 31 of 1997 s. 117; No. 8 of 2009 s. 10; No. 19 of 2010 s. 51.] </w:t>
      </w:r>
    </w:p>
    <w:p>
      <w:pPr>
        <w:pStyle w:val="Heading5"/>
        <w:rPr>
          <w:snapToGrid w:val="0"/>
        </w:rPr>
      </w:pPr>
      <w:bookmarkStart w:id="309" w:name="_Toc210129911"/>
      <w:r>
        <w:rPr>
          <w:rStyle w:val="CharSectno"/>
        </w:rPr>
        <w:t>144</w:t>
      </w:r>
      <w:r>
        <w:rPr>
          <w:snapToGrid w:val="0"/>
        </w:rPr>
        <w:t>.</w:t>
      </w:r>
      <w:r>
        <w:rPr>
          <w:snapToGrid w:val="0"/>
        </w:rPr>
        <w:tab/>
        <w:t>Powers of attorney, effect of</w:t>
      </w:r>
      <w:bookmarkEnd w:id="309"/>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No. 17 of 1950 s. 43.]</w:t>
      </w:r>
    </w:p>
    <w:p>
      <w:pPr>
        <w:pStyle w:val="Heading5"/>
        <w:rPr>
          <w:snapToGrid w:val="0"/>
        </w:rPr>
      </w:pPr>
      <w:bookmarkStart w:id="310" w:name="_Toc210129912"/>
      <w:r>
        <w:rPr>
          <w:rStyle w:val="CharSectno"/>
        </w:rPr>
        <w:t>145</w:t>
      </w:r>
      <w:r>
        <w:rPr>
          <w:snapToGrid w:val="0"/>
        </w:rPr>
        <w:t>.</w:t>
      </w:r>
      <w:r>
        <w:rPr>
          <w:snapToGrid w:val="0"/>
        </w:rPr>
        <w:tab/>
        <w:t>Signatures on documents, witnessing requirements</w:t>
      </w:r>
      <w:bookmarkEnd w:id="310"/>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 and</w:t>
      </w:r>
    </w:p>
    <w:p>
      <w:pPr>
        <w:pStyle w:val="Indenti"/>
        <w:rPr>
          <w:snapToGrid w:val="0"/>
        </w:rPr>
      </w:pPr>
      <w:r>
        <w:rPr>
          <w:snapToGrid w:val="0"/>
        </w:rPr>
        <w:lastRenderedPageBreak/>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 or</w:t>
      </w:r>
    </w:p>
    <w:p>
      <w:pPr>
        <w:pStyle w:val="Indenti"/>
        <w:rPr>
          <w:snapToGrid w:val="0"/>
        </w:rPr>
      </w:pPr>
      <w:r>
        <w:rPr>
          <w:snapToGrid w:val="0"/>
        </w:rPr>
        <w:tab/>
        <w:t>(ii)</w:t>
      </w:r>
      <w:r>
        <w:rPr>
          <w:snapToGrid w:val="0"/>
        </w:rPr>
        <w:tab/>
        <w:t>an Australian consular officer; or</w:t>
      </w:r>
    </w:p>
    <w:p>
      <w:pPr>
        <w:pStyle w:val="Indenti"/>
        <w:rPr>
          <w:snapToGrid w:val="0"/>
        </w:rPr>
      </w:pPr>
      <w:r>
        <w:rPr>
          <w:snapToGrid w:val="0"/>
        </w:rPr>
        <w:tab/>
        <w:t>(iii)</w:t>
      </w:r>
      <w:r>
        <w:rPr>
          <w:snapToGrid w:val="0"/>
        </w:rPr>
        <w:tab/>
        <w:t>an elected member of Parliament or other representative body at the equivalent of State or federal level; or</w:t>
      </w:r>
    </w:p>
    <w:p>
      <w:pPr>
        <w:pStyle w:val="Indenti"/>
        <w:rPr>
          <w:snapToGrid w:val="0"/>
        </w:rPr>
      </w:pPr>
      <w:r>
        <w:rPr>
          <w:snapToGrid w:val="0"/>
        </w:rPr>
        <w:tab/>
        <w:t>(iv)</w:t>
      </w:r>
      <w:r>
        <w:rPr>
          <w:snapToGrid w:val="0"/>
        </w:rPr>
        <w:tab/>
        <w:t>a judge or magistrate; or</w:t>
      </w:r>
    </w:p>
    <w:p>
      <w:pPr>
        <w:pStyle w:val="Indenti"/>
        <w:rPr>
          <w:snapToGrid w:val="0"/>
        </w:rPr>
      </w:pPr>
      <w:r>
        <w:rPr>
          <w:snapToGrid w:val="0"/>
        </w:rPr>
        <w:tab/>
        <w:t>(v)</w:t>
      </w:r>
      <w:r>
        <w:rPr>
          <w:snapToGrid w:val="0"/>
        </w:rPr>
        <w:tab/>
        <w:t>qualified and entitled to practise law; or</w:t>
      </w:r>
    </w:p>
    <w:p>
      <w:pPr>
        <w:pStyle w:val="Indenti"/>
        <w:rPr>
          <w:snapToGrid w:val="0"/>
        </w:rPr>
      </w:pPr>
      <w:r>
        <w:rPr>
          <w:snapToGrid w:val="0"/>
        </w:rPr>
        <w:tab/>
        <w:t>(vi)</w:t>
      </w:r>
      <w:r>
        <w:rPr>
          <w:snapToGrid w:val="0"/>
        </w:rPr>
        <w:tab/>
        <w:t>qualified and entitled to practise as a doctor of medicine; or</w:t>
      </w:r>
    </w:p>
    <w:p>
      <w:pPr>
        <w:pStyle w:val="Indenti"/>
        <w:rPr>
          <w:snapToGrid w:val="0"/>
        </w:rPr>
      </w:pPr>
      <w:r>
        <w:rPr>
          <w:snapToGrid w:val="0"/>
        </w:rPr>
        <w:tab/>
        <w:t>(vii)</w:t>
      </w:r>
      <w:r>
        <w:rPr>
          <w:snapToGrid w:val="0"/>
        </w:rPr>
        <w:tab/>
        <w:t>qualified and entitled to practise as a civil, electrical or mechanical engineer; or</w:t>
      </w:r>
    </w:p>
    <w:p>
      <w:pPr>
        <w:pStyle w:val="Indenti"/>
        <w:rPr>
          <w:snapToGrid w:val="0"/>
        </w:rPr>
      </w:pPr>
      <w:r>
        <w:rPr>
          <w:snapToGrid w:val="0"/>
        </w:rPr>
        <w:tab/>
        <w:t>(viii)</w:t>
      </w:r>
      <w:r>
        <w:rPr>
          <w:snapToGrid w:val="0"/>
        </w:rPr>
        <w:tab/>
        <w:t>qualified as a school teacher; or</w:t>
      </w:r>
    </w:p>
    <w:p>
      <w:pPr>
        <w:pStyle w:val="Indenti"/>
        <w:rPr>
          <w:snapToGrid w:val="0"/>
        </w:rPr>
      </w:pPr>
      <w:r>
        <w:rPr>
          <w:snapToGrid w:val="0"/>
        </w:rPr>
        <w:tab/>
        <w:t>(ix)</w:t>
      </w:r>
      <w:r>
        <w:rPr>
          <w:snapToGrid w:val="0"/>
        </w:rPr>
        <w:tab/>
        <w:t>a university lecturer; or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 xml:space="preserve">If it appears to the Registrar that a signature of a party to an instrument or a power of attorney under this Act has not been </w:t>
      </w:r>
      <w:r>
        <w:rPr>
          <w:snapToGrid w:val="0"/>
        </w:rPr>
        <w:lastRenderedPageBreak/>
        <w:t>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No. 81 of 1996 s. 87; amended: No. 31 of 1997 s. 118.]</w:t>
      </w:r>
    </w:p>
    <w:p>
      <w:pPr>
        <w:pStyle w:val="Heading2"/>
      </w:pPr>
      <w:bookmarkStart w:id="311" w:name="_Toc166683564"/>
      <w:bookmarkStart w:id="312" w:name="_Toc166683940"/>
      <w:bookmarkStart w:id="313" w:name="_Toc166684726"/>
      <w:bookmarkStart w:id="314" w:name="_Toc210120335"/>
      <w:bookmarkStart w:id="315" w:name="_Toc210129913"/>
      <w:r>
        <w:rPr>
          <w:rStyle w:val="CharPartNo"/>
        </w:rPr>
        <w:lastRenderedPageBreak/>
        <w:t>Part VII</w:t>
      </w:r>
      <w:r>
        <w:rPr>
          <w:rStyle w:val="CharDivNo"/>
        </w:rPr>
        <w:t> </w:t>
      </w:r>
      <w:r>
        <w:t>—</w:t>
      </w:r>
      <w:r>
        <w:rPr>
          <w:rStyle w:val="CharDivText"/>
        </w:rPr>
        <w:t> </w:t>
      </w:r>
      <w:r>
        <w:rPr>
          <w:rStyle w:val="CharPartText"/>
        </w:rPr>
        <w:t>Search certificates and stay orders</w:t>
      </w:r>
      <w:bookmarkEnd w:id="311"/>
      <w:bookmarkEnd w:id="312"/>
      <w:bookmarkEnd w:id="313"/>
      <w:bookmarkEnd w:id="314"/>
      <w:bookmarkEnd w:id="315"/>
    </w:p>
    <w:p>
      <w:pPr>
        <w:pStyle w:val="Heading5"/>
        <w:rPr>
          <w:snapToGrid w:val="0"/>
        </w:rPr>
      </w:pPr>
      <w:bookmarkStart w:id="316" w:name="_Toc210129914"/>
      <w:r>
        <w:rPr>
          <w:rStyle w:val="CharSectno"/>
        </w:rPr>
        <w:t>146</w:t>
      </w:r>
      <w:r>
        <w:rPr>
          <w:snapToGrid w:val="0"/>
        </w:rPr>
        <w:t>.</w:t>
      </w:r>
      <w:r>
        <w:rPr>
          <w:snapToGrid w:val="0"/>
        </w:rPr>
        <w:tab/>
        <w:t>Finding out whether proprietor is free to deal with land</w:t>
      </w:r>
      <w:bookmarkEnd w:id="316"/>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No. 81 of 1996 s. 88.]</w:t>
      </w:r>
    </w:p>
    <w:p>
      <w:pPr>
        <w:pStyle w:val="Heading5"/>
        <w:rPr>
          <w:snapToGrid w:val="0"/>
        </w:rPr>
      </w:pPr>
      <w:bookmarkStart w:id="317" w:name="_Toc210129915"/>
      <w:r>
        <w:rPr>
          <w:rStyle w:val="CharSectno"/>
        </w:rPr>
        <w:t>147</w:t>
      </w:r>
      <w:r>
        <w:rPr>
          <w:snapToGrid w:val="0"/>
        </w:rPr>
        <w:t>.</w:t>
      </w:r>
      <w:r>
        <w:rPr>
          <w:snapToGrid w:val="0"/>
        </w:rPr>
        <w:tab/>
        <w:t>Person issued search certificate under s. 146 entitled to inspect certificate of title</w:t>
      </w:r>
      <w:bookmarkEnd w:id="317"/>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ind w:left="890" w:hanging="890"/>
      </w:pPr>
      <w:r>
        <w:tab/>
        <w:t>[Section 147 amended: No. 81 of 1996 s. 145(2).]</w:t>
      </w:r>
    </w:p>
    <w:p>
      <w:pPr>
        <w:pStyle w:val="Heading5"/>
        <w:rPr>
          <w:snapToGrid w:val="0"/>
        </w:rPr>
      </w:pPr>
      <w:bookmarkStart w:id="318" w:name="_Toc210129916"/>
      <w:r>
        <w:rPr>
          <w:rStyle w:val="CharSectno"/>
        </w:rPr>
        <w:t>148</w:t>
      </w:r>
      <w:r>
        <w:rPr>
          <w:snapToGrid w:val="0"/>
        </w:rPr>
        <w:t>.</w:t>
      </w:r>
      <w:r>
        <w:rPr>
          <w:snapToGrid w:val="0"/>
        </w:rPr>
        <w:tab/>
        <w:t>Person proposing to deal with proprietor may obtain stay of registration for 48 hours if title is clear</w:t>
      </w:r>
      <w:bookmarkEnd w:id="318"/>
    </w:p>
    <w:p>
      <w:pPr>
        <w:pStyle w:val="Subsection"/>
        <w:rPr>
          <w:snapToGrid w:val="0"/>
        </w:rPr>
      </w:pPr>
      <w:r>
        <w:rPr>
          <w:snapToGrid w:val="0"/>
        </w:rPr>
        <w:tab/>
      </w:r>
      <w:r>
        <w:rPr>
          <w:snapToGrid w:val="0"/>
        </w:rPr>
        <w:tab/>
        <w:t xml:space="preserve">Any person proposing to deal for value with a proprietor may with the consent in writing of such proprietor or his agent authorised in writing in that behalf and on stating the particulars of the proposed dealing lodge with the application for search </w:t>
      </w:r>
      <w:r>
        <w:rPr>
          <w:snapToGrid w:val="0"/>
        </w:rPr>
        <w:lastRenderedPageBreak/>
        <w:t>certificate an application for stay of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No. 81 of 1996 s. 89.]</w:t>
      </w:r>
    </w:p>
    <w:p>
      <w:pPr>
        <w:pStyle w:val="Heading5"/>
        <w:rPr>
          <w:snapToGrid w:val="0"/>
        </w:rPr>
      </w:pPr>
      <w:bookmarkStart w:id="319" w:name="_Toc210129917"/>
      <w:r>
        <w:rPr>
          <w:rStyle w:val="CharSectno"/>
        </w:rPr>
        <w:t>149</w:t>
      </w:r>
      <w:r>
        <w:rPr>
          <w:snapToGrid w:val="0"/>
        </w:rPr>
        <w:t>.</w:t>
      </w:r>
      <w:r>
        <w:rPr>
          <w:snapToGrid w:val="0"/>
        </w:rPr>
        <w:tab/>
        <w:t>Instrument effecting proposed dealing entitled to priority if lodged within 48 hour stay granted under s. 148</w:t>
      </w:r>
      <w:bookmarkEnd w:id="319"/>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No. 81 of 1996 s. 90; No. 59 of 2004 s. 140;</w:t>
      </w:r>
      <w:r>
        <w:rPr>
          <w:spacing w:val="-4"/>
        </w:rPr>
        <w:t xml:space="preserve"> No. 60 of 2006 s. 118(1)</w:t>
      </w:r>
      <w:r>
        <w:t>.]</w:t>
      </w:r>
    </w:p>
    <w:p>
      <w:pPr>
        <w:pStyle w:val="Heading5"/>
        <w:rPr>
          <w:snapToGrid w:val="0"/>
        </w:rPr>
      </w:pPr>
      <w:bookmarkStart w:id="320" w:name="_Toc210129918"/>
      <w:r>
        <w:rPr>
          <w:rStyle w:val="CharSectno"/>
        </w:rPr>
        <w:t>150</w:t>
      </w:r>
      <w:r>
        <w:rPr>
          <w:snapToGrid w:val="0"/>
        </w:rPr>
        <w:t>.</w:t>
      </w:r>
      <w:r>
        <w:rPr>
          <w:snapToGrid w:val="0"/>
        </w:rPr>
        <w:tab/>
        <w:t>Other instruments received in the 48 hours to have usual priority if proposed dealing not lodged under s. 149</w:t>
      </w:r>
      <w:bookmarkEnd w:id="320"/>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No. 81 of 1996 s. 91; No. 59 of 2004 s. 140; </w:t>
      </w:r>
      <w:r>
        <w:rPr>
          <w:spacing w:val="-4"/>
        </w:rPr>
        <w:t>No. 60 of 2006 s. 118(1)</w:t>
      </w:r>
      <w:r>
        <w:t>.]</w:t>
      </w:r>
    </w:p>
    <w:p>
      <w:pPr>
        <w:pStyle w:val="Heading2"/>
      </w:pPr>
      <w:bookmarkStart w:id="321" w:name="_Toc166683570"/>
      <w:bookmarkStart w:id="322" w:name="_Toc166683946"/>
      <w:bookmarkStart w:id="323" w:name="_Toc166684732"/>
      <w:bookmarkStart w:id="324" w:name="_Toc210120341"/>
      <w:bookmarkStart w:id="325" w:name="_Toc210129919"/>
      <w:r>
        <w:rPr>
          <w:rStyle w:val="CharPartNo"/>
        </w:rPr>
        <w:lastRenderedPageBreak/>
        <w:t>Part VIII</w:t>
      </w:r>
      <w:r>
        <w:rPr>
          <w:rStyle w:val="CharDivNo"/>
        </w:rPr>
        <w:t> </w:t>
      </w:r>
      <w:r>
        <w:t>—</w:t>
      </w:r>
      <w:r>
        <w:rPr>
          <w:rStyle w:val="CharDivText"/>
        </w:rPr>
        <w:t> </w:t>
      </w:r>
      <w:r>
        <w:rPr>
          <w:rStyle w:val="CharPartText"/>
        </w:rPr>
        <w:t>Surveys, plans, parcels and boundaries</w:t>
      </w:r>
      <w:bookmarkEnd w:id="321"/>
      <w:bookmarkEnd w:id="322"/>
      <w:bookmarkEnd w:id="323"/>
      <w:bookmarkEnd w:id="324"/>
      <w:bookmarkEnd w:id="325"/>
    </w:p>
    <w:p>
      <w:pPr>
        <w:pStyle w:val="Heading5"/>
        <w:rPr>
          <w:snapToGrid w:val="0"/>
        </w:rPr>
      </w:pPr>
      <w:bookmarkStart w:id="326" w:name="_Toc210129920"/>
      <w:r>
        <w:rPr>
          <w:rStyle w:val="CharSectno"/>
        </w:rPr>
        <w:t>151</w:t>
      </w:r>
      <w:r>
        <w:rPr>
          <w:snapToGrid w:val="0"/>
        </w:rPr>
        <w:t>.</w:t>
      </w:r>
      <w:r>
        <w:rPr>
          <w:snapToGrid w:val="0"/>
        </w:rPr>
        <w:tab/>
        <w:t>Crown survey boundaries as marked on ground are true boundaries</w:t>
      </w:r>
      <w:bookmarkEnd w:id="326"/>
    </w:p>
    <w:p>
      <w:pPr>
        <w:pStyle w:val="Subsection"/>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ind w:left="890" w:hanging="890"/>
      </w:pPr>
      <w:r>
        <w:tab/>
        <w:t>[Section 151 amended: No. 126 of 1987 s. 34; No. 31 of 1997 s. 119; No. 6 of 2003 s. 47.]</w:t>
      </w:r>
    </w:p>
    <w:p>
      <w:pPr>
        <w:pStyle w:val="Heading5"/>
        <w:rPr>
          <w:snapToGrid w:val="0"/>
        </w:rPr>
      </w:pPr>
      <w:bookmarkStart w:id="327" w:name="_Toc210129921"/>
      <w:r>
        <w:rPr>
          <w:rStyle w:val="CharSectno"/>
        </w:rPr>
        <w:t>152</w:t>
      </w:r>
      <w:r>
        <w:rPr>
          <w:snapToGrid w:val="0"/>
        </w:rPr>
        <w:t>.</w:t>
      </w:r>
      <w:r>
        <w:rPr>
          <w:snapToGrid w:val="0"/>
        </w:rPr>
        <w:tab/>
        <w:t>Crown grant or lease conveys land within survey boundaries</w:t>
      </w:r>
      <w:bookmarkEnd w:id="327"/>
    </w:p>
    <w:p>
      <w:pPr>
        <w:pStyle w:val="Subsection"/>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pPr>
        <w:pStyle w:val="Subsection"/>
        <w:rPr>
          <w:snapToGrid w:val="0"/>
        </w:rPr>
      </w:pPr>
      <w:r>
        <w:rPr>
          <w:snapToGrid w:val="0"/>
        </w:rPr>
        <w:lastRenderedPageBreak/>
        <w:tab/>
        <w:t>(2)</w:t>
      </w:r>
      <w:r>
        <w:rPr>
          <w:snapToGrid w:val="0"/>
        </w:rPr>
        <w:tab/>
        <w:t>Nothing in this and the next preceding section shall apply to any such section location allotment or parcel of land where an actual patent mistake or error has been made.</w:t>
      </w:r>
    </w:p>
    <w:p>
      <w:pPr>
        <w:pStyle w:val="Footnotesection"/>
        <w:ind w:left="890" w:hanging="890"/>
      </w:pPr>
      <w:r>
        <w:tab/>
        <w:t>[Section 152 amended: No. 31 of 1997 s. 120; No. 19 of 2010 s. 51.]</w:t>
      </w:r>
    </w:p>
    <w:p>
      <w:pPr>
        <w:pStyle w:val="Heading5"/>
        <w:spacing w:before="240"/>
        <w:rPr>
          <w:snapToGrid w:val="0"/>
        </w:rPr>
      </w:pPr>
      <w:bookmarkStart w:id="328" w:name="_Toc210129922"/>
      <w:r>
        <w:rPr>
          <w:rStyle w:val="CharSectno"/>
        </w:rPr>
        <w:t>153</w:t>
      </w:r>
      <w:r>
        <w:rPr>
          <w:snapToGrid w:val="0"/>
        </w:rPr>
        <w:t>.</w:t>
      </w:r>
      <w:r>
        <w:rPr>
          <w:snapToGrid w:val="0"/>
        </w:rPr>
        <w:tab/>
        <w:t>Aliquot parts of Crown section having excess of area</w:t>
      </w:r>
      <w:bookmarkEnd w:id="328"/>
    </w:p>
    <w:p>
      <w:pPr>
        <w:pStyle w:val="Subsection"/>
        <w:spacing w:before="18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ind w:left="890" w:hanging="890"/>
      </w:pPr>
      <w:r>
        <w:tab/>
        <w:t>[Section 153 amended: No. 31 of 1997 s. 121.]</w:t>
      </w:r>
    </w:p>
    <w:p>
      <w:pPr>
        <w:pStyle w:val="Heading5"/>
        <w:spacing w:before="240"/>
        <w:rPr>
          <w:snapToGrid w:val="0"/>
        </w:rPr>
      </w:pPr>
      <w:bookmarkStart w:id="329" w:name="_Toc210129923"/>
      <w:r>
        <w:rPr>
          <w:rStyle w:val="CharSectno"/>
        </w:rPr>
        <w:t>153A</w:t>
      </w:r>
      <w:r>
        <w:rPr>
          <w:snapToGrid w:val="0"/>
        </w:rPr>
        <w:t>.</w:t>
      </w:r>
      <w:r>
        <w:rPr>
          <w:snapToGrid w:val="0"/>
        </w:rPr>
        <w:tab/>
        <w:t>Land not in grant etc. but included in certificate due to error in survey may be deemed included in grant etc.</w:t>
      </w:r>
      <w:bookmarkEnd w:id="329"/>
    </w:p>
    <w:p>
      <w:pPr>
        <w:pStyle w:val="Subsection"/>
        <w:rPr>
          <w:snapToGrid w:val="0"/>
        </w:rPr>
      </w:pPr>
      <w:r>
        <w:rPr>
          <w:snapToGrid w:val="0"/>
        </w:rPr>
        <w:tab/>
      </w:r>
      <w:r>
        <w:rPr>
          <w:snapToGrid w:val="0"/>
        </w:rPr>
        <w:tab/>
        <w:t>If in any certificate of title registered before or after the passing of the</w:t>
      </w:r>
      <w:r>
        <w:rPr>
          <w:iCs/>
          <w:snapToGrid w:val="0"/>
        </w:rPr>
        <w:t xml:space="preserve"> </w:t>
      </w:r>
      <w:r>
        <w:rPr>
          <w:i/>
          <w:snapToGrid w:val="0"/>
        </w:rPr>
        <w:t>Transfer of Land Act Amendment Act 1902</w:t>
      </w:r>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w:t>
      </w:r>
      <w:r>
        <w:rPr>
          <w:snapToGrid w:val="0"/>
        </w:rPr>
        <w:lastRenderedPageBreak/>
        <w:t>of land shall be deemed to have been included in the grant or transfer.</w:t>
      </w:r>
    </w:p>
    <w:p>
      <w:pPr>
        <w:pStyle w:val="Footnotesection"/>
        <w:keepLines w:val="0"/>
        <w:ind w:left="890" w:hanging="890"/>
        <w:rPr>
          <w:spacing w:val="-4"/>
        </w:rPr>
      </w:pPr>
      <w:r>
        <w:rPr>
          <w:spacing w:val="-4"/>
        </w:rPr>
        <w:tab/>
        <w:t>[Section 153A inserted: 2 Edw. VII. No. 10 s. 7 (as amended: No. 17 of 1950 s. 75); amended: No. 126 of 1987 s. 35; No. 81 of 1996 s. 92; No. 31 of 1997 s. 122; No. 8 of 2010 s. 31.]</w:t>
      </w:r>
    </w:p>
    <w:p>
      <w:pPr>
        <w:pStyle w:val="Heading5"/>
        <w:rPr>
          <w:snapToGrid w:val="0"/>
        </w:rPr>
      </w:pPr>
      <w:bookmarkStart w:id="330" w:name="_Toc210129924"/>
      <w:r>
        <w:rPr>
          <w:rStyle w:val="CharSectno"/>
        </w:rPr>
        <w:t>154</w:t>
      </w:r>
      <w:r>
        <w:rPr>
          <w:snapToGrid w:val="0"/>
        </w:rPr>
        <w:t>.</w:t>
      </w:r>
      <w:r>
        <w:rPr>
          <w:snapToGrid w:val="0"/>
        </w:rPr>
        <w:tab/>
        <w:t>How boundaries may be proved in absence of survey marks</w:t>
      </w:r>
      <w:bookmarkEnd w:id="330"/>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Footnotesection"/>
        <w:spacing w:before="80"/>
        <w:ind w:left="890" w:hanging="890"/>
      </w:pPr>
      <w:r>
        <w:tab/>
        <w:t>[Section 154 amended: No. 19 of 2010 s. 51.]</w:t>
      </w:r>
    </w:p>
    <w:p>
      <w:pPr>
        <w:pStyle w:val="Heading5"/>
        <w:rPr>
          <w:snapToGrid w:val="0"/>
        </w:rPr>
      </w:pPr>
      <w:bookmarkStart w:id="331" w:name="_Toc210129925"/>
      <w:r>
        <w:rPr>
          <w:rStyle w:val="CharSectno"/>
        </w:rPr>
        <w:lastRenderedPageBreak/>
        <w:t>155</w:t>
      </w:r>
      <w:r>
        <w:rPr>
          <w:snapToGrid w:val="0"/>
        </w:rPr>
        <w:t>.</w:t>
      </w:r>
      <w:r>
        <w:rPr>
          <w:snapToGrid w:val="0"/>
        </w:rPr>
        <w:tab/>
        <w:t>Margin of error allowed in description of boundaries</w:t>
      </w:r>
      <w:bookmarkEnd w:id="331"/>
    </w:p>
    <w:p>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pPr>
        <w:pStyle w:val="Footnotesection"/>
        <w:ind w:left="890" w:hanging="890"/>
      </w:pPr>
      <w:r>
        <w:tab/>
        <w:t>[Section 155 amended: No. 94 of 1972 s. 4; No. 6 of 2003 s. 48; No. 19 of 2010 s. 51.]</w:t>
      </w:r>
    </w:p>
    <w:p>
      <w:pPr>
        <w:pStyle w:val="Heading5"/>
        <w:rPr>
          <w:snapToGrid w:val="0"/>
        </w:rPr>
      </w:pPr>
      <w:bookmarkStart w:id="332" w:name="_Toc210129926"/>
      <w:r>
        <w:rPr>
          <w:rStyle w:val="CharSectno"/>
        </w:rPr>
        <w:t>156</w:t>
      </w:r>
      <w:r>
        <w:rPr>
          <w:snapToGrid w:val="0"/>
        </w:rPr>
        <w:t>.</w:t>
      </w:r>
      <w:r>
        <w:rPr>
          <w:snapToGrid w:val="0"/>
        </w:rPr>
        <w:tab/>
        <w:t>Commissioner may require special survey of land</w:t>
      </w:r>
      <w:bookmarkEnd w:id="332"/>
    </w:p>
    <w:p>
      <w:pPr>
        <w:pStyle w:val="Subsection"/>
        <w:rPr>
          <w:snapToGrid w:val="0"/>
        </w:rPr>
      </w:pPr>
      <w:r>
        <w:rPr>
          <w:snapToGrid w:val="0"/>
        </w:rPr>
        <w:tab/>
        <w:t>(1)</w:t>
      </w:r>
      <w:r>
        <w:rPr>
          <w:snapToGrid w:val="0"/>
        </w:rPr>
        <w:tab/>
        <w:t xml:space="preserve">On any application made to bring land under this Act or to have a certificate of title amended or to have a relevant graphic amended or replaced as to the description of land therein as </w:t>
      </w:r>
      <w:r>
        <w:rPr>
          <w:snapToGrid w:val="0"/>
        </w:rPr>
        <w:lastRenderedPageBreak/>
        <w:t>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pPr>
        <w:pStyle w:val="Footnotesection"/>
      </w:pPr>
      <w:r>
        <w:tab/>
        <w:t>[Section 156 amended: No. 17 of 1950 s. 45; No. 6 of 2003 s. 49; No. 19 of 2010 s. 51.]</w:t>
      </w:r>
    </w:p>
    <w:p>
      <w:pPr>
        <w:pStyle w:val="Heading5"/>
        <w:rPr>
          <w:snapToGrid w:val="0"/>
        </w:rPr>
      </w:pPr>
      <w:bookmarkStart w:id="333" w:name="_Toc210129927"/>
      <w:r>
        <w:rPr>
          <w:rStyle w:val="CharSectno"/>
        </w:rPr>
        <w:t>157</w:t>
      </w:r>
      <w:r>
        <w:rPr>
          <w:snapToGrid w:val="0"/>
        </w:rPr>
        <w:t>.</w:t>
      </w:r>
      <w:r>
        <w:rPr>
          <w:snapToGrid w:val="0"/>
        </w:rPr>
        <w:tab/>
        <w:t>Commissioner may require accuracy of survey to be verified</w:t>
      </w:r>
      <w:bookmarkEnd w:id="333"/>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334" w:name="_Toc210129928"/>
      <w:r>
        <w:rPr>
          <w:rStyle w:val="CharSectno"/>
        </w:rPr>
        <w:t>158</w:t>
      </w:r>
      <w:r>
        <w:rPr>
          <w:snapToGrid w:val="0"/>
        </w:rPr>
        <w:t>.</w:t>
      </w:r>
      <w:r>
        <w:rPr>
          <w:snapToGrid w:val="0"/>
        </w:rPr>
        <w:tab/>
        <w:t>Commissioner may disregard minute errors of dimensions</w:t>
      </w:r>
      <w:bookmarkEnd w:id="334"/>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No. 94 of 1972 s. 4.]</w:t>
      </w:r>
    </w:p>
    <w:p>
      <w:pPr>
        <w:pStyle w:val="Heading5"/>
        <w:rPr>
          <w:snapToGrid w:val="0"/>
        </w:rPr>
      </w:pPr>
      <w:bookmarkStart w:id="335" w:name="_Toc210129929"/>
      <w:r>
        <w:rPr>
          <w:rStyle w:val="CharSectno"/>
        </w:rPr>
        <w:lastRenderedPageBreak/>
        <w:t>159</w:t>
      </w:r>
      <w:r>
        <w:rPr>
          <w:snapToGrid w:val="0"/>
        </w:rPr>
        <w:t>.</w:t>
      </w:r>
      <w:r>
        <w:rPr>
          <w:snapToGrid w:val="0"/>
        </w:rPr>
        <w:tab/>
        <w:t>Excess land may be apportioned between different owners or proprietors</w:t>
      </w:r>
      <w:bookmarkEnd w:id="335"/>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No. 81 of 1996 s. 93; No. 6 of 2003 s. 50.]</w:t>
      </w:r>
    </w:p>
    <w:p>
      <w:pPr>
        <w:pStyle w:val="Heading5"/>
        <w:rPr>
          <w:snapToGrid w:val="0"/>
        </w:rPr>
      </w:pPr>
      <w:bookmarkStart w:id="336" w:name="_Toc210129930"/>
      <w:r>
        <w:rPr>
          <w:rStyle w:val="CharSectno"/>
        </w:rPr>
        <w:t>160</w:t>
      </w:r>
      <w:r>
        <w:rPr>
          <w:snapToGrid w:val="0"/>
        </w:rPr>
        <w:t>.</w:t>
      </w:r>
      <w:r>
        <w:rPr>
          <w:snapToGrid w:val="0"/>
        </w:rPr>
        <w:tab/>
        <w:t>Commissioner’s powers where boundaries unclear in subdivision</w:t>
      </w:r>
      <w:bookmarkEnd w:id="336"/>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w:t>
      </w:r>
      <w:r>
        <w:rPr>
          <w:snapToGrid w:val="0"/>
        </w:rPr>
        <w:lastRenderedPageBreak/>
        <w:t xml:space="preserve">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titles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w:t>
      </w:r>
      <w:r>
        <w:rPr>
          <w:spacing w:val="-4"/>
        </w:rPr>
        <w:t xml:space="preserve">2 Edw. VII. No. 10 </w:t>
      </w:r>
      <w:r>
        <w:t>s. 6; No. 81 of 1996 s. 94; No. 6 of 2003 s. 51.]</w:t>
      </w:r>
    </w:p>
    <w:p>
      <w:pPr>
        <w:pStyle w:val="Heading5"/>
        <w:rPr>
          <w:snapToGrid w:val="0"/>
        </w:rPr>
      </w:pPr>
      <w:bookmarkStart w:id="337" w:name="_Toc210129931"/>
      <w:r>
        <w:rPr>
          <w:rStyle w:val="CharSectno"/>
        </w:rPr>
        <w:lastRenderedPageBreak/>
        <w:t>161</w:t>
      </w:r>
      <w:r>
        <w:rPr>
          <w:snapToGrid w:val="0"/>
        </w:rPr>
        <w:t>.</w:t>
      </w:r>
      <w:r>
        <w:rPr>
          <w:snapToGrid w:val="0"/>
        </w:rPr>
        <w:tab/>
        <w:t>Plan to be made of subdivision proposed under s. 160</w:t>
      </w:r>
      <w:bookmarkEnd w:id="337"/>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338" w:name="_Toc210129932"/>
      <w:r>
        <w:rPr>
          <w:rStyle w:val="CharSectno"/>
        </w:rPr>
        <w:t>162</w:t>
      </w:r>
      <w:r>
        <w:rPr>
          <w:snapToGrid w:val="0"/>
        </w:rPr>
        <w:t>.</w:t>
      </w:r>
      <w:r>
        <w:rPr>
          <w:snapToGrid w:val="0"/>
        </w:rPr>
        <w:tab/>
        <w:t>Subdivision proposed under s. 160 to be advertised etc.</w:t>
      </w:r>
      <w:bookmarkEnd w:id="338"/>
    </w:p>
    <w:p>
      <w:pPr>
        <w:pStyle w:val="Subsection"/>
        <w:rPr>
          <w:snapToGrid w:val="0"/>
        </w:rPr>
      </w:pPr>
      <w:r>
        <w:rPr>
          <w:snapToGrid w:val="0"/>
        </w:rPr>
        <w:tab/>
        <w:t>(1)</w:t>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w:t>
      </w:r>
    </w:p>
    <w:p>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No. 81 of 1996 s. 95; No. 60 of 2006 s. 118(2); No. 19 of 2010 s. 51.]</w:t>
      </w:r>
    </w:p>
    <w:p>
      <w:pPr>
        <w:pStyle w:val="Heading5"/>
        <w:spacing w:before="240"/>
        <w:rPr>
          <w:snapToGrid w:val="0"/>
        </w:rPr>
      </w:pPr>
      <w:bookmarkStart w:id="339" w:name="_Toc210129933"/>
      <w:r>
        <w:rPr>
          <w:rStyle w:val="CharSectno"/>
        </w:rPr>
        <w:t>163</w:t>
      </w:r>
      <w:r>
        <w:rPr>
          <w:snapToGrid w:val="0"/>
        </w:rPr>
        <w:t>.</w:t>
      </w:r>
      <w:r>
        <w:rPr>
          <w:snapToGrid w:val="0"/>
        </w:rPr>
        <w:tab/>
        <w:t>Finalised subdivision, verification and effect of plan of</w:t>
      </w:r>
      <w:bookmarkEnd w:id="339"/>
    </w:p>
    <w:p>
      <w:pPr>
        <w:pStyle w:val="Subsection"/>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w:t>
      </w:r>
      <w:r>
        <w:rPr>
          <w:snapToGrid w:val="0"/>
        </w:rPr>
        <w:lastRenderedPageBreak/>
        <w:t>date of such verification govern the titles subsequently created and registered under this Act in respect of the block so subdivided or any portion thereof.</w:t>
      </w:r>
    </w:p>
    <w:p>
      <w:pPr>
        <w:pStyle w:val="Subsection"/>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keepNext/>
        <w:spacing w:before="180"/>
      </w:pPr>
      <w:r>
        <w:tab/>
        <w:t>(2)</w:t>
      </w:r>
      <w:r>
        <w:tab/>
        <w:t>In subsection (1) —</w:t>
      </w:r>
    </w:p>
    <w:p>
      <w:pPr>
        <w:pStyle w:val="Defstart"/>
      </w:pPr>
      <w:r>
        <w:tab/>
      </w:r>
      <w:r>
        <w:rPr>
          <w:rStyle w:val="CharDefText"/>
        </w:rPr>
        <w:t>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ind w:left="890" w:hanging="890"/>
      </w:pPr>
      <w:r>
        <w:tab/>
        <w:t>[Section 163 amended: No. 81 of 1996 s. 96; No. 6 of 2003 s. 52; No. 19 of 2010 s. 51.]</w:t>
      </w:r>
    </w:p>
    <w:p>
      <w:pPr>
        <w:pStyle w:val="Heading5"/>
        <w:keepLines w:val="0"/>
        <w:rPr>
          <w:snapToGrid w:val="0"/>
        </w:rPr>
      </w:pPr>
      <w:bookmarkStart w:id="340" w:name="_Toc210129934"/>
      <w:r>
        <w:rPr>
          <w:rStyle w:val="CharSectno"/>
        </w:rPr>
        <w:t>164</w:t>
      </w:r>
      <w:r>
        <w:rPr>
          <w:snapToGrid w:val="0"/>
        </w:rPr>
        <w:t>.</w:t>
      </w:r>
      <w:r>
        <w:rPr>
          <w:snapToGrid w:val="0"/>
        </w:rPr>
        <w:tab/>
        <w:t>Public notice to be given of finalised subdivision and plan</w:t>
      </w:r>
      <w:bookmarkEnd w:id="340"/>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341" w:name="_Toc210129935"/>
      <w:r>
        <w:rPr>
          <w:rStyle w:val="CharSectno"/>
        </w:rPr>
        <w:t>165</w:t>
      </w:r>
      <w:r>
        <w:rPr>
          <w:snapToGrid w:val="0"/>
        </w:rPr>
        <w:t>.</w:t>
      </w:r>
      <w:r>
        <w:rPr>
          <w:snapToGrid w:val="0"/>
        </w:rPr>
        <w:tab/>
        <w:t>Expense of survey ordered under s. 160, how paid</w:t>
      </w:r>
      <w:bookmarkEnd w:id="341"/>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w:t>
      </w:r>
      <w:r>
        <w:rPr>
          <w:snapToGrid w:val="0"/>
        </w:rPr>
        <w:lastRenderedPageBreak/>
        <w:t>an equitable share of such expense to be contributed in respect of the land comprised in such application.</w:t>
      </w:r>
    </w:p>
    <w:p>
      <w:pPr>
        <w:pStyle w:val="Footnotesection"/>
        <w:ind w:left="890" w:hanging="890"/>
      </w:pPr>
      <w:r>
        <w:tab/>
        <w:t>[Section 165 amended: No. 6 of 1993 s. 12; No. 81 of 1996 s. 97; No. 6 of 2003 s. 53; No. 77 of 2006 s. 4.]</w:t>
      </w:r>
    </w:p>
    <w:p>
      <w:pPr>
        <w:pStyle w:val="Heading5"/>
        <w:rPr>
          <w:snapToGrid w:val="0"/>
        </w:rPr>
      </w:pPr>
      <w:bookmarkStart w:id="342" w:name="_Toc210129936"/>
      <w:r>
        <w:rPr>
          <w:rStyle w:val="CharSectno"/>
        </w:rPr>
        <w:t>166</w:t>
      </w:r>
      <w:r>
        <w:rPr>
          <w:snapToGrid w:val="0"/>
        </w:rPr>
        <w:t>.</w:t>
      </w:r>
      <w:r>
        <w:rPr>
          <w:snapToGrid w:val="0"/>
        </w:rPr>
        <w:tab/>
        <w:t>New certificates of title on subdivision of land</w:t>
      </w:r>
      <w:bookmarkEnd w:id="342"/>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lastRenderedPageBreak/>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No. 25 of 1909 s. 2; No. 28 of 1969 s. 7; No. 81 of 1996 s. 98; No. 31 of 1997 s. 123; No. 6 of 2003 s. 54; No. 38 of 2005 s. 15.]</w:t>
      </w:r>
    </w:p>
    <w:p>
      <w:pPr>
        <w:pStyle w:val="Heading5"/>
      </w:pPr>
      <w:bookmarkStart w:id="343" w:name="_Toc210129937"/>
      <w:r>
        <w:rPr>
          <w:rStyle w:val="CharSectno"/>
        </w:rPr>
        <w:t>166A</w:t>
      </w:r>
      <w:r>
        <w:t>.</w:t>
      </w:r>
      <w:r>
        <w:tab/>
        <w:t>Subdivisions of Crown land</w:t>
      </w:r>
      <w:bookmarkEnd w:id="343"/>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No. 31 of 1997 s. 124; amended: No. 6 of 2003 s. 55.]</w:t>
      </w:r>
    </w:p>
    <w:p>
      <w:pPr>
        <w:pStyle w:val="Heading5"/>
        <w:spacing w:before="180"/>
      </w:pPr>
      <w:bookmarkStart w:id="344" w:name="_Toc210129938"/>
      <w:r>
        <w:rPr>
          <w:rStyle w:val="CharSectno"/>
        </w:rPr>
        <w:lastRenderedPageBreak/>
        <w:t>166B</w:t>
      </w:r>
      <w:r>
        <w:t>.</w:t>
      </w:r>
      <w:r>
        <w:tab/>
        <w:t>Subsidiary certificates of Crown land title</w:t>
      </w:r>
      <w:bookmarkEnd w:id="344"/>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keepLines/>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No. 31 of 1997 s. 124.]</w:t>
      </w:r>
    </w:p>
    <w:p>
      <w:pPr>
        <w:pStyle w:val="Heading5"/>
        <w:keepLines w:val="0"/>
        <w:rPr>
          <w:snapToGrid w:val="0"/>
        </w:rPr>
      </w:pPr>
      <w:bookmarkStart w:id="345" w:name="_Toc210129939"/>
      <w:r>
        <w:rPr>
          <w:rStyle w:val="CharSectno"/>
        </w:rPr>
        <w:t>167</w:t>
      </w:r>
      <w:r>
        <w:rPr>
          <w:snapToGrid w:val="0"/>
        </w:rPr>
        <w:t>.</w:t>
      </w:r>
      <w:r>
        <w:rPr>
          <w:snapToGrid w:val="0"/>
        </w:rPr>
        <w:tab/>
        <w:t>Number of allotment on plan of subdivision sufficient description for purposes of dealing</w:t>
      </w:r>
      <w:bookmarkEnd w:id="345"/>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No. 81 of 1996 s. 99; No. 31 of 1997 s. 125.]</w:t>
      </w:r>
    </w:p>
    <w:p>
      <w:pPr>
        <w:pStyle w:val="Heading5"/>
        <w:rPr>
          <w:snapToGrid w:val="0"/>
        </w:rPr>
      </w:pPr>
      <w:bookmarkStart w:id="346" w:name="_Toc210129940"/>
      <w:r>
        <w:rPr>
          <w:rStyle w:val="CharSectno"/>
        </w:rPr>
        <w:t>167A</w:t>
      </w:r>
      <w:r>
        <w:rPr>
          <w:snapToGrid w:val="0"/>
        </w:rPr>
        <w:t>.</w:t>
      </w:r>
      <w:r>
        <w:rPr>
          <w:snapToGrid w:val="0"/>
        </w:rPr>
        <w:tab/>
        <w:t>Rights of way generally not public ways or thoroughfares</w:t>
      </w:r>
      <w:bookmarkEnd w:id="346"/>
    </w:p>
    <w:p>
      <w:pPr>
        <w:pStyle w:val="Subsection"/>
        <w:rPr>
          <w:snapToGrid w:val="0"/>
        </w:rPr>
      </w:pPr>
      <w:r>
        <w:rPr>
          <w:snapToGrid w:val="0"/>
        </w:rPr>
        <w:tab/>
        <w:t>(1)</w:t>
      </w:r>
      <w:r>
        <w:rPr>
          <w:snapToGrid w:val="0"/>
        </w:rPr>
        <w:tab/>
        <w:t xml:space="preserve">Subject to subsection (2), every right of way shown and marked as such upon any map or plan deposited with the Registrar, </w:t>
      </w:r>
      <w:r>
        <w:rPr>
          <w:snapToGrid w:val="0"/>
        </w:rPr>
        <w:lastRenderedPageBreak/>
        <w:t>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11</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11</w:t>
      </w:r>
      <w:r>
        <w:rPr>
          <w:snapToGrid w:val="0"/>
        </w:rPr>
        <w:t>.</w:t>
      </w:r>
    </w:p>
    <w:p>
      <w:pPr>
        <w:pStyle w:val="Footnotesection"/>
      </w:pPr>
      <w:r>
        <w:tab/>
        <w:t>[Section 167A inserted: 2 Edw. VII. No. 10 s. 8 (as amended: No. 17 of 1950 s. 75); amended: No. 57 of 1991 s. 22; No. 81 of 1996 s. 100; No. 38 of 2005 s. 15.]</w:t>
      </w:r>
    </w:p>
    <w:p>
      <w:pPr>
        <w:pStyle w:val="Heading5"/>
        <w:keepNext w:val="0"/>
        <w:keepLines w:val="0"/>
        <w:rPr>
          <w:snapToGrid w:val="0"/>
        </w:rPr>
      </w:pPr>
      <w:bookmarkStart w:id="347" w:name="_Toc210129941"/>
      <w:r>
        <w:rPr>
          <w:rStyle w:val="CharSectno"/>
        </w:rPr>
        <w:t>168</w:t>
      </w:r>
      <w:r>
        <w:rPr>
          <w:snapToGrid w:val="0"/>
        </w:rPr>
        <w:t>.</w:t>
      </w:r>
      <w:r>
        <w:rPr>
          <w:snapToGrid w:val="0"/>
        </w:rPr>
        <w:tab/>
        <w:t>Abuttals may be used in description of land in certificate</w:t>
      </w:r>
      <w:bookmarkEnd w:id="347"/>
    </w:p>
    <w:p>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pPr>
        <w:pStyle w:val="Subsection"/>
        <w:rPr>
          <w:snapToGrid w:val="0"/>
        </w:rPr>
      </w:pPr>
      <w:r>
        <w:rPr>
          <w:snapToGrid w:val="0"/>
        </w:rPr>
        <w:lastRenderedPageBreak/>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pPr>
        <w:pStyle w:val="Subsection"/>
        <w:rPr>
          <w:snapToGrid w:val="0"/>
        </w:rPr>
      </w:pPr>
      <w:r>
        <w:rPr>
          <w:snapToGrid w:val="0"/>
        </w:rPr>
        <w:tab/>
        <w:t>(3)</w:t>
      </w:r>
      <w:r>
        <w:rPr>
          <w:snapToGrid w:val="0"/>
        </w:rPr>
        <w:tab/>
        <w:t>Abuttals shall be used in addition to and not in substitution for dimensions unless the Commissioner shall specially authorise the land or any boundary of the land being described by abuttals only.</w:t>
      </w:r>
    </w:p>
    <w:p>
      <w:pPr>
        <w:pStyle w:val="Footnotesection"/>
        <w:ind w:left="890" w:hanging="890"/>
      </w:pPr>
      <w:r>
        <w:tab/>
        <w:t>[Section 168 amended: No. 81 of 1996 s. 101; No. 6 of 2003 s. 58; No. 19 of 2010 s. 51.]</w:t>
      </w:r>
    </w:p>
    <w:p>
      <w:pPr>
        <w:pStyle w:val="Heading5"/>
        <w:rPr>
          <w:snapToGrid w:val="0"/>
        </w:rPr>
      </w:pPr>
      <w:bookmarkStart w:id="348" w:name="_Toc210129942"/>
      <w:r>
        <w:rPr>
          <w:rStyle w:val="CharSectno"/>
        </w:rPr>
        <w:t>169</w:t>
      </w:r>
      <w:r>
        <w:rPr>
          <w:snapToGrid w:val="0"/>
        </w:rPr>
        <w:t>.</w:t>
      </w:r>
      <w:r>
        <w:rPr>
          <w:snapToGrid w:val="0"/>
        </w:rPr>
        <w:tab/>
        <w:t>Objects which may constitute abuttals</w:t>
      </w:r>
      <w:bookmarkEnd w:id="348"/>
    </w:p>
    <w:p>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No. 6 of 2003 s. 59; No. 19 of 2010 s. 51.]</w:t>
      </w:r>
    </w:p>
    <w:p>
      <w:pPr>
        <w:pStyle w:val="Heading2"/>
      </w:pPr>
      <w:bookmarkStart w:id="349" w:name="_Toc166683594"/>
      <w:bookmarkStart w:id="350" w:name="_Toc166683970"/>
      <w:bookmarkStart w:id="351" w:name="_Toc166684756"/>
      <w:bookmarkStart w:id="352" w:name="_Toc210120365"/>
      <w:bookmarkStart w:id="353" w:name="_Toc210129943"/>
      <w:r>
        <w:rPr>
          <w:rStyle w:val="CharPartNo"/>
        </w:rPr>
        <w:lastRenderedPageBreak/>
        <w:t>Part IX</w:t>
      </w:r>
      <w:r>
        <w:rPr>
          <w:rStyle w:val="CharDivNo"/>
        </w:rPr>
        <w:t> </w:t>
      </w:r>
      <w:r>
        <w:t>—</w:t>
      </w:r>
      <w:r>
        <w:rPr>
          <w:rStyle w:val="CharDivText"/>
        </w:rPr>
        <w:t> </w:t>
      </w:r>
      <w:r>
        <w:rPr>
          <w:rStyle w:val="CharPartText"/>
        </w:rPr>
        <w:t>Amendment of certificates and amendment or replacement of graphics</w:t>
      </w:r>
      <w:bookmarkEnd w:id="349"/>
      <w:bookmarkEnd w:id="350"/>
      <w:bookmarkEnd w:id="351"/>
      <w:bookmarkEnd w:id="352"/>
      <w:bookmarkEnd w:id="353"/>
    </w:p>
    <w:p>
      <w:pPr>
        <w:pStyle w:val="Footnoteheading"/>
      </w:pPr>
      <w:r>
        <w:tab/>
        <w:t>[Heading inserted: No. 6 of 2003 s. 60.]</w:t>
      </w:r>
    </w:p>
    <w:p>
      <w:pPr>
        <w:pStyle w:val="Heading5"/>
      </w:pPr>
      <w:bookmarkStart w:id="354" w:name="_Toc210129944"/>
      <w:r>
        <w:rPr>
          <w:rStyle w:val="CharSectno"/>
        </w:rPr>
        <w:t>169A</w:t>
      </w:r>
      <w:r>
        <w:t>.</w:t>
      </w:r>
      <w:r>
        <w:tab/>
        <w:t>Only Minister for Lands may alter areas, boundaries or positions of parcels of Crown land</w:t>
      </w:r>
      <w:bookmarkEnd w:id="354"/>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No. 31 of 1997 s. 126.]</w:t>
      </w:r>
    </w:p>
    <w:p>
      <w:pPr>
        <w:pStyle w:val="Heading5"/>
        <w:rPr>
          <w:snapToGrid w:val="0"/>
        </w:rPr>
      </w:pPr>
      <w:bookmarkStart w:id="355" w:name="_Toc210129945"/>
      <w:r>
        <w:rPr>
          <w:rStyle w:val="CharSectno"/>
        </w:rPr>
        <w:t>170</w:t>
      </w:r>
      <w:r>
        <w:rPr>
          <w:snapToGrid w:val="0"/>
        </w:rPr>
        <w:t>.</w:t>
      </w:r>
      <w:r>
        <w:rPr>
          <w:snapToGrid w:val="0"/>
        </w:rPr>
        <w:tab/>
        <w:t>Proprietor may apply for amendment of certificate to make boundaries coincide with land occupied under certificate</w:t>
      </w:r>
      <w:bookmarkEnd w:id="355"/>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No. 81 of 1996 s. 102; No. 6 of 2003 s. 61.]</w:t>
      </w:r>
    </w:p>
    <w:p>
      <w:pPr>
        <w:pStyle w:val="Heading5"/>
        <w:rPr>
          <w:snapToGrid w:val="0"/>
        </w:rPr>
      </w:pPr>
      <w:bookmarkStart w:id="356" w:name="_Toc210129946"/>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356"/>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w:t>
      </w:r>
      <w:r>
        <w:rPr>
          <w:snapToGrid w:val="0"/>
        </w:rPr>
        <w:lastRenderedPageBreak/>
        <w:t>error in survey or other misdescription is included in the land described in any other certificate or</w:t>
      </w:r>
      <w:r>
        <w:t xml:space="preserve"> relevant graphic.</w:t>
      </w:r>
    </w:p>
    <w:p>
      <w:pPr>
        <w:pStyle w:val="Footnotesection"/>
        <w:ind w:left="890" w:hanging="890"/>
      </w:pPr>
      <w:r>
        <w:tab/>
        <w:t>[Section 171 amended: No. 81 of 1996 s. 103; No. 6 of 2003 s. 62; No. 21 of 2022 s. 32.]</w:t>
      </w:r>
    </w:p>
    <w:p>
      <w:pPr>
        <w:pStyle w:val="Heading5"/>
        <w:rPr>
          <w:snapToGrid w:val="0"/>
        </w:rPr>
      </w:pPr>
      <w:bookmarkStart w:id="357" w:name="_Toc210129947"/>
      <w:r>
        <w:rPr>
          <w:rStyle w:val="CharSectno"/>
        </w:rPr>
        <w:t>172</w:t>
      </w:r>
      <w:r>
        <w:rPr>
          <w:snapToGrid w:val="0"/>
        </w:rPr>
        <w:t>.</w:t>
      </w:r>
      <w:r>
        <w:rPr>
          <w:snapToGrid w:val="0"/>
        </w:rPr>
        <w:tab/>
        <w:t>Form of application under s. 170 or 171</w:t>
      </w:r>
      <w:bookmarkEnd w:id="357"/>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No. 6 of 2003 s. 63; No. 60 of 2006 s. 118(2).]</w:t>
      </w:r>
    </w:p>
    <w:p>
      <w:pPr>
        <w:pStyle w:val="Heading5"/>
        <w:rPr>
          <w:snapToGrid w:val="0"/>
        </w:rPr>
      </w:pPr>
      <w:bookmarkStart w:id="358" w:name="_Toc210129948"/>
      <w:r>
        <w:rPr>
          <w:rStyle w:val="CharSectno"/>
        </w:rPr>
        <w:t>173</w:t>
      </w:r>
      <w:r>
        <w:rPr>
          <w:snapToGrid w:val="0"/>
        </w:rPr>
        <w:t>.</w:t>
      </w:r>
      <w:r>
        <w:rPr>
          <w:snapToGrid w:val="0"/>
        </w:rPr>
        <w:tab/>
        <w:t>How application under s. 170 or 171 to be dealt with</w:t>
      </w:r>
      <w:bookmarkEnd w:id="358"/>
    </w:p>
    <w:p>
      <w:pPr>
        <w:pStyle w:val="Subsection"/>
        <w:rPr>
          <w:snapToGrid w:val="0"/>
        </w:rPr>
      </w:pPr>
      <w:r>
        <w:rPr>
          <w:snapToGrid w:val="0"/>
        </w:rPr>
        <w:tab/>
      </w:r>
      <w:r>
        <w:rPr>
          <w:snapToGrid w:val="0"/>
        </w:rPr>
        <w:tab/>
        <w:t xml:space="preserve">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shall appoint a time not less than 14 days from such notice or from the advertisement or the first of such </w:t>
      </w:r>
      <w:r>
        <w:rPr>
          <w:snapToGrid w:val="0"/>
        </w:rPr>
        <w:lastRenderedPageBreak/>
        <w:t>advertisements if more than one on or after the expiration of which the application may be granted unless a caveat shall be lodged forbidding the granting thereof.</w:t>
      </w:r>
    </w:p>
    <w:p>
      <w:pPr>
        <w:pStyle w:val="Footnotesection"/>
        <w:ind w:left="890" w:hanging="890"/>
      </w:pPr>
      <w:r>
        <w:tab/>
        <w:t>[Section 173 amended: No. 21 of 2022 s. 33.]</w:t>
      </w:r>
    </w:p>
    <w:p>
      <w:pPr>
        <w:pStyle w:val="Heading5"/>
      </w:pPr>
      <w:bookmarkStart w:id="359" w:name="_Toc210129949"/>
      <w:r>
        <w:rPr>
          <w:rStyle w:val="CharSectno"/>
        </w:rPr>
        <w:t>174</w:t>
      </w:r>
      <w:r>
        <w:t>.</w:t>
      </w:r>
      <w:r>
        <w:tab/>
        <w:t>Notice of s. 170 or 171 application to be given to owners etc. of adjourning land affected by it</w:t>
      </w:r>
      <w:bookmarkEnd w:id="359"/>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No. 6 of 2003 s. 64; amended: No. 56 of 2003 s. 18.]</w:t>
      </w:r>
    </w:p>
    <w:p>
      <w:pPr>
        <w:pStyle w:val="Heading5"/>
        <w:rPr>
          <w:snapToGrid w:val="0"/>
        </w:rPr>
      </w:pPr>
      <w:bookmarkStart w:id="360" w:name="_Toc210129950"/>
      <w:r>
        <w:rPr>
          <w:rStyle w:val="CharSectno"/>
        </w:rPr>
        <w:t>175</w:t>
      </w:r>
      <w:r>
        <w:rPr>
          <w:snapToGrid w:val="0"/>
        </w:rPr>
        <w:t>.</w:t>
      </w:r>
      <w:r>
        <w:rPr>
          <w:snapToGrid w:val="0"/>
        </w:rPr>
        <w:tab/>
        <w:t>Notice of s. 170 or 171 application to be published and publicly displayed</w:t>
      </w:r>
      <w:bookmarkEnd w:id="360"/>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w:t>
      </w:r>
      <w:r>
        <w:rPr>
          <w:snapToGrid w:val="0"/>
        </w:rPr>
        <w:lastRenderedPageBreak/>
        <w:t>shall not comply to his satisfaction within such time as to him may seem reasonable with any requisition which he may have made in regard to such application.</w:t>
      </w:r>
    </w:p>
    <w:p>
      <w:pPr>
        <w:pStyle w:val="Footnotesection"/>
        <w:ind w:left="890" w:hanging="890"/>
      </w:pPr>
      <w:r>
        <w:tab/>
        <w:t>[Section 175 amended: No. 81 of 1996 s. 105; No. 6 of 2003 s. 65; No. 60 of 2006 s. 118(2).]</w:t>
      </w:r>
    </w:p>
    <w:p>
      <w:pPr>
        <w:pStyle w:val="Heading5"/>
        <w:rPr>
          <w:snapToGrid w:val="0"/>
        </w:rPr>
      </w:pPr>
      <w:bookmarkStart w:id="361" w:name="_Toc210129951"/>
      <w:r>
        <w:rPr>
          <w:rStyle w:val="CharSectno"/>
        </w:rPr>
        <w:t>176</w:t>
      </w:r>
      <w:r>
        <w:rPr>
          <w:snapToGrid w:val="0"/>
        </w:rPr>
        <w:t>.</w:t>
      </w:r>
      <w:r>
        <w:rPr>
          <w:snapToGrid w:val="0"/>
        </w:rPr>
        <w:tab/>
        <w:t>Person opposing s. 170 or 171 application may lodge caveat</w:t>
      </w:r>
      <w:bookmarkEnd w:id="361"/>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362" w:name="_Toc210129952"/>
      <w:r>
        <w:rPr>
          <w:rStyle w:val="CharSectno"/>
        </w:rPr>
        <w:t>177</w:t>
      </w:r>
      <w:r>
        <w:rPr>
          <w:snapToGrid w:val="0"/>
        </w:rPr>
        <w:t>.</w:t>
      </w:r>
      <w:r>
        <w:rPr>
          <w:snapToGrid w:val="0"/>
        </w:rPr>
        <w:tab/>
        <w:t>Applications under s. 170, 171 or 20 may be granted although other certificates may be affected</w:t>
      </w:r>
      <w:bookmarkEnd w:id="362"/>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No. 81 of 1996 s. 106 and 145(2); No. 6 of 2003 s. 66.]</w:t>
      </w:r>
    </w:p>
    <w:p>
      <w:pPr>
        <w:pStyle w:val="Heading5"/>
      </w:pPr>
      <w:bookmarkStart w:id="363" w:name="_Toc210129953"/>
      <w:r>
        <w:rPr>
          <w:rStyle w:val="CharSectno"/>
        </w:rPr>
        <w:lastRenderedPageBreak/>
        <w:t>178</w:t>
      </w:r>
      <w:r>
        <w:t>.</w:t>
      </w:r>
      <w:r>
        <w:tab/>
        <w:t>Certificate of title and relevant graphics may be amended or replaced on granting application</w:t>
      </w:r>
      <w:bookmarkEnd w:id="363"/>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Ednotesubsection"/>
      </w:pPr>
      <w:r>
        <w:tab/>
        <w:t>[(2),(3)</w:t>
      </w:r>
      <w:r>
        <w:tab/>
      </w:r>
      <w:r>
        <w:tab/>
        <w:t>deleted]</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w:t>
      </w:r>
    </w:p>
    <w:p>
      <w:pPr>
        <w:pStyle w:val="Ednotesubsection"/>
      </w:pPr>
      <w:r>
        <w:tab/>
        <w:t>[(5)</w:t>
      </w:r>
      <w:r>
        <w:tab/>
        <w:t>deleted]</w:t>
      </w:r>
    </w:p>
    <w:p>
      <w:pPr>
        <w:pStyle w:val="Footnotesection"/>
      </w:pPr>
      <w:r>
        <w:tab/>
        <w:t>[Section 178 inserted: No. 6 of 2003 s. 67; amended: No. 60 of 2006 s. 118</w:t>
      </w:r>
      <w:r>
        <w:rPr>
          <w:spacing w:val="-4"/>
        </w:rPr>
        <w:t>(1); No. 21 of 2022 s. 34</w:t>
      </w:r>
      <w:r>
        <w:t>.]</w:t>
      </w:r>
    </w:p>
    <w:p>
      <w:pPr>
        <w:pStyle w:val="Ednotesection"/>
      </w:pPr>
      <w:r>
        <w:t>[</w:t>
      </w:r>
      <w:r>
        <w:rPr>
          <w:b/>
        </w:rPr>
        <w:t>179.</w:t>
      </w:r>
      <w:r>
        <w:tab/>
        <w:t>Deleted: No. 6 of 2003 s. 68.]</w:t>
      </w:r>
    </w:p>
    <w:p>
      <w:pPr>
        <w:pStyle w:val="Heading2"/>
      </w:pPr>
      <w:bookmarkStart w:id="364" w:name="_Toc166683605"/>
      <w:bookmarkStart w:id="365" w:name="_Toc166683981"/>
      <w:bookmarkStart w:id="366" w:name="_Toc166684767"/>
      <w:bookmarkStart w:id="367" w:name="_Toc210120376"/>
      <w:bookmarkStart w:id="368" w:name="_Toc210129954"/>
      <w:r>
        <w:rPr>
          <w:rStyle w:val="CharPartNo"/>
        </w:rPr>
        <w:lastRenderedPageBreak/>
        <w:t>Part X</w:t>
      </w:r>
      <w:r>
        <w:rPr>
          <w:rStyle w:val="CharDivNo"/>
        </w:rPr>
        <w:t> </w:t>
      </w:r>
      <w:r>
        <w:t>—</w:t>
      </w:r>
      <w:r>
        <w:rPr>
          <w:rStyle w:val="CharDivText"/>
        </w:rPr>
        <w:t> </w:t>
      </w:r>
      <w:r>
        <w:rPr>
          <w:rStyle w:val="CharPartText"/>
        </w:rPr>
        <w:t>Special powers and duties of the Commissioner and Registrar</w:t>
      </w:r>
      <w:bookmarkEnd w:id="364"/>
      <w:bookmarkEnd w:id="365"/>
      <w:bookmarkEnd w:id="366"/>
      <w:bookmarkEnd w:id="367"/>
      <w:bookmarkEnd w:id="368"/>
    </w:p>
    <w:p>
      <w:pPr>
        <w:pStyle w:val="Heading5"/>
      </w:pPr>
      <w:bookmarkStart w:id="369" w:name="_Toc210129955"/>
      <w:r>
        <w:rPr>
          <w:rStyle w:val="CharSectno"/>
        </w:rPr>
        <w:t>180</w:t>
      </w:r>
      <w:r>
        <w:t>.</w:t>
      </w:r>
      <w:r>
        <w:tab/>
        <w:t>Commissioner may summons people to provide information</w:t>
      </w:r>
      <w:bookmarkEnd w:id="369"/>
    </w:p>
    <w:p>
      <w:pPr>
        <w:pStyle w:val="Subsection"/>
      </w:pPr>
      <w:r>
        <w:tab/>
        <w:t>(1)</w:t>
      </w:r>
      <w:r>
        <w:tab/>
        <w: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t>
      </w:r>
    </w:p>
    <w:p>
      <w:pPr>
        <w:pStyle w:val="Indenta"/>
      </w:pPr>
      <w:r>
        <w:tab/>
        <w:t>(a)</w:t>
      </w:r>
      <w:r>
        <w:tab/>
        <w:t xml:space="preserve">to give an explanation concerning — </w:t>
      </w:r>
    </w:p>
    <w:p>
      <w:pPr>
        <w:pStyle w:val="Indenti"/>
      </w:pPr>
      <w:r>
        <w:tab/>
        <w:t>(i)</w:t>
      </w:r>
      <w:r>
        <w:tab/>
        <w:t>any land; or</w:t>
      </w:r>
    </w:p>
    <w:p>
      <w:pPr>
        <w:pStyle w:val="Indenti"/>
      </w:pPr>
      <w:r>
        <w:tab/>
        <w:t>(ii)</w:t>
      </w:r>
      <w:r>
        <w:tab/>
        <w:t>any document affecting the title to any land; or</w:t>
      </w:r>
    </w:p>
    <w:p>
      <w:pPr>
        <w:pStyle w:val="Indenti"/>
      </w:pPr>
      <w:r>
        <w:tab/>
        <w:t>(iii)</w:t>
      </w:r>
      <w:r>
        <w:tab/>
        <w:t>any conveyancing transaction;</w:t>
      </w:r>
    </w:p>
    <w:p>
      <w:pPr>
        <w:pStyle w:val="Indenta"/>
      </w:pPr>
      <w:r>
        <w:tab/>
        <w:t>(b)</w:t>
      </w:r>
      <w:r>
        <w:tab/>
        <w:t xml:space="preserve">to produce any grant, certificate of title, will, mortgage or other instrument or document in the person’s possession or within the person’s control — </w:t>
      </w:r>
    </w:p>
    <w:p>
      <w:pPr>
        <w:pStyle w:val="Indenti"/>
      </w:pPr>
      <w:r>
        <w:tab/>
        <w:t>(i)</w:t>
      </w:r>
      <w:r>
        <w:tab/>
        <w:t>affecting any land or the title to any land; or</w:t>
      </w:r>
    </w:p>
    <w:p>
      <w:pPr>
        <w:pStyle w:val="Indenti"/>
      </w:pPr>
      <w:r>
        <w:tab/>
        <w:t>(ii)</w:t>
      </w:r>
      <w:r>
        <w:tab/>
        <w:t>relating to any conveyancing transaction.</w:t>
      </w:r>
    </w:p>
    <w:p>
      <w:pPr>
        <w:pStyle w:val="Subsection"/>
      </w:pPr>
      <w:r>
        <w:tab/>
        <w:t>(2)</w:t>
      </w:r>
      <w:r>
        <w:tab/>
        <w:t xml:space="preserve">The persons referred to in subsection (1) are the following — </w:t>
      </w:r>
    </w:p>
    <w:p>
      <w:pPr>
        <w:pStyle w:val="Indenta"/>
      </w:pPr>
      <w:r>
        <w:tab/>
        <w:t>(a)</w:t>
      </w:r>
      <w:r>
        <w:tab/>
        <w:t xml:space="preserve">the proprietor, mortgagee or other person interested in any land under, or proposed to be brought under, the operation of this Act in respect of which — </w:t>
      </w:r>
    </w:p>
    <w:p>
      <w:pPr>
        <w:pStyle w:val="Indenti"/>
      </w:pPr>
      <w:r>
        <w:tab/>
        <w:t>(i)</w:t>
      </w:r>
      <w:r>
        <w:tab/>
        <w:t>any transfer, lease, mortgage, charge, carbon right, carbon covenant, tree plantation agreement or other dealing is proposed to be transacted or registered; or</w:t>
      </w:r>
    </w:p>
    <w:p>
      <w:pPr>
        <w:pStyle w:val="Indenti"/>
      </w:pPr>
      <w:r>
        <w:tab/>
        <w:t>(ii)</w:t>
      </w:r>
      <w:r>
        <w:tab/>
        <w:t>any discharge from any mortgage or charge, or any surrender of a carbon right, carbon covenant or plantation interest, is proposed to be transacted or registered; or</w:t>
      </w:r>
    </w:p>
    <w:p>
      <w:pPr>
        <w:pStyle w:val="Indenti"/>
      </w:pPr>
      <w:r>
        <w:tab/>
        <w:t>(iii)</w:t>
      </w:r>
      <w:r>
        <w:tab/>
        <w:t>any transmission is proposed to be registered;</w:t>
      </w:r>
    </w:p>
    <w:p>
      <w:pPr>
        <w:pStyle w:val="Indenta"/>
      </w:pPr>
      <w:r>
        <w:lastRenderedPageBreak/>
        <w:tab/>
        <w:t>(b)</w:t>
      </w:r>
      <w:r>
        <w:tab/>
        <w:t xml:space="preserve">any person whom the Commissioner reasonably considers will be able to give an explanation concerning a conveyancing transaction or produce a document relating to a conveyancing transaction, including (without limitation) — </w:t>
      </w:r>
    </w:p>
    <w:p>
      <w:pPr>
        <w:pStyle w:val="Indenti"/>
      </w:pPr>
      <w:r>
        <w:tab/>
        <w:t>(i)</w:t>
      </w:r>
      <w:r>
        <w:tab/>
        <w:t>a subscriber;</w:t>
      </w:r>
    </w:p>
    <w:p>
      <w:pPr>
        <w:pStyle w:val="Indenti"/>
      </w:pPr>
      <w:r>
        <w:tab/>
        <w:t>(ii)</w:t>
      </w:r>
      <w:r>
        <w:tab/>
        <w:t>any of a subscriber’s employees, agents, contractors or officers;</w:t>
      </w:r>
    </w:p>
    <w:p>
      <w:pPr>
        <w:pStyle w:val="Indenti"/>
      </w:pPr>
      <w:r>
        <w:tab/>
        <w:t>(iii)</w:t>
      </w:r>
      <w:r>
        <w:tab/>
        <w:t>a lawyer;</w:t>
      </w:r>
    </w:p>
    <w:p>
      <w:pPr>
        <w:pStyle w:val="Indenti"/>
      </w:pPr>
      <w:r>
        <w:tab/>
        <w:t>(iv)</w:t>
      </w:r>
      <w:r>
        <w:tab/>
        <w:t xml:space="preserve">a settlement agent as defined in the </w:t>
      </w:r>
      <w:r>
        <w:rPr>
          <w:i/>
        </w:rPr>
        <w:t>Settlement Agents Act 1981</w:t>
      </w:r>
      <w:r>
        <w:t xml:space="preserve"> section 3(1);</w:t>
      </w:r>
    </w:p>
    <w:p>
      <w:pPr>
        <w:pStyle w:val="Indenti"/>
      </w:pPr>
      <w:r>
        <w:tab/>
        <w:t>(v)</w:t>
      </w:r>
      <w:r>
        <w:tab/>
        <w:t>an ELNO;</w:t>
      </w:r>
    </w:p>
    <w:p>
      <w:pPr>
        <w:pStyle w:val="Indenti"/>
      </w:pPr>
      <w:r>
        <w:tab/>
        <w:t>(vi)</w:t>
      </w:r>
      <w:r>
        <w:tab/>
        <w:t>any of an ELNO’s employees, agents, contractors or officers.</w:t>
      </w:r>
    </w:p>
    <w:p>
      <w:pPr>
        <w:pStyle w:val="Subsection"/>
      </w:pPr>
      <w:r>
        <w:tab/>
        <w:t>(3)</w:t>
      </w:r>
      <w:r>
        <w:tab/>
        <w:t xml:space="preserve">A summons under subsection (1) must be — </w:t>
      </w:r>
    </w:p>
    <w:p>
      <w:pPr>
        <w:pStyle w:val="Indenta"/>
      </w:pPr>
      <w:r>
        <w:tab/>
        <w:t>(a)</w:t>
      </w:r>
      <w:r>
        <w:tab/>
        <w:t>in an approved form; and</w:t>
      </w:r>
    </w:p>
    <w:p>
      <w:pPr>
        <w:pStyle w:val="Indenta"/>
      </w:pPr>
      <w:r>
        <w:tab/>
        <w:t>(b)</w:t>
      </w:r>
      <w:r>
        <w:tab/>
        <w:t>signed by the Commissioner; and</w:t>
      </w:r>
    </w:p>
    <w:p>
      <w:pPr>
        <w:pStyle w:val="Indenta"/>
      </w:pPr>
      <w:r>
        <w:tab/>
        <w:t>(c)</w:t>
      </w:r>
      <w:r>
        <w:tab/>
        <w:t>served on the person summoned in accordance with section 240 as if it were a notice to which that section applies.</w:t>
      </w:r>
    </w:p>
    <w:p>
      <w:pPr>
        <w:pStyle w:val="Subsection"/>
      </w:pPr>
      <w:r>
        <w:tab/>
        <w:t>(4)</w:t>
      </w:r>
      <w:r>
        <w:tab/>
        <w:t xml:space="preserve">For the purposes of this section — </w:t>
      </w:r>
    </w:p>
    <w:p>
      <w:pPr>
        <w:pStyle w:val="Indenta"/>
      </w:pPr>
      <w:r>
        <w:tab/>
        <w:t>(a)</w:t>
      </w:r>
      <w:r>
        <w:tab/>
        <w:t>the Commissioner may require a person summoned under subsection (1) to take an oath or to make an affirmation; and</w:t>
      </w:r>
    </w:p>
    <w:p>
      <w:pPr>
        <w:pStyle w:val="Indenta"/>
      </w:pPr>
      <w:r>
        <w:tab/>
        <w:t>(b)</w:t>
      </w:r>
      <w:r>
        <w:tab/>
        <w:t>the Commissioner may administer an oath or affirmation to the person.</w:t>
      </w:r>
    </w:p>
    <w:p>
      <w:pPr>
        <w:pStyle w:val="Subsection"/>
      </w:pPr>
      <w:r>
        <w:tab/>
        <w:t>(5)</w:t>
      </w:r>
      <w:r>
        <w:tab/>
        <w:t xml:space="preserve">If a person is summoned under subsection (1), the Commissioner may deal with the person as in the case of contempt of the Supreme Court if the person — </w:t>
      </w:r>
    </w:p>
    <w:p>
      <w:pPr>
        <w:pStyle w:val="Indenta"/>
      </w:pPr>
      <w:r>
        <w:tab/>
        <w:t>(a)</w:t>
      </w:r>
      <w:r>
        <w:tab/>
        <w:t xml:space="preserve">fails, refuses or neglects — </w:t>
      </w:r>
    </w:p>
    <w:p>
      <w:pPr>
        <w:pStyle w:val="Indenti"/>
      </w:pPr>
      <w:r>
        <w:lastRenderedPageBreak/>
        <w:tab/>
        <w:t>(i)</w:t>
      </w:r>
      <w:r>
        <w:tab/>
        <w:t>to attend the Commissioner for the purpose of being examined; or</w:t>
      </w:r>
    </w:p>
    <w:p>
      <w:pPr>
        <w:pStyle w:val="Indenti"/>
      </w:pPr>
      <w:r>
        <w:tab/>
        <w:t>(ii)</w:t>
      </w:r>
      <w:r>
        <w:tab/>
        <w:t>to produce any document as required by the summons; or</w:t>
      </w:r>
    </w:p>
    <w:p>
      <w:pPr>
        <w:pStyle w:val="Indenti"/>
      </w:pPr>
      <w:r>
        <w:tab/>
        <w:t>(iii)</w:t>
      </w:r>
      <w:r>
        <w:tab/>
        <w:t>to allow any document to which subparagraph (ii) applies to be inspected;</w:t>
      </w:r>
    </w:p>
    <w:p>
      <w:pPr>
        <w:pStyle w:val="Indenta"/>
      </w:pPr>
      <w:r>
        <w:tab/>
      </w:r>
      <w:r>
        <w:tab/>
        <w:t>or</w:t>
      </w:r>
    </w:p>
    <w:p>
      <w:pPr>
        <w:pStyle w:val="Indenta"/>
      </w:pPr>
      <w:r>
        <w:tab/>
        <w:t>(b)</w:t>
      </w:r>
      <w:r>
        <w:tab/>
        <w:t>refuses or neglects to give any explanation required by the Commissioner.</w:t>
      </w:r>
    </w:p>
    <w:p>
      <w:pPr>
        <w:pStyle w:val="Subsection"/>
      </w:pPr>
      <w:r>
        <w:tab/>
        <w:t>(6)</w:t>
      </w:r>
      <w:r>
        <w:tab/>
        <w:t>If the Commissioner considers that any information or document that is withheld from the Commissioner in the circumstances set out in subsection (5) is material, the Registrar is not bound to proceed with the transaction to which that information or document relates.</w:t>
      </w:r>
    </w:p>
    <w:p>
      <w:pPr>
        <w:pStyle w:val="Footnotesection"/>
        <w:spacing w:before="100"/>
        <w:ind w:left="890" w:hanging="890"/>
      </w:pPr>
      <w:r>
        <w:tab/>
        <w:t>[Section 180 inserted: No. 2 of 2014 s. 77; amended: No. 9 of 2022 s. 424.]</w:t>
      </w:r>
    </w:p>
    <w:p>
      <w:pPr>
        <w:pStyle w:val="Heading5"/>
      </w:pPr>
      <w:bookmarkStart w:id="370" w:name="_Toc210129956"/>
      <w:r>
        <w:rPr>
          <w:rStyle w:val="CharSectno"/>
        </w:rPr>
        <w:t>181A</w:t>
      </w:r>
      <w:r>
        <w:t>.</w:t>
      </w:r>
      <w:r>
        <w:tab/>
        <w:t>Commissioner and Registrar may require supporting documentation or evidence or verification</w:t>
      </w:r>
      <w:bookmarkEnd w:id="370"/>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For the purposes of performing any function under this Act or any other Act, the Commissioner or the Registrar may require any person who lodges any document to do, or to arrange for someone to do, all or any of the following — </w:t>
      </w:r>
    </w:p>
    <w:p>
      <w:pPr>
        <w:pStyle w:val="Indenta"/>
      </w:pPr>
      <w:r>
        <w:tab/>
        <w:t>(a)</w:t>
      </w:r>
      <w:r>
        <w:tab/>
        <w:t>to submit or produce any document supporting or authenticating the document;</w:t>
      </w:r>
    </w:p>
    <w:p>
      <w:pPr>
        <w:pStyle w:val="Indenta"/>
      </w:pPr>
      <w:r>
        <w:tab/>
        <w:t>(b)</w:t>
      </w:r>
      <w:r>
        <w:tab/>
        <w:t>to provide specified information relating to the document;</w:t>
      </w:r>
    </w:p>
    <w:p>
      <w:pPr>
        <w:pStyle w:val="Indenta"/>
      </w:pPr>
      <w:r>
        <w:tab/>
        <w:t>(c)</w:t>
      </w:r>
      <w:r>
        <w:tab/>
        <w:t xml:space="preserve">to submit or produce evidence relating to a certification given in or with the document, including (without limitation) — </w:t>
      </w:r>
    </w:p>
    <w:p>
      <w:pPr>
        <w:pStyle w:val="Indenti"/>
      </w:pPr>
      <w:r>
        <w:lastRenderedPageBreak/>
        <w:tab/>
        <w:t>(i)</w:t>
      </w:r>
      <w:r>
        <w:tab/>
        <w:t>evidence showing the truth of the certification;</w:t>
      </w:r>
    </w:p>
    <w:p>
      <w:pPr>
        <w:pStyle w:val="Indenti"/>
      </w:pPr>
      <w:r>
        <w:tab/>
        <w:t>(ii)</w:t>
      </w:r>
      <w:r>
        <w:tab/>
        <w:t>evidence that the person who gave the certification was entitled to give it;</w:t>
      </w:r>
    </w:p>
    <w:p>
      <w:pPr>
        <w:pStyle w:val="Indenta"/>
      </w:pPr>
      <w:r>
        <w:tab/>
        <w:t>(d)</w:t>
      </w:r>
      <w:r>
        <w:tab/>
        <w:t>to verify any document, information, evidence, certification or other matter by statutory declaration.</w:t>
      </w:r>
    </w:p>
    <w:p>
      <w:pPr>
        <w:pStyle w:val="Subsection"/>
      </w:pPr>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p>
    <w:p>
      <w:pPr>
        <w:pStyle w:val="Indenta"/>
      </w:pPr>
      <w:r>
        <w:tab/>
        <w:t>(a)</w:t>
      </w:r>
      <w:r>
        <w:tab/>
        <w:t>to give a certification in or in relation to the document;</w:t>
      </w:r>
    </w:p>
    <w:p>
      <w:pPr>
        <w:pStyle w:val="Indenta"/>
      </w:pPr>
      <w:r>
        <w:tab/>
        <w:t>(b)</w:t>
      </w:r>
      <w:r>
        <w:tab/>
        <w:t xml:space="preserve">to verify the identity and authority of — </w:t>
      </w:r>
    </w:p>
    <w:p>
      <w:pPr>
        <w:pStyle w:val="Indenti"/>
      </w:pPr>
      <w:r>
        <w:tab/>
        <w:t>(i)</w:t>
      </w:r>
      <w:r>
        <w:tab/>
        <w:t>any person who is a party to the conveyancing transaction to which the document relates;</w:t>
      </w:r>
    </w:p>
    <w:p>
      <w:pPr>
        <w:pStyle w:val="Indenti"/>
      </w:pPr>
      <w:r>
        <w:tab/>
        <w:t>(ii)</w:t>
      </w:r>
      <w:r>
        <w:tab/>
        <w:t>any person who signed or authorised the signing of the document.</w:t>
      </w:r>
    </w:p>
    <w:p>
      <w:pPr>
        <w:pStyle w:val="Subsection"/>
      </w:pPr>
      <w:r>
        <w:tab/>
        <w:t>(4)</w:t>
      </w:r>
      <w:r>
        <w:tab/>
        <w:t xml:space="preserve">A requirement made under subsection (2) or (3) — </w:t>
      </w:r>
    </w:p>
    <w:p>
      <w:pPr>
        <w:pStyle w:val="Indenta"/>
      </w:pPr>
      <w:r>
        <w:tab/>
        <w:t>(a)</w:t>
      </w:r>
      <w:r>
        <w:tab/>
        <w:t>must be given by notice served on the person to whom the requirement relates; and</w:t>
      </w:r>
    </w:p>
    <w:p>
      <w:pPr>
        <w:pStyle w:val="Indenta"/>
      </w:pPr>
      <w:r>
        <w:tab/>
        <w:t>(b)</w:t>
      </w:r>
      <w:r>
        <w:tab/>
        <w:t>must specify a period within which the requirement must be complied with; and</w:t>
      </w:r>
    </w:p>
    <w:p>
      <w:pPr>
        <w:pStyle w:val="Indenta"/>
      </w:pPr>
      <w:r>
        <w:tab/>
        <w:t>(c)</w:t>
      </w:r>
      <w:r>
        <w:tab/>
        <w:t>may specify how the requirement is to be complied with.</w:t>
      </w:r>
    </w:p>
    <w:p>
      <w:pPr>
        <w:pStyle w:val="Subsection"/>
      </w:pPr>
      <w:r>
        <w:tab/>
        <w:t>(5)</w:t>
      </w:r>
      <w:r>
        <w:tab/>
        <w:t xml:space="preserve">If a requirement made under subsection (2) or (3) in relation to a document is not complied with within the period specified in accordance with subsection (4)(b), the Commissioner or, as the case requires, the Registrar — </w:t>
      </w:r>
    </w:p>
    <w:p>
      <w:pPr>
        <w:pStyle w:val="Indenta"/>
      </w:pPr>
      <w:r>
        <w:tab/>
        <w:t>(a)</w:t>
      </w:r>
      <w:r>
        <w:tab/>
        <w:t>may reject the document; and</w:t>
      </w:r>
    </w:p>
    <w:p>
      <w:pPr>
        <w:pStyle w:val="Indenta"/>
      </w:pPr>
      <w:r>
        <w:tab/>
        <w:t>(b)</w:t>
      </w:r>
      <w:r>
        <w:tab/>
        <w:t>if the document is rejected, must notify the refusal to the person lodging the document.</w:t>
      </w:r>
    </w:p>
    <w:p>
      <w:pPr>
        <w:pStyle w:val="Subsection"/>
      </w:pPr>
      <w:r>
        <w:lastRenderedPageBreak/>
        <w:tab/>
        <w:t>(6)</w:t>
      </w:r>
      <w:r>
        <w:tab/>
        <w:t>If a document is rejected under subsection (5), section 192(2) applies as if the document had been rejected under section 192(1).</w:t>
      </w:r>
    </w:p>
    <w:p>
      <w:pPr>
        <w:pStyle w:val="Footnotesection"/>
        <w:spacing w:before="100"/>
        <w:ind w:left="890" w:hanging="890"/>
      </w:pPr>
      <w:r>
        <w:tab/>
        <w:t>[Section 181A inserted: No. 2 of 2014 s. 77.]</w:t>
      </w:r>
    </w:p>
    <w:p>
      <w:pPr>
        <w:pStyle w:val="Heading5"/>
      </w:pPr>
      <w:bookmarkStart w:id="371" w:name="_Toc210129957"/>
      <w:r>
        <w:rPr>
          <w:rStyle w:val="CharSectno"/>
        </w:rPr>
        <w:t>181B</w:t>
      </w:r>
      <w:r>
        <w:t>.</w:t>
      </w:r>
      <w:r>
        <w:tab/>
        <w:t>Commissioner and Registrar may require verification by statutory declaration</w:t>
      </w:r>
      <w:bookmarkEnd w:id="371"/>
    </w:p>
    <w:p>
      <w:pPr>
        <w:pStyle w:val="Subsection"/>
      </w:pPr>
      <w:r>
        <w:tab/>
        <w:t>(1)</w:t>
      </w:r>
      <w:r>
        <w:tab/>
        <w:t>For the purposes of performing any function under this Act or any other Act, the Commissioner or the Registrar may require any person to verify any document, information, evidence, certification or other matter by statutory declaration.</w:t>
      </w:r>
    </w:p>
    <w:p>
      <w:pPr>
        <w:pStyle w:val="Subsection"/>
      </w:pPr>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p>
    <w:p>
      <w:pPr>
        <w:pStyle w:val="Footnotesection"/>
        <w:spacing w:before="100"/>
        <w:ind w:left="890" w:hanging="890"/>
      </w:pPr>
      <w:r>
        <w:tab/>
        <w:t>[Section 181B inserted: No. 2 of 2014 s. 77.]</w:t>
      </w:r>
    </w:p>
    <w:p>
      <w:pPr>
        <w:pStyle w:val="Heading5"/>
        <w:rPr>
          <w:snapToGrid w:val="0"/>
        </w:rPr>
      </w:pPr>
      <w:bookmarkStart w:id="372" w:name="_Toc210129958"/>
      <w:r>
        <w:rPr>
          <w:rStyle w:val="CharSectno"/>
        </w:rPr>
        <w:t>181</w:t>
      </w:r>
      <w:r>
        <w:rPr>
          <w:snapToGrid w:val="0"/>
        </w:rPr>
        <w:t>.</w:t>
      </w:r>
      <w:r>
        <w:rPr>
          <w:snapToGrid w:val="0"/>
        </w:rPr>
        <w:tab/>
        <w:t>Regulations</w:t>
      </w:r>
      <w:bookmarkEnd w:id="372"/>
    </w:p>
    <w:p>
      <w:pPr>
        <w:pStyle w:val="Subsection"/>
      </w:pPr>
      <w:r>
        <w:tab/>
        <w:t>(1AA)</w:t>
      </w:r>
      <w:r>
        <w:tab/>
        <w:t>In this section —</w:t>
      </w:r>
    </w:p>
    <w:p>
      <w:pPr>
        <w:pStyle w:val="Defstart"/>
      </w:pPr>
      <w:r>
        <w:tab/>
      </w:r>
      <w:r>
        <w:rPr>
          <w:rStyle w:val="CharDefText"/>
        </w:rPr>
        <w:t>lodge</w:t>
      </w:r>
      <w:r>
        <w:t xml:space="preserve"> includes deposit, present and file.</w:t>
      </w:r>
    </w:p>
    <w:p>
      <w:pPr>
        <w:pStyle w:val="Subsection"/>
        <w:spacing w:before="18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100"/>
        <w:rPr>
          <w:snapToGrid w:val="0"/>
        </w:rPr>
      </w:pPr>
      <w:r>
        <w:rPr>
          <w:snapToGrid w:val="0"/>
        </w:rPr>
        <w:tab/>
        <w:t>(a)</w:t>
      </w:r>
      <w:r>
        <w:rPr>
          <w:snapToGrid w:val="0"/>
        </w:rPr>
        <w:tab/>
        <w:t>the parcels of land that may be included in one certificate of title; and</w:t>
      </w:r>
    </w:p>
    <w:p>
      <w:pPr>
        <w:pStyle w:val="Indenta"/>
        <w:spacing w:before="10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 and</w:t>
      </w:r>
    </w:p>
    <w:p>
      <w:pPr>
        <w:pStyle w:val="Indenta"/>
        <w:spacing w:before="10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 xml:space="preserve">or </w:t>
      </w:r>
      <w:r>
        <w:rPr>
          <w:snapToGrid w:val="0"/>
        </w:rPr>
        <w:lastRenderedPageBreak/>
        <w:t>registration or entry in the Register may be presented; and</w:t>
      </w:r>
    </w:p>
    <w:p>
      <w:pPr>
        <w:pStyle w:val="Indenta"/>
        <w:spacing w:before="10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 and</w:t>
      </w:r>
    </w:p>
    <w:p>
      <w:pPr>
        <w:pStyle w:val="Indenta"/>
      </w:pPr>
      <w:r>
        <w:tab/>
        <w:t>(bc)</w:t>
      </w:r>
      <w:r>
        <w:tab/>
        <w:t xml:space="preserve">prescribing requirements relating to the lodgment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r>
      <w:r>
        <w:tab/>
        <w:t>and</w:t>
      </w:r>
    </w:p>
    <w:p>
      <w:pPr>
        <w:pStyle w:val="Ednotepara"/>
      </w:pPr>
      <w:r>
        <w:tab/>
        <w:t>[(bd)</w:t>
      </w:r>
      <w:r>
        <w:tab/>
      </w:r>
      <w:r>
        <w:tab/>
        <w:t>deleted]</w:t>
      </w:r>
    </w:p>
    <w:p>
      <w:pPr>
        <w:pStyle w:val="Indenta"/>
      </w:pPr>
      <w:r>
        <w:tab/>
        <w:t>(be)</w:t>
      </w:r>
      <w:r>
        <w:tab/>
        <w:t xml:space="preserve">prescribing requirements relating to certifications that must be included in or with documents lodged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lastRenderedPageBreak/>
        <w:tab/>
        <w:t>(ii)</w:t>
      </w:r>
      <w:r>
        <w:tab/>
        <w:t>the persons or classes of persons who can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r>
      <w:r>
        <w:tab/>
        <w:t>and</w:t>
      </w:r>
    </w:p>
    <w:p>
      <w:pPr>
        <w:pStyle w:val="Indenta"/>
      </w:pPr>
      <w:r>
        <w:tab/>
        <w:t>(bf)</w:t>
      </w:r>
      <w:r>
        <w:tab/>
        <w:t xml:space="preserve">prescribing requirements relating to 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Indenti"/>
      </w:pPr>
      <w:r>
        <w:tab/>
        <w:t>(i)</w:t>
      </w:r>
      <w:r>
        <w:tab/>
        <w:t>requiring or permitting action in relation to a thing to be done by electronic means; and</w:t>
      </w:r>
    </w:p>
    <w:p>
      <w:pPr>
        <w:pStyle w:val="Indenti"/>
      </w:pPr>
      <w:r>
        <w:tab/>
        <w:t>(ii)</w:t>
      </w:r>
      <w:r>
        <w:tab/>
        <w:t>requiring or permitting a thing that otherwise would be required or authorised to accompany or be endorsed on, included on, lodged with or given in relation to a lodged document to be lodged or given separately;</w:t>
      </w:r>
    </w:p>
    <w:p>
      <w:pPr>
        <w:pStyle w:val="Indenta"/>
      </w:pPr>
      <w:r>
        <w:tab/>
      </w:r>
      <w:r>
        <w:tab/>
        <w:t>and</w:t>
      </w:r>
    </w:p>
    <w:p>
      <w:pPr>
        <w:pStyle w:val="Ednotepara"/>
        <w:rPr>
          <w:snapToGrid w:val="0"/>
        </w:rPr>
      </w:pPr>
      <w:r>
        <w:tab/>
        <w:t>[(bg)</w:t>
      </w:r>
      <w:r>
        <w:tab/>
        <w:t>deleted]</w:t>
      </w:r>
    </w:p>
    <w:p>
      <w:pPr>
        <w:pStyle w:val="Indenta"/>
      </w:pPr>
      <w:r>
        <w:tab/>
        <w:t>(bh)</w:t>
      </w:r>
      <w:r>
        <w:tab/>
        <w:t xml:space="preserve">prescribing requirements relating to the verification of the identity and authority of persons who are parties to a conveyancing transaction or who sign or authorise the signing of documents to be lodged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lastRenderedPageBreak/>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r>
      <w:r>
        <w:tab/>
        <w:t>and</w:t>
      </w:r>
    </w:p>
    <w:p>
      <w:pPr>
        <w:pStyle w:val="Indenta"/>
      </w:pPr>
      <w:r>
        <w:tab/>
        <w:t>(bi)</w:t>
      </w:r>
      <w:r>
        <w:tab/>
        <w:t>prescribing requirements relating to applications made under this Act to the Commissioner; and</w:t>
      </w:r>
    </w:p>
    <w:p>
      <w:pPr>
        <w:pStyle w:val="Indenta"/>
      </w:pPr>
      <w:r>
        <w:tab/>
        <w:t>(bj)</w:t>
      </w:r>
      <w:r>
        <w:tab/>
        <w:t>the manner in which notices under this Act must or may be given, including (without limitation) requiring or permitting notices that must or may be given to or by the Registrar or the Commissioner to be given by electronic means and when any notice given under this Act is taken to have been received; and</w:t>
      </w:r>
    </w:p>
    <w:p>
      <w:pPr>
        <w:pStyle w:val="Indenta"/>
        <w:spacing w:before="10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 and</w:t>
      </w:r>
    </w:p>
    <w:p>
      <w:pPr>
        <w:pStyle w:val="Indenta"/>
        <w:spacing w:before="10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0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80"/>
      </w:pPr>
      <w:r>
        <w:tab/>
        <w:t>(1a)</w:t>
      </w:r>
      <w:r>
        <w:tab/>
        <w:t xml:space="preserve">On the coming into operation of the </w:t>
      </w:r>
      <w:r>
        <w:rPr>
          <w:i/>
          <w:snapToGrid w:val="0"/>
        </w:rPr>
        <w:t>Land Information Authority Act 2006</w:t>
      </w:r>
      <w:r>
        <w:rPr>
          <w:snapToGrid w:val="0"/>
        </w:rPr>
        <w:t xml:space="preserve"> </w:t>
      </w:r>
      <w:r>
        <w:t>section 113(1)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w:t>
      </w:r>
      <w:r>
        <w:lastRenderedPageBreak/>
        <w:t xml:space="preserve">by the Governor under subsection (1) as amended by the </w:t>
      </w:r>
      <w:r>
        <w:rPr>
          <w:i/>
          <w:snapToGrid w:val="0"/>
        </w:rPr>
        <w:t>Land Information Authority Act 2006</w:t>
      </w:r>
      <w:r>
        <w:rPr>
          <w:snapToGrid w:val="0"/>
        </w:rPr>
        <w:t xml:space="preserve"> </w:t>
      </w:r>
      <w:r>
        <w:t>section 113(1).</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spacing w:before="200"/>
      </w:pPr>
      <w:r>
        <w:tab/>
        <w:t>(2a)</w:t>
      </w:r>
      <w:r>
        <w:tab/>
        <w:t>Subsection (1a) does not prevent the Governor from amending regulations to which that subsection applies.</w:t>
      </w:r>
    </w:p>
    <w:p>
      <w:pPr>
        <w:pStyle w:val="Ednotesubsection"/>
      </w:pPr>
      <w:r>
        <w:tab/>
        <w:t>[(3)</w:t>
      </w:r>
      <w:r>
        <w:tab/>
        <w:t>deleted]</w:t>
      </w:r>
    </w:p>
    <w:p>
      <w:pPr>
        <w:pStyle w:val="Subsection"/>
        <w:rPr>
          <w:snapToGrid w:val="0"/>
        </w:rPr>
      </w:pPr>
      <w:r>
        <w:tab/>
        <w:t>(4)</w:t>
      </w:r>
      <w:r>
        <w:tab/>
        <w:t xml:space="preserve">Despite the </w:t>
      </w:r>
      <w:r>
        <w:rPr>
          <w:i/>
        </w:rPr>
        <w:t>Interpretation Act 1984</w:t>
      </w:r>
      <w:r>
        <w:t xml:space="preserve"> sections 3(3) and 43(6), section 43(6) of that Act applies in respect of regulations and rules made under a power conferred by this Act.</w:t>
      </w:r>
    </w:p>
    <w:p>
      <w:pPr>
        <w:pStyle w:val="Footnotesection"/>
        <w:spacing w:before="160"/>
        <w:ind w:left="890" w:hanging="890"/>
      </w:pPr>
      <w:r>
        <w:tab/>
        <w:t>[Section 181 inserted: No. 14 of 1972 s. 6; amended: No. 126 of 1987 s. 36; No. 81 of 1996 s. 109; No. 24 of 2000 s. 42(3); No. 60 of 2006 s. 113 and 118(1); No. 77 of 2006 s. 4; No. 2 of 2014 s. 78; No. 32 of 2018 s. 258; No. 34 of 2020 s. 102(2); No. 21 of 2022 s. 35.]</w:t>
      </w:r>
    </w:p>
    <w:p>
      <w:pPr>
        <w:pStyle w:val="Heading5"/>
      </w:pPr>
      <w:bookmarkStart w:id="373" w:name="_Toc210129959"/>
      <w:r>
        <w:rPr>
          <w:rStyle w:val="CharSectno"/>
        </w:rPr>
        <w:t>182AA</w:t>
      </w:r>
      <w:r>
        <w:t>.</w:t>
      </w:r>
      <w:r>
        <w:tab/>
        <w:t>Prescribed fees may exceed cost recovery</w:t>
      </w:r>
      <w:bookmarkEnd w:id="373"/>
    </w:p>
    <w:p>
      <w:pPr>
        <w:pStyle w:val="Subsection"/>
      </w:pPr>
      <w:r>
        <w:tab/>
        <w:t>(1)</w:t>
      </w:r>
      <w:r>
        <w:tab/>
        <w:t xml:space="preserve">Regulations made under section 181 prescribing a fee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lastRenderedPageBreak/>
        <w:tab/>
        <w:t>(2A)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 </w:t>
      </w:r>
    </w:p>
    <w:p>
      <w:pPr>
        <w:pStyle w:val="Indenta"/>
      </w:pPr>
      <w:r>
        <w:tab/>
        <w:t>(a)</w:t>
      </w:r>
      <w:r>
        <w:tab/>
        <w:t xml:space="preserve">the </w:t>
      </w:r>
      <w:r>
        <w:rPr>
          <w:i/>
        </w:rPr>
        <w:t>Interpretation Act 1984</w:t>
      </w:r>
      <w:r>
        <w:t xml:space="preserve"> section 45A; or</w:t>
      </w:r>
    </w:p>
    <w:p>
      <w:pPr>
        <w:pStyle w:val="Indenta"/>
      </w:pPr>
      <w:r>
        <w:tab/>
        <w:t>(b)</w:t>
      </w:r>
      <w:r>
        <w:tab/>
        <w:t>the extent to which fees prescribed under section 181 may take into account the indemnity of any amount payable out of the Consolidated Account under Part XII that is not recovered under Part XI.</w:t>
      </w:r>
    </w:p>
    <w:p>
      <w:pPr>
        <w:pStyle w:val="Footnotesection"/>
        <w:spacing w:before="160"/>
        <w:ind w:left="890" w:hanging="890"/>
      </w:pPr>
      <w:r>
        <w:tab/>
        <w:t>[Section 182AA inserted: No. 11 of 2015 s. 10; amended: No. 12 of 2015 s. 8.]</w:t>
      </w:r>
    </w:p>
    <w:p>
      <w:pPr>
        <w:pStyle w:val="Heading5"/>
      </w:pPr>
      <w:bookmarkStart w:id="374" w:name="_Toc210129960"/>
      <w:r>
        <w:rPr>
          <w:rStyle w:val="CharSectno"/>
        </w:rPr>
        <w:t>182AB</w:t>
      </w:r>
      <w:r>
        <w:t>.</w:t>
      </w:r>
      <w:r>
        <w:tab/>
        <w:t>Expiry of s. 182AA</w:t>
      </w:r>
      <w:bookmarkEnd w:id="374"/>
    </w:p>
    <w:p>
      <w:pPr>
        <w:pStyle w:val="Subsection"/>
      </w:pPr>
      <w:r>
        <w:tab/>
        <w:t>(1)</w:t>
      </w:r>
      <w:r>
        <w:tab/>
        <w:t>Section 182AA expires at the end of 31 December 2019</w:t>
      </w:r>
      <w:r>
        <w:rPr>
          <w:vertAlign w:val="superscript"/>
        </w:rPr>
        <w:t> 20, 21</w:t>
      </w:r>
      <w:r>
        <w:t>.</w:t>
      </w:r>
    </w:p>
    <w:p>
      <w:pPr>
        <w:pStyle w:val="Subsection"/>
      </w:pPr>
      <w:r>
        <w:tab/>
        <w:t>(2)</w:t>
      </w:r>
      <w:r>
        <w:tab/>
        <w:t>However, the Governor, on the recommendation of the Minister, may, by proclamation made before section 182AA expires, postpone the expiry of section 182AA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182AA should be postponed.</w:t>
      </w:r>
    </w:p>
    <w:p>
      <w:pPr>
        <w:pStyle w:val="Subsection"/>
      </w:pPr>
      <w:r>
        <w:tab/>
        <w:t>(4)</w:t>
      </w:r>
      <w:r>
        <w:tab/>
        <w:t>There is no limit on the number of times the expiry of section 182AA may be postponed, but each postponement cannot be for longer than 5 years beginning on the day after the most recent date on which section 182AA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lastRenderedPageBreak/>
        <w:tab/>
        <w:t>(6)</w:t>
      </w:r>
      <w:r>
        <w:tab/>
        <w:t>The expiry of section 182AA does not affect the validity of any regulations made under section 181 and in effect immediately before that expiry.</w:t>
      </w:r>
    </w:p>
    <w:p>
      <w:pPr>
        <w:pStyle w:val="Footnotesection"/>
        <w:spacing w:before="160"/>
        <w:ind w:left="890" w:hanging="890"/>
      </w:pPr>
      <w:r>
        <w:tab/>
        <w:t>[Section 182AB inserted: No. 11 of 2015 s. 10.]</w:t>
      </w:r>
    </w:p>
    <w:p>
      <w:pPr>
        <w:pStyle w:val="Footnotesection"/>
      </w:pPr>
      <w:r>
        <w:tab/>
        <w:t>[</w:t>
      </w:r>
      <w:r>
        <w:rPr>
          <w:b/>
        </w:rPr>
        <w:t>Note:</w:t>
      </w:r>
      <w:r>
        <w:rPr>
          <w:b/>
        </w:rPr>
        <w:br/>
      </w:r>
      <w:r>
        <w:t>The expiry of section 182AA is postponed until the end of 31 December 2024 by the Land Legislation (Postponement of Expiry) Proclamation 2018 (see Gazette 21 Dec 2018 p. 4845-6).</w:t>
      </w:r>
    </w:p>
    <w:p>
      <w:pPr>
        <w:pStyle w:val="Footnotesection"/>
      </w:pPr>
      <w:r>
        <w:tab/>
        <w:t>The expiry of section 182AA is postponed until the end of 31 December 2029 by the Land Legislation (Postponement of Expiry) Proclamation 2024 cl. 5 (SL 2024/43).]</w:t>
      </w:r>
    </w:p>
    <w:p>
      <w:pPr>
        <w:pStyle w:val="Heading5"/>
      </w:pPr>
      <w:bookmarkStart w:id="375" w:name="_Toc210129961"/>
      <w:r>
        <w:rPr>
          <w:rStyle w:val="CharSectno"/>
        </w:rPr>
        <w:t>182A</w:t>
      </w:r>
      <w:r>
        <w:t>.</w:t>
      </w:r>
      <w:r>
        <w:tab/>
        <w:t>Commissioner and Registrar may determine requirements</w:t>
      </w:r>
      <w:bookmarkEnd w:id="375"/>
    </w:p>
    <w:p>
      <w:pPr>
        <w:pStyle w:val="Subsection"/>
      </w:pPr>
      <w:r>
        <w:tab/>
        <w:t>(1AA)</w:t>
      </w:r>
      <w:r>
        <w:tab/>
        <w:t xml:space="preserve">In this section — </w:t>
      </w:r>
    </w:p>
    <w:p>
      <w:pPr>
        <w:pStyle w:val="Defstart"/>
      </w:pPr>
      <w:r>
        <w:tab/>
      </w:r>
      <w:r>
        <w:rPr>
          <w:rStyle w:val="CharDefText"/>
        </w:rPr>
        <w:t>lodge</w:t>
      </w:r>
      <w:r>
        <w:t xml:space="preserve"> includes deposit, present and file.</w:t>
      </w:r>
    </w:p>
    <w:p>
      <w:pPr>
        <w:pStyle w:val="Subsection"/>
      </w:pPr>
      <w:r>
        <w:tab/>
        <w:t>(1)</w:t>
      </w:r>
      <w:r>
        <w:tab/>
        <w:t xml:space="preserve">The Commissioner or the Registrar may determine requirements relating to all or any of the following matters — </w:t>
      </w:r>
    </w:p>
    <w:p>
      <w:pPr>
        <w:pStyle w:val="Indenta"/>
      </w:pPr>
      <w:r>
        <w:tab/>
        <w:t>(a)</w:t>
      </w:r>
      <w:r>
        <w:tab/>
        <w:t xml:space="preserve">the lodgment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lastRenderedPageBreak/>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Ednotepara"/>
      </w:pPr>
      <w:r>
        <w:tab/>
        <w:t>[(b)</w:t>
      </w:r>
      <w:r>
        <w:tab/>
        <w:t>deleted]</w:t>
      </w:r>
    </w:p>
    <w:p>
      <w:pPr>
        <w:pStyle w:val="Indenta"/>
      </w:pPr>
      <w:r>
        <w:tab/>
        <w:t>(c)</w:t>
      </w:r>
      <w:r>
        <w:tab/>
        <w:t xml:space="preserve">certifications that must be included in or with documents lodged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may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t>(d)</w:t>
      </w:r>
      <w:r>
        <w:tab/>
        <w:t xml:space="preserve">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Indenti"/>
      </w:pPr>
      <w:r>
        <w:tab/>
        <w:t>(i)</w:t>
      </w:r>
      <w:r>
        <w:tab/>
        <w:t>requiring or permitting action in relation to a thing to be done by electronic means; and</w:t>
      </w:r>
    </w:p>
    <w:p>
      <w:pPr>
        <w:pStyle w:val="Indenti"/>
      </w:pPr>
      <w:r>
        <w:tab/>
        <w:t>(ii)</w:t>
      </w:r>
      <w:r>
        <w:tab/>
        <w:t>requiring or permitting a thing that otherwise would be required or authorised to accompany or be endorsed on, included on, lodged with or given in relation to a lodged document to be lodged or given separately;</w:t>
      </w:r>
    </w:p>
    <w:p>
      <w:pPr>
        <w:pStyle w:val="Ednotepara"/>
        <w:rPr>
          <w:snapToGrid w:val="0"/>
        </w:rPr>
      </w:pPr>
      <w:r>
        <w:tab/>
        <w:t>[(e)</w:t>
      </w:r>
      <w:r>
        <w:tab/>
        <w:t>deleted]</w:t>
      </w:r>
    </w:p>
    <w:p>
      <w:pPr>
        <w:pStyle w:val="Indenta"/>
      </w:pPr>
      <w:r>
        <w:tab/>
        <w:t>(f)</w:t>
      </w:r>
      <w:r>
        <w:tab/>
        <w:t xml:space="preserve">the verification of the identity and authority of persons who are parties to a conveyancing transaction or who </w:t>
      </w:r>
      <w:r>
        <w:lastRenderedPageBreak/>
        <w:t xml:space="preserve">sign or authorise the signing of documents to be lodged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t>(g)</w:t>
      </w:r>
      <w:r>
        <w:tab/>
        <w:t>applications made under this Act to the Commissioner.</w:t>
      </w:r>
    </w:p>
    <w:p>
      <w:pPr>
        <w:pStyle w:val="Subsection"/>
      </w:pPr>
      <w:r>
        <w:tab/>
        <w:t>(2)</w:t>
      </w:r>
      <w:r>
        <w:tab/>
        <w:t xml:space="preserve">Requirements determined under this section are not subsidiary legislation for the purposes of the </w:t>
      </w:r>
      <w:r>
        <w:rPr>
          <w:i/>
        </w:rPr>
        <w:t>Interpretation Act 1984</w:t>
      </w:r>
      <w:r>
        <w:t>, and section 42 of that Act does not apply to them.</w:t>
      </w:r>
    </w:p>
    <w:p>
      <w:pPr>
        <w:pStyle w:val="Subsection"/>
      </w:pPr>
      <w:r>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p>
    <w:p>
      <w:pPr>
        <w:pStyle w:val="Subsection"/>
      </w:pPr>
      <w:r>
        <w:tab/>
        <w:t>(4)</w:t>
      </w:r>
      <w:r>
        <w:tab/>
        <w:t xml:space="preserve">If there is a conflict or inconsistency between a requirement determined under this section and a regulation made under section 181 or under the </w:t>
      </w:r>
      <w:r>
        <w:rPr>
          <w:i/>
        </w:rPr>
        <w:t>Electronic Conveyancing Act 2014</w:t>
      </w:r>
      <w:r>
        <w:t xml:space="preserve"> section 46, the regulation prevails to the extent of the conflict or inconsistency.</w:t>
      </w:r>
    </w:p>
    <w:p>
      <w:pPr>
        <w:pStyle w:val="Subsection"/>
      </w:pPr>
      <w:r>
        <w:tab/>
        <w:t>(5)</w:t>
      </w:r>
      <w:r>
        <w:tab/>
        <w:t>This section does not limit the matters that may be prescribed under section 181.</w:t>
      </w:r>
    </w:p>
    <w:p>
      <w:pPr>
        <w:pStyle w:val="Footnotesection"/>
        <w:spacing w:before="100"/>
        <w:ind w:left="890" w:hanging="890"/>
      </w:pPr>
      <w:r>
        <w:tab/>
        <w:t>[Section 182A inserted: No. 2 of 2014 s. 79; amended: No. 32 of 2018 s. 259; No. 21 of 2022 s. 36.]</w:t>
      </w:r>
    </w:p>
    <w:p>
      <w:pPr>
        <w:pStyle w:val="Heading5"/>
        <w:spacing w:before="180"/>
      </w:pPr>
      <w:bookmarkStart w:id="376" w:name="_Toc210129962"/>
      <w:r>
        <w:rPr>
          <w:rStyle w:val="CharSectno"/>
        </w:rPr>
        <w:lastRenderedPageBreak/>
        <w:t>182B</w:t>
      </w:r>
      <w:r>
        <w:t>.</w:t>
      </w:r>
      <w:r>
        <w:tab/>
        <w:t>Publication of requirements</w:t>
      </w:r>
      <w:bookmarkEnd w:id="376"/>
    </w:p>
    <w:p>
      <w:pPr>
        <w:pStyle w:val="Subsection"/>
        <w:keepNext/>
      </w:pPr>
      <w:r>
        <w:tab/>
        <w:t>(1)</w:t>
      </w:r>
      <w:r>
        <w:tab/>
        <w:t xml:space="preserve">In this section — </w:t>
      </w:r>
    </w:p>
    <w:p>
      <w:pPr>
        <w:pStyle w:val="Defstart"/>
      </w:pPr>
      <w:r>
        <w:tab/>
      </w:r>
      <w:r>
        <w:rPr>
          <w:rStyle w:val="CharDefText"/>
        </w:rPr>
        <w:t>requirement</w:t>
      </w:r>
      <w:r>
        <w:t xml:space="preserve"> means a requirement determined under section 182A;</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The Registrar must ensure — </w:t>
      </w:r>
    </w:p>
    <w:p>
      <w:pPr>
        <w:pStyle w:val="Indenta"/>
      </w:pPr>
      <w:r>
        <w:tab/>
        <w:t>(a)</w:t>
      </w:r>
      <w:r>
        <w:tab/>
        <w:t>that all current requirements are publicly available free of charge; and</w:t>
      </w:r>
    </w:p>
    <w:p>
      <w:pPr>
        <w:pStyle w:val="Indenta"/>
      </w:pPr>
      <w:r>
        <w:tab/>
        <w:t>(b)</w:t>
      </w:r>
      <w:r>
        <w:tab/>
        <w:t>that requirements, and any changes to requirements, are made publicly available at least 20 working days before the requirements or, as the case requires, the changes to them take effect.</w:t>
      </w:r>
    </w:p>
    <w:p>
      <w:pPr>
        <w:pStyle w:val="Subsection"/>
      </w:pPr>
      <w:r>
        <w:tab/>
        <w:t>(3)</w:t>
      </w:r>
      <w:r>
        <w:tab/>
        <w:t>However, changes to requirements can take effect within a shorter period (including immediately on being made publicly available) if the Registrar or the Commissioner is satisfied that the changes need to take effect urgently.</w:t>
      </w:r>
    </w:p>
    <w:p>
      <w:pPr>
        <w:pStyle w:val="Subsection"/>
      </w:pPr>
      <w:r>
        <w:tab/>
        <w:t>(4)</w:t>
      </w:r>
      <w:r>
        <w:tab/>
        <w:t xml:space="preserve">Requirements may be made publicly available in accordance with this section in any manner the Registrar considers appropriate, including (without limitation) by all or any of the following means — </w:t>
      </w:r>
    </w:p>
    <w:p>
      <w:pPr>
        <w:pStyle w:val="Indenta"/>
      </w:pPr>
      <w:r>
        <w:tab/>
        <w:t>(a)</w:t>
      </w:r>
      <w:r>
        <w:tab/>
        <w:t>by means of a website;</w:t>
      </w:r>
    </w:p>
    <w:p>
      <w:pPr>
        <w:pStyle w:val="Indenta"/>
      </w:pPr>
      <w:r>
        <w:tab/>
        <w:t>(b)</w:t>
      </w:r>
      <w:r>
        <w:tab/>
        <w:t>by publication in a practice manual, customer information bulletin or other similar publication issued by the Authority.</w:t>
      </w:r>
    </w:p>
    <w:p>
      <w:pPr>
        <w:pStyle w:val="Footnotesection"/>
        <w:ind w:left="890" w:hanging="890"/>
      </w:pPr>
      <w:r>
        <w:tab/>
        <w:t>[Section 182B inserted: No. 2 of 2014 s. 79.]</w:t>
      </w:r>
    </w:p>
    <w:p>
      <w:pPr>
        <w:pStyle w:val="Heading5"/>
        <w:rPr>
          <w:snapToGrid w:val="0"/>
        </w:rPr>
      </w:pPr>
      <w:bookmarkStart w:id="377" w:name="_Toc210129963"/>
      <w:r>
        <w:rPr>
          <w:rStyle w:val="CharSectno"/>
        </w:rPr>
        <w:t>182</w:t>
      </w:r>
      <w:r>
        <w:rPr>
          <w:snapToGrid w:val="0"/>
        </w:rPr>
        <w:t>.</w:t>
      </w:r>
      <w:r>
        <w:rPr>
          <w:snapToGrid w:val="0"/>
        </w:rPr>
        <w:tab/>
        <w:t>Orders vesting trust estate</w:t>
      </w:r>
      <w:bookmarkEnd w:id="377"/>
    </w:p>
    <w:p>
      <w:pPr>
        <w:pStyle w:val="Indenta"/>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w:t>
      </w:r>
      <w:r>
        <w:rPr>
          <w:snapToGrid w:val="0"/>
        </w:rPr>
        <w:lastRenderedPageBreak/>
        <w:t xml:space="preserve">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w:t>
      </w:r>
      <w:r>
        <w:t>the date of the order, the time of its production to the Registrar and the name and address of the person in whom the order purports to vest the land, estate or interest.</w:t>
      </w:r>
    </w:p>
    <w:p>
      <w:pPr>
        <w:pStyle w:val="Ednotepara"/>
      </w:pPr>
      <w:r>
        <w:tab/>
        <w:t>[(a), (b)</w:t>
      </w:r>
      <w:r>
        <w:tab/>
        <w:t>deleted]</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No. 17 of 1950 s. 46; No. 81 of 1996 s. 145(1) and 146(1); No. 6 of 2003 s. 69; No. 21 of 2022 s. 37.]</w:t>
      </w:r>
    </w:p>
    <w:p>
      <w:pPr>
        <w:pStyle w:val="Heading5"/>
        <w:keepNext w:val="0"/>
        <w:keepLines w:val="0"/>
        <w:rPr>
          <w:snapToGrid w:val="0"/>
        </w:rPr>
      </w:pPr>
      <w:bookmarkStart w:id="378" w:name="_Toc210129964"/>
      <w:r>
        <w:rPr>
          <w:rStyle w:val="CharSectno"/>
        </w:rPr>
        <w:t>183</w:t>
      </w:r>
      <w:r>
        <w:rPr>
          <w:snapToGrid w:val="0"/>
        </w:rPr>
        <w:t>.</w:t>
      </w:r>
      <w:r>
        <w:rPr>
          <w:snapToGrid w:val="0"/>
        </w:rPr>
        <w:tab/>
        <w:t>Commissioner may make vesting order in cases of completed purchase</w:t>
      </w:r>
      <w:bookmarkEnd w:id="378"/>
    </w:p>
    <w:p>
      <w:pPr>
        <w:pStyle w:val="Subsection"/>
        <w:rPr>
          <w:snapToGrid w:val="0"/>
        </w:rPr>
      </w:pPr>
      <w:r>
        <w:rPr>
          <w:snapToGrid w:val="0"/>
        </w:rPr>
        <w:tab/>
      </w:r>
      <w:r>
        <w:rPr>
          <w:snapToGrid w:val="0"/>
        </w:rPr>
        <w:tab/>
        <w:t xml:space="preserve">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w:t>
      </w:r>
      <w:r>
        <w:rPr>
          <w:snapToGrid w:val="0"/>
        </w:rPr>
        <w:lastRenderedPageBreak/>
        <w:t>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379" w:name="_Toc210129965"/>
      <w:r>
        <w:rPr>
          <w:rStyle w:val="CharSectno"/>
        </w:rPr>
        <w:t>184</w:t>
      </w:r>
      <w:r>
        <w:rPr>
          <w:snapToGrid w:val="0"/>
        </w:rPr>
        <w:t>.</w:t>
      </w:r>
      <w:r>
        <w:rPr>
          <w:snapToGrid w:val="0"/>
        </w:rPr>
        <w:tab/>
        <w:t>Encumbrances which no longer affect title, powers to deal with</w:t>
      </w:r>
      <w:bookmarkEnd w:id="379"/>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No. 17 of 1950 s. 48; No. 81 of 1996 s. 110; No. 6 of 2003 s. 70.]</w:t>
      </w:r>
    </w:p>
    <w:p>
      <w:pPr>
        <w:pStyle w:val="Ednotesection"/>
        <w:ind w:left="0" w:firstLine="0"/>
      </w:pPr>
      <w:r>
        <w:t>[</w:t>
      </w:r>
      <w:r>
        <w:rPr>
          <w:b/>
        </w:rPr>
        <w:t>185.</w:t>
      </w:r>
      <w:r>
        <w:tab/>
        <w:t>Deleted: No. 59 of 2004 s. 140.]</w:t>
      </w:r>
    </w:p>
    <w:p>
      <w:pPr>
        <w:pStyle w:val="Ednotesection"/>
        <w:ind w:left="0" w:firstLine="0"/>
      </w:pPr>
      <w:r>
        <w:t>[</w:t>
      </w:r>
      <w:r>
        <w:rPr>
          <w:b/>
        </w:rPr>
        <w:t>186.</w:t>
      </w:r>
      <w:r>
        <w:tab/>
        <w:t>Deleted: No. 20 of 1905 s. 20.]</w:t>
      </w:r>
    </w:p>
    <w:p>
      <w:pPr>
        <w:pStyle w:val="Heading5"/>
        <w:rPr>
          <w:snapToGrid w:val="0"/>
        </w:rPr>
      </w:pPr>
      <w:bookmarkStart w:id="380" w:name="_Toc210129966"/>
      <w:r>
        <w:rPr>
          <w:rStyle w:val="CharSectno"/>
        </w:rPr>
        <w:t>187</w:t>
      </w:r>
      <w:r>
        <w:rPr>
          <w:snapToGrid w:val="0"/>
        </w:rPr>
        <w:t>.</w:t>
      </w:r>
      <w:r>
        <w:rPr>
          <w:snapToGrid w:val="0"/>
        </w:rPr>
        <w:tab/>
        <w:t>Appointment of executor, administrator or Public Trustee, entry on Register and effect</w:t>
      </w:r>
      <w:bookmarkEnd w:id="380"/>
    </w:p>
    <w:p>
      <w:pPr>
        <w:pStyle w:val="Subsection"/>
        <w:rPr>
          <w:snapToGrid w:val="0"/>
        </w:rPr>
      </w:pPr>
      <w:r>
        <w:rPr>
          <w:snapToGrid w:val="0"/>
        </w:rPr>
        <w:tab/>
        <w:t>(1)</w:t>
      </w:r>
      <w:r>
        <w:rPr>
          <w:snapToGrid w:val="0"/>
        </w:rPr>
        <w:tab/>
        <w:t xml:space="preserve">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w:t>
      </w:r>
      <w:r>
        <w:rPr>
          <w:snapToGrid w:val="0"/>
        </w:rPr>
        <w:lastRenderedPageBreak/>
        <w:t>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 No. 17 of 1950 s. 50; No. 81 of 1996 s. 111.]</w:t>
      </w:r>
    </w:p>
    <w:p>
      <w:pPr>
        <w:pStyle w:val="Heading5"/>
        <w:rPr>
          <w:snapToGrid w:val="0"/>
        </w:rPr>
      </w:pPr>
      <w:bookmarkStart w:id="381" w:name="_Toc210129967"/>
      <w:r>
        <w:rPr>
          <w:rStyle w:val="CharSectno"/>
        </w:rPr>
        <w:t>188</w:t>
      </w:r>
      <w:r>
        <w:rPr>
          <w:snapToGrid w:val="0"/>
        </w:rPr>
        <w:t>.</w:t>
      </w:r>
      <w:r>
        <w:rPr>
          <w:snapToGrid w:val="0"/>
        </w:rPr>
        <w:tab/>
        <w:t>Powers of Registrar</w:t>
      </w:r>
      <w:bookmarkEnd w:id="381"/>
    </w:p>
    <w:p>
      <w:pPr>
        <w:pStyle w:val="Subsection"/>
        <w:rPr>
          <w:snapToGrid w:val="0"/>
        </w:rPr>
      </w:pPr>
      <w:r>
        <w:rPr>
          <w:snapToGrid w:val="0"/>
        </w:rPr>
        <w:tab/>
        <w:t>(1)</w:t>
      </w:r>
      <w:r>
        <w:rPr>
          <w:snapToGrid w:val="0"/>
        </w:rPr>
        <w:tab/>
        <w:t xml:space="preserve">The Registrar may exercise and shall perform </w:t>
      </w:r>
      <w:r>
        <w:t>the powers and duties set out in subsections (2) to (8).</w:t>
      </w:r>
    </w:p>
    <w:p>
      <w:pPr>
        <w:pStyle w:val="Subsection"/>
        <w:rPr>
          <w:snapToGrid w:val="0"/>
        </w:rPr>
      </w:pPr>
      <w:r>
        <w:rPr>
          <w:snapToGrid w:val="0"/>
        </w:rPr>
        <w:lastRenderedPageBreak/>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instruments </w:t>
      </w:r>
      <w:r>
        <w:t>or graphics</w:t>
      </w:r>
      <w:r>
        <w:rPr>
          <w:snapToGrid w:val="0"/>
        </w:rPr>
        <w:t xml:space="preserve"> and may supply entries omitted to be made under the provisions of this Act.</w:t>
      </w:r>
    </w:p>
    <w:p>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pPr>
        <w:pStyle w:val="Subsection"/>
      </w:pPr>
      <w:r>
        <w:tab/>
        <w:t>(5)</w:t>
      </w:r>
      <w:r>
        <w:tab/>
        <w:t>In the correction of any such error in a digital medium the Registrar shall keep a permanent record of any words or lines to be deleted and the date on which the correction was made or the entry supplied.</w:t>
      </w:r>
    </w:p>
    <w:p>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Subsection"/>
        <w:rPr>
          <w:snapToGrid w:val="0"/>
        </w:rPr>
      </w:pPr>
      <w:r>
        <w:rPr>
          <w:snapToGrid w:val="0"/>
        </w:rPr>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Subsection"/>
        <w:keepNext/>
      </w:pPr>
      <w:r>
        <w:lastRenderedPageBreak/>
        <w:tab/>
        <w:t>(8)</w:t>
      </w:r>
      <w:r>
        <w:tab/>
        <w:t xml:space="preserve">Despite any other provision of this Act, the Registrar may destroy any document that is lodged, presented, filed or deposited with the Authority or registered in its office if — </w:t>
      </w:r>
    </w:p>
    <w:p>
      <w:pPr>
        <w:pStyle w:val="Indenta"/>
      </w:pPr>
      <w:r>
        <w:tab/>
        <w:t>(a)</w:t>
      </w:r>
      <w:r>
        <w:tab/>
        <w:t>the Commissioner and the Registrar are of the opinion that the retention of the document serves no useful purpose; and</w:t>
      </w:r>
    </w:p>
    <w:p>
      <w:pPr>
        <w:pStyle w:val="Indenta"/>
      </w:pPr>
      <w:r>
        <w:tab/>
        <w:t>(b)</w:t>
      </w:r>
      <w:r>
        <w:tab/>
        <w:t xml:space="preserve">the Minister approves the destruction of — </w:t>
      </w:r>
    </w:p>
    <w:p>
      <w:pPr>
        <w:pStyle w:val="Indenti"/>
      </w:pPr>
      <w:r>
        <w:tab/>
        <w:t>(i)</w:t>
      </w:r>
      <w:r>
        <w:tab/>
        <w:t>the document; or</w:t>
      </w:r>
    </w:p>
    <w:p>
      <w:pPr>
        <w:pStyle w:val="Indenti"/>
      </w:pPr>
      <w:r>
        <w:tab/>
        <w:t>(ii)</w:t>
      </w:r>
      <w:r>
        <w:tab/>
        <w:t>a class of documents in which that document is included.</w:t>
      </w:r>
    </w:p>
    <w:p>
      <w:pPr>
        <w:pStyle w:val="Ednotesubsection"/>
      </w:pPr>
      <w:r>
        <w:tab/>
        <w:t>[(9)</w:t>
      </w:r>
      <w:r>
        <w:tab/>
        <w:t>deleted]</w:t>
      </w:r>
    </w:p>
    <w:p>
      <w:pPr>
        <w:pStyle w:val="Footnotesection"/>
        <w:spacing w:before="80"/>
        <w:ind w:left="890" w:hanging="890"/>
      </w:pPr>
      <w:r>
        <w:tab/>
        <w:t>[Section 188 amended: No. 9 of 1959 s. 2; No. 81 of 1996 s. 112 and 145(1); No. 6 of 2003 s. 72; No. 28 of 2003 s. 129(5); No. 60 of 2006 s. 114; No. 19 of 2010 s. 51; No. 2 of 2014 s. 80; No. 21 of 2022 s. 38.]</w:t>
      </w:r>
    </w:p>
    <w:p>
      <w:pPr>
        <w:pStyle w:val="Heading5"/>
        <w:rPr>
          <w:snapToGrid w:val="0"/>
        </w:rPr>
      </w:pPr>
      <w:bookmarkStart w:id="382" w:name="_Toc210129968"/>
      <w:r>
        <w:rPr>
          <w:rStyle w:val="CharSectno"/>
        </w:rPr>
        <w:t>189</w:t>
      </w:r>
      <w:r>
        <w:rPr>
          <w:snapToGrid w:val="0"/>
        </w:rPr>
        <w:t>.</w:t>
      </w:r>
      <w:r>
        <w:rPr>
          <w:snapToGrid w:val="0"/>
        </w:rPr>
        <w:tab/>
        <w:t>Registrar may correct apparent errors in instruments without direction of Commissioner</w:t>
      </w:r>
      <w:bookmarkEnd w:id="382"/>
    </w:p>
    <w:p>
      <w:pPr>
        <w:pStyle w:val="Subsection"/>
        <w:rPr>
          <w:snapToGrid w:val="0"/>
        </w:rPr>
      </w:pPr>
      <w:r>
        <w:rPr>
          <w:snapToGrid w:val="0"/>
        </w:rPr>
        <w:tab/>
        <w:t>(1)</w:t>
      </w:r>
      <w:r>
        <w:rPr>
          <w:snapToGrid w:val="0"/>
        </w:rPr>
        <w:tab/>
        <w:t xml:space="preserve">The Registrar may without the direction of the Commissioner correct any patent error </w:t>
      </w:r>
      <w:r>
        <w:t xml:space="preserve">in any instrument (whether in paper or electronic form) </w:t>
      </w:r>
      <w:r>
        <w:rPr>
          <w:snapToGrid w:val="0"/>
        </w:rPr>
        <w:t>lodged for registration without such instrument being withdrawn from the</w:t>
      </w:r>
      <w:r>
        <w:t xml:space="preserve"> Authority</w:t>
      </w:r>
      <w:r>
        <w:rPr>
          <w:snapToGrid w:val="0"/>
        </w:rPr>
        <w:t>.</w:t>
      </w:r>
    </w:p>
    <w:p>
      <w:pPr>
        <w:pStyle w:val="Subsection"/>
        <w:rPr>
          <w:snapToGrid w:val="0"/>
        </w:rPr>
      </w:pPr>
      <w:r>
        <w:rPr>
          <w:snapToGrid w:val="0"/>
        </w:rPr>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No. 81 of 1996 s. 113; No. 6 of 2003 s. 73; No. 60 of 2006 s. 118(1); No. 19 of 2010 s. 51; No. 2 of 2014 s. 81.]</w:t>
      </w:r>
    </w:p>
    <w:p>
      <w:pPr>
        <w:pStyle w:val="Heading5"/>
      </w:pPr>
      <w:bookmarkStart w:id="383" w:name="_Toc210129969"/>
      <w:r>
        <w:rPr>
          <w:rStyle w:val="CharSectno"/>
        </w:rPr>
        <w:t>190</w:t>
      </w:r>
      <w:r>
        <w:t>.</w:t>
      </w:r>
      <w:r>
        <w:tab/>
        <w:t>Money received by Registrar</w:t>
      </w:r>
      <w:bookmarkEnd w:id="383"/>
    </w:p>
    <w:p>
      <w:pPr>
        <w:pStyle w:val="Subsection"/>
      </w:pPr>
      <w:r>
        <w:tab/>
      </w:r>
      <w:r>
        <w:tab/>
        <w:t>The Registrar is to pay to the Authority any money paid to the Registrar under this Act.</w:t>
      </w:r>
    </w:p>
    <w:p>
      <w:pPr>
        <w:pStyle w:val="Footnotesection"/>
      </w:pPr>
      <w:r>
        <w:lastRenderedPageBreak/>
        <w:tab/>
        <w:t>[Section 190 inserted: No. 60 of 2006 s. 115.]</w:t>
      </w:r>
    </w:p>
    <w:p>
      <w:pPr>
        <w:pStyle w:val="Heading5"/>
        <w:rPr>
          <w:snapToGrid w:val="0"/>
        </w:rPr>
      </w:pPr>
      <w:bookmarkStart w:id="384" w:name="_Toc210129970"/>
      <w:r>
        <w:rPr>
          <w:rStyle w:val="CharSectno"/>
        </w:rPr>
        <w:t>191</w:t>
      </w:r>
      <w:r>
        <w:rPr>
          <w:snapToGrid w:val="0"/>
        </w:rPr>
        <w:t>.</w:t>
      </w:r>
      <w:r>
        <w:rPr>
          <w:snapToGrid w:val="0"/>
        </w:rPr>
        <w:tab/>
        <w:t>Registrar may demand prescribed fees</w:t>
      </w:r>
      <w:bookmarkEnd w:id="384"/>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No. 17 of 1950 s. 52.]</w:t>
      </w:r>
    </w:p>
    <w:p>
      <w:pPr>
        <w:pStyle w:val="Heading5"/>
      </w:pPr>
      <w:bookmarkStart w:id="385" w:name="_Toc210129971"/>
      <w:r>
        <w:rPr>
          <w:rStyle w:val="CharSectno"/>
        </w:rPr>
        <w:t>192A</w:t>
      </w:r>
      <w:r>
        <w:t>.</w:t>
      </w:r>
      <w:r>
        <w:tab/>
        <w:t>Registrar entitled to assume that lodging party has certain authorities from other interested parties</w:t>
      </w:r>
      <w:bookmarkEnd w:id="385"/>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is entitled to assume that a person who lodges a document to which this section applies has authority from all persons claiming under, or having an interest in, the document to do all of the following — </w:t>
      </w:r>
    </w:p>
    <w:p>
      <w:pPr>
        <w:pStyle w:val="Indenta"/>
      </w:pPr>
      <w:r>
        <w:tab/>
        <w:t>(a)</w:t>
      </w:r>
      <w:r>
        <w:tab/>
        <w:t>to lodge it;</w:t>
      </w:r>
    </w:p>
    <w:p>
      <w:pPr>
        <w:pStyle w:val="Indenta"/>
      </w:pPr>
      <w:r>
        <w:tab/>
        <w:t>(b)</w:t>
      </w:r>
      <w:r>
        <w:tab/>
        <w:t>if applicable, to withdraw it from registration;</w:t>
      </w:r>
    </w:p>
    <w:p>
      <w:pPr>
        <w:pStyle w:val="Indenta"/>
      </w:pPr>
      <w:r>
        <w:tab/>
        <w:t>(c)</w:t>
      </w:r>
      <w:r>
        <w:tab/>
        <w:t>to uplift it for amendment;</w:t>
      </w:r>
    </w:p>
    <w:p>
      <w:pPr>
        <w:pStyle w:val="Indenta"/>
      </w:pPr>
      <w:r>
        <w:tab/>
        <w:t>(d)</w:t>
      </w:r>
      <w:r>
        <w:tab/>
        <w:t>to do anything to or in relation to the document that a person claiming under, or having an interest in, the document could do if they had lodged it;</w:t>
      </w:r>
    </w:p>
    <w:p>
      <w:pPr>
        <w:pStyle w:val="Indenta"/>
      </w:pPr>
      <w:r>
        <w:tab/>
        <w:t>(e)</w:t>
      </w:r>
      <w:r>
        <w:tab/>
        <w:t>to receive requisitions, communications and notices in respect of it;</w:t>
      </w:r>
    </w:p>
    <w:p>
      <w:pPr>
        <w:pStyle w:val="Indenta"/>
      </w:pPr>
      <w:r>
        <w:tab/>
        <w:t>(f)</w:t>
      </w:r>
      <w:r>
        <w:tab/>
        <w:t xml:space="preserve">to attend to all other matters that may arise — </w:t>
      </w:r>
    </w:p>
    <w:p>
      <w:pPr>
        <w:pStyle w:val="Indenti"/>
      </w:pPr>
      <w:r>
        <w:tab/>
        <w:t>(i)</w:t>
      </w:r>
      <w:r>
        <w:tab/>
        <w:t>in the course of registration of the document (if applicable); or</w:t>
      </w:r>
    </w:p>
    <w:p>
      <w:pPr>
        <w:pStyle w:val="Indenti"/>
      </w:pPr>
      <w:r>
        <w:lastRenderedPageBreak/>
        <w:tab/>
        <w:t>(ii)</w:t>
      </w:r>
      <w:r>
        <w:tab/>
        <w:t>in the course of any other action that the Registrar is authorised under this Act or any other Act to take with respect to the document.</w:t>
      </w:r>
    </w:p>
    <w:p>
      <w:pPr>
        <w:pStyle w:val="Subsection"/>
      </w:pPr>
      <w:r>
        <w:tab/>
        <w:t>(4)</w:t>
      </w:r>
      <w:r>
        <w:tab/>
        <w:t xml:space="preserve">This section does not apply to any document lodged before the </w:t>
      </w:r>
      <w:r>
        <w:rPr>
          <w:i/>
        </w:rPr>
        <w:t>Electronic Conveyancing Act 2014</w:t>
      </w:r>
      <w:r>
        <w:t xml:space="preserve"> section 82 comes into operation.</w:t>
      </w:r>
    </w:p>
    <w:p>
      <w:pPr>
        <w:pStyle w:val="Footnotesection"/>
        <w:spacing w:before="100"/>
        <w:ind w:left="890" w:hanging="890"/>
      </w:pPr>
      <w:r>
        <w:tab/>
        <w:t>[Section 192A inserted: No. 2 of 2014 s. 82.]</w:t>
      </w:r>
    </w:p>
    <w:p>
      <w:pPr>
        <w:pStyle w:val="Heading5"/>
      </w:pPr>
      <w:bookmarkStart w:id="386" w:name="_Toc210129972"/>
      <w:r>
        <w:rPr>
          <w:rStyle w:val="CharSectno"/>
        </w:rPr>
        <w:t>192B</w:t>
      </w:r>
      <w:r>
        <w:t>.</w:t>
      </w:r>
      <w:r>
        <w:tab/>
        <w:t>Registrar may refuse lodgment for non</w:t>
      </w:r>
      <w:r>
        <w:noBreakHyphen/>
        <w:t>compliance with certain requirements</w:t>
      </w:r>
      <w:bookmarkEnd w:id="386"/>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The Registrar may refuse to accept a document for lodgment if — </w:t>
      </w:r>
    </w:p>
    <w:p>
      <w:pPr>
        <w:pStyle w:val="Indenta"/>
      </w:pPr>
      <w:r>
        <w:tab/>
        <w:t>(a)</w:t>
      </w:r>
      <w:r>
        <w:tab/>
        <w:t xml:space="preserve">the document does not comply with — </w:t>
      </w:r>
    </w:p>
    <w:p>
      <w:pPr>
        <w:pStyle w:val="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lodging of the document is not complied with.</w:t>
      </w:r>
    </w:p>
    <w:p>
      <w:pPr>
        <w:pStyle w:val="Subsection"/>
        <w:keepNext/>
      </w:pPr>
      <w:r>
        <w:tab/>
        <w:t>(3)</w:t>
      </w:r>
      <w:r>
        <w:tab/>
        <w:t>This section does not limit or affect any other obligation or power to refuse to accept a document for lodgment.</w:t>
      </w:r>
    </w:p>
    <w:p>
      <w:pPr>
        <w:pStyle w:val="Footnotesection"/>
        <w:spacing w:before="100"/>
        <w:ind w:left="890" w:hanging="890"/>
      </w:pPr>
      <w:r>
        <w:tab/>
        <w:t>[Section 192B inserted: No. 2 of 2014 s. 82; amended: No. 32 of 2018 s. 260.]</w:t>
      </w:r>
    </w:p>
    <w:p>
      <w:pPr>
        <w:pStyle w:val="Heading5"/>
      </w:pPr>
      <w:bookmarkStart w:id="387" w:name="_Toc210129973"/>
      <w:r>
        <w:rPr>
          <w:rStyle w:val="CharSectno"/>
        </w:rPr>
        <w:lastRenderedPageBreak/>
        <w:t>192C</w:t>
      </w:r>
      <w:r>
        <w:t>.</w:t>
      </w:r>
      <w:r>
        <w:tab/>
        <w:t>Commissioner may refuse to take action if requirements not complied with</w:t>
      </w:r>
      <w:bookmarkEnd w:id="387"/>
    </w:p>
    <w:p>
      <w:pPr>
        <w:pStyle w:val="Subsection"/>
      </w:pPr>
      <w:r>
        <w:tab/>
        <w:t>(1)</w:t>
      </w:r>
      <w:r>
        <w:tab/>
        <w:t xml:space="preserve">The Commissioner may refuse to take any action that the Commissioner is required or authorised to take under this Act if — </w:t>
      </w:r>
    </w:p>
    <w:p>
      <w:pPr>
        <w:pStyle w:val="Indenta"/>
      </w:pPr>
      <w:r>
        <w:tab/>
        <w:t>(a)</w:t>
      </w:r>
      <w:r>
        <w:tab/>
        <w:t xml:space="preserve">the taking of that action is dependent on compliance with — </w:t>
      </w:r>
    </w:p>
    <w:p>
      <w:pPr>
        <w:pStyle w:val="Indenti"/>
      </w:pPr>
      <w:r>
        <w:tab/>
        <w:t>(i)</w:t>
      </w:r>
      <w:r>
        <w:tab/>
        <w:t xml:space="preserve">a requirement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a requirement of the </w:t>
      </w:r>
      <w:r>
        <w:rPr>
          <w:i/>
        </w:rPr>
        <w:t>Electronic Conveyancing Act 2014</w:t>
      </w:r>
      <w:r>
        <w:t xml:space="preserve"> or any participation rules;</w:t>
      </w:r>
    </w:p>
    <w:p>
      <w:pPr>
        <w:pStyle w:val="Indenta"/>
      </w:pPr>
      <w:r>
        <w:tab/>
      </w:r>
      <w:r>
        <w:tab/>
        <w:t>and</w:t>
      </w:r>
    </w:p>
    <w:p>
      <w:pPr>
        <w:pStyle w:val="Indenta"/>
      </w:pPr>
      <w:r>
        <w:tab/>
        <w:t>(b)</w:t>
      </w:r>
      <w:r>
        <w:tab/>
        <w:t>that requirement has not been complied with.</w:t>
      </w:r>
    </w:p>
    <w:p>
      <w:pPr>
        <w:pStyle w:val="Subsection"/>
      </w:pPr>
      <w:r>
        <w:tab/>
        <w:t>(2)</w:t>
      </w:r>
      <w:r>
        <w:tab/>
        <w:t xml:space="preserve">For the purposes of subsection (1), taking an action includes (without limiting subsection (1)) — </w:t>
      </w:r>
    </w:p>
    <w:p>
      <w:pPr>
        <w:pStyle w:val="Indenta"/>
      </w:pPr>
      <w:r>
        <w:tab/>
        <w:t>(a)</w:t>
      </w:r>
      <w:r>
        <w:tab/>
        <w:t>accepting an application under this Act or any regulations made under this Act; and</w:t>
      </w:r>
    </w:p>
    <w:p>
      <w:pPr>
        <w:pStyle w:val="Indenta"/>
      </w:pPr>
      <w:r>
        <w:tab/>
        <w:t>(b)</w:t>
      </w:r>
      <w:r>
        <w:tab/>
        <w:t>giving a direction to the Registrar.</w:t>
      </w:r>
    </w:p>
    <w:p>
      <w:pPr>
        <w:pStyle w:val="Subsection"/>
      </w:pPr>
      <w:r>
        <w:tab/>
        <w:t>(3)</w:t>
      </w:r>
      <w:r>
        <w:tab/>
        <w:t>Before refusing to take action in the circumstances set out in subsection (1), the Commissioner may direct the Registrar to give notice of the non</w:t>
      </w:r>
      <w:r>
        <w:noBreakHyphen/>
        <w:t>compliance to any person specified by the Commissioner.</w:t>
      </w:r>
    </w:p>
    <w:p>
      <w:pPr>
        <w:pStyle w:val="Subsection"/>
      </w:pPr>
      <w:r>
        <w:tab/>
        <w:t>(4)</w:t>
      </w:r>
      <w:r>
        <w:tab/>
        <w:t xml:space="preserve">A notice given under subsection (3) — </w:t>
      </w:r>
    </w:p>
    <w:p>
      <w:pPr>
        <w:pStyle w:val="Indenta"/>
      </w:pPr>
      <w:r>
        <w:tab/>
        <w:t>(a)</w:t>
      </w:r>
      <w:r>
        <w:tab/>
        <w:t>must be served on the person to whom it is directed;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keepNext/>
      </w:pPr>
      <w:r>
        <w:lastRenderedPageBreak/>
        <w:tab/>
        <w:t>(5)</w:t>
      </w:r>
      <w:r>
        <w:tab/>
        <w:t>If a notice of non</w:t>
      </w:r>
      <w:r>
        <w:noBreakHyphen/>
        <w:t xml:space="preserve">compliance given under subsection (3) relates to a document — </w:t>
      </w:r>
    </w:p>
    <w:p>
      <w:pPr>
        <w:pStyle w:val="Indenta"/>
      </w:pPr>
      <w:r>
        <w:tab/>
        <w:t>(a)</w:t>
      </w:r>
      <w:r>
        <w:tab/>
        <w:t>the notice is to be taken to be a notice given under section 192(1) by the Registrar in relation to the document; and</w:t>
      </w:r>
    </w:p>
    <w:p>
      <w:pPr>
        <w:pStyle w:val="Indenta"/>
      </w:pPr>
      <w:r>
        <w:tab/>
        <w:t>(b)</w:t>
      </w:r>
      <w:r>
        <w:tab/>
        <w:t>section 192 applies accordingly with all necessary changes.</w:t>
      </w:r>
    </w:p>
    <w:p>
      <w:pPr>
        <w:pStyle w:val="Subsection"/>
      </w:pPr>
      <w:r>
        <w:tab/>
        <w:t>(6)</w:t>
      </w:r>
      <w:r>
        <w:tab/>
        <w:t>This section does not limit or affect any other obligation or power to refuse to take any action.</w:t>
      </w:r>
    </w:p>
    <w:p>
      <w:pPr>
        <w:pStyle w:val="Footnotesection"/>
        <w:spacing w:before="100"/>
        <w:ind w:left="890" w:hanging="890"/>
      </w:pPr>
      <w:r>
        <w:tab/>
        <w:t>[Section 192C inserted: No. 2 of 2014 s. 82; amended: No. 32 of 2018 s. 261.]</w:t>
      </w:r>
    </w:p>
    <w:p>
      <w:pPr>
        <w:pStyle w:val="Heading5"/>
        <w:spacing w:before="180"/>
      </w:pPr>
      <w:bookmarkStart w:id="388" w:name="_Toc210129974"/>
      <w:r>
        <w:rPr>
          <w:rStyle w:val="CharSectno"/>
        </w:rPr>
        <w:t>192D</w:t>
      </w:r>
      <w:r>
        <w:t>.</w:t>
      </w:r>
      <w:r>
        <w:tab/>
        <w:t>Registrar may refuse registration, noting or recording for non</w:t>
      </w:r>
      <w:r>
        <w:noBreakHyphen/>
        <w:t>compliance with requirements</w:t>
      </w:r>
      <w:bookmarkEnd w:id="388"/>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may refuse to register, note, file or record a document to which this section applies if — </w:t>
      </w:r>
    </w:p>
    <w:p>
      <w:pPr>
        <w:pStyle w:val="Indenta"/>
      </w:pPr>
      <w:r>
        <w:tab/>
        <w:t>(a)</w:t>
      </w:r>
      <w:r>
        <w:tab/>
        <w:t xml:space="preserve">the document does not comply with — </w:t>
      </w:r>
    </w:p>
    <w:p>
      <w:pPr>
        <w:pStyle w:val="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lastRenderedPageBreak/>
        <w:tab/>
        <w:t>(b)</w:t>
      </w:r>
      <w:r>
        <w:tab/>
        <w:t>any requirement mentioned in paragraph (a)(i) to (iii) that relates to the registration, noting, filing or recording of the document is not complied with.</w:t>
      </w:r>
    </w:p>
    <w:p>
      <w:pPr>
        <w:pStyle w:val="Subsection"/>
      </w:pPr>
      <w:r>
        <w:tab/>
        <w:t>(4)</w:t>
      </w:r>
      <w:r>
        <w:tab/>
        <w:t xml:space="preserve">For the purposes of subsection (3), noting a document (the </w:t>
      </w:r>
      <w:r>
        <w:rPr>
          <w:rStyle w:val="CharDefText"/>
        </w:rPr>
        <w:t>first document</w:t>
      </w:r>
      <w:r>
        <w:t xml:space="preserve">) includes (without limiting subsection (3)) — </w:t>
      </w:r>
    </w:p>
    <w:p>
      <w:pPr>
        <w:pStyle w:val="Indenta"/>
      </w:pPr>
      <w:r>
        <w:tab/>
        <w:t>(a)</w:t>
      </w:r>
      <w:r>
        <w:tab/>
        <w:t>noting another document to the effect that a provision of the first document is incorporated in the other document; and</w:t>
      </w:r>
    </w:p>
    <w:p>
      <w:pPr>
        <w:pStyle w:val="Indenta"/>
      </w:pPr>
      <w:r>
        <w:tab/>
        <w:t>(b)</w:t>
      </w:r>
      <w:r>
        <w:tab/>
        <w:t>endorsing another document to an effect stated in the first document; and</w:t>
      </w:r>
    </w:p>
    <w:p>
      <w:pPr>
        <w:pStyle w:val="Indenta"/>
      </w:pPr>
      <w:r>
        <w:tab/>
        <w:t>(c)</w:t>
      </w:r>
      <w:r>
        <w:tab/>
        <w:t>removing a notification from, or modifying a notification in, another document in a way requested in the first document.</w:t>
      </w:r>
    </w:p>
    <w:p>
      <w:pPr>
        <w:pStyle w:val="Subsection"/>
      </w:pPr>
      <w:r>
        <w:tab/>
        <w:t>(5)</w:t>
      </w:r>
      <w:r>
        <w:tab/>
        <w:t>This section does not limit or affect any other obligation or power to refuse to register, note or record a document.</w:t>
      </w:r>
    </w:p>
    <w:p>
      <w:pPr>
        <w:pStyle w:val="Footnotesection"/>
        <w:spacing w:before="100"/>
        <w:ind w:left="890" w:hanging="890"/>
      </w:pPr>
      <w:r>
        <w:tab/>
        <w:t>[Section 192D inserted: No. 2 of 2014 s. 82; amended: No. 32 of 2018 s. 262.]</w:t>
      </w:r>
    </w:p>
    <w:p>
      <w:pPr>
        <w:pStyle w:val="Heading5"/>
      </w:pPr>
      <w:bookmarkStart w:id="389" w:name="_Toc210129975"/>
      <w:r>
        <w:rPr>
          <w:rStyle w:val="CharSectno"/>
        </w:rPr>
        <w:t>192E</w:t>
      </w:r>
      <w:r>
        <w:t>.</w:t>
      </w:r>
      <w:r>
        <w:tab/>
        <w:t>Notice of non</w:t>
      </w:r>
      <w:r>
        <w:noBreakHyphen/>
        <w:t>compliance under s. 192D</w:t>
      </w:r>
      <w:bookmarkEnd w:id="389"/>
    </w:p>
    <w:p>
      <w:pPr>
        <w:pStyle w:val="Subsection"/>
      </w:pPr>
      <w:r>
        <w:tab/>
        <w:t>(1)</w:t>
      </w:r>
      <w:r>
        <w:tab/>
        <w:t>Before refusing to register, note, file or record a document in the circumstances set out in section 192D(3), the Registrar may give notice of the non</w:t>
      </w:r>
      <w:r>
        <w:noBreakHyphen/>
        <w:t>compliance to the person who lodged the document.</w:t>
      </w:r>
    </w:p>
    <w:p>
      <w:pPr>
        <w:pStyle w:val="Subsection"/>
      </w:pPr>
      <w:r>
        <w:tab/>
        <w:t>(2)</w:t>
      </w:r>
      <w:r>
        <w:tab/>
        <w:t xml:space="preserve">A notice given under subsection (1) — </w:t>
      </w:r>
    </w:p>
    <w:p>
      <w:pPr>
        <w:pStyle w:val="Indenta"/>
      </w:pPr>
      <w:r>
        <w:tab/>
        <w:t>(a)</w:t>
      </w:r>
      <w:r>
        <w:tab/>
        <w:t>must be served on the person who lodged the document;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keepNext/>
      </w:pPr>
      <w:r>
        <w:lastRenderedPageBreak/>
        <w:tab/>
        <w:t>(3)</w:t>
      </w:r>
      <w:r>
        <w:tab/>
        <w:t>If a notice of non</w:t>
      </w:r>
      <w:r>
        <w:noBreakHyphen/>
        <w:t xml:space="preserve">compliance is given under subsection (2) in relation to a document — </w:t>
      </w:r>
    </w:p>
    <w:p>
      <w:pPr>
        <w:pStyle w:val="Indenta"/>
      </w:pPr>
      <w:r>
        <w:tab/>
        <w:t>(a)</w:t>
      </w:r>
      <w:r>
        <w:tab/>
        <w:t>the notice is to be taken to be a notice given under section 192(1) in relation to the document; and</w:t>
      </w:r>
    </w:p>
    <w:p>
      <w:pPr>
        <w:pStyle w:val="Indenta"/>
      </w:pPr>
      <w:r>
        <w:tab/>
        <w:t>(b)</w:t>
      </w:r>
      <w:r>
        <w:tab/>
        <w:t>section 192 applies accordingly with all necessary changes.</w:t>
      </w:r>
    </w:p>
    <w:p>
      <w:pPr>
        <w:pStyle w:val="Footnotesection"/>
        <w:spacing w:before="100"/>
        <w:ind w:left="890" w:hanging="890"/>
      </w:pPr>
      <w:r>
        <w:tab/>
        <w:t>[Section 192E inserted: No. 2 of 2014 s. 82.]</w:t>
      </w:r>
    </w:p>
    <w:p>
      <w:pPr>
        <w:pStyle w:val="Heading5"/>
        <w:rPr>
          <w:snapToGrid w:val="0"/>
        </w:rPr>
      </w:pPr>
      <w:bookmarkStart w:id="390" w:name="_Toc210129976"/>
      <w:r>
        <w:rPr>
          <w:rStyle w:val="CharSectno"/>
        </w:rPr>
        <w:t>192</w:t>
      </w:r>
      <w:r>
        <w:rPr>
          <w:snapToGrid w:val="0"/>
        </w:rPr>
        <w:t>.</w:t>
      </w:r>
      <w:r>
        <w:rPr>
          <w:snapToGrid w:val="0"/>
        </w:rPr>
        <w:tab/>
        <w:t>Defective documents, rejection of</w:t>
      </w:r>
      <w:bookmarkEnd w:id="390"/>
    </w:p>
    <w:p>
      <w:pPr>
        <w:pStyle w:val="Subsection"/>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keepNext/>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 and</w:t>
      </w:r>
    </w:p>
    <w:p>
      <w:pPr>
        <w:pStyle w:val="Indenta"/>
      </w:pPr>
      <w:r>
        <w:tab/>
        <w:t>(b)</w:t>
      </w:r>
      <w:r>
        <w:tab/>
        <w:t>the prescribed amount shall be forfeited and dealt with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lastRenderedPageBreak/>
        <w:tab/>
        <w:t>[Section 192 amended: No. 28 of 1969 s. 8; No. 6 of 2003 s. 74; No. 59 of 2004 s. 140; No. 2 of 2014 s. 83.]</w:t>
      </w:r>
    </w:p>
    <w:p>
      <w:pPr>
        <w:pStyle w:val="Heading5"/>
        <w:keepNext w:val="0"/>
        <w:keepLines w:val="0"/>
        <w:rPr>
          <w:snapToGrid w:val="0"/>
        </w:rPr>
      </w:pPr>
      <w:bookmarkStart w:id="391" w:name="_Toc210129977"/>
      <w:r>
        <w:rPr>
          <w:rStyle w:val="CharSectno"/>
        </w:rPr>
        <w:t>193</w:t>
      </w:r>
      <w:r>
        <w:rPr>
          <w:snapToGrid w:val="0"/>
        </w:rPr>
        <w:t>.</w:t>
      </w:r>
      <w:r>
        <w:rPr>
          <w:snapToGrid w:val="0"/>
        </w:rPr>
        <w:tab/>
        <w:t>Power to state case for Supreme Court</w:t>
      </w:r>
      <w:bookmarkEnd w:id="391"/>
    </w:p>
    <w:p>
      <w:pPr>
        <w:pStyle w:val="Subsection"/>
        <w:rPr>
          <w:snapToGrid w:val="0"/>
        </w:rPr>
      </w:pPr>
      <w:r>
        <w:rPr>
          <w:snapToGrid w:val="0"/>
        </w:rPr>
        <w:tab/>
      </w:r>
      <w:r>
        <w:rPr>
          <w:snapToGrid w:val="0"/>
        </w:rPr>
        <w:tab/>
        <w:t xml:space="preserve">It shall be lawful for the Commissioner whenever any question shall arise with regard to the performance of any duty or the exercise of any of the functions by this Act </w:t>
      </w:r>
      <w:r>
        <w:t xml:space="preserve">or the </w:t>
      </w:r>
      <w:r>
        <w:rPr>
          <w:i/>
        </w:rPr>
        <w:t xml:space="preserve">Electronic Conveyancing Act 2014 </w:t>
      </w:r>
      <w:r>
        <w:rPr>
          <w:snapToGrid w:val="0"/>
        </w:rPr>
        <w:t>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Footnotesection"/>
        <w:spacing w:before="100"/>
        <w:ind w:left="890" w:hanging="890"/>
      </w:pPr>
      <w:r>
        <w:tab/>
        <w:t>[Section 193 amended: No. 2 of 2014 s. 84.]</w:t>
      </w:r>
    </w:p>
    <w:p>
      <w:pPr>
        <w:pStyle w:val="Heading2"/>
      </w:pPr>
      <w:bookmarkStart w:id="392" w:name="_Toc166683629"/>
      <w:bookmarkStart w:id="393" w:name="_Toc166684005"/>
      <w:bookmarkStart w:id="394" w:name="_Toc166684791"/>
      <w:bookmarkStart w:id="395" w:name="_Toc210120400"/>
      <w:bookmarkStart w:id="396" w:name="_Toc210129978"/>
      <w:r>
        <w:rPr>
          <w:rStyle w:val="CharPartNo"/>
        </w:rPr>
        <w:lastRenderedPageBreak/>
        <w:t>Part XI</w:t>
      </w:r>
      <w:r>
        <w:rPr>
          <w:rStyle w:val="CharDivNo"/>
        </w:rPr>
        <w:t> </w:t>
      </w:r>
      <w:r>
        <w:t>—</w:t>
      </w:r>
      <w:r>
        <w:rPr>
          <w:rStyle w:val="CharDivText"/>
        </w:rPr>
        <w:t> </w:t>
      </w:r>
      <w:r>
        <w:rPr>
          <w:rStyle w:val="CharPartText"/>
        </w:rPr>
        <w:t>Restrictions on, and recovery of, payments of compensation by State</w:t>
      </w:r>
      <w:bookmarkEnd w:id="392"/>
      <w:bookmarkEnd w:id="393"/>
      <w:bookmarkEnd w:id="394"/>
      <w:bookmarkEnd w:id="395"/>
      <w:bookmarkEnd w:id="396"/>
    </w:p>
    <w:p>
      <w:pPr>
        <w:pStyle w:val="Footnoteheading"/>
      </w:pPr>
      <w:r>
        <w:tab/>
        <w:t>[Heading inserted: No. 81 of 1996 s. 115.]</w:t>
      </w:r>
    </w:p>
    <w:p>
      <w:pPr>
        <w:pStyle w:val="Ednotesection"/>
      </w:pPr>
      <w:r>
        <w:t>[</w:t>
      </w:r>
      <w:r>
        <w:rPr>
          <w:b/>
        </w:rPr>
        <w:t>194.</w:t>
      </w:r>
      <w:r>
        <w:tab/>
        <w:t>Deleted: No. 81 of 1996 s. 116.]</w:t>
      </w:r>
    </w:p>
    <w:p>
      <w:pPr>
        <w:pStyle w:val="Heading5"/>
        <w:rPr>
          <w:snapToGrid w:val="0"/>
        </w:rPr>
      </w:pPr>
      <w:bookmarkStart w:id="397" w:name="_Toc210129979"/>
      <w:r>
        <w:rPr>
          <w:rStyle w:val="CharSectno"/>
        </w:rPr>
        <w:t>195</w:t>
      </w:r>
      <w:r>
        <w:rPr>
          <w:snapToGrid w:val="0"/>
        </w:rPr>
        <w:t>.</w:t>
      </w:r>
      <w:r>
        <w:rPr>
          <w:snapToGrid w:val="0"/>
        </w:rPr>
        <w:tab/>
        <w:t>Moneys paid by State under s. 201 may be recovered</w:t>
      </w:r>
      <w:bookmarkEnd w:id="397"/>
    </w:p>
    <w:p>
      <w:pPr>
        <w:pStyle w:val="Subsection"/>
        <w:rPr>
          <w:snapToGrid w:val="0"/>
        </w:rPr>
      </w:pPr>
      <w:r>
        <w:rPr>
          <w:snapToGrid w:val="0"/>
        </w:rPr>
        <w:tab/>
      </w:r>
      <w:r>
        <w:rPr>
          <w:snapToGrid w:val="0"/>
        </w:rPr>
        <w:tab/>
        <w:t xml:space="preserve">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w:t>
      </w:r>
      <w:r>
        <w:rPr>
          <w:snapToGrid w:val="0"/>
        </w:rPr>
        <w:lastRenderedPageBreak/>
        <w:t>any time thereafter if he shall be found within the jurisdiction of the Supreme Court.</w:t>
      </w:r>
    </w:p>
    <w:p>
      <w:pPr>
        <w:pStyle w:val="Footnotesection"/>
      </w:pPr>
      <w:r>
        <w:tab/>
        <w:t>[Section 195 amended: No. 17 of 1950 s. 54; No. 81 of 1996 s. 117.]</w:t>
      </w:r>
    </w:p>
    <w:p>
      <w:pPr>
        <w:pStyle w:val="Heading5"/>
        <w:rPr>
          <w:snapToGrid w:val="0"/>
        </w:rPr>
      </w:pPr>
      <w:bookmarkStart w:id="398" w:name="_Toc210129980"/>
      <w:r>
        <w:rPr>
          <w:rStyle w:val="CharSectno"/>
        </w:rPr>
        <w:t>196</w:t>
      </w:r>
      <w:r>
        <w:rPr>
          <w:snapToGrid w:val="0"/>
        </w:rPr>
        <w:t>.</w:t>
      </w:r>
      <w:r>
        <w:rPr>
          <w:snapToGrid w:val="0"/>
        </w:rPr>
        <w:tab/>
        <w:t>State not liable in certain cases</w:t>
      </w:r>
      <w:bookmarkEnd w:id="398"/>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pPr>
        <w:pStyle w:val="Subsection"/>
        <w:rPr>
          <w:snapToGrid w:val="0"/>
        </w:rPr>
      </w:pPr>
      <w:r>
        <w:rPr>
          <w:snapToGrid w:val="0"/>
        </w:rPr>
        <w:tab/>
        <w:t>(1B)</w:t>
      </w:r>
      <w:r>
        <w:rPr>
          <w:snapToGrid w:val="0"/>
        </w:rPr>
        <w:tab/>
        <w:t>The State shall be liable for such amounts only as the sheriff shall fail to recover from the person liable as aforesaid.</w:t>
      </w:r>
    </w:p>
    <w:p>
      <w:pPr>
        <w:pStyle w:val="Subsection"/>
        <w:rPr>
          <w:snapToGrid w:val="0"/>
        </w:rPr>
      </w:pPr>
      <w:r>
        <w:rPr>
          <w:snapToGrid w:val="0"/>
        </w:rPr>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 xml:space="preserve">the description of the area, boundaries or position of a parcel of Crown land to which a certificate of Crown </w:t>
      </w:r>
      <w:r>
        <w:rPr>
          <w:snapToGrid w:val="0"/>
        </w:rPr>
        <w:lastRenderedPageBreak/>
        <w:t>land title endorsed with the words “Subject to survey” relates; or</w:t>
      </w:r>
    </w:p>
    <w:p>
      <w:pPr>
        <w:pStyle w:val="Indenta"/>
        <w:rPr>
          <w:snapToGrid w:val="0"/>
        </w:rPr>
      </w:pPr>
      <w:r>
        <w:rPr>
          <w:snapToGrid w:val="0"/>
        </w:rPr>
        <w:tab/>
        <w:t>(b)</w:t>
      </w:r>
      <w:r>
        <w:rPr>
          <w:snapToGrid w:val="0"/>
        </w:rPr>
        <w:tab/>
        <w:t>a qualified certificate of Crown land title; or</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No. 54 of 1909 s. 17 (as amended: No. 17 of 1950 s. 75); No. 81 of 1996 s. 118; No. 31 of 1997 s. 127; No. 19 of 2010 s. 51; No. 21 of 2022 s. 39.]</w:t>
      </w:r>
    </w:p>
    <w:p>
      <w:pPr>
        <w:pStyle w:val="Ednotesection"/>
      </w:pPr>
      <w:r>
        <w:t>[</w:t>
      </w:r>
      <w:r>
        <w:rPr>
          <w:b/>
        </w:rPr>
        <w:t>197.</w:t>
      </w:r>
      <w:r>
        <w:tab/>
        <w:t>Deleted: No. 81 of 1996 s. 119.]</w:t>
      </w:r>
    </w:p>
    <w:p>
      <w:pPr>
        <w:pStyle w:val="Heading2"/>
      </w:pPr>
      <w:bookmarkStart w:id="399" w:name="_Toc166683632"/>
      <w:bookmarkStart w:id="400" w:name="_Toc166684008"/>
      <w:bookmarkStart w:id="401" w:name="_Toc166684794"/>
      <w:bookmarkStart w:id="402" w:name="_Toc210120403"/>
      <w:bookmarkStart w:id="403" w:name="_Toc210129981"/>
      <w:r>
        <w:rPr>
          <w:rStyle w:val="CharPartNo"/>
        </w:rPr>
        <w:lastRenderedPageBreak/>
        <w:t>Part XII</w:t>
      </w:r>
      <w:r>
        <w:rPr>
          <w:rStyle w:val="CharDivNo"/>
        </w:rPr>
        <w:t> </w:t>
      </w:r>
      <w:r>
        <w:t>—</w:t>
      </w:r>
      <w:r>
        <w:rPr>
          <w:rStyle w:val="CharDivText"/>
        </w:rPr>
        <w:t> </w:t>
      </w:r>
      <w:r>
        <w:rPr>
          <w:rStyle w:val="CharPartText"/>
        </w:rPr>
        <w:t>Actions and other remedies</w:t>
      </w:r>
      <w:bookmarkEnd w:id="399"/>
      <w:bookmarkEnd w:id="400"/>
      <w:bookmarkEnd w:id="401"/>
      <w:bookmarkEnd w:id="402"/>
      <w:bookmarkEnd w:id="403"/>
    </w:p>
    <w:p>
      <w:pPr>
        <w:pStyle w:val="Heading5"/>
        <w:spacing w:before="180"/>
        <w:rPr>
          <w:snapToGrid w:val="0"/>
        </w:rPr>
      </w:pPr>
      <w:bookmarkStart w:id="404" w:name="_Toc210129982"/>
      <w:r>
        <w:rPr>
          <w:rStyle w:val="CharSectno"/>
        </w:rPr>
        <w:t>198</w:t>
      </w:r>
      <w:r>
        <w:rPr>
          <w:snapToGrid w:val="0"/>
        </w:rPr>
        <w:t>.</w:t>
      </w:r>
      <w:r>
        <w:rPr>
          <w:snapToGrid w:val="0"/>
        </w:rPr>
        <w:tab/>
        <w:t>Officers not to be liable for acts done bona fide</w:t>
      </w:r>
      <w:bookmarkEnd w:id="404"/>
    </w:p>
    <w:p>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w:t>
      </w:r>
      <w:r>
        <w:t xml:space="preserve">this Act or the </w:t>
      </w:r>
      <w:r>
        <w:rPr>
          <w:i/>
        </w:rPr>
        <w:t xml:space="preserve">Strata Titles Act 1985 </w:t>
      </w:r>
      <w:r>
        <w:t xml:space="preserve">or the </w:t>
      </w:r>
      <w:r>
        <w:rPr>
          <w:i/>
        </w:rPr>
        <w:t>Community Titles Act 2018</w:t>
      </w:r>
      <w:r>
        <w:t xml:space="preserve"> or the </w:t>
      </w:r>
      <w:r>
        <w:rPr>
          <w:i/>
        </w:rPr>
        <w:t>Electronic Conveyancing Act 2014</w:t>
      </w:r>
      <w:r>
        <w:t>.</w:t>
      </w:r>
    </w:p>
    <w:p>
      <w:pPr>
        <w:pStyle w:val="Footnotesection"/>
      </w:pPr>
      <w:r>
        <w:tab/>
        <w:t>[Section 198 amended: No. 8 of 2010 s. 32; No. 2 of 2014 s. 85; No. 30 of 2018 s. 203; No. 32 of 2018 s. 263.]</w:t>
      </w:r>
    </w:p>
    <w:p>
      <w:pPr>
        <w:pStyle w:val="Heading5"/>
        <w:rPr>
          <w:snapToGrid w:val="0"/>
        </w:rPr>
      </w:pPr>
      <w:bookmarkStart w:id="405" w:name="_Toc210129983"/>
      <w:r>
        <w:rPr>
          <w:rStyle w:val="CharSectno"/>
        </w:rPr>
        <w:t>199</w:t>
      </w:r>
      <w:r>
        <w:rPr>
          <w:snapToGrid w:val="0"/>
        </w:rPr>
        <w:t>.</w:t>
      </w:r>
      <w:r>
        <w:rPr>
          <w:snapToGrid w:val="0"/>
        </w:rPr>
        <w:tab/>
        <w:t>Registered proprietor protected against ejectment except in certain cases</w:t>
      </w:r>
      <w:bookmarkEnd w:id="405"/>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(a)</w:t>
      </w:r>
      <w:r>
        <w:rPr>
          <w:snapToGrid w:val="0"/>
          <w:spacing w:val="-4"/>
        </w:rPr>
        <w:tab/>
        <w:t>the case of a mortgagee as against a mortgagor in default;</w:t>
      </w:r>
    </w:p>
    <w:p>
      <w:pPr>
        <w:pStyle w:val="Indenta"/>
        <w:spacing w:before="100"/>
        <w:rPr>
          <w:snapToGrid w:val="0"/>
        </w:rPr>
      </w:pPr>
      <w:r>
        <w:rPr>
          <w:snapToGrid w:val="0"/>
        </w:rPr>
        <w:tab/>
        <w:t>(b)</w:t>
      </w:r>
      <w:r>
        <w:rPr>
          <w:snapToGrid w:val="0"/>
        </w:rPr>
        <w:tab/>
        <w:t>the case of an annuitant as against a grantor in default;</w:t>
      </w:r>
    </w:p>
    <w:p>
      <w:pPr>
        <w:pStyle w:val="Indenta"/>
        <w:spacing w:before="100"/>
        <w:rPr>
          <w:snapToGrid w:val="0"/>
        </w:rPr>
      </w:pPr>
      <w:r>
        <w:rPr>
          <w:snapToGrid w:val="0"/>
        </w:rPr>
        <w:tab/>
        <w:t>(c)</w:t>
      </w:r>
      <w:r>
        <w:rPr>
          <w:snapToGrid w:val="0"/>
        </w:rPr>
        <w:tab/>
        <w:t>the case of lessor as against a lessee in default;</w:t>
      </w:r>
    </w:p>
    <w:p>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lastRenderedPageBreak/>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No. 31 of 1997 s. 128; No. 19 of 2010 s. 51.]</w:t>
      </w:r>
    </w:p>
    <w:p>
      <w:pPr>
        <w:pStyle w:val="Heading5"/>
        <w:rPr>
          <w:snapToGrid w:val="0"/>
        </w:rPr>
      </w:pPr>
      <w:bookmarkStart w:id="406" w:name="_Toc210129984"/>
      <w:r>
        <w:rPr>
          <w:rStyle w:val="CharSectno"/>
        </w:rPr>
        <w:t>200</w:t>
      </w:r>
      <w:r>
        <w:rPr>
          <w:snapToGrid w:val="0"/>
        </w:rPr>
        <w:t>.</w:t>
      </w:r>
      <w:r>
        <w:rPr>
          <w:snapToGrid w:val="0"/>
        </w:rPr>
        <w:tab/>
        <w:t>Court may direct cancellation of certificate or entry in Register in certain cases</w:t>
      </w:r>
      <w:bookmarkEnd w:id="406"/>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No. 81 of 1996 s. 145(1).]</w:t>
      </w:r>
    </w:p>
    <w:p>
      <w:pPr>
        <w:pStyle w:val="Heading5"/>
        <w:rPr>
          <w:snapToGrid w:val="0"/>
        </w:rPr>
      </w:pPr>
      <w:bookmarkStart w:id="407" w:name="_Toc210129985"/>
      <w:r>
        <w:rPr>
          <w:rStyle w:val="CharSectno"/>
        </w:rPr>
        <w:t>201</w:t>
      </w:r>
      <w:r>
        <w:rPr>
          <w:snapToGrid w:val="0"/>
        </w:rPr>
        <w:t>.</w:t>
      </w:r>
      <w:r>
        <w:rPr>
          <w:snapToGrid w:val="0"/>
        </w:rPr>
        <w:tab/>
        <w:t>Compensation of person deprived of land</w:t>
      </w:r>
      <w:bookmarkEnd w:id="407"/>
    </w:p>
    <w:p>
      <w:pPr>
        <w:pStyle w:val="Subsection"/>
        <w:rPr>
          <w:snapToGrid w:val="0"/>
        </w:rPr>
      </w:pPr>
      <w:r>
        <w:rPr>
          <w:snapToGrid w:val="0"/>
        </w:rPr>
        <w:tab/>
        <w:t>(1)</w:t>
      </w:r>
      <w:r>
        <w:rPr>
          <w:snapToGrid w:val="0"/>
        </w:rPr>
        <w:tab/>
        <w:t xml:space="preserve">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w:t>
      </w:r>
      <w:r>
        <w:rPr>
          <w:snapToGrid w:val="0"/>
        </w:rPr>
        <w:lastRenderedPageBreak/>
        <w:t>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pPr>
        <w:pStyle w:val="Subsection"/>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pPr>
        <w:pStyle w:val="Subsection"/>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pPr>
        <w:pStyle w:val="Subsection"/>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pPr>
        <w:pStyle w:val="Subsection"/>
        <w:rPr>
          <w:snapToGrid w:val="0"/>
        </w:rPr>
      </w:pPr>
      <w:r>
        <w:rPr>
          <w:snapToGrid w:val="0"/>
        </w:rPr>
        <w:tab/>
        <w:t>(5)</w:t>
      </w:r>
      <w:r>
        <w:rPr>
          <w:snapToGrid w:val="0"/>
        </w:rPr>
        <w:tab/>
        <w:t>In estimating such damages the value of all buildings and other improvements erected or made subsequently to the deprivation shall be excluded.</w:t>
      </w:r>
    </w:p>
    <w:p>
      <w:pPr>
        <w:pStyle w:val="Footnotesection"/>
      </w:pPr>
      <w:r>
        <w:tab/>
        <w:t>[Section 201 amended: No. 81 of 1996 s. 120 and 145(1); No. 77 of 2006 s. 4; No. 19 of 2010 s. 51.]</w:t>
      </w:r>
    </w:p>
    <w:p>
      <w:pPr>
        <w:pStyle w:val="Heading5"/>
        <w:rPr>
          <w:snapToGrid w:val="0"/>
        </w:rPr>
      </w:pPr>
      <w:bookmarkStart w:id="408" w:name="_Toc210129986"/>
      <w:r>
        <w:rPr>
          <w:rStyle w:val="CharSectno"/>
        </w:rPr>
        <w:lastRenderedPageBreak/>
        <w:t>202</w:t>
      </w:r>
      <w:r>
        <w:rPr>
          <w:snapToGrid w:val="0"/>
        </w:rPr>
        <w:t>.</w:t>
      </w:r>
      <w:r>
        <w:rPr>
          <w:snapToGrid w:val="0"/>
        </w:rPr>
        <w:tab/>
        <w:t>Purchasers protected</w:t>
      </w:r>
      <w:bookmarkEnd w:id="408"/>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409" w:name="_Toc210129987"/>
      <w:r>
        <w:rPr>
          <w:rStyle w:val="CharSectno"/>
        </w:rPr>
        <w:t>203</w:t>
      </w:r>
      <w:r>
        <w:rPr>
          <w:snapToGrid w:val="0"/>
        </w:rPr>
        <w:t>.</w:t>
      </w:r>
      <w:r>
        <w:rPr>
          <w:snapToGrid w:val="0"/>
        </w:rPr>
        <w:tab/>
        <w:t>Owner may require Commissioner or Registrar to substantiate decision before Supreme Court</w:t>
      </w:r>
      <w:bookmarkEnd w:id="409"/>
    </w:p>
    <w:p>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pPr>
        <w:pStyle w:val="Subsection"/>
        <w:rPr>
          <w:snapToGrid w:val="0"/>
        </w:rPr>
      </w:pPr>
      <w:r>
        <w:rPr>
          <w:snapToGrid w:val="0"/>
        </w:rPr>
        <w:lastRenderedPageBreak/>
        <w:tab/>
        <w:t>(2)</w:t>
      </w:r>
      <w:r>
        <w:rPr>
          <w:snapToGrid w:val="0"/>
        </w:rPr>
        <w:tab/>
        <w:t>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w:t>
      </w:r>
    </w:p>
    <w:p>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No. 17 of 1950 s. 56; No. 81 of 1996 s. 121; No. 19 of 2010 s. 51.]</w:t>
      </w:r>
    </w:p>
    <w:p>
      <w:pPr>
        <w:pStyle w:val="Heading5"/>
        <w:rPr>
          <w:snapToGrid w:val="0"/>
        </w:rPr>
      </w:pPr>
      <w:bookmarkStart w:id="410" w:name="_Toc210129988"/>
      <w:r>
        <w:rPr>
          <w:rStyle w:val="CharSectno"/>
        </w:rPr>
        <w:t>204</w:t>
      </w:r>
      <w:r>
        <w:rPr>
          <w:snapToGrid w:val="0"/>
        </w:rPr>
        <w:t>.</w:t>
      </w:r>
      <w:r>
        <w:rPr>
          <w:snapToGrid w:val="0"/>
        </w:rPr>
        <w:tab/>
        <w:t>Cost of summons and proceedings under s. 203 to be in discretion of court</w:t>
      </w:r>
      <w:bookmarkEnd w:id="410"/>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No. 17 of 1950 s. 57; No. 81 of 1996 s. 122; No. 77 of 2006 s. 4.]</w:t>
      </w:r>
    </w:p>
    <w:p>
      <w:pPr>
        <w:pStyle w:val="Heading5"/>
        <w:rPr>
          <w:snapToGrid w:val="0"/>
        </w:rPr>
      </w:pPr>
      <w:bookmarkStart w:id="411" w:name="_Toc210129989"/>
      <w:r>
        <w:rPr>
          <w:rStyle w:val="CharSectno"/>
        </w:rPr>
        <w:t>205</w:t>
      </w:r>
      <w:r>
        <w:rPr>
          <w:snapToGrid w:val="0"/>
        </w:rPr>
        <w:t>.</w:t>
      </w:r>
      <w:r>
        <w:rPr>
          <w:snapToGrid w:val="0"/>
        </w:rPr>
        <w:tab/>
        <w:t>Actions for damages may in some cases be brought against Registrar as nominal defendant</w:t>
      </w:r>
      <w:bookmarkEnd w:id="411"/>
    </w:p>
    <w:p>
      <w:pPr>
        <w:pStyle w:val="Subsection"/>
        <w:rPr>
          <w:snapToGrid w:val="0"/>
        </w:rPr>
      </w:pPr>
      <w:r>
        <w:rPr>
          <w:snapToGrid w:val="0"/>
        </w:rPr>
        <w:tab/>
        <w:t>(1)</w:t>
      </w:r>
      <w:r>
        <w:rPr>
          <w:snapToGrid w:val="0"/>
        </w:rPr>
        <w:tab/>
        <w:t xml:space="preserve">Any person sustaining loss through any omission mistake or misfeasance of the Registrar or any other officer or clerk in the execution of their respective duties under the provisions of this Act or by any error omission or misdescription in any certificate of title or any entry or memorandum in the Register or by the </w:t>
      </w:r>
      <w:r>
        <w:rPr>
          <w:snapToGrid w:val="0"/>
        </w:rPr>
        <w:lastRenderedPageBreak/>
        <w:t>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w:t>
      </w:r>
    </w:p>
    <w:p>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pPr>
        <w:pStyle w:val="Footnotesection"/>
      </w:pPr>
      <w:r>
        <w:tab/>
        <w:t>[Section 205 amended: No. 81 of 1996 s. 123 and 145(1); No. 19 of 2010 s. 51.]</w:t>
      </w:r>
    </w:p>
    <w:p>
      <w:pPr>
        <w:pStyle w:val="Heading5"/>
        <w:rPr>
          <w:snapToGrid w:val="0"/>
        </w:rPr>
      </w:pPr>
      <w:bookmarkStart w:id="412" w:name="_Toc210129990"/>
      <w:r>
        <w:rPr>
          <w:rStyle w:val="CharSectno"/>
        </w:rPr>
        <w:t>206</w:t>
      </w:r>
      <w:r>
        <w:rPr>
          <w:snapToGrid w:val="0"/>
        </w:rPr>
        <w:t>.</w:t>
      </w:r>
      <w:r>
        <w:rPr>
          <w:snapToGrid w:val="0"/>
        </w:rPr>
        <w:tab/>
        <w:t>Actions for damages for loss due to inaccurate survey</w:t>
      </w:r>
      <w:bookmarkEnd w:id="412"/>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No. 81 of 1996 s. 124; No. 6 of 2003 s. 75.]</w:t>
      </w:r>
    </w:p>
    <w:p>
      <w:pPr>
        <w:pStyle w:val="Heading5"/>
        <w:rPr>
          <w:snapToGrid w:val="0"/>
        </w:rPr>
      </w:pPr>
      <w:bookmarkStart w:id="413" w:name="_Toc210129991"/>
      <w:r>
        <w:rPr>
          <w:rStyle w:val="CharSectno"/>
        </w:rPr>
        <w:t>207</w:t>
      </w:r>
      <w:r>
        <w:rPr>
          <w:snapToGrid w:val="0"/>
        </w:rPr>
        <w:t>.</w:t>
      </w:r>
      <w:r>
        <w:rPr>
          <w:snapToGrid w:val="0"/>
        </w:rPr>
        <w:tab/>
        <w:t>Actions for damages in certain other cases</w:t>
      </w:r>
      <w:bookmarkEnd w:id="413"/>
    </w:p>
    <w:p>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w:t>
      </w:r>
      <w:r>
        <w:rPr>
          <w:snapToGrid w:val="0"/>
        </w:rPr>
        <w:lastRenderedPageBreak/>
        <w:t>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w:t>
      </w:r>
    </w:p>
    <w:p>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No. 81 of 1996 s. 125; No. 19 of 2010 s. 51.]</w:t>
      </w:r>
    </w:p>
    <w:p>
      <w:pPr>
        <w:pStyle w:val="Heading5"/>
        <w:rPr>
          <w:snapToGrid w:val="0"/>
        </w:rPr>
      </w:pPr>
      <w:bookmarkStart w:id="414" w:name="_Toc210129992"/>
      <w:r>
        <w:rPr>
          <w:rStyle w:val="CharSectno"/>
        </w:rPr>
        <w:t>208</w:t>
      </w:r>
      <w:r>
        <w:rPr>
          <w:snapToGrid w:val="0"/>
        </w:rPr>
        <w:t>.</w:t>
      </w:r>
      <w:r>
        <w:rPr>
          <w:snapToGrid w:val="0"/>
        </w:rPr>
        <w:tab/>
        <w:t>Claims for damages may be made to Commissioner before commencing court action</w:t>
      </w:r>
      <w:bookmarkEnd w:id="414"/>
    </w:p>
    <w:p>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No. 81 of 1996 s. 126; No. 77 of 2006 s. 4; No. 19 of 2010 s. 51.]</w:t>
      </w:r>
    </w:p>
    <w:p>
      <w:pPr>
        <w:pStyle w:val="Heading5"/>
        <w:rPr>
          <w:snapToGrid w:val="0"/>
        </w:rPr>
      </w:pPr>
      <w:bookmarkStart w:id="415" w:name="_Toc210129993"/>
      <w:r>
        <w:rPr>
          <w:rStyle w:val="CharSectno"/>
        </w:rPr>
        <w:lastRenderedPageBreak/>
        <w:t>209</w:t>
      </w:r>
      <w:r>
        <w:rPr>
          <w:snapToGrid w:val="0"/>
        </w:rPr>
        <w:t>.</w:t>
      </w:r>
      <w:r>
        <w:rPr>
          <w:snapToGrid w:val="0"/>
        </w:rPr>
        <w:tab/>
        <w:t>Notice of action to be served</w:t>
      </w:r>
      <w:bookmarkEnd w:id="415"/>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No. 17 of 1950 s. 58; No. 81 of 1996 s. 127.]</w:t>
      </w:r>
    </w:p>
    <w:p>
      <w:pPr>
        <w:pStyle w:val="Heading5"/>
        <w:rPr>
          <w:snapToGrid w:val="0"/>
        </w:rPr>
      </w:pPr>
      <w:bookmarkStart w:id="416" w:name="_Toc210129994"/>
      <w:r>
        <w:rPr>
          <w:rStyle w:val="CharSectno"/>
        </w:rPr>
        <w:t>210</w:t>
      </w:r>
      <w:r>
        <w:rPr>
          <w:snapToGrid w:val="0"/>
        </w:rPr>
        <w:t>.</w:t>
      </w:r>
      <w:r>
        <w:rPr>
          <w:snapToGrid w:val="0"/>
        </w:rPr>
        <w:tab/>
        <w:t>Damages etc. awarded to be charged to Consolidated Account</w:t>
      </w:r>
      <w:bookmarkEnd w:id="416"/>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No. 81 of 1996 s. 128; amended: No. 77 of 2006 s. 4.]</w:t>
      </w:r>
    </w:p>
    <w:p>
      <w:pPr>
        <w:pStyle w:val="Heading5"/>
        <w:rPr>
          <w:snapToGrid w:val="0"/>
        </w:rPr>
      </w:pPr>
      <w:bookmarkStart w:id="417" w:name="_Toc210129995"/>
      <w:r>
        <w:rPr>
          <w:rStyle w:val="CharSectno"/>
        </w:rPr>
        <w:lastRenderedPageBreak/>
        <w:t>211</w:t>
      </w:r>
      <w:r>
        <w:rPr>
          <w:snapToGrid w:val="0"/>
        </w:rPr>
        <w:t>.</w:t>
      </w:r>
      <w:r>
        <w:rPr>
          <w:snapToGrid w:val="0"/>
        </w:rPr>
        <w:tab/>
        <w:t>Limitation of actions</w:t>
      </w:r>
      <w:bookmarkEnd w:id="417"/>
    </w:p>
    <w:p>
      <w:pPr>
        <w:pStyle w:val="Subsection"/>
        <w:rPr>
          <w:snapToGrid w:val="0"/>
        </w:rPr>
      </w:pPr>
      <w:r>
        <w:rPr>
          <w:snapToGrid w:val="0"/>
        </w:rPr>
        <w:tab/>
        <w:t>(1)</w:t>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w:t>
      </w:r>
    </w:p>
    <w:p>
      <w:pPr>
        <w:pStyle w:val="Subsection"/>
        <w:keepNext/>
        <w:keepLines/>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No. 17 of 1950 s. 59; No. 73 of 1954 s. 5; No. 81 of 1996 s. 129; No. 19 of 2010 s. 51.]</w:t>
      </w:r>
    </w:p>
    <w:p>
      <w:pPr>
        <w:pStyle w:val="Heading5"/>
        <w:rPr>
          <w:snapToGrid w:val="0"/>
        </w:rPr>
      </w:pPr>
      <w:bookmarkStart w:id="418" w:name="_Toc210129996"/>
      <w:r>
        <w:rPr>
          <w:rStyle w:val="CharSectno"/>
        </w:rPr>
        <w:t>212</w:t>
      </w:r>
      <w:r>
        <w:rPr>
          <w:snapToGrid w:val="0"/>
        </w:rPr>
        <w:t>.</w:t>
      </w:r>
      <w:r>
        <w:rPr>
          <w:snapToGrid w:val="0"/>
        </w:rPr>
        <w:tab/>
        <w:t>Rules of Supreme Court to apply and same right of appeal as in ordinary actions</w:t>
      </w:r>
      <w:bookmarkEnd w:id="418"/>
    </w:p>
    <w:p>
      <w:pPr>
        <w:pStyle w:val="Subsection"/>
        <w:rPr>
          <w:snapToGrid w:val="0"/>
        </w:rPr>
      </w:pPr>
      <w:r>
        <w:rPr>
          <w:snapToGrid w:val="0"/>
        </w:rPr>
        <w:tab/>
        <w:t>(1)</w:t>
      </w:r>
      <w:r>
        <w:rPr>
          <w:snapToGrid w:val="0"/>
        </w:rPr>
        <w:tab/>
        <w:t xml:space="preserve">In the conduct of actions under this Act the same rules of procedure and practice shall apply and there shall be the same rights of appeal as shall be in force or exist for the time being in </w:t>
      </w:r>
      <w:r>
        <w:rPr>
          <w:snapToGrid w:val="0"/>
        </w:rPr>
        <w:lastRenderedPageBreak/>
        <w:t>respect of ordinary actions in the court in which such action may be tried.</w:t>
      </w:r>
    </w:p>
    <w:p>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pPr>
        <w:pStyle w:val="Footnotesection"/>
      </w:pPr>
      <w:r>
        <w:tab/>
        <w:t>[Section 212 amended: No. 19 of 2010 s. 51.]</w:t>
      </w:r>
    </w:p>
    <w:p>
      <w:pPr>
        <w:pStyle w:val="Heading5"/>
        <w:rPr>
          <w:snapToGrid w:val="0"/>
        </w:rPr>
      </w:pPr>
      <w:bookmarkStart w:id="419" w:name="_Toc210129997"/>
      <w:r>
        <w:rPr>
          <w:rStyle w:val="CharSectno"/>
        </w:rPr>
        <w:t>213</w:t>
      </w:r>
      <w:r>
        <w:rPr>
          <w:snapToGrid w:val="0"/>
        </w:rPr>
        <w:t>.</w:t>
      </w:r>
      <w:r>
        <w:rPr>
          <w:snapToGrid w:val="0"/>
        </w:rPr>
        <w:tab/>
        <w:t>Obligation to make discovery not excluded</w:t>
      </w:r>
      <w:bookmarkEnd w:id="419"/>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420" w:name="_Toc166683649"/>
      <w:bookmarkStart w:id="421" w:name="_Toc166684025"/>
      <w:bookmarkStart w:id="422" w:name="_Toc166684811"/>
      <w:bookmarkStart w:id="423" w:name="_Toc210120420"/>
      <w:bookmarkStart w:id="424" w:name="_Toc210129998"/>
      <w:r>
        <w:rPr>
          <w:rStyle w:val="CharPartNo"/>
        </w:rPr>
        <w:lastRenderedPageBreak/>
        <w:t>Part XIII</w:t>
      </w:r>
      <w:r>
        <w:rPr>
          <w:rStyle w:val="CharDivNo"/>
        </w:rPr>
        <w:t> </w:t>
      </w:r>
      <w:r>
        <w:t>—</w:t>
      </w:r>
      <w:r>
        <w:rPr>
          <w:rStyle w:val="CharDivText"/>
        </w:rPr>
        <w:t> </w:t>
      </w:r>
      <w:r>
        <w:rPr>
          <w:rStyle w:val="CharPartText"/>
        </w:rPr>
        <w:t>Offences</w:t>
      </w:r>
      <w:bookmarkEnd w:id="420"/>
      <w:bookmarkEnd w:id="421"/>
      <w:bookmarkEnd w:id="422"/>
      <w:bookmarkEnd w:id="423"/>
      <w:bookmarkEnd w:id="424"/>
    </w:p>
    <w:p>
      <w:pPr>
        <w:pStyle w:val="Heading5"/>
        <w:spacing w:before="180"/>
      </w:pPr>
      <w:bookmarkStart w:id="425" w:name="_Toc210129999"/>
      <w:r>
        <w:rPr>
          <w:rStyle w:val="CharSectno"/>
        </w:rPr>
        <w:t>214</w:t>
      </w:r>
      <w:r>
        <w:t>.</w:t>
      </w:r>
      <w:r>
        <w:tab/>
        <w:t>Offences</w:t>
      </w:r>
      <w:bookmarkEnd w:id="425"/>
    </w:p>
    <w:p>
      <w:pPr>
        <w:pStyle w:val="Subsection"/>
        <w:spacing w:before="120"/>
      </w:pPr>
      <w:r>
        <w:tab/>
        <w:t>(1)</w:t>
      </w:r>
      <w:r>
        <w:tab/>
        <w:t>A person must not do any of the things set out in subsection (3).</w:t>
      </w:r>
    </w:p>
    <w:p>
      <w:pPr>
        <w:pStyle w:val="Penstart"/>
      </w:pPr>
      <w:r>
        <w:tab/>
        <w:t>Penalty: imprisonment for 10 years and a fine of $100 000.</w:t>
      </w:r>
    </w:p>
    <w:p>
      <w:pPr>
        <w:pStyle w:val="Penstart"/>
      </w:pPr>
      <w:r>
        <w:tab/>
        <w:t>Summary conviction penalty: imprisonment for 3 years and a fine of $40 000.</w:t>
      </w:r>
    </w:p>
    <w:p>
      <w:pPr>
        <w:pStyle w:val="Subsection"/>
        <w:spacing w:before="120"/>
      </w:pPr>
      <w:r>
        <w:tab/>
        <w:t>(2)</w:t>
      </w:r>
      <w:r>
        <w:tab/>
        <w:t>An offence under subsection (1) is a crime.</w:t>
      </w:r>
    </w:p>
    <w:p>
      <w:pPr>
        <w:pStyle w:val="Subsection"/>
        <w:spacing w:before="120"/>
      </w:pPr>
      <w:r>
        <w:tab/>
        <w:t>(3)</w:t>
      </w:r>
      <w:r>
        <w:tab/>
        <w:t xml:space="preserve">The things to which subsection (1) applies are — </w:t>
      </w:r>
    </w:p>
    <w:p>
      <w:pPr>
        <w:pStyle w:val="Indenta"/>
      </w:pPr>
      <w:r>
        <w:tab/>
        <w:t>(a)</w:t>
      </w:r>
      <w:r>
        <w:tab/>
        <w:t xml:space="preserve">making any statement or declaration that the person making it knows is false or misleading in a material particular in — </w:t>
      </w:r>
    </w:p>
    <w:p>
      <w:pPr>
        <w:pStyle w:val="Indenti"/>
      </w:pPr>
      <w:r>
        <w:tab/>
        <w:t>(i)</w:t>
      </w:r>
      <w:r>
        <w:tab/>
        <w:t>any application under this Act; or</w:t>
      </w:r>
    </w:p>
    <w:p>
      <w:pPr>
        <w:pStyle w:val="Indenti"/>
      </w:pPr>
      <w:r>
        <w:tab/>
        <w:t>(ii)</w:t>
      </w:r>
      <w:r>
        <w:tab/>
        <w:t>any document lodged, deposited, presented or filed under this or any other Act;</w:t>
      </w:r>
    </w:p>
    <w:p>
      <w:pPr>
        <w:pStyle w:val="Indenta"/>
      </w:pPr>
      <w:r>
        <w:tab/>
        <w:t>(b)</w:t>
      </w:r>
      <w:r>
        <w:tab/>
        <w:t>making or giving any certification required under this Act that the person making or giving it knows is false or misleading in a material particular;</w:t>
      </w:r>
    </w:p>
    <w:p>
      <w:pPr>
        <w:pStyle w:val="Indenta"/>
      </w:pPr>
      <w:r>
        <w:tab/>
        <w:t>(c)</w:t>
      </w:r>
      <w:r>
        <w:tab/>
        <w:t>providing to the Commissioner or Registrar any material, document, fact or information that the person providing it knows is false or misleading in a material particular;</w:t>
      </w:r>
    </w:p>
    <w:p>
      <w:pPr>
        <w:pStyle w:val="Indenta"/>
      </w:pPr>
      <w:r>
        <w:tab/>
        <w:t>(d)</w:t>
      </w:r>
      <w:r>
        <w:tab/>
        <w:t>suppressing, withholding or concealing from the Commissioner or Registrar any material, document, fact or information;</w:t>
      </w:r>
    </w:p>
    <w:p>
      <w:pPr>
        <w:pStyle w:val="Indenta"/>
      </w:pPr>
      <w:r>
        <w:tab/>
        <w:t>(e)</w:t>
      </w:r>
      <w:r>
        <w:tab/>
        <w:t>making any statutory declaration authorised or required under this Act that the person making it knows is false or misleading in a material particular;</w:t>
      </w:r>
    </w:p>
    <w:p>
      <w:pPr>
        <w:pStyle w:val="Indenta"/>
      </w:pPr>
      <w:r>
        <w:tab/>
        <w:t>(f)</w:t>
      </w:r>
      <w:r>
        <w:tab/>
        <w:t>giving evidence in the course of an examination before the Commissioner that the person giving it knows is false or misleading in a material particular;</w:t>
      </w:r>
    </w:p>
    <w:p>
      <w:pPr>
        <w:pStyle w:val="Indenta"/>
        <w:keepNext/>
      </w:pPr>
      <w:r>
        <w:lastRenderedPageBreak/>
        <w:tab/>
        <w:t>(g)</w:t>
      </w:r>
      <w:r>
        <w:tab/>
        <w:t xml:space="preserve">fraudulently procuring — </w:t>
      </w:r>
    </w:p>
    <w:p>
      <w:pPr>
        <w:pStyle w:val="Indenti"/>
      </w:pPr>
      <w:r>
        <w:tab/>
        <w:t>(i)</w:t>
      </w:r>
      <w:r>
        <w:tab/>
        <w:t>a certificate of title or instrument; or</w:t>
      </w:r>
    </w:p>
    <w:p>
      <w:pPr>
        <w:pStyle w:val="Indenti"/>
      </w:pPr>
      <w:r>
        <w:tab/>
        <w:t>(ii)</w:t>
      </w:r>
      <w:r>
        <w:tab/>
        <w:t>an entry in the Register; or</w:t>
      </w:r>
    </w:p>
    <w:p>
      <w:pPr>
        <w:pStyle w:val="Indenti"/>
      </w:pPr>
      <w:r>
        <w:tab/>
        <w:t>(iii)</w:t>
      </w:r>
      <w:r>
        <w:tab/>
        <w:t>any erasure or alteration in any entry in the Register;</w:t>
      </w:r>
    </w:p>
    <w:p>
      <w:pPr>
        <w:pStyle w:val="Ednotepara"/>
      </w:pPr>
      <w:r>
        <w:tab/>
        <w:t>[(h)</w:t>
      </w:r>
      <w:r>
        <w:tab/>
        <w:t>deleted]</w:t>
      </w:r>
    </w:p>
    <w:p>
      <w:pPr>
        <w:pStyle w:val="Indenta"/>
      </w:pPr>
      <w:r>
        <w:tab/>
        <w:t>(i)</w:t>
      </w:r>
      <w:r>
        <w:tab/>
        <w:t xml:space="preserve">misleading or deceiving any person authorised to require an explanation or information in respect of — </w:t>
      </w:r>
    </w:p>
    <w:p>
      <w:pPr>
        <w:pStyle w:val="Indenti"/>
      </w:pPr>
      <w:r>
        <w:tab/>
        <w:t>(i)</w:t>
      </w:r>
      <w:r>
        <w:tab/>
        <w:t>any land, or the title to any land, under the operation of this Act; or</w:t>
      </w:r>
    </w:p>
    <w:p>
      <w:pPr>
        <w:pStyle w:val="Indenti"/>
      </w:pPr>
      <w:r>
        <w:tab/>
        <w:t>(ii)</w:t>
      </w:r>
      <w:r>
        <w:tab/>
        <w:t>any land, or the title to any land, that is the subject of an application to bring it under the operation of this Act; or</w:t>
      </w:r>
    </w:p>
    <w:p>
      <w:pPr>
        <w:pStyle w:val="Indenti"/>
      </w:pPr>
      <w:r>
        <w:tab/>
        <w:t>(iii)</w:t>
      </w:r>
      <w:r>
        <w:tab/>
        <w:t>any land or the title to any land in respect of which any dealing or transmission is proposed to be registered.</w:t>
      </w:r>
    </w:p>
    <w:p>
      <w:pPr>
        <w:pStyle w:val="Ednotepara"/>
      </w:pPr>
      <w:r>
        <w:tab/>
        <w:t>[(j)</w:t>
      </w:r>
      <w:r>
        <w:tab/>
        <w:t>deleted]</w:t>
      </w:r>
    </w:p>
    <w:p>
      <w:pPr>
        <w:pStyle w:val="Footnotesection"/>
        <w:spacing w:before="100"/>
        <w:ind w:left="890" w:hanging="890"/>
      </w:pPr>
      <w:r>
        <w:tab/>
        <w:t>[Section 214 inserted: No. 2 of 2014 s. 86; amended: No. 32 of 2018 s. 264; No. 21 of 2022 s. 40.]</w:t>
      </w:r>
    </w:p>
    <w:p>
      <w:pPr>
        <w:pStyle w:val="Heading5"/>
      </w:pPr>
      <w:bookmarkStart w:id="426" w:name="_Toc210130000"/>
      <w:r>
        <w:rPr>
          <w:rStyle w:val="CharSectno"/>
        </w:rPr>
        <w:t>214A</w:t>
      </w:r>
      <w:r>
        <w:t>.</w:t>
      </w:r>
      <w:r>
        <w:tab/>
        <w:t>Effect of fraud</w:t>
      </w:r>
      <w:bookmarkEnd w:id="426"/>
    </w:p>
    <w:p>
      <w:pPr>
        <w:pStyle w:val="Subsection"/>
      </w:pPr>
      <w:r>
        <w:tab/>
      </w:r>
      <w:r>
        <w:tab/>
        <w:t>Any certificate of title, instrument, entry, erasure or alteration procured or made by fraud in any of the circumstances set out in section 214 is void as against all persons who are party to that fraud, whether or not anyone is convicted of that fraud.</w:t>
      </w:r>
    </w:p>
    <w:p>
      <w:pPr>
        <w:pStyle w:val="Footnotesection"/>
        <w:spacing w:before="100"/>
        <w:ind w:left="890" w:hanging="890"/>
      </w:pPr>
      <w:r>
        <w:tab/>
        <w:t>[Section 214A inserted: No. 2 of 2014 s. 86.]</w:t>
      </w:r>
    </w:p>
    <w:p>
      <w:pPr>
        <w:pStyle w:val="Ednotesection"/>
        <w:spacing w:before="160"/>
        <w:ind w:left="890" w:hanging="890"/>
        <w:rPr>
          <w:rStyle w:val="CharSectno"/>
          <w:i w:val="0"/>
          <w:snapToGrid/>
        </w:rPr>
      </w:pPr>
      <w:r>
        <w:t>[</w:t>
      </w:r>
      <w:r>
        <w:rPr>
          <w:b/>
        </w:rPr>
        <w:t>214B.</w:t>
      </w:r>
      <w:r>
        <w:tab/>
        <w:t>Deleted: No. 2 of 2014 s. 86.]</w:t>
      </w:r>
    </w:p>
    <w:p>
      <w:pPr>
        <w:pStyle w:val="Ednotesection"/>
        <w:spacing w:before="160"/>
        <w:ind w:left="890" w:hanging="890"/>
      </w:pPr>
      <w:r>
        <w:t>[</w:t>
      </w:r>
      <w:r>
        <w:rPr>
          <w:b/>
        </w:rPr>
        <w:t>215</w:t>
      </w:r>
      <w:r>
        <w:rPr>
          <w:b/>
        </w:rPr>
        <w:noBreakHyphen/>
        <w:t>218.</w:t>
      </w:r>
      <w:r>
        <w:tab/>
        <w:t>Deleted: No. 17 of 1950 s. 63.]</w:t>
      </w:r>
    </w:p>
    <w:p>
      <w:pPr>
        <w:pStyle w:val="Heading2"/>
      </w:pPr>
      <w:bookmarkStart w:id="427" w:name="_Toc166683652"/>
      <w:bookmarkStart w:id="428" w:name="_Toc166684028"/>
      <w:bookmarkStart w:id="429" w:name="_Toc166684814"/>
      <w:bookmarkStart w:id="430" w:name="_Toc210120423"/>
      <w:bookmarkStart w:id="431" w:name="_Toc210130001"/>
      <w:r>
        <w:rPr>
          <w:rStyle w:val="CharPartNo"/>
        </w:rPr>
        <w:lastRenderedPageBreak/>
        <w:t>Part XIV</w:t>
      </w:r>
      <w:r>
        <w:rPr>
          <w:rStyle w:val="CharDivNo"/>
        </w:rPr>
        <w:t> </w:t>
      </w:r>
      <w:r>
        <w:t>—</w:t>
      </w:r>
      <w:r>
        <w:rPr>
          <w:rStyle w:val="CharDivText"/>
        </w:rPr>
        <w:t> </w:t>
      </w:r>
      <w:r>
        <w:rPr>
          <w:rStyle w:val="CharPartText"/>
        </w:rPr>
        <w:t>Miscellaneous</w:t>
      </w:r>
      <w:bookmarkEnd w:id="427"/>
      <w:bookmarkEnd w:id="428"/>
      <w:bookmarkEnd w:id="429"/>
      <w:bookmarkEnd w:id="430"/>
      <w:bookmarkEnd w:id="431"/>
    </w:p>
    <w:p>
      <w:pPr>
        <w:pStyle w:val="Heading5"/>
        <w:rPr>
          <w:snapToGrid w:val="0"/>
        </w:rPr>
      </w:pPr>
      <w:bookmarkStart w:id="432" w:name="_Toc210130002"/>
      <w:r>
        <w:rPr>
          <w:rStyle w:val="CharSectno"/>
        </w:rPr>
        <w:t>219</w:t>
      </w:r>
      <w:r>
        <w:rPr>
          <w:snapToGrid w:val="0"/>
        </w:rPr>
        <w:t>.</w:t>
      </w:r>
      <w:r>
        <w:rPr>
          <w:snapToGrid w:val="0"/>
        </w:rPr>
        <w:tab/>
        <w:t>Person entitled under will etc. may apply to be registered</w:t>
      </w:r>
      <w:bookmarkEnd w:id="432"/>
    </w:p>
    <w:p>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pPr>
        <w:pStyle w:val="Ednotesubsection"/>
      </w:pPr>
      <w:r>
        <w:tab/>
        <w:t>[(3)</w:t>
      </w:r>
      <w:r>
        <w:tab/>
      </w:r>
      <w:r>
        <w:tab/>
        <w:t>deleted]</w:t>
      </w:r>
    </w:p>
    <w:p>
      <w:pPr>
        <w:pStyle w:val="Footnotesection"/>
        <w:spacing w:before="80"/>
        <w:ind w:left="890" w:hanging="890"/>
      </w:pPr>
      <w:r>
        <w:tab/>
        <w:t>[Section 219 amended: No. 81 of 1996 s. 131; No. 19 of 2010 s. 51; No. 21 of 2022 s. 41.]</w:t>
      </w:r>
    </w:p>
    <w:p>
      <w:pPr>
        <w:pStyle w:val="Heading5"/>
        <w:rPr>
          <w:snapToGrid w:val="0"/>
        </w:rPr>
      </w:pPr>
      <w:bookmarkStart w:id="433" w:name="_Toc210130003"/>
      <w:r>
        <w:rPr>
          <w:rStyle w:val="CharSectno"/>
        </w:rPr>
        <w:t>220</w:t>
      </w:r>
      <w:r>
        <w:rPr>
          <w:snapToGrid w:val="0"/>
        </w:rPr>
        <w:t>.</w:t>
      </w:r>
      <w:r>
        <w:rPr>
          <w:snapToGrid w:val="0"/>
        </w:rPr>
        <w:tab/>
        <w:t>Application under s. 219, how dealt with</w:t>
      </w:r>
      <w:bookmarkEnd w:id="433"/>
    </w:p>
    <w:p>
      <w:pPr>
        <w:pStyle w:val="Subsection"/>
        <w:rPr>
          <w:snapToGrid w:val="0"/>
        </w:rPr>
      </w:pPr>
      <w:r>
        <w:rPr>
          <w:snapToGrid w:val="0"/>
          <w:spacing w:val="-4"/>
        </w:rPr>
        <w:tab/>
        <w:t>(1)</w:t>
      </w:r>
      <w:r>
        <w:rPr>
          <w:snapToGrid w:val="0"/>
          <w:spacing w:val="-4"/>
        </w:rPr>
        <w:tab/>
      </w:r>
      <w:r>
        <w:rPr>
          <w:snapToGrid w:val="0"/>
        </w:rPr>
        <w:t xml:space="preserve">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w:t>
      </w:r>
      <w:r>
        <w:rPr>
          <w:snapToGrid w:val="0"/>
        </w:rPr>
        <w:lastRenderedPageBreak/>
        <w:t>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pPr>
        <w:pStyle w:val="Footnotesection"/>
        <w:ind w:left="890" w:hanging="890"/>
      </w:pPr>
      <w:r>
        <w:tab/>
        <w:t>[Section 220 amended: No. 81 of 1996 s. 145(1); No. 19 of 2010 s. 51.]</w:t>
      </w:r>
    </w:p>
    <w:p>
      <w:pPr>
        <w:pStyle w:val="Heading5"/>
        <w:rPr>
          <w:snapToGrid w:val="0"/>
        </w:rPr>
      </w:pPr>
      <w:bookmarkStart w:id="434" w:name="_Toc210130004"/>
      <w:r>
        <w:rPr>
          <w:rStyle w:val="CharSectno"/>
        </w:rPr>
        <w:t>221</w:t>
      </w:r>
      <w:r>
        <w:rPr>
          <w:snapToGrid w:val="0"/>
        </w:rPr>
        <w:t>.</w:t>
      </w:r>
      <w:r>
        <w:rPr>
          <w:snapToGrid w:val="0"/>
        </w:rPr>
        <w:tab/>
        <w:t>Remainder</w:t>
      </w:r>
      <w:r>
        <w:rPr>
          <w:snapToGrid w:val="0"/>
        </w:rPr>
        <w:noBreakHyphen/>
        <w:t>man or reversioner may apply to be registered</w:t>
      </w:r>
      <w:bookmarkEnd w:id="434"/>
    </w:p>
    <w:p>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pPr>
        <w:pStyle w:val="Subsection"/>
        <w:rPr>
          <w:snapToGrid w:val="0"/>
        </w:rPr>
      </w:pPr>
      <w:r>
        <w:rPr>
          <w:snapToGrid w:val="0"/>
        </w:rPr>
        <w:lastRenderedPageBreak/>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Footnotesection"/>
        <w:spacing w:before="80"/>
        <w:ind w:left="890" w:hanging="890"/>
      </w:pPr>
      <w:r>
        <w:tab/>
        <w:t>[Section 221 amended: No. 19 of 2010 s. 51.]</w:t>
      </w:r>
    </w:p>
    <w:p>
      <w:pPr>
        <w:pStyle w:val="Heading5"/>
        <w:rPr>
          <w:snapToGrid w:val="0"/>
        </w:rPr>
      </w:pPr>
      <w:bookmarkStart w:id="435" w:name="_Toc210130005"/>
      <w:r>
        <w:rPr>
          <w:rStyle w:val="CharSectno"/>
        </w:rPr>
        <w:t>222</w:t>
      </w:r>
      <w:r>
        <w:rPr>
          <w:snapToGrid w:val="0"/>
        </w:rPr>
        <w:t>.</w:t>
      </w:r>
      <w:r>
        <w:rPr>
          <w:snapToGrid w:val="0"/>
        </w:rPr>
        <w:tab/>
        <w:t>Person claiming title under statute of limitations may apply to be registered</w:t>
      </w:r>
      <w:bookmarkEnd w:id="435"/>
    </w:p>
    <w:p>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pPr>
        <w:pStyle w:val="Subsection"/>
        <w:rPr>
          <w:snapToGrid w:val="0"/>
        </w:rPr>
      </w:pPr>
      <w:r>
        <w:rPr>
          <w:snapToGrid w:val="0"/>
        </w:rPr>
        <w:tab/>
        <w:t>(2)</w:t>
      </w:r>
      <w:r>
        <w:rPr>
          <w:snapToGrid w:val="0"/>
        </w:rPr>
        <w:tab/>
        <w:t>Such application shall also state the value of the land.</w:t>
      </w:r>
    </w:p>
    <w:p>
      <w:pPr>
        <w:pStyle w:val="Footnotesection"/>
        <w:ind w:left="890" w:hanging="890"/>
      </w:pPr>
      <w:r>
        <w:tab/>
        <w:t>[Section 222 amended: No. 19 of 2010 s. 51.]</w:t>
      </w:r>
    </w:p>
    <w:p>
      <w:pPr>
        <w:pStyle w:val="Heading5"/>
        <w:rPr>
          <w:snapToGrid w:val="0"/>
        </w:rPr>
      </w:pPr>
      <w:bookmarkStart w:id="436" w:name="_Toc210130006"/>
      <w:r>
        <w:rPr>
          <w:rStyle w:val="CharSectno"/>
        </w:rPr>
        <w:t>223</w:t>
      </w:r>
      <w:r>
        <w:rPr>
          <w:snapToGrid w:val="0"/>
        </w:rPr>
        <w:t>.</w:t>
      </w:r>
      <w:r>
        <w:rPr>
          <w:snapToGrid w:val="0"/>
        </w:rPr>
        <w:tab/>
        <w:t>Application under s. 222, how dealt with</w:t>
      </w:r>
      <w:bookmarkEnd w:id="436"/>
    </w:p>
    <w:p>
      <w:pPr>
        <w:pStyle w:val="Subsection"/>
        <w:spacing w:before="140"/>
        <w:rPr>
          <w:snapToGrid w:val="0"/>
        </w:rPr>
      </w:pPr>
      <w:r>
        <w:rPr>
          <w:snapToGrid w:val="0"/>
        </w:rPr>
        <w:tab/>
        <w:t>(1)</w:t>
      </w:r>
      <w:r>
        <w:rPr>
          <w:snapToGrid w:val="0"/>
        </w:rPr>
        <w:tab/>
        <w:t xml:space="preserve">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w:t>
      </w:r>
      <w:r>
        <w:rPr>
          <w:snapToGrid w:val="0"/>
        </w:rPr>
        <w:lastRenderedPageBreak/>
        <w:t>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pPr>
        <w:pStyle w:val="Subsection"/>
        <w:spacing w:before="140"/>
        <w:rPr>
          <w:snapToGrid w:val="0"/>
        </w:rPr>
      </w:pPr>
      <w:r>
        <w:rPr>
          <w:snapToGrid w:val="0"/>
        </w:rPr>
        <w:tab/>
        <w:t>(2)</w:t>
      </w:r>
      <w:r>
        <w:rPr>
          <w:snapToGrid w:val="0"/>
        </w:rPr>
        <w:tab/>
        <w:t>Upon such registry being effected the applicant shall become the transferee of such land and be deemed to be the proprietor thereof.</w:t>
      </w:r>
    </w:p>
    <w:p>
      <w:pPr>
        <w:pStyle w:val="Footnotesection"/>
        <w:keepLines w:val="0"/>
        <w:spacing w:before="80"/>
        <w:ind w:left="890" w:hanging="890"/>
      </w:pPr>
      <w:r>
        <w:tab/>
        <w:t>[Section 223 amended: No. 14 of 1996 s. 4; No. 81 of 1996 s. 145(1); No. 19 of 2010 s. 51.]</w:t>
      </w:r>
    </w:p>
    <w:p>
      <w:pPr>
        <w:pStyle w:val="Heading5"/>
        <w:spacing w:before="180"/>
        <w:rPr>
          <w:snapToGrid w:val="0"/>
        </w:rPr>
      </w:pPr>
      <w:bookmarkStart w:id="437" w:name="_Toc210130007"/>
      <w:r>
        <w:rPr>
          <w:rStyle w:val="CharSectno"/>
        </w:rPr>
        <w:t>223A</w:t>
      </w:r>
      <w:r>
        <w:rPr>
          <w:snapToGrid w:val="0"/>
        </w:rPr>
        <w:t>.</w:t>
      </w:r>
      <w:r>
        <w:rPr>
          <w:snapToGrid w:val="0"/>
        </w:rPr>
        <w:tab/>
        <w:t>Caveat against application</w:t>
      </w:r>
      <w:bookmarkEnd w:id="437"/>
    </w:p>
    <w:p>
      <w:pPr>
        <w:pStyle w:val="Subsection"/>
        <w:spacing w:before="140"/>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pPr>
        <w:pStyle w:val="Subsection"/>
        <w:spacing w:before="140"/>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spacing w:before="80"/>
        <w:ind w:left="890" w:hanging="890"/>
      </w:pPr>
      <w:r>
        <w:tab/>
        <w:t>[Section 223A inserted: No. 17 of 1950 s. 64; amended: No. 19 of 2010 s. 51.]</w:t>
      </w:r>
    </w:p>
    <w:p>
      <w:pPr>
        <w:pStyle w:val="Ednotesection"/>
        <w:spacing w:before="160"/>
        <w:ind w:left="890" w:hanging="890"/>
      </w:pPr>
      <w:r>
        <w:t>[</w:t>
      </w:r>
      <w:r>
        <w:rPr>
          <w:b/>
        </w:rPr>
        <w:t>224.</w:t>
      </w:r>
      <w:r>
        <w:tab/>
        <w:t>Deleted: No. 81 of 1996 s. 132.]</w:t>
      </w:r>
    </w:p>
    <w:p>
      <w:pPr>
        <w:pStyle w:val="Ednotesection"/>
        <w:spacing w:before="160"/>
        <w:ind w:left="890" w:hanging="890"/>
      </w:pPr>
      <w:r>
        <w:t>[</w:t>
      </w:r>
      <w:r>
        <w:rPr>
          <w:b/>
        </w:rPr>
        <w:t>225.</w:t>
      </w:r>
      <w:r>
        <w:tab/>
        <w:t>Deleted: No. 81 of 1996 s. 133.]</w:t>
      </w:r>
    </w:p>
    <w:p>
      <w:pPr>
        <w:pStyle w:val="Ednotesection"/>
        <w:spacing w:before="160"/>
        <w:ind w:left="890" w:hanging="890"/>
      </w:pPr>
      <w:r>
        <w:t>[</w:t>
      </w:r>
      <w:r>
        <w:rPr>
          <w:b/>
        </w:rPr>
        <w:t>226.</w:t>
      </w:r>
      <w:r>
        <w:tab/>
        <w:t>Deleted: No. 6 of 2003 s. 76.]</w:t>
      </w:r>
    </w:p>
    <w:p>
      <w:pPr>
        <w:pStyle w:val="Heading5"/>
        <w:keepLines w:val="0"/>
        <w:spacing w:before="180"/>
        <w:rPr>
          <w:snapToGrid w:val="0"/>
        </w:rPr>
      </w:pPr>
      <w:bookmarkStart w:id="438" w:name="_Toc210130008"/>
      <w:r>
        <w:rPr>
          <w:rStyle w:val="CharSectno"/>
        </w:rPr>
        <w:lastRenderedPageBreak/>
        <w:t>227</w:t>
      </w:r>
      <w:r>
        <w:rPr>
          <w:snapToGrid w:val="0"/>
        </w:rPr>
        <w:t>.</w:t>
      </w:r>
      <w:r>
        <w:rPr>
          <w:snapToGrid w:val="0"/>
        </w:rPr>
        <w:tab/>
        <w:t>Survivor of joint proprietors may apply to be registered</w:t>
      </w:r>
      <w:bookmarkEnd w:id="438"/>
    </w:p>
    <w:p>
      <w:pPr>
        <w:pStyle w:val="Subsection"/>
        <w:spacing w:before="10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r>
        <w:tab/>
        <w:t>[Section 227 amended: No. 6 of 2003 s. 77.]</w:t>
      </w:r>
    </w:p>
    <w:p>
      <w:pPr>
        <w:pStyle w:val="Heading5"/>
        <w:rPr>
          <w:snapToGrid w:val="0"/>
        </w:rPr>
      </w:pPr>
      <w:bookmarkStart w:id="439" w:name="_Toc210130009"/>
      <w:r>
        <w:rPr>
          <w:rStyle w:val="CharSectno"/>
        </w:rPr>
        <w:t>228</w:t>
      </w:r>
      <w:r>
        <w:rPr>
          <w:snapToGrid w:val="0"/>
        </w:rPr>
        <w:t>.</w:t>
      </w:r>
      <w:r>
        <w:rPr>
          <w:snapToGrid w:val="0"/>
        </w:rPr>
        <w:tab/>
        <w:t>Proprietors and transferees for time being to stand in place of previous owners</w:t>
      </w:r>
      <w:bookmarkEnd w:id="439"/>
    </w:p>
    <w:p>
      <w:pPr>
        <w:pStyle w:val="Subsection"/>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No. 56 of 2003 s. 20.]</w:t>
      </w:r>
    </w:p>
    <w:p>
      <w:pPr>
        <w:pStyle w:val="Heading5"/>
        <w:rPr>
          <w:snapToGrid w:val="0"/>
        </w:rPr>
      </w:pPr>
      <w:bookmarkStart w:id="440" w:name="_Toc210130010"/>
      <w:r>
        <w:rPr>
          <w:rStyle w:val="CharSectno"/>
        </w:rPr>
        <w:t>229</w:t>
      </w:r>
      <w:r>
        <w:rPr>
          <w:snapToGrid w:val="0"/>
        </w:rPr>
        <w:t>.</w:t>
      </w:r>
      <w:r>
        <w:rPr>
          <w:snapToGrid w:val="0"/>
        </w:rPr>
        <w:tab/>
        <w:t>Proprietor’s name, use of in court action by beneficiary etc.</w:t>
      </w:r>
      <w:bookmarkEnd w:id="440"/>
    </w:p>
    <w:p>
      <w:pPr>
        <w:pStyle w:val="Subsection"/>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w:t>
      </w:r>
      <w:r>
        <w:rPr>
          <w:snapToGrid w:val="0"/>
        </w:rPr>
        <w:lastRenderedPageBreak/>
        <w:t xml:space="preserve">may be necessary or proper to bring or institute in the name of such proprietor concerning such land lease mortgage or charge or for the protection or benefit of the title vested in such proprietor or of the interest of any such beneficiary or person. </w:t>
      </w:r>
    </w:p>
    <w:p>
      <w:pPr>
        <w:pStyle w:val="Subsection"/>
        <w:rPr>
          <w:snapToGrid w:val="0"/>
        </w:rPr>
      </w:pPr>
      <w:r>
        <w:rPr>
          <w:snapToGrid w:val="0"/>
        </w:rPr>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Footnotesection"/>
        <w:spacing w:before="80"/>
        <w:ind w:left="890" w:hanging="890"/>
      </w:pPr>
      <w:r>
        <w:tab/>
        <w:t>[Section 229 amended: No. 19 of 2010 s. 51.]</w:t>
      </w:r>
    </w:p>
    <w:p>
      <w:pPr>
        <w:pStyle w:val="Heading5"/>
        <w:rPr>
          <w:snapToGrid w:val="0"/>
        </w:rPr>
      </w:pPr>
      <w:bookmarkStart w:id="441" w:name="_Toc210130011"/>
      <w:r>
        <w:rPr>
          <w:rStyle w:val="CharSectno"/>
        </w:rPr>
        <w:t>229A</w:t>
      </w:r>
      <w:r>
        <w:rPr>
          <w:snapToGrid w:val="0"/>
        </w:rPr>
        <w:t>.</w:t>
      </w:r>
      <w:r>
        <w:rPr>
          <w:snapToGrid w:val="0"/>
        </w:rPr>
        <w:tab/>
        <w:t>Easement not used or enjoyed for 20 years, removal of</w:t>
      </w:r>
      <w:bookmarkEnd w:id="441"/>
    </w:p>
    <w:p>
      <w:pPr>
        <w:pStyle w:val="Subsection"/>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lastRenderedPageBreak/>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No. 17 of 1950 s. 65; amended: No. 14 of 1972 s. 7; No. 81 of 1996 s. 134; No. 31 of 1997 s. 130.]</w:t>
      </w:r>
    </w:p>
    <w:p>
      <w:pPr>
        <w:pStyle w:val="Heading5"/>
        <w:rPr>
          <w:snapToGrid w:val="0"/>
        </w:rPr>
      </w:pPr>
      <w:bookmarkStart w:id="442" w:name="_Toc210130012"/>
      <w:r>
        <w:rPr>
          <w:rStyle w:val="CharSectno"/>
        </w:rPr>
        <w:t>229B</w:t>
      </w:r>
      <w:r>
        <w:rPr>
          <w:snapToGrid w:val="0"/>
        </w:rPr>
        <w:t>.</w:t>
      </w:r>
      <w:r>
        <w:rPr>
          <w:snapToGrid w:val="0"/>
        </w:rPr>
        <w:tab/>
        <w:t>Orders made under s. 229A, effect of</w:t>
      </w:r>
      <w:bookmarkEnd w:id="442"/>
    </w:p>
    <w:p>
      <w:pPr>
        <w:pStyle w:val="Subsection"/>
        <w:spacing w:before="120"/>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w:t>
      </w:r>
    </w:p>
    <w:p>
      <w:pPr>
        <w:pStyle w:val="Ednotepara"/>
      </w:pPr>
      <w:r>
        <w:tab/>
        <w:t>[(a), (b)</w:t>
      </w:r>
      <w:r>
        <w:tab/>
        <w:t>deleted]</w:t>
      </w:r>
    </w:p>
    <w:p>
      <w:pPr>
        <w:pStyle w:val="Ednotesubsection"/>
      </w:pPr>
      <w:r>
        <w:tab/>
        <w:t>[(2)</w:t>
      </w:r>
      <w:r>
        <w:tab/>
        <w:t>deleted]</w:t>
      </w:r>
    </w:p>
    <w:p>
      <w:pPr>
        <w:pStyle w:val="Subsection"/>
        <w:spacing w:before="120"/>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keepNext/>
        <w:spacing w:before="120"/>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spacing w:before="80"/>
        <w:ind w:left="890" w:hanging="890"/>
      </w:pPr>
      <w:r>
        <w:tab/>
        <w:t>[Section 229B inserted: No. 17 of 1950 s. 65; amended: No. 81 of 1996 s. 135; No. 31 of 1997 s. 131; No. 6 of 2003 s. 78; No. 21 of 2022 s. 42.]</w:t>
      </w:r>
    </w:p>
    <w:p>
      <w:pPr>
        <w:pStyle w:val="Heading5"/>
        <w:keepNext w:val="0"/>
        <w:keepLines w:val="0"/>
        <w:spacing w:before="180"/>
        <w:rPr>
          <w:snapToGrid w:val="0"/>
        </w:rPr>
      </w:pPr>
      <w:bookmarkStart w:id="443" w:name="_Toc210130013"/>
      <w:r>
        <w:rPr>
          <w:rStyle w:val="CharSectno"/>
        </w:rPr>
        <w:t>230</w:t>
      </w:r>
      <w:r>
        <w:rPr>
          <w:snapToGrid w:val="0"/>
        </w:rPr>
        <w:t>.</w:t>
      </w:r>
      <w:r>
        <w:rPr>
          <w:snapToGrid w:val="0"/>
        </w:rPr>
        <w:tab/>
        <w:t>On s. 20 applications, easements not used for 20 years or more may be omitted from certificate</w:t>
      </w:r>
      <w:bookmarkEnd w:id="443"/>
    </w:p>
    <w:p>
      <w:pPr>
        <w:pStyle w:val="Subsection"/>
        <w:spacing w:before="100"/>
        <w:rPr>
          <w:snapToGrid w:val="0"/>
        </w:rPr>
      </w:pPr>
      <w:r>
        <w:rPr>
          <w:snapToGrid w:val="0"/>
        </w:rPr>
        <w:tab/>
      </w:r>
      <w:r>
        <w:rPr>
          <w:snapToGrid w:val="0"/>
        </w:rPr>
        <w:tab/>
        <w:t xml:space="preserve">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t>
      </w:r>
      <w:r>
        <w:rPr>
          <w:snapToGrid w:val="0"/>
        </w:rPr>
        <w:lastRenderedPageBreak/>
        <w:t>without notifying such easement as an encumbrance, and thereafter the same shall not be preserved by section 68.</w:t>
      </w:r>
    </w:p>
    <w:p>
      <w:pPr>
        <w:pStyle w:val="Footnotesection"/>
        <w:spacing w:before="80"/>
        <w:ind w:left="890" w:hanging="890"/>
      </w:pPr>
      <w:r>
        <w:tab/>
        <w:t>[Section 230 inserted: No. 14 of 1972 s. 8; amended: No. 81 of 1996 s. 136.]</w:t>
      </w:r>
    </w:p>
    <w:p>
      <w:pPr>
        <w:pStyle w:val="Heading5"/>
        <w:spacing w:before="180"/>
        <w:rPr>
          <w:snapToGrid w:val="0"/>
        </w:rPr>
      </w:pPr>
      <w:bookmarkStart w:id="444" w:name="_Toc210130014"/>
      <w:r>
        <w:rPr>
          <w:rStyle w:val="CharSectno"/>
        </w:rPr>
        <w:t>231</w:t>
      </w:r>
      <w:r>
        <w:rPr>
          <w:snapToGrid w:val="0"/>
        </w:rPr>
        <w:t>.</w:t>
      </w:r>
      <w:r>
        <w:rPr>
          <w:snapToGrid w:val="0"/>
        </w:rPr>
        <w:tab/>
        <w:t>Buildings on public roads etc. in Perth or Fremantle for 20 years or more</w:t>
      </w:r>
      <w:bookmarkEnd w:id="444"/>
    </w:p>
    <w:p>
      <w:pPr>
        <w:pStyle w:val="Subsection"/>
        <w:spacing w:before="120"/>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pPr>
        <w:pStyle w:val="Subsection"/>
        <w:spacing w:before="120"/>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pPr>
        <w:pStyle w:val="Subsection"/>
        <w:spacing w:before="120"/>
        <w:rPr>
          <w:snapToGrid w:val="0"/>
        </w:rPr>
      </w:pPr>
      <w:r>
        <w:rPr>
          <w:snapToGrid w:val="0"/>
        </w:rPr>
        <w:tab/>
        <w:t>(3)</w:t>
      </w:r>
      <w:r>
        <w:rPr>
          <w:snapToGrid w:val="0"/>
        </w:rPr>
        <w:tab/>
        <w:t>Despite subsection (1), no encroachment so allowed by the Commissioner shall exceed one metre.</w:t>
      </w:r>
    </w:p>
    <w:p>
      <w:pPr>
        <w:pStyle w:val="Subsection"/>
        <w:spacing w:before="120"/>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 xml:space="preserve">Government </w:t>
      </w:r>
      <w:r>
        <w:rPr>
          <w:i/>
          <w:snapToGrid w:val="0"/>
        </w:rPr>
        <w:lastRenderedPageBreak/>
        <w:t>Gazette</w:t>
      </w:r>
      <w:r>
        <w:rPr>
          <w:snapToGrid w:val="0"/>
        </w:rPr>
        <w:t xml:space="preserve"> and shall take effect as from the day of such publication.</w:t>
      </w:r>
    </w:p>
    <w:p>
      <w:pPr>
        <w:pStyle w:val="Footnotesection"/>
        <w:spacing w:before="80"/>
        <w:ind w:left="890" w:hanging="890"/>
      </w:pPr>
      <w:r>
        <w:tab/>
        <w:t>[Section 231 amended: No. 94 of 1972 s. 4; No. 14 of 1996 s. 4; No. 81 of 1996 s. 137; No. 6 of 2003 s. 79; No. 19 of 2010 s. 51.]</w:t>
      </w:r>
    </w:p>
    <w:p>
      <w:pPr>
        <w:pStyle w:val="Ednotesection"/>
        <w:rPr>
          <w:rStyle w:val="CharSectno"/>
        </w:rPr>
      </w:pPr>
      <w:r>
        <w:t>[</w:t>
      </w:r>
      <w:r>
        <w:rPr>
          <w:b/>
        </w:rPr>
        <w:t>232A.</w:t>
      </w:r>
      <w:r>
        <w:tab/>
        <w:t>Deleted: No. 21 of 2022 s. 43]</w:t>
      </w:r>
    </w:p>
    <w:p>
      <w:pPr>
        <w:pStyle w:val="Heading5"/>
        <w:spacing w:before="180"/>
      </w:pPr>
      <w:bookmarkStart w:id="445" w:name="_Toc210130015"/>
      <w:r>
        <w:rPr>
          <w:rStyle w:val="CharSectno"/>
        </w:rPr>
        <w:t>232B</w:t>
      </w:r>
      <w:r>
        <w:t>.</w:t>
      </w:r>
      <w:r>
        <w:tab/>
        <w:t>Effect of using alternative means to provide consent, permission or approval</w:t>
      </w:r>
      <w:bookmarkEnd w:id="445"/>
    </w:p>
    <w:p>
      <w:pPr>
        <w:pStyle w:val="Subsection"/>
        <w:spacing w:before="120"/>
      </w:pPr>
      <w:r>
        <w:tab/>
        <w:t>(1)</w:t>
      </w:r>
      <w:r>
        <w:tab/>
        <w:t xml:space="preserve">This section applies if — </w:t>
      </w:r>
    </w:p>
    <w:p>
      <w:pPr>
        <w:pStyle w:val="Indenta"/>
      </w:pPr>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p>
    <w:p>
      <w:pPr>
        <w:pStyle w:val="Indenta"/>
      </w:pPr>
      <w:r>
        <w:tab/>
        <w:t>(b)</w:t>
      </w:r>
      <w:r>
        <w:tab/>
        <w:t xml:space="preserve">the consent, permission or approval is not provided in the way required or authorised under this Act or the other written law but is provided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Subsection"/>
        <w:spacing w:before="120"/>
      </w:pPr>
      <w:r>
        <w:tab/>
        <w:t>(2)</w:t>
      </w:r>
      <w:r>
        <w:tab/>
        <w:t xml:space="preserve">If this section applies — </w:t>
      </w:r>
    </w:p>
    <w:p>
      <w:pPr>
        <w:pStyle w:val="Indenta"/>
      </w:pPr>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p>
    <w:p>
      <w:pPr>
        <w:pStyle w:val="Indenta"/>
        <w:spacing w:before="60"/>
      </w:pPr>
      <w:r>
        <w:tab/>
        <w:t>(b)</w:t>
      </w:r>
      <w:r>
        <w:tab/>
        <w:t xml:space="preserve">for the purposes of this Act and any other written law, the consent, permission or approval provided as mentioned in subsection (1)(b) — </w:t>
      </w:r>
    </w:p>
    <w:p>
      <w:pPr>
        <w:pStyle w:val="Indenti"/>
        <w:spacing w:before="60"/>
      </w:pPr>
      <w:r>
        <w:lastRenderedPageBreak/>
        <w:tab/>
        <w:t>(i)</w:t>
      </w:r>
      <w:r>
        <w:tab/>
        <w:t>is to be taken to have been provided in the way required or authorised under this Act or, as the case requires, the other written law; and</w:t>
      </w:r>
    </w:p>
    <w:p>
      <w:pPr>
        <w:pStyle w:val="Indenti"/>
      </w:pPr>
      <w:r>
        <w:tab/>
        <w:t>(ii)</w:t>
      </w:r>
      <w:r>
        <w:tab/>
        <w:t>has the same effect as if it had been provided in the way required or authorised under this Act or, as the case requires, the other written law;</w:t>
      </w:r>
    </w:p>
    <w:p>
      <w:pPr>
        <w:pStyle w:val="Indenta"/>
      </w:pPr>
      <w:r>
        <w:tab/>
      </w:r>
      <w:r>
        <w:tab/>
        <w:t>and</w:t>
      </w:r>
    </w:p>
    <w:p>
      <w:pPr>
        <w:pStyle w:val="Indenta"/>
      </w:pPr>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p>
    <w:p>
      <w:pPr>
        <w:pStyle w:val="Footnotesection"/>
        <w:spacing w:before="100"/>
        <w:ind w:left="890" w:hanging="890"/>
      </w:pPr>
      <w:r>
        <w:tab/>
        <w:t>[Section 232B inserted: No. 2 of 2014 s. 87.]</w:t>
      </w:r>
    </w:p>
    <w:p>
      <w:pPr>
        <w:pStyle w:val="Heading5"/>
        <w:rPr>
          <w:snapToGrid w:val="0"/>
        </w:rPr>
      </w:pPr>
      <w:bookmarkStart w:id="446" w:name="_Toc210130016"/>
      <w:r>
        <w:rPr>
          <w:rStyle w:val="CharSectno"/>
        </w:rPr>
        <w:t>232</w:t>
      </w:r>
      <w:r>
        <w:rPr>
          <w:snapToGrid w:val="0"/>
        </w:rPr>
        <w:t>.</w:t>
      </w:r>
      <w:r>
        <w:rPr>
          <w:snapToGrid w:val="0"/>
        </w:rPr>
        <w:tab/>
        <w:t>Receipt for documents lodged</w:t>
      </w:r>
      <w:bookmarkEnd w:id="446"/>
    </w:p>
    <w:p>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pPr>
        <w:pStyle w:val="Footnotesection"/>
      </w:pPr>
      <w:r>
        <w:tab/>
        <w:t>[Section 232 amended: No. 81 of 1996 s. 138; No. 19 of 2010 s. 51.]</w:t>
      </w:r>
    </w:p>
    <w:p>
      <w:pPr>
        <w:pStyle w:val="Heading5"/>
        <w:rPr>
          <w:snapToGrid w:val="0"/>
        </w:rPr>
      </w:pPr>
      <w:bookmarkStart w:id="447" w:name="_Toc210130017"/>
      <w:r>
        <w:rPr>
          <w:rStyle w:val="CharSectno"/>
        </w:rPr>
        <w:t>233</w:t>
      </w:r>
      <w:r>
        <w:rPr>
          <w:snapToGrid w:val="0"/>
        </w:rPr>
        <w:t>.</w:t>
      </w:r>
      <w:r>
        <w:rPr>
          <w:snapToGrid w:val="0"/>
        </w:rPr>
        <w:tab/>
        <w:t>Pending actions etc. not to affect dealings</w:t>
      </w:r>
      <w:bookmarkEnd w:id="447"/>
    </w:p>
    <w:p>
      <w:pPr>
        <w:pStyle w:val="Subsection"/>
        <w:spacing w:before="120"/>
        <w:rPr>
          <w:snapToGrid w:val="0"/>
        </w:rPr>
      </w:pPr>
      <w:r>
        <w:rPr>
          <w:snapToGrid w:val="0"/>
        </w:rPr>
        <w:tab/>
      </w:r>
      <w:r>
        <w:rPr>
          <w:snapToGrid w:val="0"/>
        </w:rPr>
        <w:tab/>
        <w:t xml:space="preserve">To determine doubts which may arise as to the operation of </w:t>
      </w:r>
      <w:r>
        <w:rPr>
          <w:i/>
          <w:snapToGrid w:val="0"/>
        </w:rPr>
        <w:t>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w:t>
      </w:r>
      <w:r>
        <w:rPr>
          <w:snapToGrid w:val="0"/>
        </w:rPr>
        <w:lastRenderedPageBreak/>
        <w:t>deemed to have deprived any person dealing under this Act of the benefit of section 134 or of any other section of this Act.</w:t>
      </w:r>
    </w:p>
    <w:p>
      <w:pPr>
        <w:pStyle w:val="Heading5"/>
        <w:keepNext w:val="0"/>
        <w:keepLines w:val="0"/>
        <w:spacing w:before="240"/>
        <w:rPr>
          <w:snapToGrid w:val="0"/>
        </w:rPr>
      </w:pPr>
      <w:bookmarkStart w:id="448" w:name="_Toc210130018"/>
      <w:r>
        <w:rPr>
          <w:rStyle w:val="CharSectno"/>
        </w:rPr>
        <w:t>234</w:t>
      </w:r>
      <w:r>
        <w:rPr>
          <w:snapToGrid w:val="0"/>
        </w:rPr>
        <w:t>.</w:t>
      </w:r>
      <w:r>
        <w:rPr>
          <w:snapToGrid w:val="0"/>
        </w:rPr>
        <w:tab/>
        <w:t>Trustees etc. of bankrupts etc. may apply to be registered</w:t>
      </w:r>
      <w:bookmarkEnd w:id="448"/>
    </w:p>
    <w:p>
      <w:pPr>
        <w:pStyle w:val="Subsection"/>
        <w:spacing w:before="120"/>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 xml:space="preserve">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w:t>
      </w:r>
      <w:r>
        <w:t>this</w:t>
      </w:r>
      <w:r>
        <w:rPr>
          <w:snapToGrid w:val="0"/>
          <w:spacing w:val="-2"/>
        </w:rPr>
        <w:t xml:space="preserve"> Act, shall be deemed the absolute proprietor thereof.</w:t>
      </w:r>
    </w:p>
    <w:p>
      <w:pPr>
        <w:pStyle w:val="Subsection"/>
        <w:spacing w:before="120"/>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60 Vict. No. 22 s. 5; No. 81 of 1996 s. 139; No. 19 of 2010 s. 51; No. 2 of 2014 s. 88.]</w:t>
      </w:r>
    </w:p>
    <w:p>
      <w:pPr>
        <w:pStyle w:val="Heading5"/>
        <w:keepNext w:val="0"/>
        <w:keepLines w:val="0"/>
        <w:spacing w:before="180"/>
        <w:rPr>
          <w:snapToGrid w:val="0"/>
        </w:rPr>
      </w:pPr>
      <w:bookmarkStart w:id="449" w:name="_Toc210130019"/>
      <w:r>
        <w:rPr>
          <w:rStyle w:val="CharSectno"/>
        </w:rPr>
        <w:t>235</w:t>
      </w:r>
      <w:r>
        <w:rPr>
          <w:snapToGrid w:val="0"/>
        </w:rPr>
        <w:t>.</w:t>
      </w:r>
      <w:r>
        <w:rPr>
          <w:snapToGrid w:val="0"/>
        </w:rPr>
        <w:tab/>
        <w:t>Bankruptcy of proprietor not to affect dealings until s. 234 application or caveat lodged</w:t>
      </w:r>
      <w:bookmarkEnd w:id="449"/>
    </w:p>
    <w:p>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450" w:name="_Toc210130020"/>
      <w:r>
        <w:rPr>
          <w:rStyle w:val="CharSectno"/>
        </w:rPr>
        <w:lastRenderedPageBreak/>
        <w:t>236</w:t>
      </w:r>
      <w:r>
        <w:rPr>
          <w:snapToGrid w:val="0"/>
        </w:rPr>
        <w:t>.</w:t>
      </w:r>
      <w:r>
        <w:rPr>
          <w:snapToGrid w:val="0"/>
        </w:rPr>
        <w:tab/>
        <w:t>Tenant in tail</w:t>
      </w:r>
      <w:bookmarkEnd w:id="450"/>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451" w:name="_Toc210130021"/>
      <w:r>
        <w:rPr>
          <w:rStyle w:val="CharSectno"/>
        </w:rPr>
        <w:t>237</w:t>
      </w:r>
      <w:r>
        <w:rPr>
          <w:snapToGrid w:val="0"/>
        </w:rPr>
        <w:t>.</w:t>
      </w:r>
      <w:r>
        <w:rPr>
          <w:snapToGrid w:val="0"/>
        </w:rPr>
        <w:tab/>
        <w:t>Conditions of sale in Twenty</w:t>
      </w:r>
      <w:r>
        <w:rPr>
          <w:snapToGrid w:val="0"/>
        </w:rPr>
        <w:noBreakHyphen/>
        <w:t>sixth Schedule, adoption of</w:t>
      </w:r>
      <w:bookmarkEnd w:id="451"/>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452" w:name="_Toc210130022"/>
      <w:r>
        <w:rPr>
          <w:rStyle w:val="CharSectno"/>
        </w:rPr>
        <w:t>238</w:t>
      </w:r>
      <w:r>
        <w:rPr>
          <w:snapToGrid w:val="0"/>
        </w:rPr>
        <w:t>.</w:t>
      </w:r>
      <w:r>
        <w:rPr>
          <w:snapToGrid w:val="0"/>
        </w:rPr>
        <w:tab/>
        <w:t>Forms may be modified</w:t>
      </w:r>
      <w:bookmarkEnd w:id="452"/>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453" w:name="_Toc210130023"/>
      <w:r>
        <w:rPr>
          <w:rStyle w:val="CharSectno"/>
        </w:rPr>
        <w:t>238A</w:t>
      </w:r>
      <w:r>
        <w:t>.</w:t>
      </w:r>
      <w:r>
        <w:tab/>
        <w:t>Registrar’s copy to be definitive</w:t>
      </w:r>
      <w:bookmarkEnd w:id="453"/>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p>
    <w:p>
      <w:pPr>
        <w:pStyle w:val="Subsection"/>
      </w:pPr>
      <w:r>
        <w:lastRenderedPageBreak/>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p>
    <w:p>
      <w:pPr>
        <w:pStyle w:val="Subsection"/>
        <w:spacing w:before="120"/>
      </w:pPr>
      <w:r>
        <w:tab/>
        <w:t>(4)</w:t>
      </w:r>
      <w:r>
        <w:tab/>
        <w:t>The Registrar may produce, as often as the Registrar thinks necessary for any purpose and in any medium determined by the Registrar, a record, copy, print</w:t>
      </w:r>
      <w:r>
        <w:noBreakHyphen/>
        <w:t xml:space="preserve">out or image of a document that — </w:t>
      </w:r>
    </w:p>
    <w:p>
      <w:pPr>
        <w:pStyle w:val="Indenta"/>
      </w:pPr>
      <w:r>
        <w:tab/>
        <w:t>(a)</w:t>
      </w:r>
      <w:r>
        <w:tab/>
        <w:t xml:space="preserve">is lodged electronically under the </w:t>
      </w:r>
      <w:r>
        <w:rPr>
          <w:i/>
        </w:rPr>
        <w:t>Electronic Conveyancing Act 2014</w:t>
      </w:r>
      <w:r>
        <w:t xml:space="preserve"> section 7(1); and</w:t>
      </w:r>
    </w:p>
    <w:p>
      <w:pPr>
        <w:pStyle w:val="Indenta"/>
      </w:pPr>
      <w:r>
        <w:tab/>
        <w:t>(b)</w:t>
      </w:r>
      <w:r>
        <w:tab/>
        <w:t>is registered, noted or recorded in the Register.</w:t>
      </w:r>
    </w:p>
    <w:p>
      <w:pPr>
        <w:pStyle w:val="Subsection"/>
      </w:pPr>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p>
    <w:p>
      <w:pPr>
        <w:pStyle w:val="Footnotesection"/>
        <w:spacing w:before="100"/>
        <w:ind w:left="890" w:hanging="890"/>
      </w:pPr>
      <w:r>
        <w:tab/>
        <w:t>[Section 238A inserted: No. 2 of 2014 s. 89.]</w:t>
      </w:r>
    </w:p>
    <w:p>
      <w:pPr>
        <w:pStyle w:val="Heading5"/>
      </w:pPr>
      <w:bookmarkStart w:id="454" w:name="_Toc210130024"/>
      <w:r>
        <w:rPr>
          <w:rStyle w:val="CharSectno"/>
        </w:rPr>
        <w:t>238B</w:t>
      </w:r>
      <w:r>
        <w:t>.</w:t>
      </w:r>
      <w:r>
        <w:tab/>
        <w:t>Resubmission of document lodged electronically if data capture defective</w:t>
      </w:r>
      <w:bookmarkEnd w:id="454"/>
    </w:p>
    <w:p>
      <w:pPr>
        <w:pStyle w:val="Subsection"/>
        <w:keepNext/>
      </w:pPr>
      <w:r>
        <w:tab/>
        <w:t>(1)</w:t>
      </w:r>
      <w:r>
        <w:tab/>
        <w:t xml:space="preserve">This section applies if — </w:t>
      </w:r>
    </w:p>
    <w:p>
      <w:pPr>
        <w:pStyle w:val="Indenta"/>
      </w:pPr>
      <w:r>
        <w:tab/>
        <w:t>(a)</w:t>
      </w:r>
      <w:r>
        <w:tab/>
        <w:t xml:space="preserve">a document is lodged electronically under the </w:t>
      </w:r>
      <w:r>
        <w:rPr>
          <w:i/>
        </w:rPr>
        <w:t>Electronic Conveyancing Act 2014</w:t>
      </w:r>
      <w:r>
        <w:t xml:space="preserve"> section 7(1); and</w:t>
      </w:r>
    </w:p>
    <w:p>
      <w:pPr>
        <w:pStyle w:val="Indenta"/>
      </w:pPr>
      <w:r>
        <w:tab/>
        <w:t>(b)</w:t>
      </w:r>
      <w:r>
        <w:tab/>
        <w:t>for any reason it is impracticable to properly capture the data in the document.</w:t>
      </w:r>
    </w:p>
    <w:p>
      <w:pPr>
        <w:pStyle w:val="Subsection"/>
      </w:pPr>
      <w:r>
        <w:tab/>
        <w:t>(2)</w:t>
      </w:r>
      <w:r>
        <w:tab/>
        <w:t xml:space="preserve">If this section applies — </w:t>
      </w:r>
    </w:p>
    <w:p>
      <w:pPr>
        <w:pStyle w:val="Indenta"/>
      </w:pPr>
      <w:r>
        <w:tab/>
        <w:t>(a)</w:t>
      </w:r>
      <w:r>
        <w:tab/>
        <w:t>the Registrar may refuse to complete or to proceed with the registration of the document or, as the case requires, to make any entry or do any other act in relation to the document; and</w:t>
      </w:r>
    </w:p>
    <w:p>
      <w:pPr>
        <w:pStyle w:val="Indenta"/>
        <w:keepNext/>
      </w:pPr>
      <w:r>
        <w:lastRenderedPageBreak/>
        <w:tab/>
        <w:t>(b)</w:t>
      </w:r>
      <w:r>
        <w:tab/>
        <w:t xml:space="preserve">the Registrar must — </w:t>
      </w:r>
    </w:p>
    <w:p>
      <w:pPr>
        <w:pStyle w:val="Indenti"/>
      </w:pPr>
      <w:r>
        <w:tab/>
        <w:t>(i)</w:t>
      </w:r>
      <w:r>
        <w:tab/>
        <w:t>notify the refusal to the subscriber lodging the document; and</w:t>
      </w:r>
    </w:p>
    <w:p>
      <w:pPr>
        <w:pStyle w:val="Indenti"/>
      </w:pPr>
      <w:r>
        <w:tab/>
        <w:t>(ii)</w:t>
      </w:r>
      <w:r>
        <w:tab/>
        <w:t>request the subscriber to resubmit the document.</w:t>
      </w:r>
    </w:p>
    <w:p>
      <w:pPr>
        <w:pStyle w:val="Subsection"/>
      </w:pPr>
      <w:r>
        <w:tab/>
        <w:t>(3)</w:t>
      </w:r>
      <w:r>
        <w:tab/>
        <w:t xml:space="preserve">If subsection (2) applies — </w:t>
      </w:r>
    </w:p>
    <w:p>
      <w:pPr>
        <w:pStyle w:val="Indenta"/>
      </w:pPr>
      <w:r>
        <w:tab/>
        <w:t>(a)</w:t>
      </w:r>
      <w:r>
        <w:tab/>
        <w:t>the priority of the document is not affected as long as it is resubmitted within 2 months after the date on which it was lodged or any longer period the Registrar allows; and</w:t>
      </w:r>
    </w:p>
    <w:p>
      <w:pPr>
        <w:pStyle w:val="Indenta"/>
      </w:pPr>
      <w:r>
        <w:tab/>
        <w:t>(b)</w:t>
      </w:r>
      <w:r>
        <w:tab/>
        <w:t>if the document is not resubmitted in accordance with this section within the period applicable under paragraph (a), it is to be taken never to have been lodged.</w:t>
      </w:r>
    </w:p>
    <w:p>
      <w:pPr>
        <w:pStyle w:val="Subsection"/>
      </w:pPr>
      <w:r>
        <w:tab/>
        <w:t>(4)</w:t>
      </w:r>
      <w:r>
        <w:tab/>
        <w:t xml:space="preserve">If subsection (3)(b) applies to the document, then — </w:t>
      </w:r>
    </w:p>
    <w:p>
      <w:pPr>
        <w:pStyle w:val="Indenta"/>
      </w:pPr>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p>
    <w:p>
      <w:pPr>
        <w:pStyle w:val="Indenta"/>
      </w:pPr>
      <w:r>
        <w:tab/>
        <w:t>(b)</w:t>
      </w:r>
      <w:r>
        <w:tab/>
        <w:t xml:space="preserve">if paragraph (a) does not apply — </w:t>
      </w:r>
    </w:p>
    <w:p>
      <w:pPr>
        <w:pStyle w:val="Indenti"/>
      </w:pPr>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p>
    <w:p>
      <w:pPr>
        <w:pStyle w:val="Indenti"/>
      </w:pPr>
      <w:r>
        <w:tab/>
        <w:t>(ii)</w:t>
      </w:r>
      <w:r>
        <w:tab/>
        <w:t>the prescribed amount is forfeited and must be dealt with under section 190; and</w:t>
      </w:r>
    </w:p>
    <w:p>
      <w:pPr>
        <w:pStyle w:val="Indenti"/>
      </w:pPr>
      <w:r>
        <w:tab/>
        <w:t>(iii)</w:t>
      </w:r>
      <w:r>
        <w:tab/>
        <w:t xml:space="preserve">the amount (if any) that is the difference between the fees and the prescribed amount must be returned to the subscriber that lodged the </w:t>
      </w:r>
      <w:r>
        <w:lastRenderedPageBreak/>
        <w:t>document when the document is withdrawn from lodgment.</w:t>
      </w:r>
    </w:p>
    <w:p>
      <w:pPr>
        <w:pStyle w:val="Subsection"/>
      </w:pPr>
      <w:r>
        <w:tab/>
        <w:t>(5)</w:t>
      </w:r>
      <w:r>
        <w:tab/>
        <w:t>This section is in addition to the powers conferred by section 192.</w:t>
      </w:r>
    </w:p>
    <w:p>
      <w:pPr>
        <w:pStyle w:val="Footnotesection"/>
        <w:spacing w:before="100"/>
        <w:ind w:left="890" w:hanging="890"/>
      </w:pPr>
      <w:r>
        <w:tab/>
        <w:t>[Section 238B inserted: No. 2 of 2014 s. 89.]</w:t>
      </w:r>
    </w:p>
    <w:p>
      <w:pPr>
        <w:pStyle w:val="Heading5"/>
        <w:keepNext w:val="0"/>
        <w:keepLines w:val="0"/>
        <w:spacing w:before="240"/>
      </w:pPr>
      <w:bookmarkStart w:id="455" w:name="_Toc210130025"/>
      <w:r>
        <w:rPr>
          <w:rStyle w:val="CharSectno"/>
        </w:rPr>
        <w:t>239</w:t>
      </w:r>
      <w:r>
        <w:t>.</w:t>
      </w:r>
      <w:r>
        <w:tab/>
        <w:t>Inspection of Register and related documents; obtaining copies and print</w:t>
      </w:r>
      <w:r>
        <w:noBreakHyphen/>
        <w:t>outs</w:t>
      </w:r>
      <w:bookmarkEnd w:id="455"/>
    </w:p>
    <w:p>
      <w:pPr>
        <w:pStyle w:val="Subsection"/>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 xml:space="preserve">a plan or diagram relating to land that is the subject of a certificate of title, including a </w:t>
      </w:r>
      <w:r>
        <w:t>graphic;</w:t>
      </w:r>
    </w:p>
    <w:p>
      <w:pPr>
        <w:pStyle w:val="Indenta"/>
      </w:pPr>
      <w:r>
        <w:tab/>
        <w:t>(ba)</w:t>
      </w:r>
      <w:r>
        <w:tab/>
        <w:t xml:space="preserve">a scheme document, community development statement or any item registered for a community titles scheme under the </w:t>
      </w:r>
      <w:r>
        <w:rPr>
          <w:i/>
        </w:rPr>
        <w:t>Community Titles Act 2018</w:t>
      </w:r>
      <w:r>
        <w:t>;</w:t>
      </w:r>
    </w:p>
    <w:p>
      <w:pPr>
        <w:pStyle w:val="Indenta"/>
      </w:pPr>
      <w:r>
        <w:tab/>
        <w:t>(bb)</w:t>
      </w:r>
      <w:r>
        <w:tab/>
        <w:t xml:space="preserve">a scheme document or any item registered or recorded for a strata titles scheme under the </w:t>
      </w:r>
      <w:r>
        <w:rPr>
          <w:i/>
        </w:rPr>
        <w:t>Strata Titles Act 1985;</w:t>
      </w:r>
    </w:p>
    <w:p>
      <w:pPr>
        <w:pStyle w:val="Indenta"/>
      </w:pPr>
      <w:r>
        <w:tab/>
        <w:t>(c)</w:t>
      </w:r>
      <w:r>
        <w:tab/>
        <w:t>in relation to land that is the subject of a digital title, the record of an endorsement referred to in section 48(1)(b) in relation to the land;</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keepNext/>
      </w:pPr>
      <w:r>
        <w:lastRenderedPageBreak/>
        <w:tab/>
        <w:t>(h)</w:t>
      </w:r>
      <w:r>
        <w:tab/>
        <w:t>a —</w:t>
      </w:r>
    </w:p>
    <w:p>
      <w:pPr>
        <w:pStyle w:val="Indenti"/>
      </w:pPr>
      <w:r>
        <w:tab/>
        <w:t>(i)</w:t>
      </w:r>
      <w:r>
        <w:tab/>
        <w:t>notification or memorial under this or any other Act; or</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Subsection"/>
      </w:pPr>
      <w:r>
        <w:tab/>
        <w:t>(4)</w:t>
      </w:r>
      <w:r>
        <w:tab/>
        <w:t xml:space="preserve">Subsection (5) applies if — </w:t>
      </w:r>
    </w:p>
    <w:p>
      <w:pPr>
        <w:pStyle w:val="Indenta"/>
      </w:pPr>
      <w:r>
        <w:tab/>
        <w:t>(a)</w:t>
      </w:r>
      <w:r>
        <w:tab/>
        <w:t xml:space="preserve">2 or more counterpart documents are lodged electronically under the </w:t>
      </w:r>
      <w:r>
        <w:rPr>
          <w:i/>
        </w:rPr>
        <w:t>Electronic Conveyancing Act 2014</w:t>
      </w:r>
      <w:r>
        <w:t xml:space="preserve"> section 7(1); and</w:t>
      </w:r>
    </w:p>
    <w:p>
      <w:pPr>
        <w:pStyle w:val="Indenta"/>
      </w:pPr>
      <w:r>
        <w:tab/>
        <w:t>(b)</w:t>
      </w:r>
      <w:r>
        <w:tab/>
        <w:t>those counterpart documents are consolidated electronically into one document, with or without the addition of further material.</w:t>
      </w:r>
    </w:p>
    <w:p>
      <w:pPr>
        <w:pStyle w:val="Subsection"/>
        <w:keepNext/>
      </w:pPr>
      <w:r>
        <w:tab/>
        <w:t>(5)</w:t>
      </w:r>
      <w:r>
        <w:tab/>
        <w:t xml:space="preserve">If this subsection applies — </w:t>
      </w:r>
    </w:p>
    <w:p>
      <w:pPr>
        <w:pStyle w:val="Indenta"/>
      </w:pPr>
      <w:r>
        <w:tab/>
        <w:t>(a)</w:t>
      </w:r>
      <w:r>
        <w:tab/>
        <w:t>the consolidated document, but not those counterpart documents, is available for inspection in accordance with subsection (1); and</w:t>
      </w:r>
    </w:p>
    <w:p>
      <w:pPr>
        <w:pStyle w:val="Indenta"/>
      </w:pPr>
      <w:r>
        <w:lastRenderedPageBreak/>
        <w:tab/>
        <w:t>(b)</w:t>
      </w:r>
      <w:r>
        <w:tab/>
        <w:t>a copy of the consolidated document, but not of the counterpart documents, may be produced in accordance with subsection (2); and</w:t>
      </w:r>
    </w:p>
    <w:p>
      <w:pPr>
        <w:pStyle w:val="Indenta"/>
      </w:pPr>
      <w:r>
        <w:tab/>
        <w:t>(c)</w:t>
      </w:r>
      <w:r>
        <w:tab/>
        <w:t>a copy or print</w:t>
      </w:r>
      <w:r>
        <w:noBreakHyphen/>
        <w:t>out of the consolidated document, but not of the counterpart documents, is available for purchase in accordance with subsection (3); and</w:t>
      </w:r>
    </w:p>
    <w:p>
      <w:pPr>
        <w:pStyle w:val="Indenta"/>
        <w:rPr>
          <w:snapToGrid w:val="0"/>
        </w:rPr>
      </w:pPr>
      <w:r>
        <w:tab/>
        <w:t>(d)</w:t>
      </w:r>
      <w:r>
        <w:tab/>
        <w:t>section 239B applies as if the consolidated document, but not the counterpart documents, were a document referred to in subsection (1).</w:t>
      </w:r>
    </w:p>
    <w:p>
      <w:pPr>
        <w:pStyle w:val="Footnotesection"/>
      </w:pPr>
      <w:r>
        <w:tab/>
        <w:t>[Section 239 inserted: No. 6 of 2003 s. 80; amended: No. 59 of 2004 s. 140; No. 60 of 2006 s. 116; No. 2 of 2014 s. 90; No. 30 of 2018 s. 204; No. 32 of 2018 s. 265.]</w:t>
      </w:r>
    </w:p>
    <w:p>
      <w:pPr>
        <w:pStyle w:val="Ednotesection"/>
      </w:pPr>
      <w:r>
        <w:t>[</w:t>
      </w:r>
      <w:r>
        <w:rPr>
          <w:b/>
        </w:rPr>
        <w:t>239A.</w:t>
      </w:r>
      <w:r>
        <w:tab/>
        <w:t>Deleted: No. 60 of 2006 s. 117.]</w:t>
      </w:r>
    </w:p>
    <w:p>
      <w:pPr>
        <w:pStyle w:val="Heading5"/>
      </w:pPr>
      <w:bookmarkStart w:id="456" w:name="_Toc210130026"/>
      <w:r>
        <w:rPr>
          <w:rStyle w:val="CharSectno"/>
        </w:rPr>
        <w:t>239B</w:t>
      </w:r>
      <w:r>
        <w:t>.</w:t>
      </w:r>
      <w:r>
        <w:tab/>
        <w:t>Evidentiary documents as to current and historical matters</w:t>
      </w:r>
      <w:bookmarkEnd w:id="456"/>
    </w:p>
    <w:p>
      <w:pPr>
        <w:pStyle w:val="Subsection"/>
      </w:pPr>
      <w:r>
        <w:tab/>
        <w:t>(1)</w:t>
      </w:r>
      <w:r>
        <w:tab/>
        <w:t>The Registrar, on receiving payment of the prescribed fee, shall provide to a person applying for the same —</w:t>
      </w:r>
    </w:p>
    <w:p>
      <w:pPr>
        <w:pStyle w:val="Indenta"/>
        <w:spacing w:before="60"/>
      </w:pPr>
      <w:r>
        <w:tab/>
        <w:t>(a)</w:t>
      </w:r>
      <w:r>
        <w:tab/>
        <w:t>a certified copy or print</w:t>
      </w:r>
      <w:r>
        <w:noBreakHyphen/>
        <w:t>out of any document referred to in section 239(1); or</w:t>
      </w:r>
    </w:p>
    <w:p>
      <w:pPr>
        <w:pStyle w:val="Indenta"/>
        <w:spacing w:before="60"/>
      </w:pPr>
      <w:r>
        <w:tab/>
        <w:t>(b)</w:t>
      </w:r>
      <w:r>
        <w:tab/>
        <w:t>a certified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spacing w:before="100"/>
        <w:ind w:left="890" w:hanging="890"/>
      </w:pPr>
      <w:r>
        <w:tab/>
        <w:t>[Section 239B inserted: No. 6 of 2003 s. 82; amended: No. 2 of 2014 s. 91.]</w:t>
      </w:r>
    </w:p>
    <w:p>
      <w:pPr>
        <w:pStyle w:val="Heading5"/>
      </w:pPr>
      <w:bookmarkStart w:id="457" w:name="_Toc210130027"/>
      <w:r>
        <w:rPr>
          <w:rStyle w:val="CharSectno"/>
        </w:rPr>
        <w:lastRenderedPageBreak/>
        <w:t>240</w:t>
      </w:r>
      <w:r>
        <w:t>.</w:t>
      </w:r>
      <w:r>
        <w:tab/>
        <w:t>Service of notices</w:t>
      </w:r>
      <w:bookmarkEnd w:id="457"/>
    </w:p>
    <w:p>
      <w:pPr>
        <w:pStyle w:val="Subsection"/>
        <w:keepNext/>
      </w:pPr>
      <w:r>
        <w:tab/>
        <w:t>(1)</w:t>
      </w:r>
      <w:r>
        <w:tab/>
        <w:t>For the purposes of this Act, service of a notice on a person —</w:t>
      </w:r>
    </w:p>
    <w:p>
      <w:pPr>
        <w:pStyle w:val="Indenta"/>
      </w:pPr>
      <w:r>
        <w:tab/>
        <w:t>(a)</w:t>
      </w:r>
      <w:r>
        <w:tab/>
        <w:t>must be effected in the manner provided for in this Act or, if the manner of service is not provided for in this Act, in a manner prescribed by the regulations; and</w:t>
      </w:r>
    </w:p>
    <w:p>
      <w:pPr>
        <w:pStyle w:val="Indenta"/>
      </w:pPr>
      <w:r>
        <w:tab/>
        <w:t>(b)</w:t>
      </w:r>
      <w:r>
        <w:tab/>
        <w:t>may be taken to have been effected for the purposes of paragraph (a) in the circumstances prescribed by the regulations.</w:t>
      </w:r>
    </w:p>
    <w:p>
      <w:pPr>
        <w:pStyle w:val="Subsection"/>
      </w:pPr>
      <w:r>
        <w:tab/>
        <w:t>(2)</w:t>
      </w:r>
      <w:r>
        <w:tab/>
        <w:t xml:space="preserve">If the Commissioner or Registrar attempts to serve a notice under this Act on a person but, for any reason, the notice is unable to be served, the Commissioner or Registrar may — </w:t>
      </w:r>
    </w:p>
    <w:p>
      <w:pPr>
        <w:pStyle w:val="Indenta"/>
      </w:pPr>
      <w:r>
        <w:tab/>
        <w:t>(a)</w:t>
      </w:r>
      <w:r>
        <w:tab/>
        <w:t>serve a further notice on the person in the manner determined by the Commissioner or Registrar; or</w:t>
      </w:r>
    </w:p>
    <w:p>
      <w:pPr>
        <w:pStyle w:val="Indenta"/>
      </w:pPr>
      <w:r>
        <w:tab/>
        <w:t>(b)</w:t>
      </w:r>
      <w:r>
        <w:tab/>
        <w:t>proceed without the notice being served.</w:t>
      </w:r>
    </w:p>
    <w:p>
      <w:pPr>
        <w:pStyle w:val="Footnotesection"/>
        <w:spacing w:before="100"/>
        <w:ind w:left="890" w:hanging="890"/>
      </w:pPr>
      <w:r>
        <w:tab/>
        <w:t>[Section 240 inserted: No. 21 of 2022 s. 44.]</w:t>
      </w:r>
    </w:p>
    <w:p>
      <w:pPr>
        <w:pStyle w:val="Heading5"/>
      </w:pPr>
      <w:bookmarkStart w:id="458" w:name="_Toc210130028"/>
      <w:r>
        <w:rPr>
          <w:rStyle w:val="CharSectno"/>
        </w:rPr>
        <w:t>240A</w:t>
      </w:r>
      <w:r>
        <w:t>.</w:t>
      </w:r>
      <w:r>
        <w:tab/>
        <w:t>Notification of change of address or way of receiving notices electronically</w:t>
      </w:r>
      <w:bookmarkEnd w:id="458"/>
    </w:p>
    <w:p>
      <w:pPr>
        <w:pStyle w:val="Subsection"/>
      </w:pPr>
      <w:r>
        <w:tab/>
        <w:t>(1)</w:t>
      </w:r>
      <w:r>
        <w:tab/>
        <w:t xml:space="preserve">In this section — </w:t>
      </w:r>
    </w:p>
    <w:p>
      <w:pPr>
        <w:pStyle w:val="Defstart"/>
      </w:pPr>
      <w:r>
        <w:tab/>
      </w:r>
      <w:r>
        <w:rPr>
          <w:rStyle w:val="CharDefText"/>
        </w:rPr>
        <w:t>notification details</w:t>
      </w:r>
      <w:r>
        <w:t xml:space="preserve"> means — </w:t>
      </w:r>
    </w:p>
    <w:p>
      <w:pPr>
        <w:pStyle w:val="Defpara"/>
      </w:pPr>
      <w:r>
        <w:tab/>
        <w:t>(a)</w:t>
      </w:r>
      <w:r>
        <w:tab/>
        <w:t>an address for service; or</w:t>
      </w:r>
    </w:p>
    <w:p>
      <w:pPr>
        <w:pStyle w:val="Defpara"/>
      </w:pPr>
      <w:r>
        <w:tab/>
        <w:t>(b)</w:t>
      </w:r>
      <w:r>
        <w:tab/>
        <w:t>a way of receiving notices electronically (for example, an email address) that is prescribed by the regulations for the purposes of this paragraph.</w:t>
      </w:r>
    </w:p>
    <w:p>
      <w:pPr>
        <w:pStyle w:val="Ednotepara"/>
      </w:pPr>
      <w:r>
        <w:tab/>
        <w:t>[(c)</w:t>
      </w:r>
      <w:r>
        <w:tab/>
      </w:r>
      <w:r>
        <w:tab/>
        <w:t>deleted]</w:t>
      </w:r>
    </w:p>
    <w:p>
      <w:pPr>
        <w:pStyle w:val="Subsection"/>
      </w:pPr>
      <w:r>
        <w:tab/>
        <w:t>(2)</w:t>
      </w:r>
      <w:r>
        <w:tab/>
        <w:t xml:space="preserve">A person may apply to the Registrar to — </w:t>
      </w:r>
    </w:p>
    <w:p>
      <w:pPr>
        <w:pStyle w:val="Indenta"/>
      </w:pPr>
      <w:r>
        <w:tab/>
        <w:t>(a)</w:t>
      </w:r>
      <w:r>
        <w:tab/>
        <w:t>change the record of the person’s notification details that have been specified in an approved form for the purposes of section 240 or in a caveat; or</w:t>
      </w:r>
    </w:p>
    <w:p>
      <w:pPr>
        <w:pStyle w:val="Indenta"/>
      </w:pPr>
      <w:r>
        <w:tab/>
        <w:t>(b)</w:t>
      </w:r>
      <w:r>
        <w:tab/>
        <w:t>notify the Registrar of any change to the notification details recorded in the Register in respect of the person.</w:t>
      </w:r>
    </w:p>
    <w:p>
      <w:pPr>
        <w:pStyle w:val="Subsection"/>
      </w:pPr>
      <w:r>
        <w:lastRenderedPageBreak/>
        <w:tab/>
        <w:t>(3)</w:t>
      </w:r>
      <w:r>
        <w:tab/>
        <w:t>An application must be in an approved form and accompanied by the prescribed fee.</w:t>
      </w:r>
    </w:p>
    <w:p>
      <w:pPr>
        <w:pStyle w:val="Subsection"/>
      </w:pPr>
      <w:r>
        <w:tab/>
        <w:t>(4)</w:t>
      </w:r>
      <w:r>
        <w:tab/>
        <w:t>On receiving an application, the Registrar, if satisfied that it would be in order to do so, must alter the notification details accordingly.</w:t>
      </w:r>
    </w:p>
    <w:p>
      <w:pPr>
        <w:pStyle w:val="Footnotesection"/>
        <w:spacing w:before="100"/>
        <w:ind w:left="890" w:hanging="890"/>
      </w:pPr>
      <w:r>
        <w:tab/>
        <w:t>[Section 240A inserted: No. 2 of 2014 s. 93; No. 21 of 2022 s. 45.]</w:t>
      </w:r>
    </w:p>
    <w:p>
      <w:pPr>
        <w:pStyle w:val="Ednotesection"/>
      </w:pPr>
      <w:r>
        <w:t>[</w:t>
      </w:r>
      <w:r>
        <w:rPr>
          <w:b/>
        </w:rPr>
        <w:t>241.</w:t>
      </w:r>
      <w:r>
        <w:tab/>
        <w:t>Deleted: No. 24 of 2000 s. 42(4).]</w:t>
      </w:r>
    </w:p>
    <w:p>
      <w:pPr>
        <w:pStyle w:val="Heading5"/>
        <w:widowControl w:val="0"/>
        <w:rPr>
          <w:snapToGrid w:val="0"/>
        </w:rPr>
      </w:pPr>
      <w:bookmarkStart w:id="459" w:name="_Toc210130029"/>
      <w:r>
        <w:rPr>
          <w:rStyle w:val="CharSectno"/>
        </w:rPr>
        <w:t>242</w:t>
      </w:r>
      <w:r>
        <w:rPr>
          <w:snapToGrid w:val="0"/>
        </w:rPr>
        <w:t>.</w:t>
      </w:r>
      <w:r>
        <w:rPr>
          <w:snapToGrid w:val="0"/>
        </w:rPr>
        <w:tab/>
        <w:t>Interests disposed of or created by court order etc., registration of</w:t>
      </w:r>
      <w:bookmarkEnd w:id="459"/>
    </w:p>
    <w:p>
      <w:pPr>
        <w:pStyle w:val="Subsection"/>
        <w:rPr>
          <w:snapToGrid w:val="0"/>
        </w:rPr>
      </w:pPr>
      <w:r>
        <w:rPr>
          <w:snapToGrid w:val="0"/>
        </w:rPr>
        <w:tab/>
        <w:t>(1A)</w:t>
      </w:r>
      <w:r>
        <w:rPr>
          <w:snapToGrid w:val="0"/>
        </w:rPr>
        <w:tab/>
        <w:t xml:space="preserve">Where by the operation of any statute or statutory or other power or by virtue of any vesting order of any court or judge </w:t>
      </w:r>
      <w:r>
        <w:t>or tribunal</w:t>
      </w:r>
      <w:r>
        <w:rPr>
          <w:snapToGrid w:val="0"/>
        </w:rPr>
        <w:t xml:space="preserv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pPr>
        <w:pStyle w:val="Subsection"/>
        <w:rPr>
          <w:snapToGrid w:val="0"/>
        </w:rPr>
      </w:pPr>
      <w:r>
        <w:rPr>
          <w:snapToGrid w:val="0"/>
        </w:rPr>
        <w:lastRenderedPageBreak/>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spacing w:before="80"/>
        <w:ind w:left="890" w:hanging="890"/>
      </w:pPr>
      <w:r>
        <w:tab/>
        <w:t>[Section 242 inserted: No. 17 of 1950 s. 70; amended: No. 81 of 1996 s. 145(1); No. 56 of 2003 s. 21; No. 19 of 2010 s. 51; No. 32 of 2018 s. 266.]</w:t>
      </w:r>
    </w:p>
    <w:p>
      <w:pPr>
        <w:pStyle w:val="Heading5"/>
      </w:pPr>
      <w:bookmarkStart w:id="460" w:name="_Toc210130030"/>
      <w:r>
        <w:rPr>
          <w:rStyle w:val="CharSectno"/>
        </w:rPr>
        <w:t>243</w:t>
      </w:r>
      <w:r>
        <w:t>.</w:t>
      </w:r>
      <w:r>
        <w:tab/>
        <w:t>Registrar may cancel certificate of title when land revested in Crown</w:t>
      </w:r>
      <w:bookmarkEnd w:id="460"/>
    </w:p>
    <w:p>
      <w:pPr>
        <w:pStyle w:val="Subsection"/>
      </w:pPr>
      <w:r>
        <w:tab/>
      </w:r>
      <w:r>
        <w:tab/>
        <w:t xml:space="preserve">The Registrar may, on registering a ministerial order made under the </w:t>
      </w:r>
      <w:r>
        <w:rPr>
          <w:i/>
        </w:rPr>
        <w:t>Land Administration Act 1997</w:t>
      </w:r>
      <w:r>
        <w:t xml:space="preserve"> section 82, cancel the certificate of title of the land revested.</w:t>
      </w:r>
    </w:p>
    <w:p>
      <w:pPr>
        <w:pStyle w:val="Footnotesection"/>
      </w:pPr>
      <w:r>
        <w:tab/>
        <w:t>[Section 243 inserted: No. 21 of 2022 s. 46.]</w:t>
      </w:r>
    </w:p>
    <w:p>
      <w:pPr>
        <w:pStyle w:val="Heading2"/>
      </w:pPr>
      <w:bookmarkStart w:id="461" w:name="_Toc166683682"/>
      <w:bookmarkStart w:id="462" w:name="_Toc166684058"/>
      <w:bookmarkStart w:id="463" w:name="_Toc166684844"/>
      <w:bookmarkStart w:id="464" w:name="_Toc210120453"/>
      <w:bookmarkStart w:id="465" w:name="_Toc210130031"/>
      <w:r>
        <w:rPr>
          <w:rStyle w:val="CharPartNo"/>
        </w:rPr>
        <w:lastRenderedPageBreak/>
        <w:t>Part XV</w:t>
      </w:r>
      <w:r>
        <w:rPr>
          <w:b w:val="0"/>
        </w:rPr>
        <w:t> </w:t>
      </w:r>
      <w:r>
        <w:t>—</w:t>
      </w:r>
      <w:r>
        <w:rPr>
          <w:b w:val="0"/>
        </w:rPr>
        <w:t> </w:t>
      </w:r>
      <w:r>
        <w:rPr>
          <w:rStyle w:val="CharPartText"/>
        </w:rPr>
        <w:t xml:space="preserve">Transitional provisions for </w:t>
      </w:r>
      <w:r>
        <w:rPr>
          <w:rStyle w:val="CharPartText"/>
          <w:i/>
        </w:rPr>
        <w:t>Electronic Conveyancing Act 2014</w:t>
      </w:r>
      <w:bookmarkEnd w:id="461"/>
      <w:bookmarkEnd w:id="462"/>
      <w:bookmarkEnd w:id="463"/>
      <w:bookmarkEnd w:id="464"/>
      <w:bookmarkEnd w:id="465"/>
    </w:p>
    <w:p>
      <w:pPr>
        <w:pStyle w:val="Footnoteheading"/>
      </w:pPr>
      <w:r>
        <w:tab/>
        <w:t>[Heading inserted: No. 2 of 2014 s. 94.]</w:t>
      </w:r>
    </w:p>
    <w:p>
      <w:pPr>
        <w:pStyle w:val="Heading5"/>
      </w:pPr>
      <w:bookmarkStart w:id="466" w:name="_Toc210130032"/>
      <w:r>
        <w:rPr>
          <w:rStyle w:val="CharSectno"/>
        </w:rPr>
        <w:t>244</w:t>
      </w:r>
      <w:r>
        <w:t>.</w:t>
      </w:r>
      <w:r>
        <w:tab/>
        <w:t>Term used: amending Act</w:t>
      </w:r>
      <w:bookmarkEnd w:id="466"/>
    </w:p>
    <w:p>
      <w:pPr>
        <w:pStyle w:val="Subsection"/>
      </w:pPr>
      <w:r>
        <w:tab/>
      </w:r>
      <w:r>
        <w:tab/>
        <w:t xml:space="preserve">In this Part — </w:t>
      </w:r>
    </w:p>
    <w:p>
      <w:pPr>
        <w:pStyle w:val="Defstart"/>
      </w:pPr>
      <w:r>
        <w:tab/>
      </w:r>
      <w:r>
        <w:rPr>
          <w:rStyle w:val="CharDefText"/>
        </w:rPr>
        <w:t>amending Act</w:t>
      </w:r>
      <w:r>
        <w:t xml:space="preserve"> means the </w:t>
      </w:r>
      <w:r>
        <w:rPr>
          <w:i/>
        </w:rPr>
        <w:t>Electronic Conveyancing Act 2014</w:t>
      </w:r>
      <w:r>
        <w:t>.</w:t>
      </w:r>
    </w:p>
    <w:p>
      <w:pPr>
        <w:pStyle w:val="Footnotesection"/>
        <w:spacing w:before="100"/>
        <w:ind w:left="890" w:hanging="890"/>
      </w:pPr>
      <w:r>
        <w:tab/>
        <w:t>[Section 244 inserted: No. 2 of 2014 s. 94.]</w:t>
      </w:r>
    </w:p>
    <w:p>
      <w:pPr>
        <w:pStyle w:val="Heading5"/>
      </w:pPr>
      <w:bookmarkStart w:id="467" w:name="_Toc210130033"/>
      <w:r>
        <w:rPr>
          <w:rStyle w:val="CharSectno"/>
        </w:rPr>
        <w:t>245</w:t>
      </w:r>
      <w:r>
        <w:t>.</w:t>
      </w:r>
      <w:r>
        <w:tab/>
        <w:t>Transitional provision for s. 52(2)</w:t>
      </w:r>
      <w:bookmarkEnd w:id="467"/>
    </w:p>
    <w:p>
      <w:pPr>
        <w:pStyle w:val="Subsection"/>
      </w:pPr>
      <w:r>
        <w:tab/>
      </w:r>
      <w:r>
        <w:tab/>
        <w:t>An instrument referred to in section 52(2) (as replaced by the amending Act) includes an instrument presented for registration before the day on which the amending Act section 67 comes into operation.</w:t>
      </w:r>
    </w:p>
    <w:p>
      <w:pPr>
        <w:pStyle w:val="Footnotesection"/>
        <w:spacing w:before="100"/>
        <w:ind w:left="890" w:hanging="890"/>
      </w:pPr>
      <w:r>
        <w:tab/>
        <w:t>[Section 245 inserted: No. 2 of 2014 s. 94.]</w:t>
      </w:r>
    </w:p>
    <w:p>
      <w:pPr>
        <w:pStyle w:val="Heading5"/>
      </w:pPr>
      <w:bookmarkStart w:id="468" w:name="_Toc210130034"/>
      <w:r>
        <w:rPr>
          <w:rStyle w:val="CharSectno"/>
        </w:rPr>
        <w:t>246</w:t>
      </w:r>
      <w:r>
        <w:t>.</w:t>
      </w:r>
      <w:r>
        <w:tab/>
        <w:t>Transitional provision for s. 105(4)</w:t>
      </w:r>
      <w:bookmarkEnd w:id="468"/>
    </w:p>
    <w:p>
      <w:pPr>
        <w:pStyle w:val="Subsection"/>
      </w:pPr>
      <w:r>
        <w:tab/>
      </w:r>
      <w:r>
        <w:tab/>
        <w:t>Section 105(4) (as inserted by the amending Act) applies only to and in relation to instruments registered after the amending Act section 73 comes into operation.</w:t>
      </w:r>
    </w:p>
    <w:p>
      <w:pPr>
        <w:pStyle w:val="Footnotesection"/>
        <w:spacing w:before="100"/>
        <w:ind w:left="890" w:hanging="890"/>
      </w:pPr>
      <w:r>
        <w:tab/>
        <w:t>[Section 246 inserted: No. 2 of 2014 s. 94.]</w:t>
      </w:r>
    </w:p>
    <w:p>
      <w:pPr>
        <w:pStyle w:val="Heading5"/>
      </w:pPr>
      <w:bookmarkStart w:id="469" w:name="_Toc210130035"/>
      <w:r>
        <w:rPr>
          <w:rStyle w:val="CharSectno"/>
        </w:rPr>
        <w:t>247</w:t>
      </w:r>
      <w:r>
        <w:t>.</w:t>
      </w:r>
      <w:r>
        <w:tab/>
        <w:t>Transitional provision for s. 182A (requirements)</w:t>
      </w:r>
      <w:bookmarkEnd w:id="469"/>
    </w:p>
    <w:p>
      <w:pPr>
        <w:pStyle w:val="Subsection"/>
      </w:pPr>
      <w:r>
        <w:tab/>
        <w:t>(1)</w:t>
      </w:r>
      <w:r>
        <w:tab/>
        <w:t xml:space="preserve">This section applies to any statement that — </w:t>
      </w:r>
    </w:p>
    <w:p>
      <w:pPr>
        <w:pStyle w:val="Indenta"/>
      </w:pPr>
      <w:r>
        <w:tab/>
        <w:t>(a)</w:t>
      </w:r>
      <w:r>
        <w:tab/>
        <w:t>is included in any practice manual, customer information bulletin or other similar publication issued by the Authority before the amending Act section 79 comes into operation; and</w:t>
      </w:r>
    </w:p>
    <w:p>
      <w:pPr>
        <w:pStyle w:val="Indenta"/>
      </w:pPr>
      <w:r>
        <w:tab/>
        <w:t>(b)</w:t>
      </w:r>
      <w:r>
        <w:tab/>
        <w:t>relates to any matter in relation to which a requirement can be determined under section 182A(1); and</w:t>
      </w:r>
    </w:p>
    <w:p>
      <w:pPr>
        <w:pStyle w:val="Indenta"/>
      </w:pPr>
      <w:r>
        <w:tab/>
        <w:t>(c)</w:t>
      </w:r>
      <w:r>
        <w:tab/>
        <w:t>specifies or has the effect of specifying a requirement in relation to one of those matters; and</w:t>
      </w:r>
    </w:p>
    <w:p>
      <w:pPr>
        <w:pStyle w:val="Indenta"/>
      </w:pPr>
      <w:r>
        <w:lastRenderedPageBreak/>
        <w:tab/>
        <w:t>(d)</w:t>
      </w:r>
      <w:r>
        <w:tab/>
        <w:t>has not been superseded or overridden by any other statement included in any publication of the kind mentioned in paragraph (a) and issued before the amending Act section 79 comes into operation.</w:t>
      </w:r>
    </w:p>
    <w:p>
      <w:pPr>
        <w:pStyle w:val="Subsection"/>
      </w:pPr>
      <w:r>
        <w:tab/>
        <w:t>(2)</w:t>
      </w:r>
      <w:r>
        <w:tab/>
        <w:t>A statement to which this section applies is to be taken to be a requirement determined under section 182A in the same terms as the original statement, and to continue in force under and subject to this Act.</w:t>
      </w:r>
    </w:p>
    <w:p>
      <w:pPr>
        <w:pStyle w:val="Footnotesection"/>
        <w:spacing w:before="100"/>
        <w:ind w:left="890" w:hanging="890"/>
      </w:pPr>
      <w:r>
        <w:tab/>
        <w:t>[Section 247 inserted: No. 2 of 2014 s. 94.]</w:t>
      </w:r>
    </w:p>
    <w:p>
      <w:pPr>
        <w:pStyle w:val="Heading2"/>
      </w:pPr>
      <w:bookmarkStart w:id="470" w:name="_Toc166683687"/>
      <w:bookmarkStart w:id="471" w:name="_Toc166684063"/>
      <w:bookmarkStart w:id="472" w:name="_Toc166684849"/>
      <w:bookmarkStart w:id="473" w:name="_Toc210120458"/>
      <w:bookmarkStart w:id="474" w:name="_Toc210130036"/>
      <w:r>
        <w:rPr>
          <w:rStyle w:val="CharPartNo"/>
        </w:rPr>
        <w:lastRenderedPageBreak/>
        <w:t>Part 16</w:t>
      </w:r>
      <w:r>
        <w:rPr>
          <w:b w:val="0"/>
        </w:rPr>
        <w:t> </w:t>
      </w:r>
      <w:r>
        <w:t>—</w:t>
      </w:r>
      <w:r>
        <w:rPr>
          <w:b w:val="0"/>
        </w:rPr>
        <w:t> </w:t>
      </w:r>
      <w:r>
        <w:rPr>
          <w:rStyle w:val="CharPartText"/>
        </w:rPr>
        <w:t xml:space="preserve">Transitional provisions for </w:t>
      </w:r>
      <w:r>
        <w:rPr>
          <w:rStyle w:val="CharPartText"/>
          <w:i/>
        </w:rPr>
        <w:t>Transfer of Land Amendment Act 2022</w:t>
      </w:r>
      <w:bookmarkEnd w:id="470"/>
      <w:bookmarkEnd w:id="471"/>
      <w:bookmarkEnd w:id="472"/>
      <w:bookmarkEnd w:id="473"/>
      <w:bookmarkEnd w:id="474"/>
    </w:p>
    <w:p>
      <w:pPr>
        <w:pStyle w:val="Footnoteheading"/>
      </w:pPr>
      <w:r>
        <w:tab/>
        <w:t>[Heading inserted: No. 21 of 2022 s. 47.]</w:t>
      </w:r>
    </w:p>
    <w:p>
      <w:pPr>
        <w:pStyle w:val="Heading5"/>
      </w:pPr>
      <w:bookmarkStart w:id="475" w:name="_Toc210130037"/>
      <w:r>
        <w:rPr>
          <w:rStyle w:val="CharSectno"/>
        </w:rPr>
        <w:t>248</w:t>
      </w:r>
      <w:r>
        <w:t>.</w:t>
      </w:r>
      <w:r>
        <w:tab/>
        <w:t>Transitional provision for duplicate certificates of title</w:t>
      </w:r>
      <w:bookmarkEnd w:id="47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Transfer of Land Amendment Act 2022</w:t>
      </w:r>
      <w:r>
        <w:t xml:space="preserve"> section 10 comes into operation.</w:t>
      </w:r>
    </w:p>
    <w:p>
      <w:pPr>
        <w:pStyle w:val="Subsection"/>
      </w:pPr>
      <w:r>
        <w:tab/>
        <w:t>(2)</w:t>
      </w:r>
      <w:r>
        <w:tab/>
        <w:t>A duplicate certificate of title in effect immediately before the commencement day has no legal effect on and after the commencement day.</w:t>
      </w:r>
    </w:p>
    <w:p>
      <w:pPr>
        <w:pStyle w:val="Footnotesection"/>
        <w:rPr>
          <w:rStyle w:val="CharSectno"/>
        </w:rPr>
      </w:pPr>
      <w:r>
        <w:tab/>
        <w:t>[Section 248 inserted: No. 21 of 2022 s. 47.]</w:t>
      </w:r>
    </w:p>
    <w:p>
      <w:pPr>
        <w:pStyle w:val="Heading5"/>
      </w:pPr>
      <w:bookmarkStart w:id="476" w:name="_Toc210130038"/>
      <w:r>
        <w:rPr>
          <w:rStyle w:val="CharSectno"/>
        </w:rPr>
        <w:t>249</w:t>
      </w:r>
      <w:r>
        <w:t>.</w:t>
      </w:r>
      <w:r>
        <w:tab/>
        <w:t>Transitional provision for service of documents</w:t>
      </w:r>
      <w:bookmarkEnd w:id="47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Transfer of Land Amendment Act 2022</w:t>
      </w:r>
      <w:r>
        <w:t xml:space="preserve"> section 44 comes into operation.</w:t>
      </w:r>
    </w:p>
    <w:p>
      <w:pPr>
        <w:pStyle w:val="Subsection"/>
      </w:pPr>
      <w:r>
        <w:tab/>
        <w:t>(2)</w:t>
      </w:r>
      <w:r>
        <w:tab/>
        <w:t xml:space="preserve">Subsection (4) applies if — </w:t>
      </w:r>
    </w:p>
    <w:p>
      <w:pPr>
        <w:pStyle w:val="Indenta"/>
      </w:pPr>
      <w:r>
        <w:tab/>
        <w:t>(a)</w:t>
      </w:r>
      <w:r>
        <w:tab/>
        <w:t>before the commencement day a document is presented for lodgment with the Authority, whether for the purposes of registration or otherwise; and</w:t>
      </w:r>
    </w:p>
    <w:p>
      <w:pPr>
        <w:pStyle w:val="Indenta"/>
      </w:pPr>
      <w:r>
        <w:tab/>
        <w:t>(b)</w:t>
      </w:r>
      <w:r>
        <w:tab/>
        <w:t xml:space="preserve">the presentation or lodgment of the document causes a notice to be served under this Act (the </w:t>
      </w:r>
      <w:r>
        <w:rPr>
          <w:rStyle w:val="CharDefText"/>
        </w:rPr>
        <w:t>notice to be served</w:t>
      </w:r>
      <w:r>
        <w:t>) on or after the commencement day.</w:t>
      </w:r>
    </w:p>
    <w:p>
      <w:pPr>
        <w:pStyle w:val="Subsection"/>
      </w:pPr>
      <w:r>
        <w:tab/>
        <w:t>(3)</w:t>
      </w:r>
      <w:r>
        <w:tab/>
        <w:t xml:space="preserve">Subsection (4) also applies if — </w:t>
      </w:r>
    </w:p>
    <w:p>
      <w:pPr>
        <w:pStyle w:val="Indenta"/>
      </w:pPr>
      <w:r>
        <w:tab/>
        <w:t>(a)</w:t>
      </w:r>
      <w:r>
        <w:tab/>
        <w:t>before the commencement day a document is lodged with the Authority; and</w:t>
      </w:r>
    </w:p>
    <w:p>
      <w:pPr>
        <w:pStyle w:val="Indenta"/>
      </w:pPr>
      <w:r>
        <w:tab/>
        <w:t>(b)</w:t>
      </w:r>
      <w:r>
        <w:tab/>
        <w:t xml:space="preserve">a notice is to be served under this Act (the </w:t>
      </w:r>
      <w:r>
        <w:rPr>
          <w:rStyle w:val="CharDefText"/>
        </w:rPr>
        <w:t>notice to be served</w:t>
      </w:r>
      <w:r>
        <w:t>) on or after the commencement day in relation to the lodged document.</w:t>
      </w:r>
    </w:p>
    <w:p>
      <w:pPr>
        <w:pStyle w:val="Subsection"/>
      </w:pPr>
      <w:r>
        <w:lastRenderedPageBreak/>
        <w:tab/>
        <w:t>(4)</w:t>
      </w:r>
      <w:r>
        <w:tab/>
        <w:t xml:space="preserve">The notice to be served may be served under this Act as in force — </w:t>
      </w:r>
    </w:p>
    <w:p>
      <w:pPr>
        <w:pStyle w:val="Indenta"/>
      </w:pPr>
      <w:r>
        <w:tab/>
        <w:t>(a)</w:t>
      </w:r>
      <w:r>
        <w:tab/>
        <w:t>immediately before the commencement day; or</w:t>
      </w:r>
    </w:p>
    <w:p>
      <w:pPr>
        <w:pStyle w:val="Indenta"/>
      </w:pPr>
      <w:r>
        <w:tab/>
        <w:t>(b)</w:t>
      </w:r>
      <w:r>
        <w:tab/>
        <w:t>at the time of service.</w:t>
      </w:r>
    </w:p>
    <w:p>
      <w:pPr>
        <w:pStyle w:val="Footnotesection"/>
        <w:spacing w:before="100"/>
        <w:ind w:left="890" w:hanging="890"/>
      </w:pPr>
      <w:r>
        <w:tab/>
        <w:t>[Section 249 inserted: No. 21 of 2022 s. 47.]</w:t>
      </w:r>
    </w:p>
    <w:p>
      <w:pPr>
        <w:pStyle w:val="Footnotesection"/>
        <w:spacing w:before="80"/>
        <w:ind w:left="890" w:hanging="890"/>
      </w:pP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rPr>
          <w:rFonts w:eastAsia="MS Mincho"/>
        </w:rPr>
      </w:pPr>
      <w:bookmarkStart w:id="477" w:name="_Toc166683690"/>
      <w:bookmarkStart w:id="478" w:name="_Toc166684066"/>
      <w:bookmarkStart w:id="479" w:name="_Toc166684852"/>
      <w:bookmarkStart w:id="480" w:name="_Toc210120461"/>
      <w:bookmarkStart w:id="481" w:name="_Toc210130039"/>
      <w:r>
        <w:rPr>
          <w:rStyle w:val="CharSchNo"/>
          <w:rFonts w:eastAsia="MS Mincho"/>
        </w:rPr>
        <w:lastRenderedPageBreak/>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477"/>
      <w:bookmarkEnd w:id="478"/>
      <w:bookmarkEnd w:id="479"/>
      <w:bookmarkEnd w:id="480"/>
      <w:bookmarkEnd w:id="481"/>
    </w:p>
    <w:p>
      <w:pPr>
        <w:pStyle w:val="yShoulderClause"/>
        <w:rPr>
          <w:rFonts w:eastAsia="MS Mincho"/>
        </w:rPr>
      </w:pPr>
      <w:r>
        <w:rPr>
          <w:rFonts w:eastAsia="MS Mincho"/>
        </w:rPr>
        <w:t>[s. 2]</w:t>
      </w:r>
    </w:p>
    <w:p>
      <w:pPr>
        <w:pStyle w:val="yFootnoteheading"/>
        <w:spacing w:after="160"/>
        <w:rPr>
          <w:snapToGrid w:val="0"/>
        </w:rPr>
      </w:pPr>
      <w:r>
        <w:rPr>
          <w:snapToGrid w:val="0"/>
        </w:rPr>
        <w:tab/>
        <w:t>[Heading inserted: No. 19 of 2010 s. 38(4).]</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Pr>
          <w:p>
            <w:pPr>
              <w:pStyle w:val="yTableNAm"/>
              <w:spacing w:before="60"/>
            </w:pPr>
            <w:r>
              <w:t>Date</w:t>
            </w:r>
          </w:p>
        </w:tc>
        <w:tc>
          <w:tcPr>
            <w:tcW w:w="3443" w:type="dxa"/>
          </w:tcPr>
          <w:p>
            <w:pPr>
              <w:pStyle w:val="yTableNAm"/>
              <w:spacing w:before="60"/>
              <w:rPr>
                <w:spacing w:val="-2"/>
              </w:rPr>
            </w:pPr>
            <w:r>
              <w:rPr>
                <w:spacing w:val="-2"/>
              </w:rPr>
              <w:t>Title of Act</w:t>
            </w:r>
          </w:p>
        </w:tc>
        <w:tc>
          <w:tcPr>
            <w:tcW w:w="1985" w:type="dxa"/>
          </w:tcPr>
          <w:p>
            <w:pPr>
              <w:pStyle w:val="yTableNAm"/>
              <w:spacing w:before="60"/>
              <w:rPr>
                <w:spacing w:val="-2"/>
              </w:rPr>
            </w:pPr>
            <w:r>
              <w:rPr>
                <w:spacing w:val="-2"/>
              </w:rPr>
              <w:t>Extent of Repeal</w:t>
            </w:r>
          </w:p>
        </w:tc>
      </w:tr>
      <w:tr>
        <w:tc>
          <w:tcPr>
            <w:tcW w:w="1660" w:type="dxa"/>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rPr>
          <w:rFonts w:eastAsia="MS Mincho"/>
        </w:rPr>
      </w:pPr>
      <w:bookmarkStart w:id="482" w:name="_Toc166683691"/>
      <w:bookmarkStart w:id="483" w:name="_Toc166684067"/>
      <w:bookmarkStart w:id="484" w:name="_Toc166684853"/>
      <w:bookmarkStart w:id="485" w:name="_Toc210120462"/>
      <w:bookmarkStart w:id="486" w:name="_Toc210130040"/>
      <w:r>
        <w:rPr>
          <w:rStyle w:val="CharSchNo"/>
          <w:rFonts w:eastAsia="MS Mincho"/>
        </w:rPr>
        <w:lastRenderedPageBreak/>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482"/>
      <w:bookmarkEnd w:id="483"/>
      <w:bookmarkEnd w:id="484"/>
      <w:bookmarkEnd w:id="485"/>
      <w:bookmarkEnd w:id="486"/>
    </w:p>
    <w:p>
      <w:pPr>
        <w:pStyle w:val="yShoulderClause"/>
        <w:rPr>
          <w:rFonts w:eastAsia="MS Mincho"/>
        </w:rPr>
      </w:pPr>
      <w:r>
        <w:rPr>
          <w:rFonts w:eastAsia="MS Mincho"/>
        </w:rPr>
        <w:t>[s. 20]</w:t>
      </w:r>
    </w:p>
    <w:p>
      <w:pPr>
        <w:pStyle w:val="yFootnoteheading"/>
        <w:rPr>
          <w:snapToGrid w:val="0"/>
        </w:rPr>
      </w:pPr>
      <w:r>
        <w:rPr>
          <w:snapToGrid w:val="0"/>
        </w:rPr>
        <w:tab/>
        <w:t>[Heading inserted: No. 19 of 2010 s. 38(5).]</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lastRenderedPageBreak/>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o:ole="" fillcolor="window">
                  <v:imagedata r:id="rId24" o:title=""/>
                </v:shape>
                <o:OLEObject Type="Embed" ProgID="Word.Picture.8" ShapeID="_x0000_i1025" DrawAspect="Content" ObjectID="_1820751730" r:id="rId25"/>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No. 17 of 1950 s. 71; No. 113 of 1965 s. 4; No. 81 of 1996 s. 146(3); No. 24 of 2005 s. 63.]</w:t>
      </w:r>
    </w:p>
    <w:p>
      <w:pPr>
        <w:pStyle w:val="yScheduleHeading"/>
        <w:rPr>
          <w:rFonts w:eastAsia="MS Mincho"/>
        </w:rPr>
      </w:pPr>
      <w:bookmarkStart w:id="487" w:name="_Toc166683692"/>
      <w:bookmarkStart w:id="488" w:name="_Toc166684068"/>
      <w:bookmarkStart w:id="489" w:name="_Toc166684854"/>
      <w:bookmarkStart w:id="490" w:name="_Toc210120463"/>
      <w:bookmarkStart w:id="491" w:name="_Toc210130041"/>
      <w:r>
        <w:rPr>
          <w:rStyle w:val="CharSchNo"/>
          <w:rFonts w:eastAsia="MS Mincho"/>
        </w:rPr>
        <w:lastRenderedPageBreak/>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487"/>
      <w:bookmarkEnd w:id="488"/>
      <w:bookmarkEnd w:id="489"/>
      <w:bookmarkEnd w:id="490"/>
      <w:bookmarkEnd w:id="491"/>
    </w:p>
    <w:p>
      <w:pPr>
        <w:pStyle w:val="yShoulderClause"/>
        <w:rPr>
          <w:rFonts w:eastAsia="MS Mincho"/>
        </w:rPr>
      </w:pPr>
      <w:r>
        <w:rPr>
          <w:rFonts w:eastAsia="MS Mincho"/>
        </w:rPr>
        <w:t>[s. 24]</w:t>
      </w:r>
    </w:p>
    <w:p>
      <w:pPr>
        <w:pStyle w:val="yFootnoteheading"/>
        <w:rPr>
          <w:snapToGrid w:val="0"/>
        </w:rPr>
      </w:pPr>
      <w:r>
        <w:rPr>
          <w:snapToGrid w:val="0"/>
        </w:rPr>
        <w:tab/>
        <w:t>[Heading inserted: No. 19 of 2010 s. 38(6).]</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No. 81 of 1996 s. 147; </w:t>
      </w:r>
      <w:r>
        <w:rPr>
          <w:spacing w:val="-4"/>
        </w:rPr>
        <w:t>No. 60 of 2006 s. 118(1)</w:t>
      </w:r>
      <w:r>
        <w:t>.]</w:t>
      </w:r>
    </w:p>
    <w:p>
      <w:pPr>
        <w:pStyle w:val="yScheduleHeading"/>
        <w:rPr>
          <w:rFonts w:eastAsia="MS Mincho"/>
        </w:rPr>
      </w:pPr>
      <w:bookmarkStart w:id="492" w:name="_Toc166683693"/>
      <w:bookmarkStart w:id="493" w:name="_Toc166684069"/>
      <w:bookmarkStart w:id="494" w:name="_Toc166684855"/>
      <w:bookmarkStart w:id="495" w:name="_Toc210120464"/>
      <w:bookmarkStart w:id="496" w:name="_Toc210130042"/>
      <w:r>
        <w:rPr>
          <w:rStyle w:val="CharSchNo"/>
          <w:rFonts w:eastAsia="MS Mincho"/>
        </w:rPr>
        <w:lastRenderedPageBreak/>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492"/>
      <w:bookmarkEnd w:id="493"/>
      <w:bookmarkEnd w:id="494"/>
      <w:bookmarkEnd w:id="495"/>
      <w:bookmarkEnd w:id="496"/>
    </w:p>
    <w:p>
      <w:pPr>
        <w:pStyle w:val="yShoulderClause"/>
        <w:rPr>
          <w:rFonts w:eastAsia="MS Mincho"/>
        </w:rPr>
      </w:pPr>
      <w:r>
        <w:rPr>
          <w:rFonts w:eastAsia="MS Mincho"/>
        </w:rPr>
        <w:t>[s. 222]</w:t>
      </w:r>
    </w:p>
    <w:p>
      <w:pPr>
        <w:pStyle w:val="yFootnoteheading"/>
        <w:rPr>
          <w:snapToGrid w:val="0"/>
        </w:rPr>
      </w:pPr>
      <w:r>
        <w:rPr>
          <w:snapToGrid w:val="0"/>
        </w:rPr>
        <w:tab/>
        <w:t>[Heading inserted: No. 19 of 2010 s. 38(7).]</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object w:dxaOrig="181" w:dyaOrig="1246">
                <v:shape id="_x0000_i1026" type="#_x0000_t75" style="width:9pt;height:62.25pt" o:ole="" fillcolor="window">
                  <v:imagedata r:id="rId24" o:title=""/>
                </v:shape>
                <o:OLEObject Type="Embed" ProgID="Word.Picture.8" ShapeID="_x0000_i1026" DrawAspect="Content" ObjectID="_1820751731" r:id="rId26"/>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No. 113 of 1965 s. 4; No. 94 of 1972 s. 4; No. 81 of 1996 s. 146(2); No. 24 of 2005 s. 63.]</w:t>
      </w:r>
    </w:p>
    <w:p>
      <w:pPr>
        <w:pStyle w:val="yEdnoteschedule"/>
      </w:pPr>
      <w:r>
        <w:t>[Fifth, Sixth and Seventh Schedules deleted: No. 81 of 1996 s. 151.]</w:t>
      </w:r>
    </w:p>
    <w:p>
      <w:pPr>
        <w:pStyle w:val="yEdnoteschedule"/>
      </w:pPr>
      <w:r>
        <w:t>[Eighth Schedule deleted: No. 26 of 1999 s. 106(6).]</w:t>
      </w:r>
    </w:p>
    <w:p>
      <w:pPr>
        <w:pStyle w:val="yScheduleHeading"/>
        <w:rPr>
          <w:rFonts w:eastAsia="MS Mincho"/>
        </w:rPr>
      </w:pPr>
      <w:bookmarkStart w:id="497" w:name="_Toc166683694"/>
      <w:bookmarkStart w:id="498" w:name="_Toc166684070"/>
      <w:bookmarkStart w:id="499" w:name="_Toc166684856"/>
      <w:bookmarkStart w:id="500" w:name="_Toc210120465"/>
      <w:bookmarkStart w:id="501" w:name="_Toc210130043"/>
      <w:r>
        <w:rPr>
          <w:rStyle w:val="CharSchNo"/>
          <w:rFonts w:eastAsia="MS Mincho"/>
        </w:rPr>
        <w:lastRenderedPageBreak/>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497"/>
      <w:bookmarkEnd w:id="498"/>
      <w:bookmarkEnd w:id="499"/>
      <w:bookmarkEnd w:id="500"/>
      <w:bookmarkEnd w:id="501"/>
    </w:p>
    <w:p>
      <w:pPr>
        <w:pStyle w:val="yShoulderClause"/>
      </w:pPr>
      <w:r>
        <w:rPr>
          <w:rFonts w:eastAsia="MS Mincho"/>
        </w:rPr>
        <w:t>[s. 65]</w:t>
      </w:r>
    </w:p>
    <w:p>
      <w:pPr>
        <w:pStyle w:val="yFootnoteheading"/>
        <w:rPr>
          <w:snapToGrid w:val="0"/>
        </w:rPr>
      </w:pPr>
      <w:r>
        <w:rPr>
          <w:snapToGrid w:val="0"/>
        </w:rPr>
        <w:tab/>
        <w:t>[Heading inserted: No. 19 of 2010 s. 38(8).]</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rPr>
          <w:i/>
        </w:rPr>
      </w:pPr>
      <w:r>
        <w:rPr>
          <w:i/>
        </w:rPr>
        <w:t>Creation of Right of Carriage</w:t>
      </w:r>
      <w:r>
        <w:rPr>
          <w:i/>
        </w:rPr>
        <w:noBreakHyphen/>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No. 81 of 1996 s. 148</w:t>
      </w:r>
      <w:r>
        <w:rPr>
          <w:i w:val="0"/>
          <w:vertAlign w:val="superscript"/>
        </w:rPr>
        <w:t> 7</w:t>
      </w:r>
      <w:r>
        <w:t>.]</w:t>
      </w:r>
    </w:p>
    <w:p>
      <w:pPr>
        <w:pStyle w:val="yScheduleHeading"/>
        <w:rPr>
          <w:rFonts w:eastAsia="MS Mincho"/>
        </w:rPr>
      </w:pPr>
      <w:bookmarkStart w:id="502" w:name="_Toc166683695"/>
      <w:bookmarkStart w:id="503" w:name="_Toc166684071"/>
      <w:bookmarkStart w:id="504" w:name="_Toc166684857"/>
      <w:bookmarkStart w:id="505" w:name="_Toc210120466"/>
      <w:bookmarkStart w:id="506" w:name="_Toc210130044"/>
      <w:r>
        <w:rPr>
          <w:rStyle w:val="CharSchNo"/>
          <w:rFonts w:eastAsia="MS Mincho"/>
        </w:rPr>
        <w:lastRenderedPageBreak/>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502"/>
      <w:bookmarkEnd w:id="503"/>
      <w:bookmarkEnd w:id="504"/>
      <w:bookmarkEnd w:id="505"/>
      <w:bookmarkEnd w:id="506"/>
    </w:p>
    <w:p>
      <w:pPr>
        <w:pStyle w:val="yShoulderClause"/>
      </w:pPr>
      <w:r>
        <w:t>[s. 65(3)]</w:t>
      </w:r>
    </w:p>
    <w:p>
      <w:pPr>
        <w:pStyle w:val="yFootnoteheading"/>
      </w:pPr>
      <w:r>
        <w:rPr>
          <w:snapToGrid w:val="0"/>
        </w:rPr>
        <w:tab/>
        <w:t>[Heading inserted: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160"/>
        <w:gridCol w:w="4928"/>
      </w:tblGrid>
      <w:tr>
        <w:trPr>
          <w:tblHeader/>
        </w:trPr>
        <w:tc>
          <w:tcPr>
            <w:tcW w:w="216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92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160" w:type="dxa"/>
          </w:tcPr>
          <w:p>
            <w:pPr>
              <w:pStyle w:val="yTableNAm"/>
              <w:spacing w:before="60"/>
              <w:rPr>
                <w:sz w:val="18"/>
              </w:rPr>
            </w:pPr>
            <w:r>
              <w:rPr>
                <w:sz w:val="18"/>
              </w:rPr>
              <w:t>an easement for a right of footway</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160" w:type="dxa"/>
          </w:tcPr>
          <w:p>
            <w:pPr>
              <w:pStyle w:val="yTableNAm"/>
              <w:spacing w:before="60"/>
              <w:rPr>
                <w:sz w:val="18"/>
              </w:rPr>
            </w:pPr>
            <w:r>
              <w:rPr>
                <w:sz w:val="18"/>
              </w:rPr>
              <w:t>an easement for water supply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drainage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160" w:type="dxa"/>
          </w:tcPr>
          <w:p>
            <w:pPr>
              <w:pStyle w:val="yTableNAm"/>
              <w:spacing w:before="60"/>
              <w:rPr>
                <w:sz w:val="18"/>
              </w:rPr>
            </w:pPr>
            <w:r>
              <w:rPr>
                <w:sz w:val="18"/>
              </w:rPr>
              <w:lastRenderedPageBreak/>
              <w:t>an easement for gas supply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160" w:type="dxa"/>
          </w:tcPr>
          <w:p>
            <w:pPr>
              <w:pStyle w:val="yTableNAm"/>
              <w:spacing w:before="60"/>
              <w:rPr>
                <w:sz w:val="18"/>
              </w:rPr>
            </w:pPr>
            <w:r>
              <w:rPr>
                <w:sz w:val="18"/>
              </w:rPr>
              <w:t>an easement for the transmission of electricity by overhead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electricity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television signals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party wall rights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160" w:type="dxa"/>
          </w:tcPr>
          <w:p>
            <w:pPr>
              <w:pStyle w:val="yTableNAm"/>
              <w:spacing w:before="60"/>
              <w:rPr>
                <w:sz w:val="18"/>
              </w:rPr>
            </w:pPr>
            <w:r>
              <w:rPr>
                <w:sz w:val="18"/>
              </w:rPr>
              <w:lastRenderedPageBreak/>
              <w:t>an easement for eaves and gutters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160" w:type="dxa"/>
          </w:tcPr>
          <w:p>
            <w:pPr>
              <w:pStyle w:val="yTableNAm"/>
              <w:spacing w:before="60"/>
              <w:rPr>
                <w:sz w:val="18"/>
              </w:rPr>
            </w:pPr>
            <w:r>
              <w:rPr>
                <w:sz w:val="18"/>
              </w:rPr>
              <w:t>an easement for sewerage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motor vehicle parking</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[Tenth Schedule inserted as Schedule 9A: No. 81 of 1996 s. 149; amended: No. 6 of 2003 s. 83; renumbered as Tenth Schedule: No. 19 of 2010 s. 38(9).]</w:t>
      </w:r>
    </w:p>
    <w:p>
      <w:pPr>
        <w:pStyle w:val="yEdnoteschedule"/>
      </w:pPr>
      <w:r>
        <w:t>[Eleventh Schedule deleted: No. 81 of 1996 s. 151.]</w:t>
      </w:r>
    </w:p>
    <w:p>
      <w:pPr>
        <w:pStyle w:val="yScheduleHeading"/>
        <w:rPr>
          <w:rFonts w:eastAsia="MS Mincho"/>
        </w:rPr>
      </w:pPr>
      <w:bookmarkStart w:id="507" w:name="_Toc166683696"/>
      <w:bookmarkStart w:id="508" w:name="_Toc166684072"/>
      <w:bookmarkStart w:id="509" w:name="_Toc166684858"/>
      <w:bookmarkStart w:id="510" w:name="_Toc210120467"/>
      <w:bookmarkStart w:id="511" w:name="_Toc210130045"/>
      <w:r>
        <w:rPr>
          <w:rStyle w:val="CharSchNo"/>
          <w:rFonts w:eastAsia="MS Mincho"/>
        </w:rPr>
        <w:lastRenderedPageBreak/>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507"/>
      <w:bookmarkEnd w:id="508"/>
      <w:bookmarkEnd w:id="509"/>
      <w:bookmarkEnd w:id="510"/>
      <w:bookmarkEnd w:id="511"/>
    </w:p>
    <w:p>
      <w:pPr>
        <w:pStyle w:val="yShoulderClause"/>
        <w:rPr>
          <w:rFonts w:eastAsia="MS Mincho"/>
        </w:rPr>
      </w:pPr>
      <w:r>
        <w:rPr>
          <w:rFonts w:eastAsia="MS Mincho"/>
        </w:rPr>
        <w:t>[s. 94]</w:t>
      </w:r>
    </w:p>
    <w:p>
      <w:pPr>
        <w:pStyle w:val="yFootnoteheading"/>
      </w:pPr>
      <w:r>
        <w:rPr>
          <w:snapToGrid w:val="0"/>
        </w:rPr>
        <w:tab/>
        <w:t>[Heading inserted: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56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52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56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56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56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56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56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w:t>
            </w:r>
            <w:r>
              <w:rPr>
                <w:sz w:val="18"/>
              </w:rPr>
              <w:lastRenderedPageBreak/>
              <w:t xml:space="preserve">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NAm"/>
              <w:tabs>
                <w:tab w:val="clear" w:pos="567"/>
                <w:tab w:val="left" w:pos="99"/>
              </w:tabs>
              <w:spacing w:before="60"/>
              <w:ind w:left="459" w:hanging="459"/>
              <w:rPr>
                <w:sz w:val="18"/>
              </w:rPr>
            </w:pPr>
          </w:p>
        </w:tc>
        <w:tc>
          <w:tcPr>
            <w:tcW w:w="456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56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56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56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56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520" w:type="dxa"/>
            <w:tcBorders>
              <w:bottom w:val="nil"/>
            </w:tcBorders>
          </w:tcPr>
          <w:p>
            <w:pPr>
              <w:pStyle w:val="yTableNAm"/>
              <w:tabs>
                <w:tab w:val="clear" w:pos="567"/>
                <w:tab w:val="left" w:pos="99"/>
              </w:tabs>
              <w:spacing w:before="60"/>
              <w:ind w:left="459" w:hanging="459"/>
              <w:rPr>
                <w:sz w:val="18"/>
              </w:rPr>
            </w:pPr>
            <w:r>
              <w:rPr>
                <w:sz w:val="18"/>
              </w:rPr>
              <w:lastRenderedPageBreak/>
              <w:tab/>
              <w:t>10.</w:t>
            </w:r>
            <w:r>
              <w:rPr>
                <w:sz w:val="18"/>
              </w:rPr>
              <w:tab/>
              <w:t>The lessee will carry on the business of publican and conduct the same in an orderly manner.</w:t>
            </w:r>
          </w:p>
        </w:tc>
        <w:tc>
          <w:tcPr>
            <w:tcW w:w="456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56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56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No. 81 of 1996 s. 151.]</w:t>
      </w:r>
    </w:p>
    <w:p>
      <w:pPr>
        <w:pStyle w:val="yScheduleHeading"/>
        <w:rPr>
          <w:rFonts w:eastAsia="MS Mincho"/>
        </w:rPr>
      </w:pPr>
      <w:bookmarkStart w:id="512" w:name="_Toc166683697"/>
      <w:bookmarkStart w:id="513" w:name="_Toc166684073"/>
      <w:bookmarkStart w:id="514" w:name="_Toc166684859"/>
      <w:bookmarkStart w:id="515" w:name="_Toc210120468"/>
      <w:bookmarkStart w:id="516" w:name="_Toc210130046"/>
      <w:r>
        <w:rPr>
          <w:rStyle w:val="CharSchNo"/>
          <w:rFonts w:eastAsia="MS Mincho"/>
        </w:rPr>
        <w:lastRenderedPageBreak/>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512"/>
      <w:bookmarkEnd w:id="513"/>
      <w:bookmarkEnd w:id="514"/>
      <w:bookmarkEnd w:id="515"/>
      <w:bookmarkEnd w:id="516"/>
    </w:p>
    <w:p>
      <w:pPr>
        <w:pStyle w:val="yShoulderClause"/>
        <w:rPr>
          <w:rFonts w:eastAsia="MS Mincho"/>
        </w:rPr>
      </w:pPr>
      <w:r>
        <w:rPr>
          <w:rFonts w:eastAsia="MS Mincho"/>
        </w:rPr>
        <w:t>[s. 115]</w:t>
      </w:r>
    </w:p>
    <w:p>
      <w:pPr>
        <w:pStyle w:val="yFootnoteheading"/>
      </w:pPr>
      <w:r>
        <w:rPr>
          <w:snapToGrid w:val="0"/>
        </w:rPr>
        <w:tab/>
        <w:t>[Heading inserted: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No. 81 of 1996 s. 151.]</w:t>
      </w:r>
    </w:p>
    <w:p>
      <w:pPr>
        <w:pStyle w:val="yScheduleHeading"/>
        <w:rPr>
          <w:rFonts w:eastAsia="MS Mincho"/>
        </w:rPr>
      </w:pPr>
      <w:bookmarkStart w:id="517" w:name="_Toc166683698"/>
      <w:bookmarkStart w:id="518" w:name="_Toc166684074"/>
      <w:bookmarkStart w:id="519" w:name="_Toc166684860"/>
      <w:bookmarkStart w:id="520" w:name="_Toc210120469"/>
      <w:bookmarkStart w:id="521" w:name="_Toc210130047"/>
      <w:r>
        <w:rPr>
          <w:rStyle w:val="CharSchNo"/>
          <w:rFonts w:eastAsia="MS Mincho"/>
        </w:rPr>
        <w:lastRenderedPageBreak/>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517"/>
      <w:bookmarkEnd w:id="518"/>
      <w:bookmarkEnd w:id="519"/>
      <w:bookmarkEnd w:id="520"/>
      <w:bookmarkEnd w:id="521"/>
    </w:p>
    <w:p>
      <w:pPr>
        <w:pStyle w:val="yShoulderClause"/>
        <w:rPr>
          <w:rFonts w:eastAsia="MS Mincho"/>
        </w:rPr>
      </w:pPr>
      <w:r>
        <w:rPr>
          <w:rFonts w:eastAsia="MS Mincho"/>
        </w:rPr>
        <w:t>[s. 143(1)]</w:t>
      </w:r>
    </w:p>
    <w:p>
      <w:pPr>
        <w:pStyle w:val="yFootnoteheading"/>
      </w:pPr>
      <w:r>
        <w:rPr>
          <w:snapToGrid w:val="0"/>
        </w:rPr>
        <w:tab/>
        <w:t>[Heading inserted: No. 19 of 2010 s. 38(12).]</w:t>
      </w:r>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lastRenderedPageBreak/>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rPr>
              <w:drawing>
                <wp:inline distT="0" distB="0" distL="0" distR="0">
                  <wp:extent cx="123825" cy="800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spacing w:val="-1"/>
                <w:sz w:val="14"/>
              </w:rPr>
            </w:pPr>
            <w:r>
              <w:rPr>
                <w:spacing w:val="-1"/>
                <w:position w:val="-10"/>
                <w:sz w:val="14"/>
              </w:rPr>
              <w:object w:dxaOrig="180" w:dyaOrig="340">
                <v:shape id="_x0000_i1027" type="#_x0000_t75" style="width:9pt;height:18.75pt" o:ole="" fillcolor="window">
                  <v:imagedata r:id="rId28" o:title=""/>
                </v:shape>
                <o:OLEObject Type="Embed" ProgID="Equation.3" ShapeID="_x0000_i1027" DrawAspect="Content" ObjectID="_1820751732" r:id="rId29"/>
              </w:obje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Gazette 24 Feb 1970 p. 544</w:t>
      </w:r>
      <w:r>
        <w:noBreakHyphen/>
        <w:t>5; amended: No. 31 of 1997 s. 133.]</w:t>
      </w:r>
    </w:p>
    <w:p>
      <w:pPr>
        <w:pStyle w:val="yEdnoteschedule"/>
      </w:pPr>
      <w:r>
        <w:t>[Twentieth to Twenty</w:t>
      </w:r>
      <w:r>
        <w:noBreakHyphen/>
        <w:t>third Schedules deleted: No. 81 of 1996 s. 151.]</w:t>
      </w:r>
    </w:p>
    <w:p>
      <w:pPr>
        <w:pStyle w:val="yHeading2"/>
        <w:pageBreakBefore/>
        <w:spacing w:before="0"/>
        <w:rPr>
          <w:rFonts w:eastAsia="MS Mincho"/>
        </w:rPr>
      </w:pPr>
      <w:bookmarkStart w:id="522" w:name="_Toc166683699"/>
      <w:bookmarkStart w:id="523" w:name="_Toc166684075"/>
      <w:bookmarkStart w:id="524" w:name="_Toc166684861"/>
      <w:bookmarkStart w:id="525" w:name="_Toc210120470"/>
      <w:bookmarkStart w:id="526" w:name="_Toc210130048"/>
      <w:r>
        <w:rPr>
          <w:rStyle w:val="CharSchNo"/>
          <w:rFonts w:eastAsia="MS Mincho"/>
        </w:rPr>
        <w:lastRenderedPageBreak/>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522"/>
      <w:bookmarkEnd w:id="523"/>
      <w:bookmarkEnd w:id="524"/>
      <w:bookmarkEnd w:id="525"/>
      <w:bookmarkEnd w:id="526"/>
    </w:p>
    <w:p>
      <w:pPr>
        <w:pStyle w:val="yShoulderClause"/>
        <w:rPr>
          <w:rFonts w:eastAsia="MS Mincho"/>
        </w:rPr>
      </w:pPr>
      <w:r>
        <w:rPr>
          <w:rFonts w:eastAsia="MS Mincho"/>
        </w:rPr>
        <w:t>[s. 172]</w:t>
      </w:r>
    </w:p>
    <w:p>
      <w:pPr>
        <w:pStyle w:val="yFootnoteheading"/>
        <w:spacing w:before="40"/>
      </w:pPr>
      <w:r>
        <w:rPr>
          <w:snapToGrid w:val="0"/>
        </w:rPr>
        <w:tab/>
        <w:t>[Heading inserted: No. 19 of 2010 s. 38(13).]</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spacing w:before="100"/>
        <w:ind w:left="357" w:hanging="357"/>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spacing w:before="100"/>
        <w:ind w:left="357" w:hanging="357"/>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spacing w:before="100"/>
        <w:ind w:left="357" w:hanging="357"/>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spacing w:before="100"/>
        <w:ind w:left="357" w:hanging="357"/>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spacing w:before="100"/>
        <w:ind w:left="357" w:hanging="357"/>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spacing w:before="100"/>
        <w:ind w:left="357" w:hanging="357"/>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keepNext/>
        <w:keepLines/>
        <w:tabs>
          <w:tab w:val="left" w:pos="360"/>
        </w:tabs>
        <w:spacing w:before="100"/>
        <w:ind w:left="357" w:hanging="357"/>
        <w:rPr>
          <w:snapToGrid w:val="0"/>
        </w:rPr>
      </w:pPr>
      <w:r>
        <w:rPr>
          <w:snapToGrid w:val="0"/>
        </w:rPr>
        <w:lastRenderedPageBreak/>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spacing w:before="380"/>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w:t>
      </w:r>
      <w:r>
        <w:rPr>
          <w:snapToGrid w:val="0"/>
        </w:rPr>
        <w:lastRenderedPageBreak/>
        <w:t xml:space="preserve">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No. 81 of 1996 s. 145(2); No. 6 of 2003 s. 84.]</w:t>
      </w:r>
    </w:p>
    <w:p>
      <w:pPr>
        <w:pStyle w:val="yEdnoteschedule"/>
      </w:pPr>
      <w:r>
        <w:t>[Twenty-fifth Schedule deleted: No. 2 of 2014 s. 95.]</w:t>
      </w:r>
    </w:p>
    <w:p>
      <w:pPr>
        <w:pStyle w:val="yScheduleHeading"/>
      </w:pPr>
      <w:bookmarkStart w:id="527" w:name="_Toc166683700"/>
      <w:bookmarkStart w:id="528" w:name="_Toc166684076"/>
      <w:bookmarkStart w:id="529" w:name="_Toc166684862"/>
      <w:bookmarkStart w:id="530" w:name="_Toc210120471"/>
      <w:bookmarkStart w:id="531" w:name="_Toc210130049"/>
      <w:r>
        <w:rPr>
          <w:rStyle w:val="CharSchNo"/>
        </w:rPr>
        <w:lastRenderedPageBreak/>
        <w:t>Twenty</w:t>
      </w:r>
      <w:r>
        <w:rPr>
          <w:rStyle w:val="CharSchNo"/>
        </w:rPr>
        <w:noBreakHyphen/>
        <w:t>sixth Schedule</w:t>
      </w:r>
      <w:r>
        <w:rPr>
          <w:rStyle w:val="CharSDivNo"/>
        </w:rPr>
        <w:t> </w:t>
      </w:r>
      <w:r>
        <w:t>—</w:t>
      </w:r>
      <w:r>
        <w:rPr>
          <w:rStyle w:val="CharSDivText"/>
        </w:rPr>
        <w:t> </w:t>
      </w:r>
      <w:r>
        <w:rPr>
          <w:rStyle w:val="CharSchText"/>
        </w:rPr>
        <w:t>General conditions of sale</w:t>
      </w:r>
      <w:bookmarkEnd w:id="527"/>
      <w:bookmarkEnd w:id="528"/>
      <w:bookmarkEnd w:id="529"/>
      <w:bookmarkEnd w:id="530"/>
      <w:bookmarkEnd w:id="531"/>
    </w:p>
    <w:p>
      <w:pPr>
        <w:pStyle w:val="yShoulderClause"/>
      </w:pPr>
      <w:r>
        <w:t>[s. 237]</w:t>
      </w:r>
    </w:p>
    <w:p>
      <w:pPr>
        <w:pStyle w:val="yFootnoteheading"/>
      </w:pPr>
      <w:r>
        <w:rPr>
          <w:snapToGrid w:val="0"/>
        </w:rPr>
        <w:tab/>
        <w:t>[Heading inserted: No. 19 of 2010 s. 38(15).]</w:t>
      </w:r>
    </w:p>
    <w:p>
      <w:pPr>
        <w:pStyle w:val="yMiscellaneousHeading"/>
        <w:rPr>
          <w:b/>
          <w:bCs/>
        </w:rPr>
      </w:pPr>
      <w:r>
        <w:rPr>
          <w:b/>
          <w:bCs/>
        </w:rPr>
        <w:t>Table A</w:t>
      </w:r>
    </w:p>
    <w:p>
      <w:pPr>
        <w:pStyle w:val="yFootnoteheading"/>
      </w:pPr>
      <w:r>
        <w:rPr>
          <w:snapToGrid w:val="0"/>
        </w:rPr>
        <w:tab/>
        <w:t>[Heading inserted: No. 19 of 2010 s. 38(15).]</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 xml:space="preserve">In case the purchaser shall within the time aforesaid make any objection to or requisition on the title or otherwise which the vendor shall be unable or </w:t>
      </w:r>
      <w:r>
        <w:rPr>
          <w:snapToGrid w:val="0"/>
        </w:rPr>
        <w:lastRenderedPageBreak/>
        <w:t>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 xml:space="preserve">paying unto such defaulter within 7 days after the completion of the sale </w:t>
      </w:r>
      <w:r>
        <w:rPr>
          <w:snapToGrid w:val="0"/>
        </w:rPr>
        <w:lastRenderedPageBreak/>
        <w:t>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No. 113 of 1965 s. 8; No. 12 of 2008 Sch. 1 cl. 38(2).]</w:t>
      </w:r>
    </w:p>
    <w:p>
      <w:pPr>
        <w:pStyle w:val="yEdnoteschedule"/>
      </w:pPr>
      <w:r>
        <w:t>[Twenty</w:t>
      </w:r>
      <w:r>
        <w:noBreakHyphen/>
        <w:t>seventh Schedule deleted: No. 25 of 1909 s. 2.]</w:t>
      </w:r>
    </w:p>
    <w:p>
      <w:pPr>
        <w:pStyle w:val="yScheduleHeading"/>
      </w:pPr>
      <w:bookmarkStart w:id="532" w:name="_Toc166683701"/>
      <w:bookmarkStart w:id="533" w:name="_Toc166684077"/>
      <w:bookmarkStart w:id="534" w:name="_Toc166684863"/>
      <w:bookmarkStart w:id="535" w:name="_Toc210120472"/>
      <w:bookmarkStart w:id="536" w:name="_Toc210130050"/>
      <w:r>
        <w:rPr>
          <w:rStyle w:val="CharSchNo"/>
        </w:rPr>
        <w:lastRenderedPageBreak/>
        <w:t>Twenty</w:t>
      </w:r>
      <w:r>
        <w:rPr>
          <w:rStyle w:val="CharSchNo"/>
        </w:rPr>
        <w:noBreakHyphen/>
        <w:t>eighth Schedule</w:t>
      </w:r>
      <w:r>
        <w:rPr>
          <w:rStyle w:val="CharSDivNo"/>
        </w:rPr>
        <w:t> </w:t>
      </w:r>
      <w:r>
        <w:t>—</w:t>
      </w:r>
      <w:r>
        <w:rPr>
          <w:rStyle w:val="CharSDivText"/>
        </w:rPr>
        <w:t xml:space="preserve"> </w:t>
      </w:r>
      <w:r>
        <w:rPr>
          <w:rStyle w:val="CharSchText"/>
        </w:rPr>
        <w:t>Application to register Crown lease</w:t>
      </w:r>
      <w:bookmarkEnd w:id="532"/>
      <w:bookmarkEnd w:id="533"/>
      <w:bookmarkEnd w:id="534"/>
      <w:bookmarkEnd w:id="535"/>
      <w:bookmarkEnd w:id="536"/>
    </w:p>
    <w:p>
      <w:pPr>
        <w:pStyle w:val="yShoulderClause"/>
      </w:pPr>
      <w:r>
        <w:t>[s. 81B]</w:t>
      </w:r>
    </w:p>
    <w:p>
      <w:pPr>
        <w:pStyle w:val="yFootnoteheading"/>
      </w:pPr>
      <w:r>
        <w:rPr>
          <w:snapToGrid w:val="0"/>
        </w:rPr>
        <w:tab/>
        <w:t>[Heading inserted: No. 19 of 2010 s. 38(16).]</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eighth Schedule inserted: No. 54 of 1909 s. 19 (as amended: No. 17 of 1950 s. 75); amended: No. 24 of 2005 s. 63.]</w:t>
      </w:r>
    </w:p>
    <w:p>
      <w:pPr>
        <w:pStyle w:val="yEdnoteschedule"/>
      </w:pPr>
      <w:r>
        <w:t>[Schedule titled The Last Schedule deleted: No. 17 of 1950 s. 74.]</w:t>
      </w:r>
    </w:p>
    <w:p>
      <w:pPr>
        <w:pStyle w:val="CentredBaseLine"/>
        <w:jc w:val="center"/>
      </w:pPr>
      <w:r>
        <w:rPr>
          <w:noProof/>
        </w:rPr>
        <w:drawing>
          <wp:inline distT="0" distB="0" distL="0" distR="0">
            <wp:extent cx="933450" cy="171450"/>
            <wp:effectExtent l="0" t="0" r="0" b="0"/>
            <wp:docPr id="19" name="Picture 1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pgSz w:w="11907" w:h="16840" w:code="9"/>
          <w:pgMar w:top="2381" w:right="2409" w:bottom="3543" w:left="2409" w:header="720" w:footer="3544" w:gutter="0"/>
          <w:cols w:space="720"/>
          <w:noEndnote/>
          <w:docGrid w:linePitch="326"/>
        </w:sectPr>
      </w:pPr>
    </w:p>
    <w:p>
      <w:pPr>
        <w:pStyle w:val="nHeading2"/>
      </w:pPr>
      <w:bookmarkStart w:id="538" w:name="_Toc166683702"/>
      <w:bookmarkStart w:id="539" w:name="_Toc166684078"/>
      <w:bookmarkStart w:id="540" w:name="_Toc166684864"/>
      <w:bookmarkStart w:id="541" w:name="_Toc210120473"/>
      <w:bookmarkStart w:id="542" w:name="_Toc210130051"/>
      <w:r>
        <w:lastRenderedPageBreak/>
        <w:t>Notes</w:t>
      </w:r>
      <w:bookmarkEnd w:id="538"/>
      <w:bookmarkEnd w:id="539"/>
      <w:bookmarkEnd w:id="540"/>
      <w:bookmarkEnd w:id="541"/>
      <w:bookmarkEnd w:id="542"/>
    </w:p>
    <w:p>
      <w:pPr>
        <w:pStyle w:val="nStatement"/>
      </w:pPr>
      <w:r>
        <w:t xml:space="preserve">This is a compilation of the </w:t>
      </w:r>
      <w:r>
        <w:rPr>
          <w:i/>
          <w:noProof/>
        </w:rPr>
        <w:t>Transfer of Land Act 1893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43" w:name="_Toc210130052"/>
      <w:r>
        <w:t>Compilation table</w:t>
      </w:r>
      <w:bookmarkEnd w:id="543"/>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0"/>
        <w:gridCol w:w="1139"/>
        <w:gridCol w:w="1134"/>
        <w:gridCol w:w="16"/>
        <w:gridCol w:w="2532"/>
        <w:gridCol w:w="25"/>
      </w:tblGrid>
      <w:tr>
        <w:trPr>
          <w:gridAfter w:val="1"/>
          <w:wAfter w:w="25" w:type="dxa"/>
          <w:tblHeader/>
        </w:trPr>
        <w:tc>
          <w:tcPr>
            <w:tcW w:w="2270"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8"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The Transfer of Land Act 1893</w:t>
            </w:r>
          </w:p>
        </w:tc>
        <w:tc>
          <w:tcPr>
            <w:tcW w:w="1139" w:type="dxa"/>
          </w:tcPr>
          <w:p>
            <w:pPr>
              <w:pStyle w:val="nTable"/>
              <w:spacing w:after="40"/>
            </w:pPr>
            <w:r>
              <w:t>1893 (56 Vict. No. 14)</w:t>
            </w:r>
          </w:p>
        </w:tc>
        <w:tc>
          <w:tcPr>
            <w:tcW w:w="1134" w:type="dxa"/>
          </w:tcPr>
          <w:p>
            <w:pPr>
              <w:pStyle w:val="nTable"/>
              <w:spacing w:after="40"/>
            </w:pPr>
            <w:r>
              <w:t>13 Jan 1893</w:t>
            </w:r>
          </w:p>
        </w:tc>
        <w:tc>
          <w:tcPr>
            <w:tcW w:w="2548" w:type="dxa"/>
            <w:gridSpan w:val="2"/>
          </w:tcPr>
          <w:p>
            <w:pPr>
              <w:pStyle w:val="nTable"/>
              <w:spacing w:after="40"/>
            </w:pPr>
            <w:r>
              <w:t>13 Jan 1893</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1893 Amendment Act 1896 </w:t>
            </w:r>
            <w:r>
              <w:rPr>
                <w:vertAlign w:val="superscript"/>
              </w:rPr>
              <w:t>12</w:t>
            </w:r>
          </w:p>
        </w:tc>
        <w:tc>
          <w:tcPr>
            <w:tcW w:w="1139" w:type="dxa"/>
          </w:tcPr>
          <w:p>
            <w:pPr>
              <w:pStyle w:val="nTable"/>
              <w:spacing w:after="40"/>
            </w:pPr>
            <w:r>
              <w:t>1896 (60 Vict. No. 22) (as amended by No. 17 of 1950 s. 75)</w:t>
            </w:r>
          </w:p>
        </w:tc>
        <w:tc>
          <w:tcPr>
            <w:tcW w:w="1134" w:type="dxa"/>
          </w:tcPr>
          <w:p>
            <w:pPr>
              <w:pStyle w:val="nTable"/>
              <w:spacing w:after="40"/>
            </w:pPr>
            <w:r>
              <w:t>27 Oct 1896</w:t>
            </w:r>
          </w:p>
        </w:tc>
        <w:tc>
          <w:tcPr>
            <w:tcW w:w="2548" w:type="dxa"/>
            <w:gridSpan w:val="2"/>
          </w:tcPr>
          <w:p>
            <w:pPr>
              <w:pStyle w:val="nTable"/>
              <w:spacing w:after="40"/>
            </w:pPr>
            <w:r>
              <w:t>27 Oct 1896</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Criminal Code Act 1902</w:t>
            </w:r>
            <w:r>
              <w:t xml:space="preserve"> s. 3</w:t>
            </w:r>
          </w:p>
        </w:tc>
        <w:tc>
          <w:tcPr>
            <w:tcW w:w="1139" w:type="dxa"/>
          </w:tcPr>
          <w:p>
            <w:pPr>
              <w:pStyle w:val="nTable"/>
              <w:spacing w:after="40"/>
            </w:pPr>
            <w:r>
              <w:t>1902 (1 &amp; 2 Edw. VII No. 14)</w:t>
            </w:r>
          </w:p>
        </w:tc>
        <w:tc>
          <w:tcPr>
            <w:tcW w:w="1134" w:type="dxa"/>
          </w:tcPr>
          <w:p>
            <w:pPr>
              <w:pStyle w:val="nTable"/>
              <w:spacing w:after="40"/>
            </w:pPr>
            <w:r>
              <w:t>19 Feb 1902</w:t>
            </w:r>
          </w:p>
        </w:tc>
        <w:tc>
          <w:tcPr>
            <w:tcW w:w="2548" w:type="dxa"/>
            <w:gridSpan w:val="2"/>
          </w:tcPr>
          <w:p>
            <w:pPr>
              <w:pStyle w:val="nTable"/>
              <w:spacing w:after="40"/>
            </w:pPr>
            <w:r>
              <w:t>1 May 1902 (see s. 2 and 3)</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1902 </w:t>
            </w:r>
            <w:r>
              <w:rPr>
                <w:vertAlign w:val="superscript"/>
              </w:rPr>
              <w:t>12</w:t>
            </w:r>
          </w:p>
        </w:tc>
        <w:tc>
          <w:tcPr>
            <w:tcW w:w="1139" w:type="dxa"/>
          </w:tcPr>
          <w:p>
            <w:pPr>
              <w:pStyle w:val="nTable"/>
              <w:spacing w:after="40"/>
            </w:pPr>
            <w:r>
              <w:t>1902 (2 Edw. VII No. 10) (as amended by No. 17 of 1950 s. 75)</w:t>
            </w:r>
          </w:p>
        </w:tc>
        <w:tc>
          <w:tcPr>
            <w:tcW w:w="1134" w:type="dxa"/>
          </w:tcPr>
          <w:p>
            <w:pPr>
              <w:pStyle w:val="nTable"/>
              <w:spacing w:after="40"/>
            </w:pPr>
            <w:r>
              <w:t>18 Nov 1902</w:t>
            </w:r>
          </w:p>
        </w:tc>
        <w:tc>
          <w:tcPr>
            <w:tcW w:w="2548" w:type="dxa"/>
            <w:gridSpan w:val="2"/>
          </w:tcPr>
          <w:p>
            <w:pPr>
              <w:pStyle w:val="nTable"/>
              <w:spacing w:after="40"/>
            </w:pPr>
            <w:r>
              <w:t>18 Nov 1902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Stamp Act Amendment Act 1905 </w:t>
            </w:r>
            <w:r>
              <w:t>s. 20</w:t>
            </w:r>
          </w:p>
        </w:tc>
        <w:tc>
          <w:tcPr>
            <w:tcW w:w="1139" w:type="dxa"/>
          </w:tcPr>
          <w:p>
            <w:pPr>
              <w:pStyle w:val="nTable"/>
              <w:spacing w:after="40"/>
            </w:pPr>
            <w:r>
              <w:t>20 of 1905 (5 Edw. VII No. 20)</w:t>
            </w:r>
          </w:p>
        </w:tc>
        <w:tc>
          <w:tcPr>
            <w:tcW w:w="1134" w:type="dxa"/>
          </w:tcPr>
          <w:p>
            <w:pPr>
              <w:pStyle w:val="nTable"/>
              <w:spacing w:after="40"/>
            </w:pPr>
            <w:r>
              <w:t>23 Dec 1905</w:t>
            </w:r>
          </w:p>
        </w:tc>
        <w:tc>
          <w:tcPr>
            <w:tcW w:w="2548" w:type="dxa"/>
            <w:gridSpan w:val="2"/>
          </w:tcPr>
          <w:p>
            <w:pPr>
              <w:pStyle w:val="nTable"/>
              <w:spacing w:after="40"/>
            </w:pPr>
            <w:r>
              <w:t>1 Jan 1906 (see s. 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Licensed Surveyors Act 1909 </w:t>
            </w:r>
            <w:r>
              <w:t>s. 28 and 29</w:t>
            </w:r>
          </w:p>
        </w:tc>
        <w:tc>
          <w:tcPr>
            <w:tcW w:w="1139" w:type="dxa"/>
          </w:tcPr>
          <w:p>
            <w:pPr>
              <w:pStyle w:val="nTable"/>
              <w:spacing w:after="40"/>
            </w:pPr>
            <w:r>
              <w:t>25 of 1909 (9 Edw. VII No. 21)</w:t>
            </w:r>
          </w:p>
        </w:tc>
        <w:tc>
          <w:tcPr>
            <w:tcW w:w="1134" w:type="dxa"/>
          </w:tcPr>
          <w:p>
            <w:pPr>
              <w:pStyle w:val="nTable"/>
              <w:spacing w:after="40"/>
            </w:pPr>
            <w:r>
              <w:t>29 Oct 1909</w:t>
            </w:r>
          </w:p>
        </w:tc>
        <w:tc>
          <w:tcPr>
            <w:tcW w:w="2548" w:type="dxa"/>
            <w:gridSpan w:val="2"/>
          </w:tcPr>
          <w:p>
            <w:pPr>
              <w:pStyle w:val="nTable"/>
              <w:spacing w:after="40"/>
            </w:pPr>
            <w:r>
              <w:t>1 Jan 1910 (see s. 1)</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1909 </w:t>
            </w:r>
            <w:r>
              <w:rPr>
                <w:vertAlign w:val="superscript"/>
              </w:rPr>
              <w:t>13</w:t>
            </w:r>
          </w:p>
        </w:tc>
        <w:tc>
          <w:tcPr>
            <w:tcW w:w="1139" w:type="dxa"/>
          </w:tcPr>
          <w:p>
            <w:pPr>
              <w:pStyle w:val="nTable"/>
              <w:widowControl w:val="0"/>
              <w:spacing w:after="40"/>
            </w:pPr>
            <w:r>
              <w:t>54 of 1909 (9 Edw. VII No. 50) (as amended by No. 28 of 1944 s. 3; No. 17 of 1950 s. 75)</w:t>
            </w:r>
          </w:p>
        </w:tc>
        <w:tc>
          <w:tcPr>
            <w:tcW w:w="1134" w:type="dxa"/>
          </w:tcPr>
          <w:p>
            <w:pPr>
              <w:pStyle w:val="nTable"/>
              <w:spacing w:after="40"/>
            </w:pPr>
            <w:r>
              <w:t>21 Dec 1909</w:t>
            </w:r>
          </w:p>
        </w:tc>
        <w:tc>
          <w:tcPr>
            <w:tcW w:w="2548" w:type="dxa"/>
            <w:gridSpan w:val="2"/>
          </w:tcPr>
          <w:p>
            <w:pPr>
              <w:pStyle w:val="nTable"/>
              <w:spacing w:after="40"/>
            </w:pPr>
            <w:r>
              <w:t xml:space="preserve">2 May 1910 (see s. 1 and </w:t>
            </w:r>
            <w:r>
              <w:rPr>
                <w:i/>
              </w:rPr>
              <w:t>Gazette</w:t>
            </w:r>
            <w:r>
              <w:t xml:space="preserve"> 4 Mar 1910 p. 649)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lastRenderedPageBreak/>
              <w:t>Transfer of Land Act Amendment Act 1911 </w:t>
            </w:r>
            <w:r>
              <w:rPr>
                <w:vertAlign w:val="superscript"/>
              </w:rPr>
              <w:t>12</w:t>
            </w:r>
          </w:p>
        </w:tc>
        <w:tc>
          <w:tcPr>
            <w:tcW w:w="1139" w:type="dxa"/>
          </w:tcPr>
          <w:p>
            <w:pPr>
              <w:pStyle w:val="nTable"/>
              <w:spacing w:after="40"/>
            </w:pPr>
            <w:r>
              <w:t>26 of 1911 (1 Geo. V No. 37) (as amended by No. 17 of 1950 s. 75)</w:t>
            </w:r>
          </w:p>
        </w:tc>
        <w:tc>
          <w:tcPr>
            <w:tcW w:w="1134" w:type="dxa"/>
          </w:tcPr>
          <w:p>
            <w:pPr>
              <w:pStyle w:val="nTable"/>
              <w:spacing w:after="40"/>
            </w:pPr>
            <w:r>
              <w:t>16 Feb 1911</w:t>
            </w:r>
          </w:p>
        </w:tc>
        <w:tc>
          <w:tcPr>
            <w:tcW w:w="2548" w:type="dxa"/>
            <w:gridSpan w:val="2"/>
          </w:tcPr>
          <w:p>
            <w:pPr>
              <w:pStyle w:val="nTable"/>
              <w:spacing w:after="40"/>
            </w:pPr>
            <w:r>
              <w:t>16 Feb 1911</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1917</w:t>
            </w:r>
          </w:p>
        </w:tc>
        <w:tc>
          <w:tcPr>
            <w:tcW w:w="1139" w:type="dxa"/>
          </w:tcPr>
          <w:p>
            <w:pPr>
              <w:pStyle w:val="nTable"/>
              <w:spacing w:after="40"/>
            </w:pPr>
            <w:r>
              <w:t>32 of 1917 (8 Geo. V No. 13)</w:t>
            </w:r>
          </w:p>
        </w:tc>
        <w:tc>
          <w:tcPr>
            <w:tcW w:w="1134" w:type="dxa"/>
          </w:tcPr>
          <w:p>
            <w:pPr>
              <w:pStyle w:val="nTable"/>
              <w:spacing w:after="40"/>
            </w:pPr>
            <w:r>
              <w:t>11 Dec 1917</w:t>
            </w:r>
          </w:p>
        </w:tc>
        <w:tc>
          <w:tcPr>
            <w:tcW w:w="2548" w:type="dxa"/>
            <w:gridSpan w:val="2"/>
          </w:tcPr>
          <w:p>
            <w:pPr>
              <w:pStyle w:val="nTable"/>
              <w:spacing w:after="40"/>
            </w:pPr>
            <w:r>
              <w:t>11 Dec 1917</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1920</w:t>
            </w:r>
          </w:p>
        </w:tc>
        <w:tc>
          <w:tcPr>
            <w:tcW w:w="1139" w:type="dxa"/>
          </w:tcPr>
          <w:p>
            <w:pPr>
              <w:pStyle w:val="nTable"/>
              <w:spacing w:after="40"/>
            </w:pPr>
            <w:r>
              <w:t>30 of 1920 (11 Geo. V No. 30)</w:t>
            </w:r>
          </w:p>
        </w:tc>
        <w:tc>
          <w:tcPr>
            <w:tcW w:w="1134" w:type="dxa"/>
          </w:tcPr>
          <w:p>
            <w:pPr>
              <w:pStyle w:val="nTable"/>
              <w:spacing w:after="40"/>
            </w:pPr>
            <w:r>
              <w:t>31 Dec 1920</w:t>
            </w:r>
          </w:p>
        </w:tc>
        <w:tc>
          <w:tcPr>
            <w:tcW w:w="2548" w:type="dxa"/>
            <w:gridSpan w:val="2"/>
          </w:tcPr>
          <w:p>
            <w:pPr>
              <w:pStyle w:val="nTable"/>
              <w:spacing w:after="40"/>
            </w:pPr>
            <w:r>
              <w:t>31 Dec 1920</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1925</w:t>
            </w:r>
          </w:p>
        </w:tc>
        <w:tc>
          <w:tcPr>
            <w:tcW w:w="1139" w:type="dxa"/>
          </w:tcPr>
          <w:p>
            <w:pPr>
              <w:pStyle w:val="nTable"/>
              <w:spacing w:after="40"/>
            </w:pPr>
            <w:r>
              <w:t>5 of 1925 (16 Geo. V No. 5)</w:t>
            </w:r>
          </w:p>
        </w:tc>
        <w:tc>
          <w:tcPr>
            <w:tcW w:w="1134" w:type="dxa"/>
          </w:tcPr>
          <w:p>
            <w:pPr>
              <w:pStyle w:val="nTable"/>
              <w:spacing w:after="40"/>
            </w:pPr>
            <w:r>
              <w:t>24 Sep 1925</w:t>
            </w:r>
          </w:p>
        </w:tc>
        <w:tc>
          <w:tcPr>
            <w:tcW w:w="2548"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1929 </w:t>
            </w:r>
            <w:r>
              <w:rPr>
                <w:vertAlign w:val="superscript"/>
              </w:rPr>
              <w:t>12</w:t>
            </w:r>
          </w:p>
        </w:tc>
        <w:tc>
          <w:tcPr>
            <w:tcW w:w="1139" w:type="dxa"/>
          </w:tcPr>
          <w:p>
            <w:pPr>
              <w:pStyle w:val="nTable"/>
              <w:spacing w:after="40"/>
            </w:pPr>
            <w:r>
              <w:t>14 of 1929 (20 Geo. V No. 12) (as amended by No. 17 of 1950 s. 75)</w:t>
            </w:r>
          </w:p>
        </w:tc>
        <w:tc>
          <w:tcPr>
            <w:tcW w:w="1134" w:type="dxa"/>
          </w:tcPr>
          <w:p>
            <w:pPr>
              <w:pStyle w:val="nTable"/>
              <w:spacing w:after="40"/>
            </w:pPr>
            <w:r>
              <w:t>30 Oct 1929</w:t>
            </w:r>
          </w:p>
        </w:tc>
        <w:tc>
          <w:tcPr>
            <w:tcW w:w="2548" w:type="dxa"/>
            <w:gridSpan w:val="2"/>
          </w:tcPr>
          <w:p>
            <w:pPr>
              <w:pStyle w:val="nTable"/>
              <w:spacing w:after="40"/>
            </w:pPr>
            <w:r>
              <w:t>30 Oct 1929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1929 (No. 2) </w:t>
            </w:r>
            <w:r>
              <w:rPr>
                <w:vertAlign w:val="superscript"/>
              </w:rPr>
              <w:t>13</w:t>
            </w:r>
          </w:p>
        </w:tc>
        <w:tc>
          <w:tcPr>
            <w:tcW w:w="1139" w:type="dxa"/>
          </w:tcPr>
          <w:p>
            <w:pPr>
              <w:pStyle w:val="nTable"/>
              <w:spacing w:after="40"/>
            </w:pPr>
            <w:r>
              <w:t>42 of 1929 (20 Geo. V No. 41) (as amended by No. 17 of 1950 s. 75)</w:t>
            </w:r>
          </w:p>
        </w:tc>
        <w:tc>
          <w:tcPr>
            <w:tcW w:w="1134" w:type="dxa"/>
          </w:tcPr>
          <w:p>
            <w:pPr>
              <w:pStyle w:val="nTable"/>
              <w:spacing w:after="40"/>
            </w:pPr>
            <w:r>
              <w:t>31 Dec 1929</w:t>
            </w:r>
          </w:p>
        </w:tc>
        <w:tc>
          <w:tcPr>
            <w:tcW w:w="2548" w:type="dxa"/>
            <w:gridSpan w:val="2"/>
          </w:tcPr>
          <w:p>
            <w:pPr>
              <w:pStyle w:val="nTable"/>
              <w:spacing w:after="40"/>
            </w:pPr>
            <w:r>
              <w:t>31 Dec 1929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1939</w:t>
            </w:r>
          </w:p>
        </w:tc>
        <w:tc>
          <w:tcPr>
            <w:tcW w:w="1139" w:type="dxa"/>
          </w:tcPr>
          <w:p>
            <w:pPr>
              <w:pStyle w:val="nTable"/>
              <w:spacing w:after="40"/>
            </w:pPr>
            <w:r>
              <w:t>23 of 1939 (3 Geo. VI No. 23)</w:t>
            </w:r>
          </w:p>
        </w:tc>
        <w:tc>
          <w:tcPr>
            <w:tcW w:w="1134" w:type="dxa"/>
          </w:tcPr>
          <w:p>
            <w:pPr>
              <w:pStyle w:val="nTable"/>
              <w:spacing w:after="40"/>
            </w:pPr>
            <w:r>
              <w:t>22 Nov 1939</w:t>
            </w:r>
          </w:p>
        </w:tc>
        <w:tc>
          <w:tcPr>
            <w:tcW w:w="2548" w:type="dxa"/>
            <w:gridSpan w:val="2"/>
          </w:tcPr>
          <w:p>
            <w:pPr>
              <w:pStyle w:val="nTable"/>
              <w:spacing w:after="40"/>
            </w:pPr>
            <w:r>
              <w:t>22 Nov 1939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1944 </w:t>
            </w:r>
            <w:r>
              <w:rPr>
                <w:vertAlign w:val="superscript"/>
              </w:rPr>
              <w:t>12</w:t>
            </w:r>
          </w:p>
        </w:tc>
        <w:tc>
          <w:tcPr>
            <w:tcW w:w="1139" w:type="dxa"/>
          </w:tcPr>
          <w:p>
            <w:pPr>
              <w:pStyle w:val="nTable"/>
              <w:spacing w:after="40"/>
            </w:pPr>
            <w:r>
              <w:t>28 of 1944 (8 and 9 Geo. VI No. 28) (as amended by No. 17 of 1950 s. 75)</w:t>
            </w:r>
          </w:p>
        </w:tc>
        <w:tc>
          <w:tcPr>
            <w:tcW w:w="1134" w:type="dxa"/>
          </w:tcPr>
          <w:p>
            <w:pPr>
              <w:pStyle w:val="nTable"/>
              <w:spacing w:after="40"/>
            </w:pPr>
            <w:r>
              <w:t>23 Dec 1944</w:t>
            </w:r>
          </w:p>
        </w:tc>
        <w:tc>
          <w:tcPr>
            <w:tcW w:w="2548" w:type="dxa"/>
            <w:gridSpan w:val="2"/>
          </w:tcPr>
          <w:p>
            <w:pPr>
              <w:pStyle w:val="nTable"/>
              <w:spacing w:after="40"/>
            </w:pPr>
            <w:r>
              <w:t>23 Dec 1944</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1946 </w:t>
            </w:r>
            <w:r>
              <w:rPr>
                <w:vertAlign w:val="superscript"/>
              </w:rPr>
              <w:t>14</w:t>
            </w:r>
          </w:p>
        </w:tc>
        <w:tc>
          <w:tcPr>
            <w:tcW w:w="1139" w:type="dxa"/>
          </w:tcPr>
          <w:p>
            <w:pPr>
              <w:pStyle w:val="nTable"/>
              <w:spacing w:after="40"/>
            </w:pPr>
            <w:r>
              <w:t xml:space="preserve">6 of 1946 (10 Geo. VI No. 6) </w:t>
            </w:r>
          </w:p>
        </w:tc>
        <w:tc>
          <w:tcPr>
            <w:tcW w:w="1134" w:type="dxa"/>
          </w:tcPr>
          <w:p>
            <w:pPr>
              <w:pStyle w:val="nTable"/>
              <w:spacing w:after="40"/>
            </w:pPr>
            <w:r>
              <w:t>13 Nov 1946</w:t>
            </w:r>
          </w:p>
        </w:tc>
        <w:tc>
          <w:tcPr>
            <w:tcW w:w="2548" w:type="dxa"/>
            <w:gridSpan w:val="2"/>
          </w:tcPr>
          <w:p>
            <w:pPr>
              <w:pStyle w:val="nTable"/>
              <w:spacing w:after="40"/>
            </w:pPr>
            <w:r>
              <w:t>13 Nov 1946</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lastRenderedPageBreak/>
              <w:t>Transfer of Land Act Amendment Act 1946 (No. 2)</w:t>
            </w:r>
          </w:p>
        </w:tc>
        <w:tc>
          <w:tcPr>
            <w:tcW w:w="1139" w:type="dxa"/>
          </w:tcPr>
          <w:p>
            <w:pPr>
              <w:pStyle w:val="nTable"/>
              <w:spacing w:after="40"/>
            </w:pPr>
            <w:r>
              <w:t>21 of 1946 (10 and 11 Geo. VI No. 21)</w:t>
            </w:r>
          </w:p>
        </w:tc>
        <w:tc>
          <w:tcPr>
            <w:tcW w:w="1134" w:type="dxa"/>
          </w:tcPr>
          <w:p>
            <w:pPr>
              <w:pStyle w:val="nTable"/>
              <w:spacing w:after="40"/>
            </w:pPr>
            <w:r>
              <w:t>14 Jan 1947</w:t>
            </w:r>
          </w:p>
        </w:tc>
        <w:tc>
          <w:tcPr>
            <w:tcW w:w="2548" w:type="dxa"/>
            <w:gridSpan w:val="2"/>
          </w:tcPr>
          <w:p>
            <w:pPr>
              <w:pStyle w:val="nTable"/>
              <w:spacing w:after="40"/>
            </w:pPr>
            <w:r>
              <w:t>14 Jan 1947</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vertAlign w:val="superscript"/>
              </w:rPr>
            </w:pPr>
            <w:r>
              <w:rPr>
                <w:i/>
              </w:rPr>
              <w:t>Transfer of Land Act Amendment Act 1950 </w:t>
            </w:r>
            <w:r>
              <w:rPr>
                <w:vertAlign w:val="superscript"/>
              </w:rPr>
              <w:t>15</w:t>
            </w:r>
          </w:p>
        </w:tc>
        <w:tc>
          <w:tcPr>
            <w:tcW w:w="1139" w:type="dxa"/>
          </w:tcPr>
          <w:p>
            <w:pPr>
              <w:pStyle w:val="nTable"/>
              <w:spacing w:after="40"/>
            </w:pPr>
            <w:r>
              <w:t>17 of 1950 (14 Geo. VI No. 17)</w:t>
            </w:r>
          </w:p>
        </w:tc>
        <w:tc>
          <w:tcPr>
            <w:tcW w:w="1134" w:type="dxa"/>
          </w:tcPr>
          <w:p>
            <w:pPr>
              <w:pStyle w:val="nTable"/>
              <w:spacing w:after="40"/>
            </w:pPr>
            <w:r>
              <w:t>29 Nov 1950</w:t>
            </w:r>
          </w:p>
        </w:tc>
        <w:tc>
          <w:tcPr>
            <w:tcW w:w="2548" w:type="dxa"/>
            <w:gridSpan w:val="2"/>
          </w:tcPr>
          <w:p>
            <w:pPr>
              <w:pStyle w:val="nTable"/>
              <w:spacing w:after="40"/>
            </w:pPr>
            <w:r>
              <w:t xml:space="preserve">16 Mar 1951 (see s. 2 and </w:t>
            </w:r>
            <w:r>
              <w:rPr>
                <w:i/>
              </w:rPr>
              <w:t>Gazette</w:t>
            </w:r>
            <w:r>
              <w:t xml:space="preserve"> 16 Mar 1951 p. 567)</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of </w:t>
            </w:r>
            <w:r>
              <w:rPr>
                <w:b/>
                <w:i/>
              </w:rPr>
              <w:t>The Transfer of Land Act 1893</w:t>
            </w:r>
            <w:r>
              <w:rPr>
                <w:b/>
              </w:rPr>
              <w:t xml:space="preserve"> approved 7 Mar 1951 in Vol. 5 of Reprinted Acts</w:t>
            </w:r>
            <w:r>
              <w:t xml:space="preserve"> (includes amendments listed above except those in the </w:t>
            </w:r>
            <w:r>
              <w:rPr>
                <w:i/>
              </w:rPr>
              <w:t>Transfer of Land Act Amendment Act 1950</w:t>
            </w:r>
            <w:r>
              <w:t>)</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rPr>
              <w:t>Limitation Act 1935</w:t>
            </w:r>
            <w:r>
              <w:t xml:space="preserve"> s. 48A(1)</w:t>
            </w:r>
          </w:p>
        </w:tc>
        <w:tc>
          <w:tcPr>
            <w:tcW w:w="1139" w:type="dxa"/>
          </w:tcPr>
          <w:p>
            <w:pPr>
              <w:pStyle w:val="nTable"/>
              <w:spacing w:after="40"/>
            </w:pPr>
            <w:r>
              <w:t xml:space="preserve">35 of 1935 (26 Geo. V No. 35) </w:t>
            </w:r>
            <w:r>
              <w:br/>
              <w:t>(as amended by No. 73 of 1954 s. 8)</w:t>
            </w:r>
          </w:p>
        </w:tc>
        <w:tc>
          <w:tcPr>
            <w:tcW w:w="1134" w:type="dxa"/>
          </w:tcPr>
          <w:p>
            <w:pPr>
              <w:pStyle w:val="nTable"/>
              <w:keepNext/>
              <w:spacing w:after="40"/>
            </w:pPr>
            <w:r>
              <w:t>14 Jan 1955</w:t>
            </w:r>
          </w:p>
        </w:tc>
        <w:tc>
          <w:tcPr>
            <w:tcW w:w="2548" w:type="dxa"/>
            <w:gridSpan w:val="2"/>
          </w:tcPr>
          <w:p>
            <w:pPr>
              <w:pStyle w:val="nTable"/>
              <w:keepNext/>
              <w:spacing w:after="40"/>
            </w:pPr>
            <w:r>
              <w:t>Relevant amendments (see s. 48A and Second Sch.</w:t>
            </w:r>
            <w:r>
              <w:rPr>
                <w:vertAlign w:val="superscript"/>
              </w:rPr>
              <w:t> 16</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1959</w:t>
            </w:r>
          </w:p>
        </w:tc>
        <w:tc>
          <w:tcPr>
            <w:tcW w:w="1139" w:type="dxa"/>
          </w:tcPr>
          <w:p>
            <w:pPr>
              <w:pStyle w:val="nTable"/>
              <w:spacing w:after="40"/>
            </w:pPr>
            <w:r>
              <w:t>9 of 1959 (8 Eliz. II No. 9)</w:t>
            </w:r>
          </w:p>
        </w:tc>
        <w:tc>
          <w:tcPr>
            <w:tcW w:w="1134" w:type="dxa"/>
          </w:tcPr>
          <w:p>
            <w:pPr>
              <w:pStyle w:val="nTable"/>
              <w:spacing w:after="40"/>
            </w:pPr>
            <w:r>
              <w:t>25 Sep 1959</w:t>
            </w:r>
          </w:p>
        </w:tc>
        <w:tc>
          <w:tcPr>
            <w:tcW w:w="2548" w:type="dxa"/>
            <w:gridSpan w:val="2"/>
          </w:tcPr>
          <w:p>
            <w:pPr>
              <w:pStyle w:val="nTable"/>
              <w:spacing w:after="40"/>
            </w:pPr>
            <w:r>
              <w:t>25 Sep 1959</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of </w:t>
            </w:r>
            <w:r>
              <w:rPr>
                <w:b/>
                <w:i/>
              </w:rPr>
              <w:t>The Transfer of Land Act 1893</w:t>
            </w:r>
            <w:r>
              <w:rPr>
                <w:b/>
              </w:rPr>
              <w:t xml:space="preserve"> approved 5 Jul 1962 in Vol. 16 of Reprinted Acts</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Decimal Currency Act 1965</w:t>
            </w:r>
          </w:p>
        </w:tc>
        <w:tc>
          <w:tcPr>
            <w:tcW w:w="1139" w:type="dxa"/>
          </w:tcPr>
          <w:p>
            <w:pPr>
              <w:pStyle w:val="nTable"/>
              <w:spacing w:after="40"/>
            </w:pPr>
            <w:r>
              <w:t>113 of 1965</w:t>
            </w:r>
          </w:p>
        </w:tc>
        <w:tc>
          <w:tcPr>
            <w:tcW w:w="1134" w:type="dxa"/>
          </w:tcPr>
          <w:p>
            <w:pPr>
              <w:pStyle w:val="nTable"/>
              <w:spacing w:after="40"/>
            </w:pPr>
            <w:r>
              <w:t>21 Dec 1965</w:t>
            </w:r>
          </w:p>
        </w:tc>
        <w:tc>
          <w:tcPr>
            <w:tcW w:w="2548" w:type="dxa"/>
            <w:gridSpan w:val="2"/>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1969</w:t>
            </w:r>
          </w:p>
        </w:tc>
        <w:tc>
          <w:tcPr>
            <w:tcW w:w="1139" w:type="dxa"/>
          </w:tcPr>
          <w:p>
            <w:pPr>
              <w:pStyle w:val="nTable"/>
              <w:spacing w:after="40"/>
            </w:pPr>
            <w:r>
              <w:t>28 of 1969</w:t>
            </w:r>
          </w:p>
        </w:tc>
        <w:tc>
          <w:tcPr>
            <w:tcW w:w="1134" w:type="dxa"/>
          </w:tcPr>
          <w:p>
            <w:pPr>
              <w:pStyle w:val="nTable"/>
              <w:spacing w:after="40"/>
            </w:pPr>
            <w:r>
              <w:t>16 May 1969</w:t>
            </w:r>
          </w:p>
        </w:tc>
        <w:tc>
          <w:tcPr>
            <w:tcW w:w="2548" w:type="dxa"/>
            <w:gridSpan w:val="2"/>
          </w:tcPr>
          <w:p>
            <w:pPr>
              <w:pStyle w:val="nTable"/>
              <w:spacing w:after="40"/>
            </w:pPr>
            <w:r>
              <w:t>16 May 1969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(No. 3) 1969</w:t>
            </w:r>
          </w:p>
        </w:tc>
        <w:tc>
          <w:tcPr>
            <w:tcW w:w="1139" w:type="dxa"/>
          </w:tcPr>
          <w:p>
            <w:pPr>
              <w:pStyle w:val="nTable"/>
              <w:spacing w:after="40"/>
            </w:pPr>
            <w:r>
              <w:t>88 of 1969</w:t>
            </w:r>
          </w:p>
        </w:tc>
        <w:tc>
          <w:tcPr>
            <w:tcW w:w="1134" w:type="dxa"/>
          </w:tcPr>
          <w:p>
            <w:pPr>
              <w:pStyle w:val="nTable"/>
              <w:spacing w:after="40"/>
            </w:pPr>
            <w:r>
              <w:t>17 Nov 1969</w:t>
            </w:r>
          </w:p>
        </w:tc>
        <w:tc>
          <w:tcPr>
            <w:tcW w:w="2548" w:type="dxa"/>
            <w:gridSpan w:val="2"/>
          </w:tcPr>
          <w:p>
            <w:pPr>
              <w:pStyle w:val="nTable"/>
              <w:spacing w:after="40"/>
            </w:pPr>
            <w:r>
              <w:t>17 Nov 1969</w:t>
            </w:r>
          </w:p>
        </w:tc>
      </w:tr>
      <w:tr>
        <w:tblPrEx>
          <w:tblBorders>
            <w:top w:val="none" w:sz="0" w:space="0" w:color="auto"/>
            <w:bottom w:val="none" w:sz="0" w:space="0" w:color="auto"/>
            <w:insideH w:val="none" w:sz="0" w:space="0" w:color="auto"/>
          </w:tblBorders>
        </w:tblPrEx>
        <w:trPr>
          <w:gridAfter w:val="1"/>
          <w:wAfter w:w="25" w:type="dxa"/>
          <w:cantSplit/>
        </w:trPr>
        <w:tc>
          <w:tcPr>
            <w:tcW w:w="4543" w:type="dxa"/>
            <w:gridSpan w:val="3"/>
          </w:tcPr>
          <w:p>
            <w:pPr>
              <w:pStyle w:val="nTable"/>
              <w:spacing w:after="40"/>
            </w:pPr>
            <w:r>
              <w:t xml:space="preserve">Untitled regulations published in </w:t>
            </w:r>
            <w:r>
              <w:rPr>
                <w:i/>
              </w:rPr>
              <w:t xml:space="preserve">Gazette </w:t>
            </w:r>
            <w:r>
              <w:t>24 Feb 1970 p. 516</w:t>
            </w:r>
            <w:r>
              <w:noBreakHyphen/>
              <w:t>45</w:t>
            </w:r>
          </w:p>
        </w:tc>
        <w:tc>
          <w:tcPr>
            <w:tcW w:w="2548" w:type="dxa"/>
            <w:gridSpan w:val="2"/>
          </w:tcPr>
          <w:p>
            <w:pPr>
              <w:pStyle w:val="nTable"/>
              <w:spacing w:after="40"/>
            </w:pPr>
            <w:r>
              <w:t>24 Feb 1970</w:t>
            </w:r>
          </w:p>
        </w:tc>
      </w:tr>
      <w:tr>
        <w:tblPrEx>
          <w:tblBorders>
            <w:top w:val="none" w:sz="0" w:space="0" w:color="auto"/>
            <w:bottom w:val="none" w:sz="0" w:space="0" w:color="auto"/>
            <w:insideH w:val="none" w:sz="0" w:space="0" w:color="auto"/>
          </w:tblBorders>
        </w:tblPrEx>
        <w:trPr>
          <w:gridAfter w:val="1"/>
          <w:wAfter w:w="25" w:type="dxa"/>
          <w:cantSplit/>
        </w:trPr>
        <w:tc>
          <w:tcPr>
            <w:tcW w:w="4543" w:type="dxa"/>
            <w:gridSpan w:val="3"/>
          </w:tcPr>
          <w:p>
            <w:pPr>
              <w:pStyle w:val="nTable"/>
              <w:spacing w:after="40"/>
            </w:pPr>
            <w:r>
              <w:t xml:space="preserve">Untitled regulations published in </w:t>
            </w:r>
            <w:r>
              <w:rPr>
                <w:i/>
              </w:rPr>
              <w:t xml:space="preserve">Gazette </w:t>
            </w:r>
            <w:r>
              <w:t>8 Feb 1972 p. 244</w:t>
            </w:r>
          </w:p>
        </w:tc>
        <w:tc>
          <w:tcPr>
            <w:tcW w:w="2548" w:type="dxa"/>
            <w:gridSpan w:val="2"/>
          </w:tcPr>
          <w:p>
            <w:pPr>
              <w:pStyle w:val="nTable"/>
              <w:spacing w:after="40"/>
            </w:pPr>
            <w:r>
              <w:t>8 Feb 1972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Act Amendment Act 1972</w:t>
            </w:r>
          </w:p>
        </w:tc>
        <w:tc>
          <w:tcPr>
            <w:tcW w:w="1139" w:type="dxa"/>
          </w:tcPr>
          <w:p>
            <w:pPr>
              <w:pStyle w:val="nTable"/>
              <w:spacing w:after="40"/>
            </w:pPr>
            <w:r>
              <w:t>14 of 1972</w:t>
            </w:r>
          </w:p>
        </w:tc>
        <w:tc>
          <w:tcPr>
            <w:tcW w:w="1134" w:type="dxa"/>
          </w:tcPr>
          <w:p>
            <w:pPr>
              <w:pStyle w:val="nTable"/>
              <w:spacing w:after="40"/>
            </w:pPr>
            <w:r>
              <w:t>25 May 1972</w:t>
            </w:r>
          </w:p>
        </w:tc>
        <w:tc>
          <w:tcPr>
            <w:tcW w:w="2548" w:type="dxa"/>
            <w:gridSpan w:val="2"/>
          </w:tcPr>
          <w:p>
            <w:pPr>
              <w:pStyle w:val="nTable"/>
              <w:spacing w:after="40"/>
            </w:pPr>
            <w:r>
              <w:t>25 May 1972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Metric Conversion Act 1972</w:t>
            </w:r>
          </w:p>
        </w:tc>
        <w:tc>
          <w:tcPr>
            <w:tcW w:w="1139" w:type="dxa"/>
          </w:tcPr>
          <w:p>
            <w:pPr>
              <w:pStyle w:val="nTable"/>
              <w:spacing w:after="40"/>
            </w:pPr>
            <w:r>
              <w:t>94 of 1972</w:t>
            </w:r>
          </w:p>
        </w:tc>
        <w:tc>
          <w:tcPr>
            <w:tcW w:w="1134" w:type="dxa"/>
          </w:tcPr>
          <w:p>
            <w:pPr>
              <w:pStyle w:val="nTable"/>
              <w:spacing w:after="40"/>
            </w:pPr>
            <w:r>
              <w:t>4 Dec 1972</w:t>
            </w:r>
          </w:p>
        </w:tc>
        <w:tc>
          <w:tcPr>
            <w:tcW w:w="2548" w:type="dxa"/>
            <w:gridSpan w:val="2"/>
          </w:tcPr>
          <w:p>
            <w:pPr>
              <w:pStyle w:val="nTable"/>
              <w:spacing w:after="40"/>
            </w:pPr>
            <w:r>
              <w:t>Relevant amendments (see First Sch.</w:t>
            </w:r>
            <w:r>
              <w:rPr>
                <w:vertAlign w:val="superscript"/>
              </w:rPr>
              <w:t> 17</w:t>
            </w:r>
            <w:r>
              <w:t xml:space="preserve">) took effect on 1 Jan 1973 (see s. 4(2) and </w:t>
            </w:r>
            <w:r>
              <w:rPr>
                <w:i/>
              </w:rPr>
              <w:t>Gazette</w:t>
            </w:r>
            <w:r>
              <w:t xml:space="preserve"> 29 Dec 1972 p. 4811)</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lastRenderedPageBreak/>
              <w:t xml:space="preserve">Reprint of </w:t>
            </w:r>
            <w:r>
              <w:rPr>
                <w:b/>
                <w:i/>
              </w:rPr>
              <w:t>The Transfer of Land Act 1893</w:t>
            </w:r>
            <w:r>
              <w:rPr>
                <w:b/>
              </w:rPr>
              <w:t xml:space="preserve"> approved 7 Jul 1975</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Acts Amendment (Land Valuers) Act 1978 </w:t>
            </w:r>
            <w:r>
              <w:t>Pt. I and II</w:t>
            </w:r>
          </w:p>
        </w:tc>
        <w:tc>
          <w:tcPr>
            <w:tcW w:w="1139" w:type="dxa"/>
          </w:tcPr>
          <w:p>
            <w:pPr>
              <w:pStyle w:val="nTable"/>
              <w:spacing w:after="40"/>
            </w:pPr>
            <w:r>
              <w:t>56 of 1978</w:t>
            </w:r>
          </w:p>
        </w:tc>
        <w:tc>
          <w:tcPr>
            <w:tcW w:w="1134" w:type="dxa"/>
          </w:tcPr>
          <w:p>
            <w:pPr>
              <w:pStyle w:val="nTable"/>
              <w:spacing w:after="40"/>
            </w:pPr>
            <w:r>
              <w:t>6 Sep 1978</w:t>
            </w:r>
          </w:p>
        </w:tc>
        <w:tc>
          <w:tcPr>
            <w:tcW w:w="2548" w:type="dxa"/>
            <w:gridSpan w:val="2"/>
          </w:tcPr>
          <w:p>
            <w:pPr>
              <w:pStyle w:val="nTable"/>
              <w:spacing w:after="40"/>
            </w:pPr>
            <w:r>
              <w:t xml:space="preserve">1 Jul 1979 (see s. 2 and </w:t>
            </w:r>
            <w:r>
              <w:rPr>
                <w:i/>
              </w:rPr>
              <w:t>Gazette</w:t>
            </w:r>
            <w:r>
              <w:t xml:space="preserve"> 22 Jun 1979 p. 1677)</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Companies (Consequential Amendments) Act 1982 </w:t>
            </w:r>
            <w:r>
              <w:t>s. 28</w:t>
            </w:r>
          </w:p>
        </w:tc>
        <w:tc>
          <w:tcPr>
            <w:tcW w:w="1139" w:type="dxa"/>
          </w:tcPr>
          <w:p>
            <w:pPr>
              <w:pStyle w:val="nTable"/>
              <w:spacing w:after="40"/>
            </w:pPr>
            <w:r>
              <w:t>10 of 1982</w:t>
            </w:r>
          </w:p>
        </w:tc>
        <w:tc>
          <w:tcPr>
            <w:tcW w:w="1134" w:type="dxa"/>
          </w:tcPr>
          <w:p>
            <w:pPr>
              <w:pStyle w:val="nTable"/>
              <w:spacing w:after="40"/>
            </w:pPr>
            <w:r>
              <w:t>14 May 1982</w:t>
            </w:r>
          </w:p>
        </w:tc>
        <w:tc>
          <w:tcPr>
            <w:tcW w:w="2548" w:type="dxa"/>
            <w:gridSpan w:val="2"/>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Acts Amendment (Land Administration) Act 1987 </w:t>
            </w:r>
            <w:r>
              <w:t>Pt. VII</w:t>
            </w:r>
          </w:p>
        </w:tc>
        <w:tc>
          <w:tcPr>
            <w:tcW w:w="1139" w:type="dxa"/>
          </w:tcPr>
          <w:p>
            <w:pPr>
              <w:pStyle w:val="nTable"/>
              <w:spacing w:after="40"/>
            </w:pPr>
            <w:r>
              <w:t>126 of 1987</w:t>
            </w:r>
          </w:p>
        </w:tc>
        <w:tc>
          <w:tcPr>
            <w:tcW w:w="1134" w:type="dxa"/>
          </w:tcPr>
          <w:p>
            <w:pPr>
              <w:pStyle w:val="nTable"/>
              <w:spacing w:after="40"/>
            </w:pPr>
            <w:r>
              <w:t>31 Dec 1987</w:t>
            </w:r>
          </w:p>
        </w:tc>
        <w:tc>
          <w:tcPr>
            <w:tcW w:w="2548" w:type="dxa"/>
            <w:gridSpan w:val="2"/>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Reserves and Land Revestment Act 1991 </w:t>
            </w:r>
            <w:r>
              <w:t>s. 22</w:t>
            </w:r>
          </w:p>
        </w:tc>
        <w:tc>
          <w:tcPr>
            <w:tcW w:w="1139" w:type="dxa"/>
          </w:tcPr>
          <w:p>
            <w:pPr>
              <w:pStyle w:val="nTable"/>
              <w:spacing w:after="40"/>
            </w:pPr>
            <w:r>
              <w:t>57 of 1991</w:t>
            </w:r>
          </w:p>
        </w:tc>
        <w:tc>
          <w:tcPr>
            <w:tcW w:w="1134" w:type="dxa"/>
          </w:tcPr>
          <w:p>
            <w:pPr>
              <w:pStyle w:val="nTable"/>
              <w:spacing w:after="40"/>
            </w:pPr>
            <w:r>
              <w:t>17 Dec 1991</w:t>
            </w:r>
          </w:p>
        </w:tc>
        <w:tc>
          <w:tcPr>
            <w:tcW w:w="2548" w:type="dxa"/>
            <w:gridSpan w:val="2"/>
          </w:tcPr>
          <w:p>
            <w:pPr>
              <w:pStyle w:val="nTable"/>
              <w:spacing w:after="40"/>
            </w:pPr>
            <w:r>
              <w:t>17 Dec 1991 (see s. 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Financial Administration Legislation Amendment Act 1993 </w:t>
            </w:r>
            <w:r>
              <w:t>s. 11 and 12</w:t>
            </w:r>
          </w:p>
        </w:tc>
        <w:tc>
          <w:tcPr>
            <w:tcW w:w="1139" w:type="dxa"/>
          </w:tcPr>
          <w:p>
            <w:pPr>
              <w:pStyle w:val="nTable"/>
              <w:spacing w:after="40"/>
            </w:pPr>
            <w:r>
              <w:t>6 of 1993</w:t>
            </w:r>
          </w:p>
        </w:tc>
        <w:tc>
          <w:tcPr>
            <w:tcW w:w="1134" w:type="dxa"/>
          </w:tcPr>
          <w:p>
            <w:pPr>
              <w:pStyle w:val="nTable"/>
              <w:spacing w:after="40"/>
            </w:pPr>
            <w:r>
              <w:t>27 Aug 1993</w:t>
            </w:r>
          </w:p>
        </w:tc>
        <w:tc>
          <w:tcPr>
            <w:tcW w:w="2548"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Acts Amendment (Public Sector Management) Act 1994 </w:t>
            </w:r>
            <w:r>
              <w:t>s. 18</w:t>
            </w:r>
          </w:p>
        </w:tc>
        <w:tc>
          <w:tcPr>
            <w:tcW w:w="1139" w:type="dxa"/>
          </w:tcPr>
          <w:p>
            <w:pPr>
              <w:pStyle w:val="nTable"/>
              <w:spacing w:after="40"/>
            </w:pPr>
            <w:r>
              <w:t>32 of 1994</w:t>
            </w:r>
          </w:p>
        </w:tc>
        <w:tc>
          <w:tcPr>
            <w:tcW w:w="1134" w:type="dxa"/>
          </w:tcPr>
          <w:p>
            <w:pPr>
              <w:pStyle w:val="nTable"/>
              <w:spacing w:after="40"/>
            </w:pPr>
            <w:r>
              <w:t>29 Jun 1994</w:t>
            </w:r>
          </w:p>
        </w:tc>
        <w:tc>
          <w:tcPr>
            <w:tcW w:w="2548"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Local Government (Consequential Amendments) Act 1996 </w:t>
            </w:r>
            <w:r>
              <w:t>s. 4</w:t>
            </w:r>
          </w:p>
        </w:tc>
        <w:tc>
          <w:tcPr>
            <w:tcW w:w="1139" w:type="dxa"/>
          </w:tcPr>
          <w:p>
            <w:pPr>
              <w:pStyle w:val="nTable"/>
              <w:keepNext/>
              <w:spacing w:after="40"/>
            </w:pPr>
            <w:r>
              <w:t>14 of 1996</w:t>
            </w:r>
          </w:p>
        </w:tc>
        <w:tc>
          <w:tcPr>
            <w:tcW w:w="1134" w:type="dxa"/>
          </w:tcPr>
          <w:p>
            <w:pPr>
              <w:pStyle w:val="nTable"/>
              <w:keepNext/>
              <w:spacing w:after="40"/>
            </w:pPr>
            <w:r>
              <w:t>28 Jun 1996</w:t>
            </w:r>
          </w:p>
        </w:tc>
        <w:tc>
          <w:tcPr>
            <w:tcW w:w="2548"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Transfer of Land Amendment Act 1996 </w:t>
            </w:r>
            <w:r>
              <w:rPr>
                <w:vertAlign w:val="superscript"/>
              </w:rPr>
              <w:t>3, 7, 18</w:t>
            </w:r>
          </w:p>
        </w:tc>
        <w:tc>
          <w:tcPr>
            <w:tcW w:w="1139" w:type="dxa"/>
          </w:tcPr>
          <w:p>
            <w:pPr>
              <w:pStyle w:val="nTable"/>
              <w:spacing w:after="40"/>
            </w:pPr>
            <w:r>
              <w:t>81 of 1996</w:t>
            </w:r>
          </w:p>
        </w:tc>
        <w:tc>
          <w:tcPr>
            <w:tcW w:w="1134" w:type="dxa"/>
          </w:tcPr>
          <w:p>
            <w:pPr>
              <w:pStyle w:val="nTable"/>
              <w:spacing w:after="40"/>
            </w:pPr>
            <w:r>
              <w:t>14 Nov 1996</w:t>
            </w:r>
          </w:p>
        </w:tc>
        <w:tc>
          <w:tcPr>
            <w:tcW w:w="2548" w:type="dxa"/>
            <w:gridSpan w:val="2"/>
          </w:tcPr>
          <w:p>
            <w:pPr>
              <w:pStyle w:val="nTable"/>
              <w:spacing w:after="40"/>
            </w:pPr>
            <w:r>
              <w:t>Act other than s. 6(1) (to the extent that it refers to s. 10(4) and (5c) of the principal Act), 28, 30, 37, 42, 73</w:t>
            </w:r>
            <w:r>
              <w:noBreakHyphen/>
              <w:t>77, 81, 98, 134, 140 and 141: 14 Nov 1996 (see s. 2(1));</w:t>
            </w:r>
            <w:r>
              <w:br/>
              <w:t xml:space="preserve">balance: 3 Feb 1997 (see s. 2(2) and (3) and </w:t>
            </w:r>
            <w:r>
              <w:rPr>
                <w:i/>
              </w:rPr>
              <w:t>Gazette</w:t>
            </w:r>
            <w:r>
              <w:t xml:space="preserve"> 31 Jan 1997 p. 613)</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Reprint of the</w:t>
            </w:r>
            <w:r>
              <w:rPr>
                <w:b/>
                <w:i/>
              </w:rPr>
              <w:t xml:space="preserve"> Transfer of Land Act 1893</w:t>
            </w:r>
            <w:r>
              <w:rPr>
                <w:b/>
              </w:rPr>
              <w:t xml:space="preserve"> as at 13 May 1997</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rPr>
              <w:t xml:space="preserve">Acts Amendment (Land Administration) Act 1997 </w:t>
            </w:r>
            <w:r>
              <w:t>Pt. 60</w:t>
            </w:r>
            <w:r>
              <w:rPr>
                <w:vertAlign w:val="superscript"/>
              </w:rPr>
              <w:t> 4, 5, 9</w:t>
            </w:r>
          </w:p>
        </w:tc>
        <w:tc>
          <w:tcPr>
            <w:tcW w:w="1139" w:type="dxa"/>
          </w:tcPr>
          <w:p>
            <w:pPr>
              <w:pStyle w:val="nTable"/>
              <w:spacing w:after="40"/>
            </w:pPr>
            <w:r>
              <w:t>31 of 1997</w:t>
            </w:r>
          </w:p>
        </w:tc>
        <w:tc>
          <w:tcPr>
            <w:tcW w:w="1134" w:type="dxa"/>
          </w:tcPr>
          <w:p>
            <w:pPr>
              <w:pStyle w:val="nTable"/>
              <w:spacing w:after="40"/>
            </w:pPr>
            <w:r>
              <w:t>3 Oct 1997</w:t>
            </w:r>
          </w:p>
        </w:tc>
        <w:tc>
          <w:tcPr>
            <w:tcW w:w="2548" w:type="dxa"/>
            <w:gridSpan w:val="2"/>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lastRenderedPageBreak/>
              <w:t xml:space="preserve">Statutes (Repeals and Minor Amendments) Act (No. 2) 1998 </w:t>
            </w:r>
            <w:r>
              <w:t>s. 69</w:t>
            </w:r>
          </w:p>
        </w:tc>
        <w:tc>
          <w:tcPr>
            <w:tcW w:w="1139" w:type="dxa"/>
          </w:tcPr>
          <w:p>
            <w:pPr>
              <w:pStyle w:val="nTable"/>
              <w:spacing w:after="40"/>
            </w:pPr>
            <w:r>
              <w:t>10 of 1998</w:t>
            </w:r>
          </w:p>
        </w:tc>
        <w:tc>
          <w:tcPr>
            <w:tcW w:w="1134" w:type="dxa"/>
          </w:tcPr>
          <w:p>
            <w:pPr>
              <w:pStyle w:val="nTable"/>
              <w:spacing w:after="40"/>
            </w:pPr>
            <w:r>
              <w:t>30 Apr 1998</w:t>
            </w:r>
          </w:p>
        </w:tc>
        <w:tc>
          <w:tcPr>
            <w:tcW w:w="2548" w:type="dxa"/>
            <w:gridSpan w:val="2"/>
          </w:tcPr>
          <w:p>
            <w:pPr>
              <w:pStyle w:val="nTable"/>
              <w:spacing w:after="40"/>
            </w:pPr>
            <w:r>
              <w:t>30 Apr 1998 (see s. 2(1))</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rPr>
              <w:t>Transfer of Land Amendment Act 1999</w:t>
            </w:r>
          </w:p>
        </w:tc>
        <w:tc>
          <w:tcPr>
            <w:tcW w:w="1139" w:type="dxa"/>
          </w:tcPr>
          <w:p>
            <w:pPr>
              <w:pStyle w:val="nTable"/>
              <w:spacing w:after="40"/>
            </w:pPr>
            <w:r>
              <w:t>3 of 1999</w:t>
            </w:r>
          </w:p>
        </w:tc>
        <w:tc>
          <w:tcPr>
            <w:tcW w:w="1134" w:type="dxa"/>
          </w:tcPr>
          <w:p>
            <w:pPr>
              <w:pStyle w:val="nTable"/>
              <w:spacing w:after="40"/>
            </w:pPr>
            <w:r>
              <w:t>25 Mar 1999</w:t>
            </w:r>
          </w:p>
        </w:tc>
        <w:tc>
          <w:tcPr>
            <w:tcW w:w="2548" w:type="dxa"/>
            <w:gridSpan w:val="2"/>
          </w:tcPr>
          <w:p>
            <w:pPr>
              <w:pStyle w:val="nTable"/>
              <w:spacing w:after="40"/>
            </w:pPr>
            <w:r>
              <w:t>s. 1 and 2: 25 Mar 1999;</w:t>
            </w:r>
            <w:r>
              <w:br/>
              <w:t xml:space="preserve">Act other than s. 1 and 2: 1 Jun 1999 (see s. 2 and </w:t>
            </w:r>
            <w:r>
              <w:rPr>
                <w:i/>
              </w:rPr>
              <w:t>Gazette</w:t>
            </w:r>
            <w:r>
              <w:t xml:space="preserve"> 11 May 1999 p. 1905)</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Acts Amendment and Repeal (Financial Sector Reform) Act 1999 </w:t>
            </w:r>
            <w:r>
              <w:t>s. 106</w:t>
            </w:r>
          </w:p>
        </w:tc>
        <w:tc>
          <w:tcPr>
            <w:tcW w:w="1139" w:type="dxa"/>
          </w:tcPr>
          <w:p>
            <w:pPr>
              <w:pStyle w:val="nTable"/>
              <w:spacing w:after="40"/>
            </w:pPr>
            <w:r>
              <w:t>26 of 1999</w:t>
            </w:r>
          </w:p>
        </w:tc>
        <w:tc>
          <w:tcPr>
            <w:tcW w:w="1134" w:type="dxa"/>
          </w:tcPr>
          <w:p>
            <w:pPr>
              <w:pStyle w:val="nTable"/>
              <w:spacing w:after="40"/>
            </w:pPr>
            <w:r>
              <w:t>29 Jun 1999</w:t>
            </w:r>
          </w:p>
        </w:tc>
        <w:tc>
          <w:tcPr>
            <w:tcW w:w="2548" w:type="dxa"/>
            <w:gridSpan w:val="2"/>
          </w:tcPr>
          <w:p>
            <w:pPr>
              <w:pStyle w:val="nTable"/>
              <w:spacing w:after="40"/>
            </w:pPr>
            <w:r>
              <w:t xml:space="preserve">1 Jul 1999 (see s. 2 and </w:t>
            </w:r>
            <w:r>
              <w:rPr>
                <w:i/>
              </w:rPr>
              <w:t>Gazette</w:t>
            </w:r>
            <w:r>
              <w:t xml:space="preserve"> 30 Jun 1999 p. 2905)</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of the </w:t>
            </w:r>
            <w:r>
              <w:rPr>
                <w:b/>
                <w:i/>
              </w:rPr>
              <w:t>Transfer of Land Act 1893</w:t>
            </w:r>
            <w:r>
              <w:rPr>
                <w:b/>
              </w:rPr>
              <w:t xml:space="preserve"> as at 23 Jul 1999</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Statutes (Repeals and Minor Amendments) Act 2000 </w:t>
            </w:r>
            <w:r>
              <w:t>s. 42</w:t>
            </w:r>
          </w:p>
        </w:tc>
        <w:tc>
          <w:tcPr>
            <w:tcW w:w="1139" w:type="dxa"/>
          </w:tcPr>
          <w:p>
            <w:pPr>
              <w:pStyle w:val="nTable"/>
              <w:spacing w:after="40"/>
            </w:pPr>
            <w:r>
              <w:t>24 of 2000</w:t>
            </w:r>
          </w:p>
        </w:tc>
        <w:tc>
          <w:tcPr>
            <w:tcW w:w="1134" w:type="dxa"/>
          </w:tcPr>
          <w:p>
            <w:pPr>
              <w:pStyle w:val="nTable"/>
              <w:spacing w:after="40"/>
            </w:pPr>
            <w:r>
              <w:t>4 Jul 2000</w:t>
            </w:r>
          </w:p>
        </w:tc>
        <w:tc>
          <w:tcPr>
            <w:tcW w:w="2548" w:type="dxa"/>
            <w:gridSpan w:val="2"/>
          </w:tcPr>
          <w:p>
            <w:pPr>
              <w:pStyle w:val="nTable"/>
              <w:spacing w:after="40"/>
            </w:pPr>
            <w:r>
              <w:t>4 Jul 2000 (see s. 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Forest Products Act 2000 </w:t>
            </w:r>
            <w:r>
              <w:t>s. 72</w:t>
            </w:r>
          </w:p>
        </w:tc>
        <w:tc>
          <w:tcPr>
            <w:tcW w:w="1139" w:type="dxa"/>
          </w:tcPr>
          <w:p>
            <w:pPr>
              <w:pStyle w:val="nTable"/>
              <w:spacing w:after="40"/>
            </w:pPr>
            <w:r>
              <w:t>34 of 2000</w:t>
            </w:r>
          </w:p>
        </w:tc>
        <w:tc>
          <w:tcPr>
            <w:tcW w:w="1134" w:type="dxa"/>
          </w:tcPr>
          <w:p>
            <w:pPr>
              <w:pStyle w:val="nTable"/>
              <w:spacing w:after="40"/>
            </w:pPr>
            <w:r>
              <w:t>10 Oct 2000</w:t>
            </w:r>
          </w:p>
        </w:tc>
        <w:tc>
          <w:tcPr>
            <w:tcW w:w="2548" w:type="dxa"/>
            <w:gridSpan w:val="2"/>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Land Administration Amendment Act 2000 </w:t>
            </w:r>
            <w:r>
              <w:t>s. 51</w:t>
            </w:r>
          </w:p>
        </w:tc>
        <w:tc>
          <w:tcPr>
            <w:tcW w:w="1139" w:type="dxa"/>
          </w:tcPr>
          <w:p>
            <w:pPr>
              <w:pStyle w:val="nTable"/>
              <w:spacing w:after="40"/>
            </w:pPr>
            <w:r>
              <w:t>59 of 2000</w:t>
            </w:r>
          </w:p>
        </w:tc>
        <w:tc>
          <w:tcPr>
            <w:tcW w:w="1134" w:type="dxa"/>
          </w:tcPr>
          <w:p>
            <w:pPr>
              <w:pStyle w:val="nTable"/>
              <w:spacing w:after="40"/>
            </w:pPr>
            <w:r>
              <w:t>7 Dec 2000</w:t>
            </w:r>
          </w:p>
        </w:tc>
        <w:tc>
          <w:tcPr>
            <w:tcW w:w="2548" w:type="dxa"/>
            <w:gridSpan w:val="2"/>
          </w:tcPr>
          <w:p>
            <w:pPr>
              <w:pStyle w:val="nTable"/>
              <w:spacing w:after="40"/>
            </w:pPr>
            <w:r>
              <w:t xml:space="preserve">10 Apr 2001 (see s. 2(2) and </w:t>
            </w:r>
            <w:r>
              <w:rPr>
                <w:i/>
              </w:rPr>
              <w:t xml:space="preserve">Gazette </w:t>
            </w:r>
            <w:r>
              <w:t>10 Apr 2001 p. 2073)</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of the </w:t>
            </w:r>
            <w:r>
              <w:rPr>
                <w:b/>
                <w:i/>
              </w:rPr>
              <w:t>Transfer of Land Act 1893</w:t>
            </w:r>
            <w:r>
              <w:rPr>
                <w:b/>
              </w:rPr>
              <w:t xml:space="preserve"> as at 9 Feb 2001</w:t>
            </w:r>
            <w:r>
              <w:t xml:space="preserve"> (includes amendments listed above except those in the </w:t>
            </w:r>
            <w:r>
              <w:rPr>
                <w:i/>
              </w:rPr>
              <w:t>Land Administration Amendment Act 2000</w:t>
            </w:r>
            <w:r>
              <w:t>)</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rPr>
              <w:t>Corporations (Consequential Amendments) Act 2001</w:t>
            </w:r>
            <w:r>
              <w:t xml:space="preserve"> s. 220</w:t>
            </w:r>
          </w:p>
        </w:tc>
        <w:tc>
          <w:tcPr>
            <w:tcW w:w="1139" w:type="dxa"/>
          </w:tcPr>
          <w:p>
            <w:pPr>
              <w:pStyle w:val="nTable"/>
              <w:spacing w:after="40"/>
            </w:pPr>
            <w:r>
              <w:t>10 of 2001</w:t>
            </w:r>
          </w:p>
        </w:tc>
        <w:tc>
          <w:tcPr>
            <w:tcW w:w="1134" w:type="dxa"/>
          </w:tcPr>
          <w:p>
            <w:pPr>
              <w:pStyle w:val="nTable"/>
              <w:spacing w:after="40"/>
            </w:pPr>
            <w:r>
              <w:t>28 Jun 2001</w:t>
            </w:r>
          </w:p>
        </w:tc>
        <w:tc>
          <w:tcPr>
            <w:tcW w:w="2548"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rPr>
              <w:t xml:space="preserve">Taxation Administration (Consequential Provisions) Act 2002 </w:t>
            </w:r>
            <w:r>
              <w:t>s. 25</w:t>
            </w:r>
          </w:p>
        </w:tc>
        <w:tc>
          <w:tcPr>
            <w:tcW w:w="1139" w:type="dxa"/>
          </w:tcPr>
          <w:p>
            <w:pPr>
              <w:pStyle w:val="nTable"/>
              <w:spacing w:after="40"/>
            </w:pPr>
            <w:r>
              <w:t>45 of 2002</w:t>
            </w:r>
          </w:p>
        </w:tc>
        <w:tc>
          <w:tcPr>
            <w:tcW w:w="1134" w:type="dxa"/>
          </w:tcPr>
          <w:p>
            <w:pPr>
              <w:pStyle w:val="nTable"/>
              <w:spacing w:after="40"/>
            </w:pPr>
            <w:r>
              <w:t>20 Mar 2003</w:t>
            </w:r>
          </w:p>
        </w:tc>
        <w:tc>
          <w:tcPr>
            <w:tcW w:w="2548" w:type="dxa"/>
            <w:gridSpan w:val="2"/>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 xml:space="preserve">Transfer of Land Amendment Act 2003 </w:t>
            </w:r>
            <w:r>
              <w:t>s. 4</w:t>
            </w:r>
            <w:r>
              <w:noBreakHyphen/>
              <w:t>42, 44</w:t>
            </w:r>
            <w:r>
              <w:noBreakHyphen/>
              <w:t>45, 47</w:t>
            </w:r>
            <w:r>
              <w:noBreakHyphen/>
              <w:t>55, 58</w:t>
            </w:r>
            <w:r>
              <w:noBreakHyphen/>
              <w:t>84</w:t>
            </w:r>
          </w:p>
        </w:tc>
        <w:tc>
          <w:tcPr>
            <w:tcW w:w="1139" w:type="dxa"/>
          </w:tcPr>
          <w:p>
            <w:pPr>
              <w:pStyle w:val="nTable"/>
              <w:spacing w:after="40"/>
            </w:pPr>
            <w:r>
              <w:t>6 of 2003</w:t>
            </w:r>
          </w:p>
        </w:tc>
        <w:tc>
          <w:tcPr>
            <w:tcW w:w="1134" w:type="dxa"/>
          </w:tcPr>
          <w:p>
            <w:pPr>
              <w:pStyle w:val="nTable"/>
              <w:spacing w:after="40"/>
            </w:pPr>
            <w:r>
              <w:t>25 Mar 2003</w:t>
            </w:r>
          </w:p>
        </w:tc>
        <w:tc>
          <w:tcPr>
            <w:tcW w:w="2548" w:type="dxa"/>
            <w:gridSpan w:val="2"/>
          </w:tcPr>
          <w:p>
            <w:pPr>
              <w:pStyle w:val="nTable"/>
              <w:spacing w:after="40"/>
            </w:pPr>
            <w:r>
              <w:t>Act other than s. 43, 46, 56, 57, 74, 80</w:t>
            </w:r>
            <w:r>
              <w:noBreakHyphen/>
              <w:t xml:space="preserve">82: 3 May 2003 (see s. 2 and </w:t>
            </w:r>
            <w:r>
              <w:rPr>
                <w:i/>
              </w:rPr>
              <w:t>Gazette</w:t>
            </w:r>
            <w:r>
              <w:t xml:space="preserve"> 2 May 2003 p. 1491); </w:t>
            </w:r>
            <w:r>
              <w:br/>
              <w:t xml:space="preserve">s. 74, 80-82: 6 Sep 2004 (see s. 2 and </w:t>
            </w:r>
            <w:r>
              <w:rPr>
                <w:i/>
              </w:rPr>
              <w:t>Gazette</w:t>
            </w:r>
            <w:r>
              <w:t xml:space="preserve"> 2 Sep 2004 p. 3821)</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Acts Amendment (Equality of Status) Act 2003</w:t>
            </w:r>
            <w:r>
              <w:t xml:space="preserve"> s. 129</w:t>
            </w:r>
          </w:p>
        </w:tc>
        <w:tc>
          <w:tcPr>
            <w:tcW w:w="1139" w:type="dxa"/>
          </w:tcPr>
          <w:p>
            <w:pPr>
              <w:pStyle w:val="nTable"/>
              <w:spacing w:after="40"/>
            </w:pPr>
            <w:r>
              <w:t>28 of 2003</w:t>
            </w:r>
          </w:p>
        </w:tc>
        <w:tc>
          <w:tcPr>
            <w:tcW w:w="1134" w:type="dxa"/>
          </w:tcPr>
          <w:p>
            <w:pPr>
              <w:pStyle w:val="nTable"/>
              <w:spacing w:after="40"/>
            </w:pPr>
            <w:r>
              <w:t>22 May 2003</w:t>
            </w:r>
          </w:p>
        </w:tc>
        <w:tc>
          <w:tcPr>
            <w:tcW w:w="2548"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lastRenderedPageBreak/>
              <w:t>Acts Amendment (Carbon Rights and Tree Plantation Agreements) Act 2003</w:t>
            </w:r>
            <w:r>
              <w:t xml:space="preserve"> Pt. 5</w:t>
            </w:r>
          </w:p>
        </w:tc>
        <w:tc>
          <w:tcPr>
            <w:tcW w:w="1139" w:type="dxa"/>
          </w:tcPr>
          <w:p>
            <w:pPr>
              <w:pStyle w:val="nTable"/>
              <w:spacing w:after="40"/>
            </w:pPr>
            <w:r>
              <w:t>56 of 2003</w:t>
            </w:r>
          </w:p>
        </w:tc>
        <w:tc>
          <w:tcPr>
            <w:tcW w:w="1134" w:type="dxa"/>
          </w:tcPr>
          <w:p>
            <w:pPr>
              <w:pStyle w:val="nTable"/>
              <w:spacing w:after="40"/>
            </w:pPr>
            <w:r>
              <w:t>29 Oct 2003</w:t>
            </w:r>
          </w:p>
        </w:tc>
        <w:tc>
          <w:tcPr>
            <w:tcW w:w="2548" w:type="dxa"/>
            <w:gridSpan w:val="2"/>
          </w:tcPr>
          <w:p>
            <w:pPr>
              <w:pStyle w:val="nTable"/>
              <w:spacing w:after="40"/>
            </w:pPr>
            <w:r>
              <w:t xml:space="preserve">24 Mar 2004 (see s. 2 and </w:t>
            </w:r>
            <w:r>
              <w:rPr>
                <w:i/>
              </w:rPr>
              <w:t>Gazette</w:t>
            </w:r>
            <w:r>
              <w:t xml:space="preserve"> 23 Mar 2004 p. 975)</w:t>
            </w:r>
          </w:p>
        </w:tc>
      </w:tr>
      <w:tr>
        <w:tblPrEx>
          <w:tblBorders>
            <w:top w:val="none" w:sz="0" w:space="0" w:color="auto"/>
            <w:bottom w:val="none" w:sz="0" w:space="0" w:color="auto"/>
            <w:insideH w:val="none" w:sz="0" w:space="0" w:color="auto"/>
          </w:tblBorders>
        </w:tblPrEx>
        <w:trPr>
          <w:gridAfter w:val="1"/>
          <w:wAfter w:w="25" w:type="dxa"/>
        </w:trPr>
        <w:tc>
          <w:tcPr>
            <w:tcW w:w="2270" w:type="dxa"/>
          </w:tcPr>
          <w:p>
            <w:pPr>
              <w:pStyle w:val="nTable"/>
              <w:spacing w:after="40"/>
              <w:ind w:right="57"/>
            </w:pPr>
            <w:r>
              <w:rPr>
                <w:i/>
                <w:noProof/>
                <w:snapToGrid w:val="0"/>
              </w:rPr>
              <w:t>Contaminated Sites Act 2003</w:t>
            </w:r>
            <w:r>
              <w:rPr>
                <w:noProof/>
                <w:snapToGrid w:val="0"/>
              </w:rPr>
              <w:t xml:space="preserve"> s. 100</w:t>
            </w:r>
          </w:p>
        </w:tc>
        <w:tc>
          <w:tcPr>
            <w:tcW w:w="1139" w:type="dxa"/>
          </w:tcPr>
          <w:p>
            <w:pPr>
              <w:pStyle w:val="nTable"/>
              <w:spacing w:after="40"/>
            </w:pPr>
            <w:r>
              <w:t>60 of 2003</w:t>
            </w:r>
          </w:p>
        </w:tc>
        <w:tc>
          <w:tcPr>
            <w:tcW w:w="1134" w:type="dxa"/>
          </w:tcPr>
          <w:p>
            <w:pPr>
              <w:pStyle w:val="nTable"/>
              <w:spacing w:after="40"/>
            </w:pPr>
            <w:r>
              <w:t>7 Nov 2003</w:t>
            </w:r>
          </w:p>
        </w:tc>
        <w:tc>
          <w:tcPr>
            <w:tcW w:w="2548" w:type="dxa"/>
            <w:gridSpan w:val="2"/>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Acts Amendment and Repeal (Courts and Legal Practice) Act 2003</w:t>
            </w:r>
            <w:r>
              <w:t xml:space="preserve"> s. 120</w:t>
            </w:r>
          </w:p>
        </w:tc>
        <w:tc>
          <w:tcPr>
            <w:tcW w:w="1139" w:type="dxa"/>
          </w:tcPr>
          <w:p>
            <w:pPr>
              <w:pStyle w:val="nTable"/>
              <w:spacing w:after="40"/>
            </w:pPr>
            <w:r>
              <w:t>65 of 2003</w:t>
            </w:r>
          </w:p>
        </w:tc>
        <w:tc>
          <w:tcPr>
            <w:tcW w:w="1134" w:type="dxa"/>
          </w:tcPr>
          <w:p>
            <w:pPr>
              <w:pStyle w:val="nTable"/>
              <w:spacing w:after="40"/>
            </w:pPr>
            <w:r>
              <w:t>4 Dec 2003</w:t>
            </w:r>
          </w:p>
        </w:tc>
        <w:tc>
          <w:tcPr>
            <w:tcW w:w="2548" w:type="dxa"/>
            <w:gridSpan w:val="2"/>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pPr>
            <w:r>
              <w:rPr>
                <w:i/>
              </w:rPr>
              <w:t>Statutes (Repeals and Minor Amendments) Act 2003</w:t>
            </w:r>
            <w:r>
              <w:t xml:space="preserve"> s. 120</w:t>
            </w:r>
          </w:p>
        </w:tc>
        <w:tc>
          <w:tcPr>
            <w:tcW w:w="1139" w:type="dxa"/>
          </w:tcPr>
          <w:p>
            <w:pPr>
              <w:pStyle w:val="nTable"/>
              <w:spacing w:after="40"/>
            </w:pPr>
            <w:r>
              <w:t>74 of 2003</w:t>
            </w:r>
          </w:p>
        </w:tc>
        <w:tc>
          <w:tcPr>
            <w:tcW w:w="1134" w:type="dxa"/>
          </w:tcPr>
          <w:p>
            <w:pPr>
              <w:pStyle w:val="nTable"/>
              <w:spacing w:after="40"/>
            </w:pPr>
            <w:r>
              <w:t>15 Dec 2003</w:t>
            </w:r>
          </w:p>
        </w:tc>
        <w:tc>
          <w:tcPr>
            <w:tcW w:w="2548"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gridAfter w:val="1"/>
          <w:wAfter w:w="25" w:type="dxa"/>
        </w:trPr>
        <w:tc>
          <w:tcPr>
            <w:tcW w:w="2270" w:type="dxa"/>
          </w:tcPr>
          <w:p>
            <w:pPr>
              <w:pStyle w:val="nTable"/>
              <w:spacing w:after="40"/>
              <w:rPr>
                <w:i/>
              </w:rPr>
            </w:pPr>
            <w:r>
              <w:rPr>
                <w:i/>
              </w:rPr>
              <w:t xml:space="preserve">Courts Legislation Amendment and Repeal Act 2004 </w:t>
            </w:r>
            <w:r>
              <w:t>Pt. 20 Div. 2</w:t>
            </w:r>
          </w:p>
        </w:tc>
        <w:tc>
          <w:tcPr>
            <w:tcW w:w="1139" w:type="dxa"/>
          </w:tcPr>
          <w:p>
            <w:pPr>
              <w:pStyle w:val="nTable"/>
              <w:spacing w:after="40"/>
            </w:pPr>
            <w:r>
              <w:t>59 of 2004</w:t>
            </w:r>
          </w:p>
        </w:tc>
        <w:tc>
          <w:tcPr>
            <w:tcW w:w="1134" w:type="dxa"/>
          </w:tcPr>
          <w:p>
            <w:pPr>
              <w:pStyle w:val="nTable"/>
              <w:spacing w:after="40"/>
            </w:pPr>
            <w:r>
              <w:t>23 Nov 2004</w:t>
            </w:r>
          </w:p>
        </w:tc>
        <w:tc>
          <w:tcPr>
            <w:tcW w:w="2548" w:type="dxa"/>
            <w:gridSpan w:val="2"/>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gridAfter w:val="1"/>
          <w:wAfter w:w="25" w:type="dxa"/>
        </w:trPr>
        <w:tc>
          <w:tcPr>
            <w:tcW w:w="2270"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78</w:t>
            </w:r>
          </w:p>
        </w:tc>
        <w:tc>
          <w:tcPr>
            <w:tcW w:w="1139"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48"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w:t>
            </w:r>
            <w:r>
              <w:t xml:space="preserve"> (correction in </w:t>
            </w:r>
            <w:r>
              <w:rPr>
                <w:i/>
              </w:rPr>
              <w:t>Gazette</w:t>
            </w:r>
            <w:r>
              <w:t xml:space="preserve"> </w:t>
            </w:r>
            <w:r>
              <w:rPr>
                <w:snapToGrid w:val="0"/>
              </w:rPr>
              <w:t>7 Jan 2005 p. 53))</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rPr>
                <w:spacing w:val="-2"/>
              </w:rPr>
            </w:pPr>
            <w:r>
              <w:rPr>
                <w:b/>
              </w:rPr>
              <w:t xml:space="preserve">Reprint 7: The </w:t>
            </w:r>
            <w:r>
              <w:rPr>
                <w:b/>
                <w:i/>
              </w:rPr>
              <w:t>Transfer of Land Act 1893</w:t>
            </w:r>
            <w:r>
              <w:rPr>
                <w:b/>
              </w:rPr>
              <w:t xml:space="preserve"> as at 6 May 2005</w:t>
            </w:r>
            <w:r>
              <w:t xml:space="preserve"> (includes amendments listed above except those in the </w:t>
            </w:r>
            <w:r>
              <w:rPr>
                <w:i/>
                <w:noProof/>
                <w:snapToGrid w:val="0"/>
              </w:rPr>
              <w:t>Contaminated Sites Act 2003</w:t>
            </w:r>
            <w:r>
              <w:t>)</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rPr>
              <w:t>Oaths, Affidavits and Statutory Declarations (Consequential Provisions) Act 2005</w:t>
            </w:r>
            <w:r>
              <w:t xml:space="preserve"> s. 63</w:t>
            </w:r>
          </w:p>
        </w:tc>
        <w:tc>
          <w:tcPr>
            <w:tcW w:w="1139" w:type="dxa"/>
          </w:tcPr>
          <w:p>
            <w:pPr>
              <w:pStyle w:val="nTable"/>
              <w:spacing w:after="40"/>
            </w:pPr>
            <w:r>
              <w:t>24 of 2005</w:t>
            </w:r>
          </w:p>
        </w:tc>
        <w:tc>
          <w:tcPr>
            <w:tcW w:w="1134" w:type="dxa"/>
          </w:tcPr>
          <w:p>
            <w:pPr>
              <w:pStyle w:val="nTable"/>
              <w:spacing w:after="40"/>
            </w:pPr>
            <w:r>
              <w:t>2 Dec 2005</w:t>
            </w:r>
          </w:p>
        </w:tc>
        <w:tc>
          <w:tcPr>
            <w:tcW w:w="2548" w:type="dxa"/>
            <w:gridSpan w:val="2"/>
          </w:tcPr>
          <w:p>
            <w:pPr>
              <w:pStyle w:val="nTable"/>
              <w:spacing w:after="40"/>
            </w:pPr>
            <w:r>
              <w:t xml:space="preserve">1 Jan 2006 (see s. 2 and </w:t>
            </w:r>
            <w:r>
              <w:rPr>
                <w:i/>
              </w:rPr>
              <w:t>Gazette</w:t>
            </w:r>
            <w:r>
              <w:t xml:space="preserve"> 23 Dec 2005 p. 6244)</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rPr>
            </w:pPr>
            <w:r>
              <w:rPr>
                <w:i/>
                <w:snapToGrid w:val="0"/>
              </w:rPr>
              <w:t>Planning and Development (Consequential and Transitional Provisions) Act 2005</w:t>
            </w:r>
            <w:r>
              <w:t xml:space="preserve"> s. 15</w:t>
            </w:r>
          </w:p>
        </w:tc>
        <w:tc>
          <w:tcPr>
            <w:tcW w:w="1139" w:type="dxa"/>
          </w:tcPr>
          <w:p>
            <w:pPr>
              <w:pStyle w:val="nTable"/>
              <w:spacing w:after="40"/>
            </w:pPr>
            <w:r>
              <w:rPr>
                <w:snapToGrid w:val="0"/>
              </w:rPr>
              <w:t>38 of 2005</w:t>
            </w:r>
          </w:p>
        </w:tc>
        <w:tc>
          <w:tcPr>
            <w:tcW w:w="1134" w:type="dxa"/>
          </w:tcPr>
          <w:p>
            <w:pPr>
              <w:pStyle w:val="nTable"/>
              <w:spacing w:after="40"/>
            </w:pPr>
            <w:r>
              <w:t>12 Dec 2005</w:t>
            </w:r>
          </w:p>
        </w:tc>
        <w:tc>
          <w:tcPr>
            <w:tcW w:w="2548" w:type="dxa"/>
            <w:gridSpan w:val="2"/>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snapToGrid w:val="0"/>
              </w:rPr>
            </w:pPr>
            <w:r>
              <w:rPr>
                <w:i/>
                <w:snapToGrid w:val="0"/>
              </w:rPr>
              <w:t>Land Information Authority Act 2006</w:t>
            </w:r>
            <w:r>
              <w:rPr>
                <w:snapToGrid w:val="0"/>
              </w:rPr>
              <w:t xml:space="preserve"> s. 103</w:t>
            </w:r>
            <w:r>
              <w:rPr>
                <w:snapToGrid w:val="0"/>
              </w:rPr>
              <w:noBreakHyphen/>
              <w:t xml:space="preserve">118 </w:t>
            </w:r>
          </w:p>
        </w:tc>
        <w:tc>
          <w:tcPr>
            <w:tcW w:w="1139"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48" w:type="dxa"/>
            <w:gridSpan w:val="2"/>
          </w:tcPr>
          <w:p>
            <w:pPr>
              <w:pStyle w:val="nTable"/>
              <w:spacing w:after="40"/>
            </w:pPr>
            <w:r>
              <w:t xml:space="preserve">1 Jan 2007 (see s. 2(1) and </w:t>
            </w:r>
            <w:r>
              <w:rPr>
                <w:i/>
              </w:rPr>
              <w:t xml:space="preserve">Gazette </w:t>
            </w:r>
            <w:r>
              <w:t>8 Dec 2006 p. 5369)</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
                <w:snapToGrid w:val="0"/>
              </w:rPr>
            </w:pPr>
            <w:r>
              <w:rPr>
                <w:i/>
                <w:snapToGrid w:val="0"/>
              </w:rPr>
              <w:t>Financial Legislation Amendment and Repeal Act 2006</w:t>
            </w:r>
            <w:r>
              <w:rPr>
                <w:snapToGrid w:val="0"/>
              </w:rPr>
              <w:t xml:space="preserve"> s. 4</w:t>
            </w:r>
            <w:r>
              <w:rPr>
                <w:snapToGrid w:val="0"/>
                <w:vertAlign w:val="superscript"/>
              </w:rPr>
              <w:t> 19</w:t>
            </w:r>
          </w:p>
        </w:tc>
        <w:tc>
          <w:tcPr>
            <w:tcW w:w="1139" w:type="dxa"/>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548" w:type="dxa"/>
            <w:gridSpan w:val="2"/>
          </w:tcPr>
          <w:p>
            <w:pPr>
              <w:pStyle w:val="nTable"/>
              <w:spacing w:after="40"/>
            </w:pPr>
            <w:r>
              <w:t xml:space="preserve">1 Feb 2007 (see s. 2(1) and </w:t>
            </w:r>
            <w:r>
              <w:rPr>
                <w:i/>
              </w:rPr>
              <w:t>Gazette</w:t>
            </w:r>
            <w:r>
              <w:t xml:space="preserve"> 19 Jan 2007 p. 137)</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keepNext/>
              <w:spacing w:after="40"/>
            </w:pPr>
            <w:r>
              <w:rPr>
                <w:b/>
              </w:rPr>
              <w:lastRenderedPageBreak/>
              <w:t xml:space="preserve">Reprint 8: The </w:t>
            </w:r>
            <w:r>
              <w:rPr>
                <w:b/>
                <w:i/>
              </w:rPr>
              <w:t>Transfer of Land Act 1893</w:t>
            </w:r>
            <w:r>
              <w:rPr>
                <w:b/>
              </w:rPr>
              <w:t xml:space="preserve"> as at 15 Jun 2007</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rPr>
                <w:i/>
                <w:snapToGrid w:val="0"/>
              </w:rPr>
            </w:pPr>
            <w:r>
              <w:rPr>
                <w:i/>
                <w:snapToGrid w:val="0"/>
              </w:rPr>
              <w:t>Petroleum Amendment Act 2007</w:t>
            </w:r>
            <w:r>
              <w:rPr>
                <w:iCs/>
                <w:snapToGrid w:val="0"/>
              </w:rPr>
              <w:t xml:space="preserve"> s. 106</w:t>
            </w:r>
          </w:p>
        </w:tc>
        <w:tc>
          <w:tcPr>
            <w:tcW w:w="1139"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48" w:type="dxa"/>
            <w:gridSpan w:val="2"/>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rPr>
                <w:i/>
                <w:snapToGrid w:val="0"/>
              </w:rPr>
            </w:pPr>
            <w:r>
              <w:rPr>
                <w:i/>
                <w:snapToGrid w:val="0"/>
              </w:rPr>
              <w:t>Acts Amendment (Justice) Act 2008</w:t>
            </w:r>
            <w:r>
              <w:rPr>
                <w:iCs/>
              </w:rPr>
              <w:t xml:space="preserve"> Pt. 24</w:t>
            </w:r>
          </w:p>
        </w:tc>
        <w:tc>
          <w:tcPr>
            <w:tcW w:w="1139" w:type="dxa"/>
          </w:tcPr>
          <w:p>
            <w:pPr>
              <w:pStyle w:val="nTable"/>
              <w:keepNext/>
              <w:spacing w:after="40"/>
            </w:pPr>
            <w:r>
              <w:t>5 of 2008</w:t>
            </w:r>
          </w:p>
        </w:tc>
        <w:tc>
          <w:tcPr>
            <w:tcW w:w="1134" w:type="dxa"/>
          </w:tcPr>
          <w:p>
            <w:pPr>
              <w:pStyle w:val="nTable"/>
              <w:spacing w:after="40"/>
            </w:pPr>
            <w:r>
              <w:t>31 Mar 2008</w:t>
            </w:r>
          </w:p>
        </w:tc>
        <w:tc>
          <w:tcPr>
            <w:tcW w:w="2548" w:type="dxa"/>
            <w:gridSpan w:val="2"/>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rPr>
                <w:iCs/>
                <w:vertAlign w:val="superscript"/>
              </w:rPr>
            </w:pPr>
            <w:r>
              <w:rPr>
                <w:i/>
              </w:rPr>
              <w:t>Duties Legislation Amendment Act 2008</w:t>
            </w:r>
            <w:r>
              <w:rPr>
                <w:iCs/>
              </w:rPr>
              <w:t xml:space="preserve"> Sch. 1 cl. 38</w:t>
            </w:r>
          </w:p>
        </w:tc>
        <w:tc>
          <w:tcPr>
            <w:tcW w:w="1139" w:type="dxa"/>
          </w:tcPr>
          <w:p>
            <w:pPr>
              <w:pStyle w:val="nTable"/>
              <w:spacing w:after="40"/>
            </w:pPr>
            <w:r>
              <w:t>12 of 2008</w:t>
            </w:r>
          </w:p>
        </w:tc>
        <w:tc>
          <w:tcPr>
            <w:tcW w:w="1134" w:type="dxa"/>
          </w:tcPr>
          <w:p>
            <w:pPr>
              <w:pStyle w:val="nTable"/>
              <w:spacing w:after="40"/>
            </w:pPr>
            <w:r>
              <w:t>14 Apr 2008</w:t>
            </w:r>
          </w:p>
        </w:tc>
        <w:tc>
          <w:tcPr>
            <w:tcW w:w="2548"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rPr>
                <w:i/>
              </w:rPr>
            </w:pPr>
            <w:r>
              <w:rPr>
                <w:i/>
                <w:iCs/>
                <w:snapToGrid w:val="0"/>
              </w:rPr>
              <w:t>Legal Profession Act 2008</w:t>
            </w:r>
            <w:r>
              <w:rPr>
                <w:i/>
                <w:snapToGrid w:val="0"/>
              </w:rPr>
              <w:t xml:space="preserve"> </w:t>
            </w:r>
            <w:r>
              <w:rPr>
                <w:iCs/>
                <w:snapToGrid w:val="0"/>
              </w:rPr>
              <w:t>s. 711</w:t>
            </w:r>
          </w:p>
        </w:tc>
        <w:tc>
          <w:tcPr>
            <w:tcW w:w="1139" w:type="dxa"/>
          </w:tcPr>
          <w:p>
            <w:pPr>
              <w:pStyle w:val="nTable"/>
              <w:spacing w:after="40"/>
            </w:pPr>
            <w:r>
              <w:t>21 of 2008</w:t>
            </w:r>
          </w:p>
        </w:tc>
        <w:tc>
          <w:tcPr>
            <w:tcW w:w="1134" w:type="dxa"/>
          </w:tcPr>
          <w:p>
            <w:pPr>
              <w:pStyle w:val="nTable"/>
              <w:spacing w:after="40"/>
            </w:pPr>
            <w:r>
              <w:t>27 May 2008</w:t>
            </w:r>
          </w:p>
        </w:tc>
        <w:tc>
          <w:tcPr>
            <w:tcW w:w="2548" w:type="dxa"/>
            <w:gridSpan w:val="2"/>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Cs/>
              </w:rPr>
            </w:pPr>
            <w:r>
              <w:rPr>
                <w:i/>
              </w:rPr>
              <w:t>Statutes (Repeals and Miscellaneous Amendments) Act 2009</w:t>
            </w:r>
            <w:r>
              <w:rPr>
                <w:iCs/>
              </w:rPr>
              <w:t xml:space="preserve"> s. 10</w:t>
            </w:r>
          </w:p>
        </w:tc>
        <w:tc>
          <w:tcPr>
            <w:tcW w:w="1139" w:type="dxa"/>
          </w:tcPr>
          <w:p>
            <w:pPr>
              <w:pStyle w:val="nTable"/>
              <w:spacing w:after="40"/>
            </w:pPr>
            <w:r>
              <w:t xml:space="preserve">8 of 2009 </w:t>
            </w:r>
          </w:p>
        </w:tc>
        <w:tc>
          <w:tcPr>
            <w:tcW w:w="1134" w:type="dxa"/>
          </w:tcPr>
          <w:p>
            <w:pPr>
              <w:pStyle w:val="nTable"/>
              <w:spacing w:after="40"/>
            </w:pPr>
            <w:r>
              <w:t>21 May 2009</w:t>
            </w:r>
          </w:p>
        </w:tc>
        <w:tc>
          <w:tcPr>
            <w:tcW w:w="2548"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rPr>
                <w:snapToGrid w:val="0"/>
              </w:rPr>
            </w:pPr>
            <w:r>
              <w:rPr>
                <w:b/>
              </w:rPr>
              <w:t xml:space="preserve">Reprint 9: The </w:t>
            </w:r>
            <w:r>
              <w:rPr>
                <w:b/>
                <w:i/>
              </w:rPr>
              <w:t>Transfer of Land Act 1893</w:t>
            </w:r>
            <w:r>
              <w:rPr>
                <w:b/>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trPr>
        <w:tc>
          <w:tcPr>
            <w:tcW w:w="2270" w:type="dxa"/>
          </w:tcPr>
          <w:p>
            <w:pPr>
              <w:pStyle w:val="nTable"/>
              <w:spacing w:after="40"/>
              <w:rPr>
                <w:iCs/>
                <w:vertAlign w:val="superscript"/>
              </w:rPr>
            </w:pPr>
            <w:r>
              <w:rPr>
                <w:i/>
                <w:snapToGrid w:val="0"/>
              </w:rPr>
              <w:t>Approvals and Related Reforms (No. 3) (Crown Land) Act 2010</w:t>
            </w:r>
            <w:r>
              <w:rPr>
                <w:iCs/>
                <w:snapToGrid w:val="0"/>
              </w:rPr>
              <w:t xml:space="preserve"> Pt. 9</w:t>
            </w:r>
          </w:p>
        </w:tc>
        <w:tc>
          <w:tcPr>
            <w:tcW w:w="1139" w:type="dxa"/>
          </w:tcPr>
          <w:p>
            <w:pPr>
              <w:pStyle w:val="nTable"/>
              <w:spacing w:after="40"/>
            </w:pPr>
            <w:r>
              <w:t>8 of 2010</w:t>
            </w:r>
          </w:p>
        </w:tc>
        <w:tc>
          <w:tcPr>
            <w:tcW w:w="1134" w:type="dxa"/>
          </w:tcPr>
          <w:p>
            <w:pPr>
              <w:pStyle w:val="nTable"/>
              <w:spacing w:after="40"/>
            </w:pPr>
            <w:r>
              <w:t>3 Jun 2010</w:t>
            </w:r>
          </w:p>
        </w:tc>
        <w:tc>
          <w:tcPr>
            <w:tcW w:w="2548" w:type="dxa"/>
            <w:gridSpan w:val="2"/>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gridAfter w:val="1"/>
          <w:wAfter w:w="25" w:type="dxa"/>
          <w:cantSplit/>
        </w:trPr>
        <w:tc>
          <w:tcPr>
            <w:tcW w:w="2270" w:type="dxa"/>
          </w:tcPr>
          <w:p>
            <w:pPr>
              <w:pStyle w:val="nTable"/>
              <w:spacing w:after="40"/>
              <w:ind w:right="113"/>
              <w:rPr>
                <w:iCs/>
                <w:snapToGrid w:val="0"/>
              </w:rPr>
            </w:pPr>
            <w:r>
              <w:rPr>
                <w:i/>
                <w:snapToGrid w:val="0"/>
              </w:rPr>
              <w:t>Standardisation of Formatting Act 2010</w:t>
            </w:r>
            <w:r>
              <w:rPr>
                <w:iCs/>
                <w:snapToGrid w:val="0"/>
              </w:rPr>
              <w:t xml:space="preserve"> s. 38, 43(2) and 51</w:t>
            </w:r>
          </w:p>
        </w:tc>
        <w:tc>
          <w:tcPr>
            <w:tcW w:w="1139"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48"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rPr>
                <w:snapToGrid w:val="0"/>
              </w:rPr>
            </w:pPr>
            <w:r>
              <w:rPr>
                <w:b/>
              </w:rPr>
              <w:t xml:space="preserve">Reprint 10: The </w:t>
            </w:r>
            <w:r>
              <w:rPr>
                <w:b/>
                <w:i/>
              </w:rPr>
              <w:t>Transfer of Land Act 1893</w:t>
            </w:r>
            <w:r>
              <w:rPr>
                <w:b/>
              </w:rPr>
              <w:t xml:space="preserve"> as at 7 Jan 2011</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0" w:type="dxa"/>
            <w:shd w:val="clear" w:color="auto" w:fill="auto"/>
          </w:tcPr>
          <w:p>
            <w:pPr>
              <w:pStyle w:val="nTable"/>
              <w:spacing w:after="40"/>
              <w:rPr>
                <w:i/>
                <w:snapToGrid w:val="0"/>
                <w:vertAlign w:val="superscript"/>
              </w:rPr>
            </w:pPr>
            <w:r>
              <w:rPr>
                <w:i/>
                <w:snapToGrid w:val="0"/>
              </w:rPr>
              <w:t>Electronic Conveyancing Act 2014</w:t>
            </w:r>
            <w:r>
              <w:rPr>
                <w:snapToGrid w:val="0"/>
              </w:rPr>
              <w:t xml:space="preserve"> Pt. 9</w:t>
            </w:r>
          </w:p>
        </w:tc>
        <w:tc>
          <w:tcPr>
            <w:tcW w:w="1139" w:type="dxa"/>
            <w:shd w:val="clear" w:color="auto" w:fill="auto"/>
          </w:tcPr>
          <w:p>
            <w:pPr>
              <w:pStyle w:val="nTable"/>
              <w:spacing w:after="40"/>
              <w:rPr>
                <w:snapToGrid w:val="0"/>
              </w:rPr>
            </w:pPr>
            <w:r>
              <w:rPr>
                <w:snapToGrid w:val="0"/>
              </w:rPr>
              <w:t>2 of 2014</w:t>
            </w:r>
          </w:p>
        </w:tc>
        <w:tc>
          <w:tcPr>
            <w:tcW w:w="1134" w:type="dxa"/>
            <w:shd w:val="clear" w:color="auto" w:fill="auto"/>
          </w:tcPr>
          <w:p>
            <w:pPr>
              <w:pStyle w:val="nTable"/>
              <w:spacing w:after="40"/>
            </w:pPr>
            <w:r>
              <w:t>24 Mar 2014</w:t>
            </w:r>
          </w:p>
        </w:tc>
        <w:tc>
          <w:tcPr>
            <w:tcW w:w="2548" w:type="dxa"/>
            <w:gridSpan w:val="2"/>
            <w:shd w:val="clear" w:color="auto" w:fill="auto"/>
          </w:tcPr>
          <w:p>
            <w:pPr>
              <w:pStyle w:val="nTable"/>
              <w:spacing w:after="40"/>
              <w:rPr>
                <w:snapToGrid w:val="0"/>
              </w:rPr>
            </w:pPr>
            <w:r>
              <w:rPr>
                <w:snapToGrid w:val="0"/>
              </w:rPr>
              <w:t xml:space="preserve">3 Jun 2014 (see s. 2(c) and </w:t>
            </w:r>
            <w:r>
              <w:rPr>
                <w:i/>
                <w:snapToGrid w:val="0"/>
              </w:rPr>
              <w:t>Gazette</w:t>
            </w:r>
            <w:r>
              <w:rPr>
                <w:snapToGrid w:val="0"/>
              </w:rPr>
              <w:t xml:space="preserve"> 30 May 2014 p. 1679)</w:t>
            </w:r>
          </w:p>
        </w:tc>
      </w:tr>
      <w:tr>
        <w:tblPrEx>
          <w:tblBorders>
            <w:top w:val="none" w:sz="0" w:space="0" w:color="auto"/>
            <w:bottom w:val="none" w:sz="0" w:space="0" w:color="auto"/>
            <w:insideH w:val="none" w:sz="0" w:space="0" w:color="auto"/>
          </w:tblBorders>
        </w:tblPrEx>
        <w:trPr>
          <w:gridAfter w:val="1"/>
          <w:wAfter w:w="25" w:type="dxa"/>
          <w:cantSplit/>
        </w:trPr>
        <w:tc>
          <w:tcPr>
            <w:tcW w:w="2270" w:type="dxa"/>
            <w:shd w:val="clear" w:color="auto" w:fill="auto"/>
          </w:tcPr>
          <w:p>
            <w:pPr>
              <w:pStyle w:val="nTable"/>
              <w:spacing w:after="40"/>
              <w:rPr>
                <w:i/>
                <w:snapToGrid w:val="0"/>
              </w:rPr>
            </w:pPr>
            <w:r>
              <w:rPr>
                <w:i/>
              </w:rPr>
              <w:t>Land Legislation Amendment Act 2015</w:t>
            </w:r>
            <w:r>
              <w:t xml:space="preserve"> Pt. 5</w:t>
            </w:r>
          </w:p>
        </w:tc>
        <w:tc>
          <w:tcPr>
            <w:tcW w:w="1139" w:type="dxa"/>
            <w:shd w:val="clear" w:color="auto" w:fill="auto"/>
          </w:tcPr>
          <w:p>
            <w:pPr>
              <w:pStyle w:val="nTable"/>
              <w:spacing w:after="40"/>
              <w:rPr>
                <w:snapToGrid w:val="0"/>
              </w:rPr>
            </w:pPr>
            <w:r>
              <w:t>11 of 2015</w:t>
            </w:r>
          </w:p>
        </w:tc>
        <w:tc>
          <w:tcPr>
            <w:tcW w:w="1134" w:type="dxa"/>
            <w:shd w:val="clear" w:color="auto" w:fill="auto"/>
          </w:tcPr>
          <w:p>
            <w:pPr>
              <w:pStyle w:val="nTable"/>
              <w:spacing w:after="40"/>
            </w:pPr>
            <w:r>
              <w:t>29 Apr 2015</w:t>
            </w:r>
          </w:p>
        </w:tc>
        <w:tc>
          <w:tcPr>
            <w:tcW w:w="2548" w:type="dxa"/>
            <w:gridSpan w:val="2"/>
            <w:shd w:val="clear" w:color="auto" w:fill="auto"/>
          </w:tcPr>
          <w:p>
            <w:pPr>
              <w:pStyle w:val="nTable"/>
              <w:spacing w:after="40"/>
              <w:rPr>
                <w:snapToGrid w:val="0"/>
              </w:rPr>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rPr>
          <w:gridAfter w:val="1"/>
          <w:wAfter w:w="25" w:type="dxa"/>
          <w:cantSplit/>
        </w:trPr>
        <w:tc>
          <w:tcPr>
            <w:tcW w:w="2270" w:type="dxa"/>
            <w:shd w:val="clear" w:color="auto" w:fill="auto"/>
          </w:tcPr>
          <w:p>
            <w:pPr>
              <w:pStyle w:val="nTable"/>
              <w:spacing w:after="40"/>
              <w:rPr>
                <w:i/>
              </w:rPr>
            </w:pPr>
            <w:r>
              <w:rPr>
                <w:i/>
              </w:rPr>
              <w:t>Land Legislation Amendment (Taxing) Act 2015</w:t>
            </w:r>
            <w:r>
              <w:t xml:space="preserve"> Pt. 4</w:t>
            </w:r>
          </w:p>
        </w:tc>
        <w:tc>
          <w:tcPr>
            <w:tcW w:w="1139" w:type="dxa"/>
            <w:shd w:val="clear" w:color="auto" w:fill="auto"/>
          </w:tcPr>
          <w:p>
            <w:pPr>
              <w:pStyle w:val="nTable"/>
              <w:spacing w:after="40"/>
            </w:pPr>
            <w:r>
              <w:t>12 of 2015</w:t>
            </w:r>
          </w:p>
        </w:tc>
        <w:tc>
          <w:tcPr>
            <w:tcW w:w="1134" w:type="dxa"/>
            <w:shd w:val="clear" w:color="auto" w:fill="auto"/>
          </w:tcPr>
          <w:p>
            <w:pPr>
              <w:pStyle w:val="nTable"/>
              <w:spacing w:after="40"/>
            </w:pPr>
            <w:r>
              <w:t>29 Apr 2015</w:t>
            </w:r>
          </w:p>
        </w:tc>
        <w:tc>
          <w:tcPr>
            <w:tcW w:w="2548" w:type="dxa"/>
            <w:gridSpan w:val="2"/>
            <w:shd w:val="clear" w:color="auto" w:fill="auto"/>
          </w:tcPr>
          <w:p>
            <w:pPr>
              <w:pStyle w:val="nTable"/>
              <w:spacing w:after="40"/>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shd w:val="clear" w:color="auto" w:fill="auto"/>
          </w:tcPr>
          <w:p>
            <w:pPr>
              <w:pStyle w:val="nTable"/>
              <w:spacing w:after="40"/>
            </w:pPr>
            <w:r>
              <w:rPr>
                <w:b/>
              </w:rPr>
              <w:t xml:space="preserve">Reprint 11: The </w:t>
            </w:r>
            <w:r>
              <w:rPr>
                <w:b/>
                <w:i/>
                <w:noProof/>
              </w:rPr>
              <w:t>Transfer of Land Act 1893</w:t>
            </w:r>
            <w:r>
              <w:rPr>
                <w:b/>
              </w:rPr>
              <w:t xml:space="preserve"> as at 8 Jan 2016</w:t>
            </w:r>
            <w:r>
              <w:t xml:space="preserve"> (includes amendments listed above)</w:t>
            </w:r>
          </w:p>
        </w:tc>
      </w:tr>
      <w:tr>
        <w:trPr>
          <w:gridAfter w:val="1"/>
          <w:wAfter w:w="25" w:type="dxa"/>
        </w:trPr>
        <w:tc>
          <w:tcPr>
            <w:tcW w:w="2270" w:type="dxa"/>
            <w:tcBorders>
              <w:top w:val="nil"/>
              <w:bottom w:val="nil"/>
            </w:tcBorders>
          </w:tcPr>
          <w:p>
            <w:pPr>
              <w:pStyle w:val="nTable"/>
              <w:spacing w:after="40"/>
            </w:pPr>
            <w:r>
              <w:rPr>
                <w:i/>
              </w:rPr>
              <w:t>Strata Titles Amendment Act 2018</w:t>
            </w:r>
            <w:r>
              <w:t xml:space="preserve"> Pt. 3 Div. 23</w:t>
            </w:r>
          </w:p>
        </w:tc>
        <w:tc>
          <w:tcPr>
            <w:tcW w:w="1139"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48" w:type="dxa"/>
            <w:gridSpan w:val="2"/>
            <w:tcBorders>
              <w:top w:val="nil"/>
              <w:bottom w:val="nil"/>
            </w:tcBorders>
          </w:tcPr>
          <w:p>
            <w:pPr>
              <w:pStyle w:val="nTable"/>
              <w:spacing w:after="40"/>
            </w:pPr>
            <w:r>
              <w:rPr>
                <w:snapToGrid w:val="0"/>
              </w:rPr>
              <w:t>1 May 2020 (see s. 2(b) and SL 2020/39 cl. 2)</w:t>
            </w:r>
          </w:p>
        </w:tc>
      </w:tr>
      <w:tr>
        <w:trPr>
          <w:gridAfter w:val="1"/>
          <w:wAfter w:w="25" w:type="dxa"/>
        </w:trPr>
        <w:tc>
          <w:tcPr>
            <w:tcW w:w="2270" w:type="dxa"/>
            <w:tcBorders>
              <w:top w:val="nil"/>
              <w:bottom w:val="nil"/>
            </w:tcBorders>
          </w:tcPr>
          <w:p>
            <w:pPr>
              <w:pStyle w:val="nTable"/>
              <w:spacing w:after="40"/>
              <w:rPr>
                <w:i/>
              </w:rPr>
            </w:pPr>
            <w:r>
              <w:rPr>
                <w:i/>
              </w:rPr>
              <w:lastRenderedPageBreak/>
              <w:t>Community Titles Act 2018</w:t>
            </w:r>
            <w:r>
              <w:t xml:space="preserve"> Pt. 14 Div. 23 (other than s. 253) </w:t>
            </w:r>
          </w:p>
        </w:tc>
        <w:tc>
          <w:tcPr>
            <w:tcW w:w="1139"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48" w:type="dxa"/>
            <w:gridSpan w:val="2"/>
            <w:tcBorders>
              <w:top w:val="nil"/>
              <w:bottom w:val="nil"/>
            </w:tcBorders>
          </w:tcPr>
          <w:p>
            <w:pPr>
              <w:pStyle w:val="nTable"/>
              <w:spacing w:after="40"/>
              <w:rPr>
                <w:snapToGrid w:val="0"/>
              </w:rPr>
            </w:pPr>
            <w:r>
              <w:t>30 Jun 2021 (see s. 2(b) and SL 2021/69 cl. 2)</w:t>
            </w:r>
          </w:p>
        </w:tc>
      </w:tr>
      <w:tr>
        <w:trPr>
          <w:gridAfter w:val="1"/>
          <w:wAfter w:w="25" w:type="dxa"/>
        </w:trPr>
        <w:tc>
          <w:tcPr>
            <w:tcW w:w="2270" w:type="dxa"/>
            <w:tcBorders>
              <w:top w:val="nil"/>
              <w:bottom w:val="nil"/>
            </w:tcBorders>
          </w:tcPr>
          <w:p>
            <w:pPr>
              <w:pStyle w:val="nTable"/>
              <w:spacing w:after="40"/>
            </w:pPr>
            <w:r>
              <w:rPr>
                <w:i/>
              </w:rPr>
              <w:t>COVID</w:t>
            </w:r>
            <w:r>
              <w:rPr>
                <w:i/>
              </w:rPr>
              <w:noBreakHyphen/>
              <w:t>19 Response and Economic Recovery Omnibus Act 2020</w:t>
            </w:r>
            <w:r>
              <w:t xml:space="preserve"> s. 102</w:t>
            </w:r>
          </w:p>
        </w:tc>
        <w:tc>
          <w:tcPr>
            <w:tcW w:w="1139" w:type="dxa"/>
            <w:tcBorders>
              <w:top w:val="nil"/>
              <w:bottom w:val="nil"/>
            </w:tcBorders>
          </w:tcPr>
          <w:p>
            <w:pPr>
              <w:pStyle w:val="nTable"/>
              <w:spacing w:after="40"/>
            </w:pPr>
            <w:r>
              <w:t>34 of 2020</w:t>
            </w:r>
          </w:p>
        </w:tc>
        <w:tc>
          <w:tcPr>
            <w:tcW w:w="1134" w:type="dxa"/>
            <w:tcBorders>
              <w:top w:val="nil"/>
              <w:bottom w:val="nil"/>
            </w:tcBorders>
          </w:tcPr>
          <w:p>
            <w:pPr>
              <w:pStyle w:val="nTable"/>
              <w:spacing w:after="40"/>
            </w:pPr>
            <w:r>
              <w:t>11 Sep 2020</w:t>
            </w:r>
          </w:p>
        </w:tc>
        <w:tc>
          <w:tcPr>
            <w:tcW w:w="2548" w:type="dxa"/>
            <w:gridSpan w:val="2"/>
            <w:tcBorders>
              <w:top w:val="nil"/>
              <w:bottom w:val="nil"/>
            </w:tcBorders>
          </w:tcPr>
          <w:p>
            <w:pPr>
              <w:pStyle w:val="nTable"/>
              <w:spacing w:after="40"/>
              <w:rPr>
                <w:snapToGrid w:val="0"/>
              </w:rPr>
            </w:pPr>
            <w:r>
              <w:rPr>
                <w:snapToGrid w:val="0"/>
              </w:rPr>
              <w:t>12 Sep 2020 (see s. 2(b))</w:t>
            </w:r>
          </w:p>
        </w:tc>
      </w:tr>
      <w:tr>
        <w:trPr>
          <w:gridAfter w:val="1"/>
          <w:wAfter w:w="25" w:type="dxa"/>
        </w:trPr>
        <w:tc>
          <w:tcPr>
            <w:tcW w:w="2270" w:type="dxa"/>
            <w:tcBorders>
              <w:top w:val="nil"/>
              <w:bottom w:val="nil"/>
            </w:tcBorders>
          </w:tcPr>
          <w:p>
            <w:pPr>
              <w:pStyle w:val="nTable"/>
              <w:spacing w:after="40"/>
              <w:rPr>
                <w:i/>
              </w:rPr>
            </w:pPr>
            <w:r>
              <w:rPr>
                <w:i/>
              </w:rPr>
              <w:t>Legal Profession Uniform Law Application Act 2022</w:t>
            </w:r>
            <w:r>
              <w:t xml:space="preserve"> s. 424</w:t>
            </w:r>
          </w:p>
        </w:tc>
        <w:tc>
          <w:tcPr>
            <w:tcW w:w="1139"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48" w:type="dxa"/>
            <w:gridSpan w:val="2"/>
            <w:tcBorders>
              <w:top w:val="nil"/>
              <w:bottom w:val="nil"/>
            </w:tcBorders>
          </w:tcPr>
          <w:p>
            <w:pPr>
              <w:pStyle w:val="nTable"/>
              <w:spacing w:after="40"/>
              <w:rPr>
                <w:snapToGrid w:val="0"/>
              </w:rPr>
            </w:pPr>
            <w:r>
              <w:rPr>
                <w:snapToGrid w:val="0"/>
              </w:rPr>
              <w:t>1 Jul 2022 (see s. 2(c) and SL 2022/113 cl. 2)</w:t>
            </w:r>
          </w:p>
        </w:tc>
      </w:tr>
      <w:tr>
        <w:tc>
          <w:tcPr>
            <w:tcW w:w="2270" w:type="dxa"/>
            <w:tcBorders>
              <w:top w:val="nil"/>
              <w:bottom w:val="nil"/>
            </w:tcBorders>
            <w:shd w:val="clear" w:color="auto" w:fill="auto"/>
          </w:tcPr>
          <w:p>
            <w:pPr>
              <w:pStyle w:val="nTable"/>
              <w:spacing w:after="40"/>
            </w:pPr>
            <w:r>
              <w:rPr>
                <w:i/>
              </w:rPr>
              <w:t>Transfer of Land Amendment Act 2022</w:t>
            </w:r>
            <w:r>
              <w:t xml:space="preserve"> Pt. 2</w:t>
            </w:r>
          </w:p>
        </w:tc>
        <w:tc>
          <w:tcPr>
            <w:tcW w:w="1139" w:type="dxa"/>
            <w:tcBorders>
              <w:top w:val="nil"/>
              <w:bottom w:val="nil"/>
            </w:tcBorders>
            <w:shd w:val="clear" w:color="auto" w:fill="auto"/>
          </w:tcPr>
          <w:p>
            <w:pPr>
              <w:pStyle w:val="nTable"/>
              <w:spacing w:after="40"/>
            </w:pPr>
            <w:r>
              <w:t>21 of 2022</w:t>
            </w:r>
          </w:p>
        </w:tc>
        <w:tc>
          <w:tcPr>
            <w:tcW w:w="1150" w:type="dxa"/>
            <w:gridSpan w:val="2"/>
            <w:tcBorders>
              <w:top w:val="nil"/>
              <w:bottom w:val="nil"/>
            </w:tcBorders>
            <w:shd w:val="clear" w:color="auto" w:fill="auto"/>
          </w:tcPr>
          <w:p>
            <w:pPr>
              <w:pStyle w:val="nTable"/>
              <w:spacing w:after="40"/>
            </w:pPr>
            <w:r>
              <w:t>24 Jun 2022</w:t>
            </w:r>
          </w:p>
        </w:tc>
        <w:tc>
          <w:tcPr>
            <w:tcW w:w="2557" w:type="dxa"/>
            <w:gridSpan w:val="2"/>
            <w:tcBorders>
              <w:top w:val="nil"/>
              <w:bottom w:val="nil"/>
            </w:tcBorders>
            <w:shd w:val="clear" w:color="auto" w:fill="auto"/>
          </w:tcPr>
          <w:p>
            <w:pPr>
              <w:pStyle w:val="nTable"/>
              <w:spacing w:after="40"/>
            </w:pPr>
            <w:r>
              <w:t>7 Aug 2023 (see s. 2(b) and SL 2023/111 cl. 2)</w:t>
            </w:r>
          </w:p>
        </w:tc>
      </w:tr>
      <w:tr>
        <w:tc>
          <w:tcPr>
            <w:tcW w:w="2270" w:type="dxa"/>
            <w:tcBorders>
              <w:top w:val="nil"/>
              <w:bottom w:val="single" w:sz="4" w:space="0" w:color="auto"/>
            </w:tcBorders>
            <w:shd w:val="clear" w:color="auto" w:fill="auto"/>
          </w:tcPr>
          <w:p>
            <w:pPr>
              <w:pStyle w:val="nTable"/>
              <w:spacing w:after="40"/>
              <w:rPr>
                <w:i/>
              </w:rPr>
            </w:pPr>
            <w:r>
              <w:rPr>
                <w:i/>
              </w:rPr>
              <w:t>Land and Public Works Legislation Amendment Act 2023</w:t>
            </w:r>
            <w:r>
              <w:t xml:space="preserve"> Pt. 4 Div. 12</w:t>
            </w:r>
          </w:p>
        </w:tc>
        <w:tc>
          <w:tcPr>
            <w:tcW w:w="1139" w:type="dxa"/>
            <w:tcBorders>
              <w:top w:val="nil"/>
              <w:bottom w:val="single" w:sz="4" w:space="0" w:color="auto"/>
            </w:tcBorders>
            <w:shd w:val="clear" w:color="auto" w:fill="auto"/>
          </w:tcPr>
          <w:p>
            <w:pPr>
              <w:pStyle w:val="nTable"/>
              <w:spacing w:after="40"/>
            </w:pPr>
            <w:r>
              <w:t>4 of 2023</w:t>
            </w:r>
          </w:p>
        </w:tc>
        <w:tc>
          <w:tcPr>
            <w:tcW w:w="1150" w:type="dxa"/>
            <w:gridSpan w:val="2"/>
            <w:tcBorders>
              <w:top w:val="nil"/>
              <w:bottom w:val="single" w:sz="4" w:space="0" w:color="auto"/>
            </w:tcBorders>
            <w:shd w:val="clear" w:color="auto" w:fill="auto"/>
          </w:tcPr>
          <w:p>
            <w:pPr>
              <w:pStyle w:val="nTable"/>
              <w:spacing w:after="40"/>
            </w:pPr>
            <w:r>
              <w:t>24 Mar 2023</w:t>
            </w:r>
          </w:p>
        </w:tc>
        <w:tc>
          <w:tcPr>
            <w:tcW w:w="2557" w:type="dxa"/>
            <w:gridSpan w:val="2"/>
            <w:tcBorders>
              <w:top w:val="nil"/>
              <w:bottom w:val="single" w:sz="4" w:space="0" w:color="auto"/>
            </w:tcBorders>
            <w:shd w:val="clear" w:color="auto" w:fill="auto"/>
          </w:tcPr>
          <w:p>
            <w:pPr>
              <w:pStyle w:val="nTable"/>
              <w:spacing w:after="40"/>
            </w:pPr>
            <w:r>
              <w:t>10 Aug 2023 (see s. 2(b) and SL 2023/132 cl. 2)</w:t>
            </w:r>
          </w:p>
        </w:tc>
      </w:tr>
    </w:tbl>
    <w:p>
      <w:pPr>
        <w:pStyle w:val="nHeading3"/>
      </w:pPr>
      <w:bookmarkStart w:id="544" w:name="_Toc210130053"/>
      <w:r>
        <w:t>Uncommenced provisions table</w:t>
      </w:r>
      <w:bookmarkEnd w:id="544"/>
    </w:p>
    <w:p>
      <w:pPr>
        <w:pStyle w:val="nStatement"/>
        <w:keepNext/>
        <w:spacing w:after="240"/>
      </w:pPr>
      <w:r>
        <w:t xml:space="preserve">To view the text of the uncommenced provisions see </w:t>
      </w:r>
      <w:r>
        <w:rPr>
          <w:i/>
        </w:rPr>
        <w:t>Acts as passed</w:t>
      </w:r>
      <w:r>
        <w:t xml:space="preserve"> on the WA legislation website.</w:t>
      </w:r>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52"/>
        <w:gridCol w:w="2552"/>
      </w:tblGrid>
      <w:tr>
        <w:trPr>
          <w:tblHeader/>
        </w:trPr>
        <w:tc>
          <w:tcPr>
            <w:tcW w:w="2273" w:type="dxa"/>
          </w:tcPr>
          <w:p>
            <w:pPr>
              <w:pStyle w:val="nTable"/>
              <w:keepNext/>
              <w:spacing w:after="40"/>
              <w:rPr>
                <w:b/>
              </w:rPr>
            </w:pPr>
            <w:r>
              <w:rPr>
                <w:b/>
              </w:rPr>
              <w:t>Short title</w:t>
            </w:r>
          </w:p>
        </w:tc>
        <w:tc>
          <w:tcPr>
            <w:tcW w:w="1139" w:type="dxa"/>
          </w:tcPr>
          <w:p>
            <w:pPr>
              <w:pStyle w:val="nTable"/>
              <w:keepNext/>
              <w:spacing w:after="40"/>
              <w:rPr>
                <w:b/>
              </w:rPr>
            </w:pPr>
            <w:r>
              <w:rPr>
                <w:b/>
              </w:rPr>
              <w:t>Number and year</w:t>
            </w:r>
          </w:p>
        </w:tc>
        <w:tc>
          <w:tcPr>
            <w:tcW w:w="1152"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c>
          <w:tcPr>
            <w:tcW w:w="2273" w:type="dxa"/>
            <w:tcBorders>
              <w:top w:val="single" w:sz="8" w:space="0" w:color="auto"/>
            </w:tcBorders>
            <w:shd w:val="clear" w:color="auto" w:fill="auto"/>
          </w:tcPr>
          <w:p>
            <w:pPr>
              <w:pStyle w:val="nTable"/>
              <w:spacing w:after="40"/>
              <w:rPr>
                <w:vertAlign w:val="superscript"/>
              </w:rPr>
            </w:pPr>
            <w:r>
              <w:rPr>
                <w:i/>
              </w:rPr>
              <w:t>Transfer of Land Amendment Act 2003</w:t>
            </w:r>
            <w:r>
              <w:t xml:space="preserve"> s. 43, 46, 56 and 57</w:t>
            </w:r>
          </w:p>
        </w:tc>
        <w:tc>
          <w:tcPr>
            <w:tcW w:w="1139" w:type="dxa"/>
            <w:tcBorders>
              <w:top w:val="single" w:sz="8" w:space="0" w:color="auto"/>
            </w:tcBorders>
            <w:shd w:val="clear" w:color="auto" w:fill="auto"/>
          </w:tcPr>
          <w:p>
            <w:pPr>
              <w:pStyle w:val="nTable"/>
              <w:spacing w:after="40"/>
            </w:pPr>
            <w:r>
              <w:t>6 of 2003</w:t>
            </w:r>
            <w:r>
              <w:br/>
              <w:t>(as amended by No. 60 of 2006 s. 164)</w:t>
            </w:r>
          </w:p>
        </w:tc>
        <w:tc>
          <w:tcPr>
            <w:tcW w:w="1152" w:type="dxa"/>
            <w:tcBorders>
              <w:top w:val="single" w:sz="8" w:space="0" w:color="auto"/>
            </w:tcBorders>
            <w:shd w:val="clear" w:color="auto" w:fill="auto"/>
          </w:tcPr>
          <w:p>
            <w:pPr>
              <w:pStyle w:val="nTable"/>
              <w:spacing w:after="40"/>
            </w:pPr>
            <w:r>
              <w:t>25 Mar 2003</w:t>
            </w:r>
          </w:p>
        </w:tc>
        <w:tc>
          <w:tcPr>
            <w:tcW w:w="2552" w:type="dxa"/>
            <w:tcBorders>
              <w:top w:val="single" w:sz="8" w:space="0" w:color="auto"/>
            </w:tcBorders>
            <w:shd w:val="clear" w:color="auto" w:fill="auto"/>
          </w:tcPr>
          <w:p>
            <w:pPr>
              <w:pStyle w:val="nTable"/>
              <w:spacing w:after="40"/>
            </w:pPr>
            <w:r>
              <w:t>To be proclaimed (see s. 2)</w:t>
            </w:r>
          </w:p>
        </w:tc>
      </w:tr>
      <w:tr>
        <w:tc>
          <w:tcPr>
            <w:tcW w:w="2273" w:type="dxa"/>
            <w:tcBorders>
              <w:top w:val="nil"/>
              <w:bottom w:val="nil"/>
            </w:tcBorders>
            <w:shd w:val="clear" w:color="auto" w:fill="auto"/>
          </w:tcPr>
          <w:p>
            <w:pPr>
              <w:pStyle w:val="nTable"/>
              <w:spacing w:after="40"/>
              <w:rPr>
                <w:i/>
              </w:rPr>
            </w:pPr>
            <w:r>
              <w:rPr>
                <w:i/>
              </w:rPr>
              <w:t>Community Titles Act 2018</w:t>
            </w:r>
            <w:r>
              <w:t xml:space="preserve"> s. 253</w:t>
            </w:r>
          </w:p>
        </w:tc>
        <w:tc>
          <w:tcPr>
            <w:tcW w:w="1139" w:type="dxa"/>
            <w:tcBorders>
              <w:top w:val="nil"/>
              <w:bottom w:val="nil"/>
            </w:tcBorders>
            <w:shd w:val="clear" w:color="auto" w:fill="auto"/>
          </w:tcPr>
          <w:p>
            <w:pPr>
              <w:pStyle w:val="nTable"/>
              <w:spacing w:after="40"/>
            </w:pPr>
            <w:r>
              <w:t>32 of 2018</w:t>
            </w:r>
          </w:p>
        </w:tc>
        <w:tc>
          <w:tcPr>
            <w:tcW w:w="1152"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To be proclaimed (see s. 2(b))</w:t>
            </w:r>
          </w:p>
        </w:tc>
      </w:tr>
      <w:tr>
        <w:tc>
          <w:tcPr>
            <w:tcW w:w="2273" w:type="dxa"/>
            <w:tcBorders>
              <w:top w:val="nil"/>
              <w:bottom w:val="nil"/>
            </w:tcBorders>
            <w:shd w:val="clear" w:color="auto" w:fill="auto"/>
          </w:tcPr>
          <w:p>
            <w:pPr>
              <w:pStyle w:val="nTable"/>
              <w:spacing w:after="40"/>
              <w:rPr>
                <w:iCs/>
              </w:rPr>
            </w:pPr>
            <w:r>
              <w:rPr>
                <w:i/>
              </w:rPr>
              <w:t>Petroleum Legislation Amendment Act 2024</w:t>
            </w:r>
            <w:r>
              <w:rPr>
                <w:iCs/>
              </w:rPr>
              <w:t xml:space="preserve"> Pt. 5 Div. 13</w:t>
            </w:r>
          </w:p>
        </w:tc>
        <w:tc>
          <w:tcPr>
            <w:tcW w:w="1139" w:type="dxa"/>
            <w:tcBorders>
              <w:top w:val="nil"/>
              <w:bottom w:val="nil"/>
            </w:tcBorders>
            <w:shd w:val="clear" w:color="auto" w:fill="auto"/>
          </w:tcPr>
          <w:p>
            <w:pPr>
              <w:pStyle w:val="nTable"/>
              <w:spacing w:after="40"/>
            </w:pPr>
            <w:r>
              <w:t>17 of 2024</w:t>
            </w:r>
          </w:p>
        </w:tc>
        <w:tc>
          <w:tcPr>
            <w:tcW w:w="1152" w:type="dxa"/>
            <w:tcBorders>
              <w:top w:val="nil"/>
              <w:bottom w:val="nil"/>
            </w:tcBorders>
            <w:shd w:val="clear" w:color="auto" w:fill="auto"/>
          </w:tcPr>
          <w:p>
            <w:pPr>
              <w:pStyle w:val="nTable"/>
              <w:spacing w:after="40"/>
            </w:pPr>
            <w:r>
              <w:t>14 May 2024</w:t>
            </w:r>
          </w:p>
        </w:tc>
        <w:tc>
          <w:tcPr>
            <w:tcW w:w="2552" w:type="dxa"/>
            <w:tcBorders>
              <w:top w:val="nil"/>
              <w:bottom w:val="nil"/>
            </w:tcBorders>
            <w:shd w:val="clear" w:color="auto" w:fill="auto"/>
          </w:tcPr>
          <w:p>
            <w:pPr>
              <w:pStyle w:val="nTable"/>
              <w:spacing w:after="40"/>
            </w:pPr>
            <w:r>
              <w:t>To be proclaimed (see s. 2(b))</w:t>
            </w:r>
          </w:p>
        </w:tc>
      </w:tr>
      <w:tr>
        <w:tc>
          <w:tcPr>
            <w:tcW w:w="2273" w:type="dxa"/>
            <w:tcBorders>
              <w:top w:val="nil"/>
              <w:bottom w:val="single" w:sz="4" w:space="0" w:color="auto"/>
            </w:tcBorders>
            <w:shd w:val="clear" w:color="auto" w:fill="auto"/>
          </w:tcPr>
          <w:p>
            <w:pPr>
              <w:pStyle w:val="nTable"/>
              <w:spacing w:after="40"/>
              <w:rPr>
                <w:i/>
              </w:rPr>
            </w:pPr>
            <w:r>
              <w:rPr>
                <w:i/>
                <w:snapToGrid w:val="0"/>
              </w:rPr>
              <w:t xml:space="preserve">Evidence Act 2025 </w:t>
            </w:r>
            <w:r>
              <w:rPr>
                <w:iCs/>
                <w:snapToGrid w:val="0"/>
              </w:rPr>
              <w:t>s. 492(2)</w:t>
            </w:r>
          </w:p>
        </w:tc>
        <w:tc>
          <w:tcPr>
            <w:tcW w:w="1139" w:type="dxa"/>
            <w:tcBorders>
              <w:top w:val="nil"/>
              <w:bottom w:val="single" w:sz="4" w:space="0" w:color="auto"/>
            </w:tcBorders>
            <w:shd w:val="clear" w:color="auto" w:fill="auto"/>
          </w:tcPr>
          <w:p>
            <w:pPr>
              <w:pStyle w:val="nTable"/>
              <w:spacing w:after="40"/>
            </w:pPr>
            <w:r>
              <w:t>15 of 2025</w:t>
            </w:r>
          </w:p>
        </w:tc>
        <w:tc>
          <w:tcPr>
            <w:tcW w:w="1152" w:type="dxa"/>
            <w:tcBorders>
              <w:top w:val="nil"/>
              <w:bottom w:val="single" w:sz="4" w:space="0" w:color="auto"/>
            </w:tcBorders>
            <w:shd w:val="clear" w:color="auto" w:fill="auto"/>
          </w:tcPr>
          <w:p>
            <w:pPr>
              <w:pStyle w:val="nTable"/>
              <w:spacing w:after="40"/>
            </w:pPr>
            <w:r>
              <w:t>25 Sep 2025</w:t>
            </w:r>
          </w:p>
        </w:tc>
        <w:tc>
          <w:tcPr>
            <w:tcW w:w="2552" w:type="dxa"/>
            <w:tcBorders>
              <w:top w:val="nil"/>
              <w:bottom w:val="single" w:sz="4" w:space="0" w:color="auto"/>
            </w:tcBorders>
            <w:shd w:val="clear" w:color="auto" w:fill="auto"/>
          </w:tcPr>
          <w:p>
            <w:pPr>
              <w:pStyle w:val="nTable"/>
              <w:spacing w:after="40"/>
            </w:pPr>
            <w:r>
              <w:rPr>
                <w:snapToGrid w:val="0"/>
              </w:rPr>
              <w:t>To be proclaimed (see s. 2(e))</w:t>
            </w:r>
          </w:p>
        </w:tc>
      </w:tr>
    </w:tbl>
    <w:p>
      <w:pPr>
        <w:pStyle w:val="nHeading3"/>
      </w:pPr>
      <w:bookmarkStart w:id="545" w:name="_Toc210130054"/>
      <w:r>
        <w:t>Other notes</w:t>
      </w:r>
      <w:bookmarkEnd w:id="545"/>
    </w:p>
    <w:p>
      <w:pPr>
        <w:pStyle w:val="nNote"/>
        <w:spacing w:before="160"/>
        <w:rPr>
          <w:i/>
          <w:snapToGrid w:val="0"/>
        </w:rPr>
      </w:pPr>
      <w:r>
        <w:rPr>
          <w:snapToGrid w:val="0"/>
          <w:vertAlign w:val="superscript"/>
        </w:rPr>
        <w:t>1</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Note"/>
        <w:rPr>
          <w:snapToGrid w:val="0"/>
        </w:rPr>
      </w:pPr>
      <w:r>
        <w:rPr>
          <w:snapToGrid w:val="0"/>
          <w:vertAlign w:val="superscript"/>
        </w:rPr>
        <w:t>2</w:t>
      </w:r>
      <w:r>
        <w:rPr>
          <w:snapToGrid w:val="0"/>
        </w:rPr>
        <w:tab/>
        <w:t xml:space="preserve">The </w:t>
      </w:r>
      <w:r>
        <w:rPr>
          <w:i/>
          <w:snapToGrid w:val="0"/>
        </w:rPr>
        <w:t>Land Valuers Licensing Act 1978</w:t>
      </w:r>
      <w:r>
        <w:rPr>
          <w:snapToGrid w:val="0"/>
        </w:rPr>
        <w:t xml:space="preserve"> came into operation on 1 July 1979.</w:t>
      </w:r>
    </w:p>
    <w:p>
      <w:pPr>
        <w:pStyle w:val="nNote"/>
        <w:keepNext/>
        <w:rPr>
          <w:snapToGrid w:val="0"/>
        </w:rPr>
      </w:pPr>
      <w:r>
        <w:rPr>
          <w:snapToGrid w:val="0"/>
          <w:vertAlign w:val="superscript"/>
        </w:rPr>
        <w:lastRenderedPageBreak/>
        <w:t>3</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Note"/>
        <w:keepNext/>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Note"/>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keepNext/>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Note"/>
        <w:keepNext/>
        <w:rPr>
          <w:snapToGrid w:val="0"/>
        </w:rPr>
      </w:pPr>
      <w:r>
        <w:rPr>
          <w:snapToGrid w:val="0"/>
          <w:vertAlign w:val="superscript"/>
        </w:rPr>
        <w:t>6</w:t>
      </w:r>
      <w:r>
        <w:rPr>
          <w:snapToGrid w:val="0"/>
        </w:rPr>
        <w:tab/>
        <w:t>The</w:t>
      </w:r>
      <w:r>
        <w:rPr>
          <w:i/>
          <w:snapToGrid w:val="0"/>
        </w:rPr>
        <w:t xml:space="preserve"> Settled Land Act 1892</w:t>
      </w:r>
      <w:r>
        <w:rPr>
          <w:snapToGrid w:val="0"/>
        </w:rPr>
        <w:t xml:space="preserve"> was</w:t>
      </w:r>
      <w:r>
        <w:rPr>
          <w:i/>
          <w:snapToGrid w:val="0"/>
        </w:rPr>
        <w:t xml:space="preserve"> </w:t>
      </w:r>
      <w:r>
        <w:rPr>
          <w:snapToGrid w:val="0"/>
        </w:rPr>
        <w:t xml:space="preserve">repealed by the </w:t>
      </w:r>
      <w:r>
        <w:rPr>
          <w:i/>
          <w:snapToGrid w:val="0"/>
        </w:rPr>
        <w:t>Trustees Act 1962</w:t>
      </w:r>
      <w:r>
        <w:rPr>
          <w:snapToGrid w:val="0"/>
        </w:rPr>
        <w:t>.</w:t>
      </w:r>
    </w:p>
    <w:p>
      <w:pPr>
        <w:pStyle w:val="nNote"/>
        <w:keepNext/>
        <w:keepLines/>
        <w:spacing w:before="140"/>
        <w:rPr>
          <w:snapToGrid w:val="0"/>
        </w:rPr>
      </w:pPr>
      <w:r>
        <w:rPr>
          <w:snapToGrid w:val="0"/>
          <w:vertAlign w:val="superscript"/>
        </w:rPr>
        <w:t>7</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Note"/>
      </w:pPr>
      <w:r>
        <w:rPr>
          <w:snapToGrid w:val="0"/>
          <w:vertAlign w:val="superscript"/>
        </w:rPr>
        <w:t>8</w:t>
      </w:r>
      <w:r>
        <w:rPr>
          <w:snapToGrid w:val="0"/>
        </w:rPr>
        <w:tab/>
      </w:r>
      <w:r>
        <w:t xml:space="preserve">On the date as at which this </w:t>
      </w:r>
      <w:r>
        <w:rPr>
          <w:snapToGrid w:val="0"/>
        </w:rPr>
        <w:t>compilation</w:t>
      </w:r>
      <w:r>
        <w:t xml:space="preserve">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Note"/>
        <w:keepNext/>
        <w:keepLines/>
        <w:spacing w:before="140"/>
        <w:rPr>
          <w:snapToGrid w:val="0"/>
        </w:rPr>
      </w:pPr>
      <w:r>
        <w:rPr>
          <w:snapToGrid w:val="0"/>
          <w:vertAlign w:val="superscript"/>
        </w:rPr>
        <w:lastRenderedPageBreak/>
        <w:t>9</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keepNext/>
        <w:keepLines/>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Note"/>
        <w:rPr>
          <w:snapToGrid w:val="0"/>
        </w:rPr>
      </w:pPr>
      <w:r>
        <w:rPr>
          <w:snapToGrid w:val="0"/>
          <w:vertAlign w:val="superscript"/>
        </w:rPr>
        <w:t>10</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Note"/>
        <w:keepNext/>
        <w:rPr>
          <w:snapToGrid w:val="0"/>
        </w:rPr>
      </w:pPr>
      <w:r>
        <w:rPr>
          <w:snapToGrid w:val="0"/>
          <w:vertAlign w:val="superscript"/>
        </w:rPr>
        <w:t>11</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Note"/>
        <w:rPr>
          <w:snapToGrid w:val="0"/>
        </w:rPr>
      </w:pPr>
      <w:r>
        <w:rPr>
          <w:snapToGrid w:val="0"/>
          <w:vertAlign w:val="superscript"/>
        </w:rPr>
        <w:t>12</w:t>
      </w:r>
      <w:r>
        <w:rPr>
          <w:snapToGrid w:val="0"/>
        </w:rPr>
        <w:tab/>
        <w:t xml:space="preserve">This Act was amended by the </w:t>
      </w:r>
      <w:r>
        <w:rPr>
          <w:i/>
          <w:snapToGrid w:val="0"/>
        </w:rPr>
        <w:t>Transfer of Land Act Amendment Act 1950</w:t>
      </w:r>
      <w:r>
        <w:rPr>
          <w:iCs/>
          <w:snapToGrid w:val="0"/>
        </w:rPr>
        <w:t xml:space="preserve"> s. 75. See also note 16</w:t>
      </w:r>
      <w:r>
        <w:rPr>
          <w:snapToGrid w:val="0"/>
        </w:rPr>
        <w:t>.</w:t>
      </w:r>
    </w:p>
    <w:p>
      <w:pPr>
        <w:pStyle w:val="nNote"/>
        <w:rPr>
          <w:snapToGrid w:val="0"/>
        </w:rPr>
      </w:pPr>
      <w:r>
        <w:rPr>
          <w:snapToGrid w:val="0"/>
          <w:vertAlign w:val="superscript"/>
        </w:rPr>
        <w:t>13</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Note"/>
      </w:pPr>
      <w:r>
        <w:rPr>
          <w:snapToGrid w:val="0"/>
          <w:vertAlign w:val="superscript"/>
        </w:rPr>
        <w:t>14</w:t>
      </w:r>
      <w:r>
        <w:rPr>
          <w:snapToGrid w:val="0"/>
        </w:rPr>
        <w:tab/>
        <w:t xml:space="preserve">The </w:t>
      </w:r>
      <w:r>
        <w:rPr>
          <w:i/>
          <w:snapToGrid w:val="0"/>
        </w:rPr>
        <w:t>Transfer of Land Act Amendment Act 1950</w:t>
      </w:r>
      <w:r>
        <w:rPr>
          <w:snapToGrid w:val="0"/>
        </w:rPr>
        <w:t xml:space="preserve"> s. 75 sets out an amendment to the </w:t>
      </w:r>
      <w:r>
        <w:rPr>
          <w:i/>
          <w:snapToGrid w:val="0"/>
        </w:rPr>
        <w:t>Transfer of Land Act Amendment Act 1946</w:t>
      </w:r>
      <w:r>
        <w:rPr>
          <w:snapToGrid w:val="0"/>
        </w:rPr>
        <w:t xml:space="preserve">. However, the </w:t>
      </w:r>
      <w:r>
        <w:rPr>
          <w:i/>
          <w:snapToGrid w:val="0"/>
        </w:rPr>
        <w:t>Transfer of Land Act Amendment Act 1950</w:t>
      </w:r>
      <w:r>
        <w:rPr>
          <w:snapToGrid w:val="0"/>
        </w:rPr>
        <w:t xml:space="preserve"> s. 32 sets out an amendment to the </w:t>
      </w:r>
      <w:r>
        <w:rPr>
          <w:i/>
          <w:snapToGrid w:val="0"/>
        </w:rPr>
        <w:t>Transfer of Land Act 1893</w:t>
      </w:r>
      <w:r>
        <w:rPr>
          <w:iCs/>
          <w:snapToGrid w:val="0"/>
        </w:rPr>
        <w:t xml:space="preserve"> that achieves the same result</w:t>
      </w:r>
      <w:r>
        <w:t>.</w:t>
      </w:r>
    </w:p>
    <w:p>
      <w:pPr>
        <w:pStyle w:val="nNote"/>
        <w:keepNext/>
        <w:keepLines/>
        <w:rPr>
          <w:snapToGrid w:val="0"/>
        </w:rPr>
      </w:pPr>
      <w:r>
        <w:rPr>
          <w:snapToGrid w:val="0"/>
          <w:vertAlign w:val="superscript"/>
        </w:rPr>
        <w:t>15</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sz w:val="16"/>
          <w:szCs w:val="16"/>
        </w:rPr>
      </w:pPr>
    </w:p>
    <w:p>
      <w:pPr>
        <w:pStyle w:val="nNote"/>
        <w:rPr>
          <w:snapToGrid w:val="0"/>
        </w:rPr>
      </w:pPr>
      <w:r>
        <w:rPr>
          <w:snapToGrid w:val="0"/>
          <w:vertAlign w:val="superscript"/>
        </w:rPr>
        <w:t>16</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Note"/>
        <w:rPr>
          <w:snapToGrid w:val="0"/>
        </w:rPr>
      </w:pPr>
      <w:r>
        <w:rPr>
          <w:snapToGrid w:val="0"/>
          <w:vertAlign w:val="superscript"/>
        </w:rPr>
        <w:t>17</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Note"/>
        <w:keepNext/>
        <w:keepLines/>
        <w:rPr>
          <w:snapToGrid w:val="0"/>
        </w:rPr>
      </w:pPr>
      <w:r>
        <w:rPr>
          <w:snapToGrid w:val="0"/>
          <w:vertAlign w:val="superscript"/>
        </w:rPr>
        <w:lastRenderedPageBreak/>
        <w:t>18</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sz w:val="20"/>
          <w:szCs w:val="20"/>
        </w:rPr>
      </w:pPr>
    </w:p>
    <w:p>
      <w:pPr>
        <w:pStyle w:val="nzHeading5"/>
        <w:spacing w:before="0"/>
        <w:rPr>
          <w:snapToGrid w:val="0"/>
        </w:rPr>
      </w:pPr>
      <w:r>
        <w:rPr>
          <w:snapToGrid w:val="0"/>
        </w:rPr>
        <w:t>152.</w:t>
      </w:r>
      <w:r>
        <w:rPr>
          <w:snapToGrid w:val="0"/>
        </w:rPr>
        <w:tab/>
        <w:t>Savings and transitional in relation to the assurance fund</w:t>
      </w:r>
    </w:p>
    <w:p>
      <w:pPr>
        <w:pStyle w:val="nzSubsection"/>
        <w:keepNext/>
        <w:keepLines/>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Note"/>
        <w:keepNext/>
        <w:spacing w:before="160"/>
      </w:pPr>
      <w:r>
        <w:rPr>
          <w:snapToGrid w:val="0"/>
          <w:vertAlign w:val="superscript"/>
        </w:rPr>
        <w:t>19</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Pr>
        <w:pStyle w:val="nNote"/>
      </w:pPr>
      <w:r>
        <w:rPr>
          <w:vertAlign w:val="superscript"/>
        </w:rPr>
        <w:t>20</w:t>
      </w:r>
      <w:r>
        <w:tab/>
        <w:t xml:space="preserve">The </w:t>
      </w:r>
      <w:r>
        <w:rPr>
          <w:i/>
        </w:rPr>
        <w:t>Land Legislation (Postponement of Expiry) Proclamation 2018</w:t>
      </w:r>
      <w:r>
        <w:t xml:space="preserve"> published by </w:t>
      </w:r>
      <w:r>
        <w:rPr>
          <w:i/>
        </w:rPr>
        <w:t>Gazette</w:t>
      </w:r>
      <w:r>
        <w:t xml:space="preserve"> 21 Dec 2018 p. 4845-6 provides that the expiry of section 182AA is postponed until the end of 31 December 2024.</w:t>
      </w:r>
    </w:p>
    <w:p>
      <w:pPr>
        <w:pStyle w:val="nNote"/>
      </w:pPr>
      <w:r>
        <w:rPr>
          <w:vertAlign w:val="superscript"/>
        </w:rPr>
        <w:t>21</w:t>
      </w:r>
      <w:r>
        <w:tab/>
        <w:t xml:space="preserve">The </w:t>
      </w:r>
      <w:r>
        <w:rPr>
          <w:i/>
        </w:rPr>
        <w:t>Land Legislation (Postponement of Expiry) Proclamation 2024</w:t>
      </w:r>
      <w:r>
        <w:t xml:space="preserve"> cl. 5 (SL 2024/43) provides that the expiry of section 182AA is postponed until the end of 31 December 2029.</w:t>
      </w:r>
    </w:p>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rPr>
          <w:sz w:val="28"/>
        </w:rPr>
      </w:pPr>
      <w:bookmarkStart w:id="547" w:name="_Toc166683706"/>
      <w:bookmarkStart w:id="548" w:name="_Toc166684082"/>
      <w:bookmarkStart w:id="549" w:name="_Toc166684868"/>
      <w:bookmarkStart w:id="550" w:name="_Toc210120477"/>
      <w:bookmarkStart w:id="551" w:name="_Toc210130055"/>
      <w:r>
        <w:rPr>
          <w:sz w:val="28"/>
        </w:rPr>
        <w:lastRenderedPageBreak/>
        <w:t>Defined terms</w:t>
      </w:r>
      <w:bookmarkEnd w:id="547"/>
      <w:bookmarkEnd w:id="548"/>
      <w:bookmarkEnd w:id="549"/>
      <w:bookmarkEnd w:id="550"/>
      <w:bookmarkEnd w:id="5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affected land</w:t>
      </w:r>
      <w:r>
        <w:tab/>
        <w:t>104A</w:t>
      </w:r>
    </w:p>
    <w:p>
      <w:pPr>
        <w:pStyle w:val="DefinedTerms"/>
      </w:pPr>
      <w:r>
        <w:t>agreement</w:t>
      </w:r>
      <w:r>
        <w:tab/>
        <w:t>104M</w:t>
      </w:r>
    </w:p>
    <w:p>
      <w:pPr>
        <w:pStyle w:val="DefinedTerms"/>
      </w:pPr>
      <w:r>
        <w:t>agreement land</w:t>
      </w:r>
      <w:r>
        <w:tab/>
        <w:t>104M</w:t>
      </w:r>
    </w:p>
    <w:p>
      <w:pPr>
        <w:pStyle w:val="DefinedTerms"/>
      </w:pPr>
      <w:r>
        <w:t>amending Act</w:t>
      </w:r>
      <w:r>
        <w:tab/>
        <w:t>244</w:t>
      </w:r>
    </w:p>
    <w:p>
      <w:pPr>
        <w:pStyle w:val="DefinedTerms"/>
      </w:pPr>
      <w:r>
        <w:t>annuitant</w:t>
      </w:r>
      <w:r>
        <w:tab/>
        <w:t>4(1)</w:t>
      </w:r>
    </w:p>
    <w:p>
      <w:pPr>
        <w:pStyle w:val="DefinedTerms"/>
      </w:pPr>
      <w:r>
        <w:t>annuity</w:t>
      </w:r>
      <w:r>
        <w:tab/>
        <w:t>4(1)</w:t>
      </w:r>
    </w:p>
    <w:p>
      <w:pPr>
        <w:pStyle w:val="DefinedTerms"/>
      </w:pPr>
      <w:r>
        <w:t>approved form</w:t>
      </w:r>
      <w:r>
        <w:tab/>
        <w:t>4(1), 81K</w:t>
      </w:r>
    </w:p>
    <w:p>
      <w:pPr>
        <w:pStyle w:val="DefinedTerms"/>
      </w:pPr>
      <w:r>
        <w:t>Australian consular officer</w:t>
      </w:r>
      <w:r>
        <w:tab/>
        <w:t>145(4)</w:t>
      </w:r>
    </w:p>
    <w:p>
      <w:pPr>
        <w:pStyle w:val="DefinedTerms"/>
      </w:pPr>
      <w:r>
        <w:t>authorised land officer</w:t>
      </w:r>
      <w:r>
        <w:tab/>
        <w:t>4(1)</w:t>
      </w:r>
    </w:p>
    <w:p>
      <w:pPr>
        <w:pStyle w:val="DefinedTerms"/>
      </w:pPr>
      <w:r>
        <w:t>Authority</w:t>
      </w:r>
      <w:r>
        <w:tab/>
        <w:t>4</w:t>
      </w:r>
    </w:p>
    <w:p>
      <w:pPr>
        <w:pStyle w:val="DefinedTerms"/>
      </w:pPr>
      <w:r>
        <w:t>burdened land</w:t>
      </w:r>
      <w:r>
        <w:tab/>
        <w:t>104A</w:t>
      </w:r>
    </w:p>
    <w:p>
      <w:pPr>
        <w:pStyle w:val="DefinedTerms"/>
      </w:pPr>
      <w:r>
        <w:t>carbon covenant</w:t>
      </w:r>
      <w:r>
        <w:tab/>
        <w:t>4(1)</w:t>
      </w:r>
    </w:p>
    <w:p>
      <w:pPr>
        <w:pStyle w:val="DefinedTerms"/>
      </w:pPr>
      <w:r>
        <w:t>carbon covenant form</w:t>
      </w:r>
      <w:r>
        <w:tab/>
        <w:t>4(1)</w:t>
      </w:r>
    </w:p>
    <w:p>
      <w:pPr>
        <w:pStyle w:val="DefinedTerms"/>
      </w:pPr>
      <w:r>
        <w:t>carbon right</w:t>
      </w:r>
      <w:r>
        <w:tab/>
        <w:t>4(1)</w:t>
      </w:r>
    </w:p>
    <w:p>
      <w:pPr>
        <w:pStyle w:val="DefinedTerms"/>
      </w:pPr>
      <w:r>
        <w:t>carbon right form</w:t>
      </w:r>
      <w:r>
        <w:tab/>
        <w:t>4(1)</w:t>
      </w:r>
    </w:p>
    <w:p>
      <w:pPr>
        <w:pStyle w:val="DefinedTerms"/>
      </w:pPr>
      <w:r>
        <w:t>certificate of Crown land title</w:t>
      </w:r>
      <w:r>
        <w:tab/>
        <w:t>4(1)</w:t>
      </w:r>
    </w:p>
    <w:p>
      <w:pPr>
        <w:pStyle w:val="DefinedTerms"/>
      </w:pPr>
      <w:r>
        <w:t>charge</w:t>
      </w:r>
      <w:r>
        <w:tab/>
        <w:t>4(1)</w:t>
      </w:r>
    </w:p>
    <w:p>
      <w:pPr>
        <w:pStyle w:val="DefinedTerms"/>
      </w:pPr>
      <w:r>
        <w:t>charging instrument</w:t>
      </w:r>
      <w:r>
        <w:tab/>
        <w:t>105(3)</w:t>
      </w:r>
    </w:p>
    <w:p>
      <w:pPr>
        <w:pStyle w:val="DefinedTerms"/>
      </w:pPr>
      <w:r>
        <w:t>commencement</w:t>
      </w:r>
      <w:r>
        <w:tab/>
        <w:t>181(1a)</w:t>
      </w:r>
    </w:p>
    <w:p>
      <w:pPr>
        <w:pStyle w:val="DefinedTerms"/>
      </w:pPr>
      <w:r>
        <w:t>commencement day</w:t>
      </w:r>
      <w:r>
        <w:tab/>
        <w:t>248(1), 249(1)</w:t>
      </w:r>
    </w:p>
    <w:p>
      <w:pPr>
        <w:pStyle w:val="DefinedTerms"/>
      </w:pPr>
      <w:r>
        <w:t>Commissioner</w:t>
      </w:r>
      <w:r>
        <w:tab/>
        <w:t>81K</w:t>
      </w:r>
    </w:p>
    <w:p>
      <w:pPr>
        <w:pStyle w:val="DefinedTerms"/>
      </w:pPr>
      <w:r>
        <w:t>conveyancing transaction</w:t>
      </w:r>
      <w:r>
        <w:tab/>
        <w:t>4(1)</w:t>
      </w:r>
    </w:p>
    <w:p>
      <w:pPr>
        <w:pStyle w:val="DefinedTerms"/>
      </w:pPr>
      <w:r>
        <w:t>counterpart</w:t>
      </w:r>
      <w:r>
        <w:tab/>
        <w:t>4(1), 4(1b)</w:t>
      </w:r>
    </w:p>
    <w:p>
      <w:pPr>
        <w:pStyle w:val="DefinedTerms"/>
      </w:pPr>
      <w:r>
        <w:t>Crown land</w:t>
      </w:r>
      <w:r>
        <w:tab/>
        <w:t>4(1)</w:t>
      </w:r>
    </w:p>
    <w:p>
      <w:pPr>
        <w:pStyle w:val="DefinedTerms"/>
      </w:pPr>
      <w:r>
        <w:t>Crown land lease</w:t>
      </w:r>
      <w:r>
        <w:tab/>
        <w:t>4(1)</w:t>
      </w:r>
    </w:p>
    <w:p>
      <w:pPr>
        <w:pStyle w:val="DefinedTerms"/>
      </w:pPr>
      <w:r>
        <w:t>Crown lease</w:t>
      </w:r>
      <w:r>
        <w:tab/>
        <w:t>4(1)</w:t>
      </w:r>
    </w:p>
    <w:p>
      <w:pPr>
        <w:pStyle w:val="DefinedTerms"/>
      </w:pPr>
      <w:r>
        <w:t>dealing</w:t>
      </w:r>
      <w:r>
        <w:tab/>
        <w:t>4(1)</w:t>
      </w:r>
    </w:p>
    <w:p>
      <w:pPr>
        <w:pStyle w:val="DefinedTerms"/>
      </w:pPr>
      <w:r>
        <w:t>digitally sign</w:t>
      </w:r>
      <w:r>
        <w:tab/>
        <w:t>4(1)</w:t>
      </w:r>
    </w:p>
    <w:p>
      <w:pPr>
        <w:pStyle w:val="DefinedTerms"/>
      </w:pPr>
      <w:r>
        <w:t>digital signature</w:t>
      </w:r>
      <w:r>
        <w:tab/>
        <w:t>4(1)</w:t>
      </w:r>
    </w:p>
    <w:p>
      <w:pPr>
        <w:pStyle w:val="DefinedTerms"/>
      </w:pPr>
      <w:r>
        <w:t>digital title</w:t>
      </w:r>
      <w:r>
        <w:tab/>
        <w:t>4(1)</w:t>
      </w:r>
    </w:p>
    <w:p>
      <w:pPr>
        <w:pStyle w:val="DefinedTerms"/>
      </w:pPr>
      <w:r>
        <w:t>disposition</w:t>
      </w:r>
      <w:r>
        <w:tab/>
        <w:t>242(4)</w:t>
      </w:r>
    </w:p>
    <w:p>
      <w:pPr>
        <w:pStyle w:val="DefinedTerms"/>
      </w:pPr>
      <w:r>
        <w:t>document</w:t>
      </w:r>
      <w:r>
        <w:tab/>
        <w:t>4(1), 54(4)</w:t>
      </w:r>
    </w:p>
    <w:p>
      <w:pPr>
        <w:pStyle w:val="DefinedTerms"/>
      </w:pPr>
      <w:r>
        <w:t>ELN</w:t>
      </w:r>
      <w:r>
        <w:tab/>
        <w:t>4(1)</w:t>
      </w:r>
    </w:p>
    <w:p>
      <w:pPr>
        <w:pStyle w:val="DefinedTerms"/>
      </w:pPr>
      <w:r>
        <w:t>ELNO</w:t>
      </w:r>
      <w:r>
        <w:tab/>
        <w:t>4(1)</w:t>
      </w:r>
    </w:p>
    <w:p>
      <w:pPr>
        <w:pStyle w:val="DefinedTerms"/>
      </w:pPr>
      <w:r>
        <w:t>encumbrance</w:t>
      </w:r>
      <w:r>
        <w:tab/>
        <w:t>81RA(1)</w:t>
      </w:r>
    </w:p>
    <w:p>
      <w:pPr>
        <w:pStyle w:val="DefinedTerms"/>
      </w:pPr>
      <w:r>
        <w:t>encumbrances</w:t>
      </w:r>
      <w:r>
        <w:tab/>
        <w:t>4(1)</w:t>
      </w:r>
    </w:p>
    <w:p>
      <w:pPr>
        <w:pStyle w:val="DefinedTerms"/>
      </w:pPr>
      <w:r>
        <w:t>endorsed</w:t>
      </w:r>
      <w:r>
        <w:tab/>
        <w:t>4(1)</w:t>
      </w:r>
    </w:p>
    <w:p>
      <w:pPr>
        <w:pStyle w:val="DefinedTerms"/>
      </w:pPr>
      <w:r>
        <w:t>Examiner of Titles</w:t>
      </w:r>
      <w:r>
        <w:tab/>
        <w:t>4(1)</w:t>
      </w:r>
    </w:p>
    <w:p>
      <w:pPr>
        <w:pStyle w:val="DefinedTerms"/>
      </w:pPr>
      <w:r>
        <w:t>fees</w:t>
      </w:r>
      <w:r>
        <w:tab/>
        <w:t>238B(4)</w:t>
      </w:r>
    </w:p>
    <w:p>
      <w:pPr>
        <w:pStyle w:val="DefinedTerms"/>
      </w:pPr>
      <w:r>
        <w:lastRenderedPageBreak/>
        <w:t>first document</w:t>
      </w:r>
      <w:r>
        <w:tab/>
        <w:t>192D(4)</w:t>
      </w:r>
    </w:p>
    <w:p>
      <w:pPr>
        <w:pStyle w:val="DefinedTerms"/>
      </w:pPr>
      <w:r>
        <w:t>geothermal energy</w:t>
      </w:r>
      <w:r>
        <w:tab/>
        <w:t>3(3)</w:t>
      </w:r>
    </w:p>
    <w:p>
      <w:pPr>
        <w:pStyle w:val="DefinedTerms"/>
      </w:pPr>
      <w:r>
        <w:t>geothermal energy resources</w:t>
      </w:r>
      <w:r>
        <w:tab/>
        <w:t>3(3)</w:t>
      </w:r>
    </w:p>
    <w:p>
      <w:pPr>
        <w:pStyle w:val="DefinedTerms"/>
      </w:pPr>
      <w:r>
        <w:t>grant</w:t>
      </w:r>
      <w:r>
        <w:tab/>
        <w:t>4(1)</w:t>
      </w:r>
    </w:p>
    <w:p>
      <w:pPr>
        <w:pStyle w:val="DefinedTerms"/>
      </w:pPr>
      <w:r>
        <w:t>grantor</w:t>
      </w:r>
      <w:r>
        <w:tab/>
        <w:t>4(1)</w:t>
      </w:r>
    </w:p>
    <w:p>
      <w:pPr>
        <w:pStyle w:val="DefinedTerms"/>
      </w:pPr>
      <w:r>
        <w:t>graphic</w:t>
      </w:r>
      <w:r>
        <w:tab/>
        <w:t>4(1)</w:t>
      </w:r>
    </w:p>
    <w:p>
      <w:pPr>
        <w:pStyle w:val="DefinedTerms"/>
      </w:pPr>
      <w:r>
        <w:t>inspector of plans and surveys</w:t>
      </w:r>
      <w:r>
        <w:tab/>
        <w:t>163(2)</w:t>
      </w:r>
    </w:p>
    <w:p>
      <w:pPr>
        <w:pStyle w:val="DefinedTerms"/>
      </w:pPr>
      <w:r>
        <w:t>instrument</w:t>
      </w:r>
      <w:r>
        <w:tab/>
        <w:t>4(1)</w:t>
      </w:r>
    </w:p>
    <w:p>
      <w:pPr>
        <w:pStyle w:val="DefinedTerms"/>
      </w:pPr>
      <w:r>
        <w:t>interest</w:t>
      </w:r>
      <w:r>
        <w:tab/>
        <w:t>4(1)</w:t>
      </w:r>
    </w:p>
    <w:p>
      <w:pPr>
        <w:pStyle w:val="DefinedTerms"/>
      </w:pPr>
      <w:r>
        <w:t>judge</w:t>
      </w:r>
      <w:r>
        <w:tab/>
        <w:t>4(1)</w:t>
      </w:r>
    </w:p>
    <w:p>
      <w:pPr>
        <w:pStyle w:val="DefinedTerms"/>
      </w:pPr>
      <w:r>
        <w:t>land</w:t>
      </w:r>
      <w:r>
        <w:tab/>
        <w:t>4(1)</w:t>
      </w:r>
    </w:p>
    <w:p>
      <w:pPr>
        <w:pStyle w:val="DefinedTerms"/>
      </w:pPr>
      <w:r>
        <w:t>lodge</w:t>
      </w:r>
      <w:r>
        <w:tab/>
        <w:t>181A(1), 181(1AA), 182A(1AA), 192A(1), 192B(1), 192D(1), 238A(1)</w:t>
      </w:r>
    </w:p>
    <w:p>
      <w:pPr>
        <w:pStyle w:val="DefinedTerms"/>
      </w:pPr>
      <w:r>
        <w:t>lodged</w:t>
      </w:r>
      <w:r>
        <w:tab/>
        <w:t>133(1)</w:t>
      </w:r>
    </w:p>
    <w:p>
      <w:pPr>
        <w:pStyle w:val="DefinedTerms"/>
      </w:pPr>
      <w:r>
        <w:t>lot</w:t>
      </w:r>
      <w:r>
        <w:tab/>
        <w:t>129C(1d)</w:t>
      </w:r>
    </w:p>
    <w:p>
      <w:pPr>
        <w:pStyle w:val="DefinedTerms"/>
      </w:pPr>
      <w:r>
        <w:t>management body</w:t>
      </w:r>
      <w:r>
        <w:tab/>
        <w:t>4(1)</w:t>
      </w:r>
    </w:p>
    <w:p>
      <w:pPr>
        <w:pStyle w:val="DefinedTerms"/>
      </w:pPr>
      <w:r>
        <w:t>management order</w:t>
      </w:r>
      <w:r>
        <w:tab/>
        <w:t>81K</w:t>
      </w:r>
    </w:p>
    <w:p>
      <w:pPr>
        <w:pStyle w:val="DefinedTerms"/>
      </w:pPr>
      <w:r>
        <w:t>memorandum</w:t>
      </w:r>
      <w:r>
        <w:tab/>
        <w:t>54(1)</w:t>
      </w:r>
    </w:p>
    <w:p>
      <w:pPr>
        <w:pStyle w:val="DefinedTerms"/>
      </w:pPr>
      <w:r>
        <w:t>metropolitan region</w:t>
      </w:r>
      <w:r>
        <w:tab/>
        <w:t>4(1)</w:t>
      </w:r>
    </w:p>
    <w:p>
      <w:pPr>
        <w:pStyle w:val="DefinedTerms"/>
      </w:pPr>
      <w:r>
        <w:t>mining, petroleum or geothermal energy rights</w:t>
      </w:r>
      <w:r>
        <w:tab/>
        <w:t>3(3)</w:t>
      </w:r>
    </w:p>
    <w:p>
      <w:pPr>
        <w:pStyle w:val="DefinedTerms"/>
      </w:pPr>
      <w:r>
        <w:t>Minister for Lands</w:t>
      </w:r>
      <w:r>
        <w:tab/>
        <w:t>4(1)</w:t>
      </w:r>
    </w:p>
    <w:p>
      <w:pPr>
        <w:pStyle w:val="DefinedTerms"/>
      </w:pPr>
      <w:r>
        <w:t>ministerial order</w:t>
      </w:r>
      <w:r>
        <w:tab/>
        <w:t>4(1)</w:t>
      </w:r>
    </w:p>
    <w:p>
      <w:pPr>
        <w:pStyle w:val="DefinedTerms"/>
      </w:pPr>
      <w:r>
        <w:t>mortgage</w:t>
      </w:r>
      <w:r>
        <w:tab/>
        <w:t>127A(1)</w:t>
      </w:r>
    </w:p>
    <w:p>
      <w:pPr>
        <w:pStyle w:val="DefinedTerms"/>
      </w:pPr>
      <w:r>
        <w:t>mortgagee</w:t>
      </w:r>
      <w:r>
        <w:tab/>
        <w:t>127A(1)</w:t>
      </w:r>
    </w:p>
    <w:p>
      <w:pPr>
        <w:pStyle w:val="DefinedTerms"/>
      </w:pPr>
      <w:r>
        <w:t>mortgage money</w:t>
      </w:r>
      <w:r>
        <w:tab/>
        <w:t>126(1E)</w:t>
      </w:r>
    </w:p>
    <w:p>
      <w:pPr>
        <w:pStyle w:val="DefinedTerms"/>
      </w:pPr>
      <w:r>
        <w:t>notice to be served</w:t>
      </w:r>
      <w:r>
        <w:tab/>
        <w:t>249(2) and (3)</w:t>
      </w:r>
    </w:p>
    <w:p>
      <w:pPr>
        <w:pStyle w:val="DefinedTerms"/>
      </w:pPr>
      <w:r>
        <w:t>notification details</w:t>
      </w:r>
      <w:r>
        <w:tab/>
        <w:t>240A(1)</w:t>
      </w:r>
    </w:p>
    <w:p>
      <w:pPr>
        <w:pStyle w:val="DefinedTerms"/>
      </w:pPr>
      <w:r>
        <w:t>paper title</w:t>
      </w:r>
      <w:r>
        <w:tab/>
        <w:t>4(1)</w:t>
      </w:r>
    </w:p>
    <w:p>
      <w:pPr>
        <w:pStyle w:val="DefinedTerms"/>
      </w:pPr>
      <w:r>
        <w:t>participation rules</w:t>
      </w:r>
      <w:r>
        <w:tab/>
        <w:t>4(1)</w:t>
      </w:r>
    </w:p>
    <w:p>
      <w:pPr>
        <w:pStyle w:val="DefinedTerms"/>
      </w:pPr>
      <w:r>
        <w:t>person</w:t>
      </w:r>
      <w:r>
        <w:tab/>
        <w:t>4(1)</w:t>
      </w:r>
    </w:p>
    <w:p>
      <w:pPr>
        <w:pStyle w:val="DefinedTerms"/>
      </w:pPr>
      <w:r>
        <w:t>plan</w:t>
      </w:r>
      <w:r>
        <w:tab/>
        <w:t>136A</w:t>
      </w:r>
    </w:p>
    <w:p>
      <w:pPr>
        <w:pStyle w:val="DefinedTerms"/>
      </w:pPr>
      <w:r>
        <w:t>plantation interest</w:t>
      </w:r>
      <w:r>
        <w:tab/>
        <w:t>4(1)</w:t>
      </w:r>
    </w:p>
    <w:p>
      <w:pPr>
        <w:pStyle w:val="DefinedTerms"/>
      </w:pPr>
      <w:r>
        <w:t>prescribed amount</w:t>
      </w:r>
      <w:r>
        <w:tab/>
        <w:t>192(1), 238B(4)</w:t>
      </w:r>
    </w:p>
    <w:p>
      <w:pPr>
        <w:pStyle w:val="DefinedTerms"/>
      </w:pPr>
      <w:r>
        <w:t>profit à prendre</w:t>
      </w:r>
      <w:r>
        <w:tab/>
        <w:t>4(1)</w:t>
      </w:r>
    </w:p>
    <w:p>
      <w:pPr>
        <w:pStyle w:val="DefinedTerms"/>
      </w:pPr>
      <w:r>
        <w:t>property (seizure and sale) order</w:t>
      </w:r>
      <w:r>
        <w:tab/>
        <w:t>133(1)</w:t>
      </w:r>
    </w:p>
    <w:p>
      <w:pPr>
        <w:pStyle w:val="DefinedTerms"/>
      </w:pPr>
      <w:r>
        <w:t>proprietor</w:t>
      </w:r>
      <w:r>
        <w:tab/>
        <w:t>4(1)</w:t>
      </w:r>
    </w:p>
    <w:p>
      <w:pPr>
        <w:pStyle w:val="DefinedTerms"/>
      </w:pPr>
      <w:r>
        <w:t>public authority</w:t>
      </w:r>
      <w:r>
        <w:tab/>
        <w:t>4(1)</w:t>
      </w:r>
    </w:p>
    <w:p>
      <w:pPr>
        <w:pStyle w:val="DefinedTerms"/>
      </w:pPr>
      <w:r>
        <w:t>qualified certificate of Crown land title</w:t>
      </w:r>
      <w:r>
        <w:tab/>
        <w:t>4(1)</w:t>
      </w:r>
    </w:p>
    <w:p>
      <w:pPr>
        <w:pStyle w:val="DefinedTerms"/>
      </w:pPr>
      <w:r>
        <w:t>qualified valuer</w:t>
      </w:r>
      <w:r>
        <w:tab/>
        <w:t>4(1)</w:t>
      </w:r>
    </w:p>
    <w:p>
      <w:pPr>
        <w:pStyle w:val="DefinedTerms"/>
      </w:pPr>
      <w:r>
        <w:t>record</w:t>
      </w:r>
      <w:r>
        <w:tab/>
        <w:t>4(1)</w:t>
      </w:r>
    </w:p>
    <w:p>
      <w:pPr>
        <w:pStyle w:val="DefinedTerms"/>
      </w:pPr>
      <w:r>
        <w:t>Register</w:t>
      </w:r>
      <w:r>
        <w:tab/>
        <w:t>4(1)</w:t>
      </w:r>
    </w:p>
    <w:p>
      <w:pPr>
        <w:pStyle w:val="DefinedTerms"/>
      </w:pPr>
      <w:r>
        <w:t>register</w:t>
      </w:r>
      <w:r>
        <w:tab/>
        <w:t>133(1)</w:t>
      </w:r>
    </w:p>
    <w:p>
      <w:pPr>
        <w:pStyle w:val="DefinedTerms"/>
      </w:pPr>
      <w:r>
        <w:t>registered disposition</w:t>
      </w:r>
      <w:r>
        <w:tab/>
        <w:t>242(4)</w:t>
      </w:r>
    </w:p>
    <w:p>
      <w:pPr>
        <w:pStyle w:val="DefinedTerms"/>
      </w:pPr>
      <w:r>
        <w:t>relevant authority</w:t>
      </w:r>
      <w:r>
        <w:tab/>
        <w:t>129BB(1), 136J(1)</w:t>
      </w:r>
    </w:p>
    <w:p>
      <w:pPr>
        <w:pStyle w:val="DefinedTerms"/>
      </w:pPr>
      <w:r>
        <w:t>relevant carbon right</w:t>
      </w:r>
      <w:r>
        <w:tab/>
        <w:t>104A</w:t>
      </w:r>
    </w:p>
    <w:p>
      <w:pPr>
        <w:pStyle w:val="DefinedTerms"/>
      </w:pPr>
      <w:r>
        <w:lastRenderedPageBreak/>
        <w:t>relevant graphic</w:t>
      </w:r>
      <w:r>
        <w:tab/>
        <w:t>4(1)</w:t>
      </w:r>
    </w:p>
    <w:p>
      <w:pPr>
        <w:pStyle w:val="DefinedTerms"/>
      </w:pPr>
      <w:r>
        <w:t>repealed Act</w:t>
      </w:r>
      <w:r>
        <w:tab/>
        <w:t>81K</w:t>
      </w:r>
    </w:p>
    <w:p>
      <w:pPr>
        <w:pStyle w:val="DefinedTerms"/>
      </w:pPr>
      <w:r>
        <w:t>requirement</w:t>
      </w:r>
      <w:r>
        <w:tab/>
        <w:t>182B(1)</w:t>
      </w:r>
    </w:p>
    <w:p>
      <w:pPr>
        <w:pStyle w:val="DefinedTerms"/>
      </w:pPr>
      <w:r>
        <w:t>reserve</w:t>
      </w:r>
      <w:r>
        <w:tab/>
        <w:t>4(1)</w:t>
      </w:r>
    </w:p>
    <w:p>
      <w:pPr>
        <w:pStyle w:val="DefinedTerms"/>
      </w:pPr>
      <w:r>
        <w:t>saleable interest</w:t>
      </w:r>
      <w:r>
        <w:tab/>
        <w:t>133(1)</w:t>
      </w:r>
    </w:p>
    <w:p>
      <w:pPr>
        <w:pStyle w:val="DefinedTerms"/>
      </w:pPr>
      <w:r>
        <w:t>sale period</w:t>
      </w:r>
      <w:r>
        <w:tab/>
        <w:t>133(1)</w:t>
      </w:r>
    </w:p>
    <w:p>
      <w:pPr>
        <w:pStyle w:val="DefinedTerms"/>
      </w:pPr>
      <w:r>
        <w:t>section 138A caveat</w:t>
      </w:r>
      <w:r>
        <w:tab/>
        <w:t>136K(1)</w:t>
      </w:r>
    </w:p>
    <w:p>
      <w:pPr>
        <w:pStyle w:val="DefinedTerms"/>
      </w:pPr>
      <w:r>
        <w:t>settlement</w:t>
      </w:r>
      <w:r>
        <w:tab/>
        <w:t>4(1)</w:t>
      </w:r>
    </w:p>
    <w:p>
      <w:pPr>
        <w:pStyle w:val="DefinedTerms"/>
      </w:pPr>
      <w:r>
        <w:t>sheriff</w:t>
      </w:r>
      <w:r>
        <w:tab/>
        <w:t>4(1)</w:t>
      </w:r>
    </w:p>
    <w:p>
      <w:pPr>
        <w:pStyle w:val="DefinedTerms"/>
      </w:pPr>
      <w:r>
        <w:t>sheriff’s dealing</w:t>
      </w:r>
      <w:r>
        <w:tab/>
        <w:t>133(1)</w:t>
      </w:r>
    </w:p>
    <w:p>
      <w:pPr>
        <w:pStyle w:val="DefinedTerms"/>
      </w:pPr>
      <w:r>
        <w:t>short form</w:t>
      </w:r>
      <w:r>
        <w:tab/>
        <w:t>4(3)</w:t>
      </w:r>
    </w:p>
    <w:p>
      <w:pPr>
        <w:pStyle w:val="DefinedTerms"/>
      </w:pPr>
      <w:r>
        <w:t>sign</w:t>
      </w:r>
      <w:r>
        <w:tab/>
        <w:t>4(1)</w:t>
      </w:r>
    </w:p>
    <w:p>
      <w:pPr>
        <w:pStyle w:val="DefinedTerms"/>
      </w:pPr>
      <w:r>
        <w:t>signature</w:t>
      </w:r>
      <w:r>
        <w:tab/>
        <w:t>4(1)</w:t>
      </w:r>
    </w:p>
    <w:p>
      <w:pPr>
        <w:pStyle w:val="DefinedTerms"/>
      </w:pPr>
      <w:r>
        <w:t>single dwelling covenant</w:t>
      </w:r>
      <w:r>
        <w:tab/>
        <w:t>129C(1c)</w:t>
      </w:r>
    </w:p>
    <w:p>
      <w:pPr>
        <w:pStyle w:val="DefinedTerms"/>
      </w:pPr>
      <w:r>
        <w:t>stamped</w:t>
      </w:r>
      <w:r>
        <w:tab/>
        <w:t>81U(3)</w:t>
      </w:r>
    </w:p>
    <w:p>
      <w:pPr>
        <w:pStyle w:val="DefinedTerms"/>
      </w:pPr>
      <w:r>
        <w:t>statutory declaration</w:t>
      </w:r>
      <w:r>
        <w:tab/>
        <w:t>188(2)</w:t>
      </w:r>
    </w:p>
    <w:p>
      <w:pPr>
        <w:pStyle w:val="DefinedTerms"/>
      </w:pPr>
      <w:r>
        <w:t>subscriber</w:t>
      </w:r>
      <w:r>
        <w:tab/>
        <w:t>4(1)</w:t>
      </w:r>
    </w:p>
    <w:p>
      <w:pPr>
        <w:pStyle w:val="DefinedTerms"/>
      </w:pPr>
      <w:r>
        <w:t>symbol</w:t>
      </w:r>
      <w:r>
        <w:tab/>
        <w:t>4(1)</w:t>
      </w:r>
    </w:p>
    <w:p>
      <w:pPr>
        <w:pStyle w:val="DefinedTerms"/>
      </w:pPr>
      <w:r>
        <w:t>transitional period</w:t>
      </w:r>
      <w:r>
        <w:tab/>
        <w:t>81K</w:t>
      </w:r>
    </w:p>
    <w:p>
      <w:pPr>
        <w:pStyle w:val="DefinedTerms"/>
      </w:pPr>
      <w:r>
        <w:t>transmission</w:t>
      </w:r>
      <w:r>
        <w:tab/>
        <w:t>4(1)</w:t>
      </w:r>
    </w:p>
    <w:p>
      <w:pPr>
        <w:pStyle w:val="DefinedTerms"/>
      </w:pPr>
      <w:r>
        <w:t>tree plantation agreement</w:t>
      </w:r>
      <w:r>
        <w:tab/>
        <w:t>4(1)</w:t>
      </w:r>
    </w:p>
    <w:p>
      <w:pPr>
        <w:pStyle w:val="DefinedTerms"/>
      </w:pPr>
      <w:r>
        <w:t>working day</w:t>
      </w:r>
      <w:r>
        <w:tab/>
        <w:t>182B(1)</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B011C2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3F75326" w14:textId="1AE35BFE" w:rsidR="00DF29D0" w:rsidRDefault="001F2E2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844B9">
                        <w:rPr>
                          <w:sz w:val="16"/>
                        </w:rPr>
                        <w:t>2025</w:t>
                      </w:r>
                      <w:r>
                        <w:rPr>
                          <w:sz w:val="16"/>
                        </w:rPr>
                        <w:fldChar w:fldCharType="end"/>
                      </w:r>
                      <w:r>
                        <w:rPr>
                          <w:sz w:val="16"/>
                        </w:rPr>
                        <w:t>.</w:t>
                      </w:r>
                    </w:p>
                    <w:p w14:paraId="623DACF3" w14:textId="77777777" w:rsidR="00DF29D0" w:rsidRDefault="001F2E2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320BF70" w14:textId="37254B65" w:rsidR="00DF29D0" w:rsidRDefault="001F2E2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844B9">
                        <w:rPr>
                          <w:sz w:val="16"/>
                        </w:rPr>
                        <w:t>2025</w:t>
                      </w:r>
                      <w:r>
                        <w:rPr>
                          <w:sz w:val="16"/>
                        </w:rPr>
                        <w:fldChar w:fldCharType="end"/>
                      </w:r>
                      <w:r>
                        <w:rPr>
                          <w:sz w:val="16"/>
                        </w:rPr>
                        <w:t>.</w:t>
                      </w:r>
                    </w:p>
                    <w:p w14:paraId="4A5D31BC" w14:textId="77777777" w:rsidR="00DF29D0" w:rsidRDefault="001F2E2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11-m0-00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11-m0-00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11-m0-00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cclxxxv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11-m0-00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cclxxxv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11-m0-00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cclxxxv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11-m0-00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472"/>
      <w:gridCol w:w="47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2472" w:type="dxa"/>
        </w:tcPr>
        <w:p>
          <w:pPr>
            <w:pStyle w:val="Header"/>
            <w:spacing w:before="40"/>
          </w:pPr>
          <w:r>
            <w:rPr>
              <w:b/>
            </w:rPr>
            <w:fldChar w:fldCharType="begin"/>
          </w:r>
          <w:r>
            <w:rPr>
              <w:b/>
            </w:rPr>
            <w:instrText>styleref CharSchno</w:instrText>
          </w:r>
          <w:r>
            <w:rPr>
              <w:b/>
            </w:rPr>
            <w:fldChar w:fldCharType="end"/>
          </w:r>
        </w:p>
      </w:tc>
      <w:tc>
        <w:tcPr>
          <w:tcW w:w="4791" w:type="dxa"/>
          <w:vAlign w:val="bottom"/>
        </w:tcPr>
        <w:p>
          <w:pPr>
            <w:pStyle w:val="Header"/>
            <w:spacing w:before="40"/>
          </w:pPr>
          <w:r>
            <w:fldChar w:fldCharType="begin"/>
          </w:r>
          <w:r>
            <w:instrText>styleref CharSchText</w:instrText>
          </w:r>
          <w:r>
            <w:fldChar w:fldCharType="end"/>
          </w:r>
        </w:p>
      </w:tc>
    </w:tr>
    <w:tr>
      <w:trPr>
        <w:jc w:val="center"/>
      </w:trPr>
      <w:tc>
        <w:tcPr>
          <w:tcW w:w="2472" w:type="dxa"/>
        </w:tcPr>
        <w:p>
          <w:pPr>
            <w:pStyle w:val="Header"/>
            <w:spacing w:before="40"/>
          </w:pPr>
        </w:p>
      </w:tc>
      <w:tc>
        <w:tcPr>
          <w:tcW w:w="4791" w:type="dxa"/>
          <w:vAlign w:val="bottom"/>
        </w:tcPr>
        <w:p>
          <w:pPr>
            <w:pStyle w:val="Header"/>
            <w:spacing w:before="40"/>
          </w:pPr>
        </w:p>
      </w:tc>
    </w:tr>
    <w:tr>
      <w:trPr>
        <w:jc w:val="center"/>
      </w:trPr>
      <w:tc>
        <w:tcPr>
          <w:tcW w:w="2472" w:type="dxa"/>
        </w:tcPr>
        <w:p>
          <w:pPr>
            <w:pStyle w:val="Header"/>
            <w:spacing w:before="40"/>
          </w:pPr>
        </w:p>
      </w:tc>
      <w:tc>
        <w:tcPr>
          <w:tcW w:w="47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4632"/>
      <w:gridCol w:w="263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4632" w:type="dxa"/>
          <w:vAlign w:val="bottom"/>
        </w:tcPr>
        <w:p>
          <w:pPr>
            <w:pStyle w:val="Header"/>
            <w:spacing w:before="40"/>
            <w:jc w:val="right"/>
          </w:pPr>
          <w:r>
            <w:fldChar w:fldCharType="begin"/>
          </w:r>
          <w:r>
            <w:instrText>styleref CharSchText</w:instrText>
          </w:r>
          <w:r>
            <w:fldChar w:fldCharType="end"/>
          </w:r>
        </w:p>
      </w:tc>
      <w:tc>
        <w:tcPr>
          <w:tcW w:w="263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632" w:type="dxa"/>
          <w:vAlign w:val="bottom"/>
        </w:tcPr>
        <w:p>
          <w:pPr>
            <w:pStyle w:val="Header"/>
            <w:spacing w:before="40"/>
            <w:jc w:val="right"/>
          </w:pPr>
        </w:p>
      </w:tc>
      <w:tc>
        <w:tcPr>
          <w:tcW w:w="2631" w:type="dxa"/>
        </w:tcPr>
        <w:p>
          <w:pPr>
            <w:pStyle w:val="Header"/>
            <w:spacing w:before="40"/>
            <w:ind w:right="17"/>
            <w:jc w:val="right"/>
          </w:pPr>
        </w:p>
      </w:tc>
    </w:tr>
    <w:tr>
      <w:trPr>
        <w:jc w:val="center"/>
      </w:trPr>
      <w:tc>
        <w:tcPr>
          <w:tcW w:w="4632" w:type="dxa"/>
        </w:tcPr>
        <w:p>
          <w:pPr>
            <w:pStyle w:val="Header"/>
            <w:spacing w:before="40"/>
            <w:jc w:val="right"/>
          </w:pPr>
        </w:p>
      </w:tc>
      <w:tc>
        <w:tcPr>
          <w:tcW w:w="2631" w:type="dxa"/>
        </w:tcPr>
        <w:p>
          <w:pPr>
            <w:pStyle w:val="Header"/>
            <w:spacing w:before="40"/>
            <w:ind w:right="17"/>
            <w:jc w:val="right"/>
          </w:pPr>
        </w:p>
      </w:tc>
    </w:tr>
  </w:tbl>
  <w:p>
    <w:pPr>
      <w:pStyle w:val="Header"/>
      <w:pBdr>
        <w:top w:val="single" w:sz="4" w:space="1" w:color="auto"/>
      </w:pBdr>
    </w:pPr>
    <w:bookmarkStart w:id="537" w:name="Schedule"/>
    <w:bookmarkEnd w:id="53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46" w:name="Compilation"/>
    <w:bookmarkEnd w:id="54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52" w:name="DefinedTerms"/>
    <w:bookmarkEnd w:id="55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53" w:name="Coversheet"/>
    <w:bookmarkEnd w:id="5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62816"/>
    <w:docVar w:name="WAFER_20140204142253" w:val="RemoveTocBookmarks,RemoveUnusedBookmarks,RemoveLanguageTags,UsedStyles,ResetPageSize,UpdateArrangement"/>
    <w:docVar w:name="WAFER_20140204142253_GUID" w:val="5d22a9a2-1b23-4531-997d-fffdc024ae4c"/>
    <w:docVar w:name="WAFER_20140204145358" w:val="RemoveTocBookmarks,RunningHeaders"/>
    <w:docVar w:name="WAFER_20140204145358_GUID" w:val="530f7b52-7d99-48bf-8883-3d6d5edcda90"/>
    <w:docVar w:name="WAFER_20140325103206" w:val="RemoveTocBookmarks,RemoveUnusedBookmarks,RemoveLanguageTags,UsedStyles,ResetPageSize,UpdateArrangement"/>
    <w:docVar w:name="WAFER_20140325103206_GUID" w:val="6f270a8a-2fd6-4b73-b223-09571308e2ff"/>
    <w:docVar w:name="WAFER_20140527170255" w:val="RemoveTocBookmarks,RemoveUnusedBookmarks,RemoveLanguageTags,UsedStyles,ResetPageSize,UpdateArrangement"/>
    <w:docVar w:name="WAFER_20140527170255_GUID" w:val="4948ccc8-72d2-49bf-ae87-cc008cf9158f"/>
    <w:docVar w:name="WAFER_20150429142254" w:val="ResetPageSize,UpdateArrangement,UpdateNTable"/>
    <w:docVar w:name="WAFER_20150429142254_GUID" w:val="9fccb5b3-9600-454c-a61f-fcef6049b3e6"/>
    <w:docVar w:name="WAFER_20150716084615" w:val="RemoveTocBookmarks,RemoveUnusedBookmarks,RemoveLanguageTags,UsedStyles,ResetPageSize,RemoveCustomizations"/>
    <w:docVar w:name="WAFER_20150716084615_GUID" w:val="729d3eda-a301-42eb-8698-3a632eb6b9b4"/>
    <w:docVar w:name="WAFER_20150908110939" w:val="RemoveTocBookmarks,RemoveUnusedBookmarks,RemoveLanguageTags,UsedStyles,ResetPageSize"/>
    <w:docVar w:name="WAFER_20150908110939_GUID" w:val="f560cfb1-45f3-4187-b3d4-d853f2682446"/>
    <w:docVar w:name="WAFER_20151103094544" w:val="UpdateStyles,UsedStyles"/>
    <w:docVar w:name="WAFER_20151103094544_GUID" w:val="f615b4f0-029e-4cd1-a2ce-052e77291199"/>
    <w:docVar w:name="WAFER_202002201140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14054_GUID" w:val="da68fe8a-0106-4393-b474-1155fb458d12"/>
    <w:docVar w:name="WAFER_20200220114141" w:val="RemoveTocBookmarks.RemoveBookmarks,RemoveUnusedBookmarks.RemoveBookmarks,RemoveLanguageTags.RemoveTags,RemoveSmartTags.RemoveTags,ResetPageSize.Reset,RunningHeaders.Run,UpdateStyles.ProcessFixes,UpdateStyles.ProcessFixes,RemoveIncorrectStyles.ProcessStyles"/>
    <w:docVar w:name="WAFER_20200220114141_GUID" w:val="94f60118-f836-470b-bc47-38818606343a"/>
    <w:docVar w:name="WAFER_20200911122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015_GUID" w:val="bfb3fd65-9a64-43a1-99a0-e196411414e2"/>
    <w:docVar w:name="WAFER_20210615132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32826_GUID" w:val="5521153b-b936-48c1-afee-79b1ac3ca921"/>
    <w:docVar w:name="WAFER_2021062216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63304_GUID" w:val="9e86c570-a57c-407d-9aa5-706e4ee7c7b5"/>
    <w:docVar w:name="WAFER_20210622163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2163348_GUID" w:val="bbbf5b42-c525-4e6a-b25d-f4a03d2b4b93"/>
    <w:docVar w:name="WAFER_20220407150704" w:val="RemoveAutoUpdateStyles.CheckForAutoUpdateStyle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50704_GUID" w:val="8008a054-42db-4da6-a43a-7ed4c1bec68a"/>
    <w:docVar w:name="WAFER_20220624165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65747_GUID" w:val="1f679726-166c-4fba-8134-3beb4caf0a7d"/>
    <w:docVar w:name="WAFER_202303241307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30737_GUID" w:val="7be275dc-4fe0-4712-a8c8-b6ad0232eb53"/>
    <w:docVar w:name="WAFER_202307241145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4525_GUID" w:val="fa9c0ef8-a810-4fe0-9770-b688cecd5db6"/>
    <w:docVar w:name="WAFER_20230801102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02138_GUID" w:val="6341f03f-d349-4bd6-bdc5-7635121f2b7a"/>
    <w:docVar w:name="WAFER_202308091527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30809152707_GUID" w:val="ce414ba3-d464-4f08-9319-57bd6d1a5097"/>
    <w:docVar w:name="WAFER_20231227143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3327_GUID" w:val="68eb38b4-2dae-4cf7-a1e9-e247608bee86"/>
    <w:docVar w:name="WAFER_202403281404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0437_GUID" w:val="eaccbb39-14ae-4041-9f87-12f0d6ad724a"/>
    <w:docVar w:name="WAFER_20240328140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0454_GUID" w:val="1ebde675-e273-4d80-9a12-4ec19e73cc04"/>
    <w:docVar w:name="WAFER_202405151628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62816_GUID" w:val="48529e4c-4c48-42bf-8abe-f0a04cc2a6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61"/>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ExCo">
    <w:name w:val="ExCo"/>
    <w:qFormat/>
    <w:rPr>
      <w:sz w:val="24"/>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667419">
      <w:bodyDiv w:val="1"/>
      <w:marLeft w:val="0"/>
      <w:marRight w:val="0"/>
      <w:marTop w:val="0"/>
      <w:marBottom w:val="0"/>
      <w:divBdr>
        <w:top w:val="none" w:sz="0" w:space="0" w:color="auto"/>
        <w:left w:val="none" w:sz="0" w:space="0" w:color="auto"/>
        <w:bottom w:val="none" w:sz="0" w:space="0" w:color="auto"/>
        <w:right w:val="none" w:sz="0" w:space="0" w:color="auto"/>
      </w:divBdr>
    </w:div>
    <w:div w:id="16378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2.bin"/><Relationship Id="rId39" Type="http://schemas.openxmlformats.org/officeDocument/2006/relationships/header" Target="header18.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4.wmf"/><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wmf"/><Relationship Id="rId30" Type="http://schemas.openxmlformats.org/officeDocument/2006/relationships/image" Target="media/image5.png"/><Relationship Id="rId35" Type="http://schemas.openxmlformats.org/officeDocument/2006/relationships/header" Target="header14.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2.xml"/><Relationship Id="rId38" Type="http://schemas.openxmlformats.org/officeDocument/2006/relationships/header" Target="header17.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09A8D-023D-41FA-877A-0BA8BA5E5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84245</Words>
  <Characters>395113</Characters>
  <Application>Microsoft Office Word</Application>
  <DocSecurity>0</DocSecurity>
  <Lines>10131</Lines>
  <Paragraphs>4609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474749</CharactersWithSpaces>
  <SharedDoc>false</SharedDoc>
  <HLinks>
    <vt:vector size="18" baseType="variant">
      <vt:variant>
        <vt:i4>3014716</vt:i4>
      </vt:variant>
      <vt:variant>
        <vt:i4>32893</vt:i4>
      </vt:variant>
      <vt:variant>
        <vt:i4>1025</vt:i4>
      </vt:variant>
      <vt:variant>
        <vt:i4>1</vt:i4>
      </vt:variant>
      <vt:variant>
        <vt:lpwstr>C:\Program Files\PCO DLL\Support\Crest.wpg</vt:lpwstr>
      </vt:variant>
      <vt:variant>
        <vt:lpwstr/>
      </vt:variant>
      <vt:variant>
        <vt:i4>5439608</vt:i4>
      </vt:variant>
      <vt:variant>
        <vt:i4>444565</vt:i4>
      </vt:variant>
      <vt:variant>
        <vt:i4>1026</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1893 - 11-m0-00</dc:title>
  <dc:subject/>
  <dc:creator/>
  <cp:keywords/>
  <dc:description/>
  <cp:lastModifiedBy>Master Repository Process</cp:lastModifiedBy>
  <cp:revision>4</cp:revision>
  <cp:lastPrinted>2023-08-02T06:20:00Z</cp:lastPrinted>
  <dcterms:created xsi:type="dcterms:W3CDTF">2025-09-30T07:35:00Z</dcterms:created>
  <dcterms:modified xsi:type="dcterms:W3CDTF">2025-09-30T07:35:00Z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DocumentType">
    <vt:lpwstr>Act</vt:lpwstr>
  </property>
  <property fmtid="{D5CDD505-2E9C-101B-9397-08002B2CF9AE}" pid="4" name="OwlsUID">
    <vt:i4>829</vt:i4>
  </property>
  <property fmtid="{D5CDD505-2E9C-101B-9397-08002B2CF9AE}" pid="5" name="ReprintedAsAt">
    <vt:filetime>2016-01-07T16:00:00Z</vt:filetime>
  </property>
  <property fmtid="{D5CDD505-2E9C-101B-9397-08002B2CF9AE}" pid="6" name="ReprintNo">
    <vt:lpwstr>11</vt:lpwstr>
  </property>
  <property fmtid="{D5CDD505-2E9C-101B-9397-08002B2CF9AE}" pid="7" name="AsAtDate">
    <vt:lpwstr>25 Sep 2025</vt:lpwstr>
  </property>
  <property fmtid="{D5CDD505-2E9C-101B-9397-08002B2CF9AE}" pid="8" name="Suffix">
    <vt:lpwstr>11-m0-00</vt:lpwstr>
  </property>
  <property fmtid="{D5CDD505-2E9C-101B-9397-08002B2CF9AE}" pid="9" name="Official">
    <vt:lpwstr/>
  </property>
  <property fmtid="{D5CDD505-2E9C-101B-9397-08002B2CF9AE}" pid="10" name="CommencementDate">
    <vt:lpwstr>20250925</vt:lpwstr>
  </property>
  <property fmtid="{D5CDD505-2E9C-101B-9397-08002B2CF9AE}" pid="11" name="CommencementAsAt">
    <vt:filetime>2025-09-24T16:00:00Z</vt:filetime>
  </property>
  <property fmtid="{D5CDD505-2E9C-101B-9397-08002B2CF9AE}" pid="12" name="CommencementYear">
    <vt:lpwstr>2025</vt:lpwstr>
  </property>
</Properties>
</file>