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_Toc209781360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_Toc209781361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_Toc209781362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_Toc209781363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_Toc209781364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_Toc209781365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_Toc209781366 \h </w:instrText>
      </w:r>
      <w:r>
        <w:fldChar w:fldCharType="separate"/>
      </w:r>
      <w:r>
        <w:t>5</w:t>
      </w:r>
      <w:r>
        <w:fldChar w:fldCharType="end"/>
      </w:r>
    </w:p>
    <w:p>
      <w:pPr>
        <w:pStyle w:val="TOC8"/>
        <w:rPr>
          <w:rFonts w:asciiTheme="minorHAnsi" w:eastAsiaTheme="minorEastAsia" w:hAnsiTheme="minorHAnsi" w:cstheme="minorBidi"/>
          <w:szCs w:val="22"/>
        </w:rPr>
      </w:pPr>
      <w:r>
        <w:t>9.</w:t>
      </w:r>
      <w:r>
        <w:tab/>
        <w:t>Geocentric Datum of Australia 1994 previously prescribed (Act s. 8)</w:t>
      </w:r>
      <w:r>
        <w:tab/>
      </w:r>
      <w:r>
        <w:fldChar w:fldCharType="begin"/>
      </w:r>
      <w:r>
        <w:instrText xml:space="preserve"> PAGEREF _Toc209781367 \h </w:instrText>
      </w:r>
      <w:r>
        <w:fldChar w:fldCharType="separate"/>
      </w:r>
      <w:r>
        <w:t>6</w:t>
      </w:r>
      <w:r>
        <w:fldChar w:fldCharType="end"/>
      </w:r>
    </w:p>
    <w:p>
      <w:pPr>
        <w:pStyle w:val="TOC8"/>
        <w:rPr>
          <w:rFonts w:asciiTheme="minorHAnsi" w:eastAsiaTheme="minorEastAsia" w:hAnsiTheme="minorHAnsi" w:cstheme="minorBidi"/>
          <w:szCs w:val="22"/>
        </w:rPr>
      </w:pPr>
      <w:r>
        <w:t>10.</w:t>
      </w:r>
      <w:r>
        <w:tab/>
        <w:t>Geocentric Datum of Australia 2020 currently prescribed (Act s. 8)</w:t>
      </w:r>
      <w:r>
        <w:tab/>
      </w:r>
      <w:r>
        <w:fldChar w:fldCharType="begin"/>
      </w:r>
      <w:r>
        <w:instrText xml:space="preserve"> PAGEREF _Toc209781368 \h </w:instrText>
      </w:r>
      <w:r>
        <w:fldChar w:fldCharType="separate"/>
      </w:r>
      <w:r>
        <w:t>7</w:t>
      </w:r>
      <w:r>
        <w:fldChar w:fldCharType="end"/>
      </w:r>
    </w:p>
    <w:p>
      <w:pPr>
        <w:pStyle w:val="TOC8"/>
        <w:rPr>
          <w:rFonts w:asciiTheme="minorHAnsi" w:eastAsiaTheme="minorEastAsia" w:hAnsiTheme="minorHAnsi" w:cstheme="minorBidi"/>
          <w:szCs w:val="22"/>
        </w:rPr>
      </w:pPr>
      <w:r>
        <w:t>11.</w:t>
      </w:r>
      <w:r>
        <w:tab/>
        <w:t>Australian Geodetic Datum prescribed for limited purposes (Act s. 8)</w:t>
      </w:r>
      <w:r>
        <w:tab/>
      </w:r>
      <w:r>
        <w:fldChar w:fldCharType="begin"/>
      </w:r>
      <w:r>
        <w:instrText xml:space="preserve"> PAGEREF _Toc209781369 \h </w:instrText>
      </w:r>
      <w:r>
        <w:fldChar w:fldCharType="separate"/>
      </w:r>
      <w:r>
        <w:t>7</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_Toc209781370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_Toc209781374 \h </w:instrText>
      </w:r>
      <w:r>
        <w:fldChar w:fldCharType="separate"/>
      </w:r>
      <w:r>
        <w:t>13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_Toc209781375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2" w:name="_Toc209781360"/>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3" w:name="_Toc209781361"/>
      <w:r>
        <w:rPr>
          <w:rStyle w:val="CharSectno"/>
        </w:rPr>
        <w:t>1A</w:t>
      </w:r>
      <w:r>
        <w:t>.</w:t>
      </w:r>
      <w:r>
        <w:tab/>
        <w:t>Terms used</w:t>
      </w:r>
      <w:bookmarkEnd w:id="3"/>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1994 referred to in regulation 9.</w:t>
      </w:r>
    </w:p>
    <w:p>
      <w:pPr>
        <w:pStyle w:val="Footnotesection"/>
      </w:pPr>
      <w:r>
        <w:tab/>
        <w:t>[Regulation 1A inserted: Gazette 15 Dec 2000 p. 7213; amended: SL 2025/172 r. 14.]</w:t>
      </w:r>
    </w:p>
    <w:p>
      <w:pPr>
        <w:pStyle w:val="Heading5"/>
        <w:rPr>
          <w:snapToGrid w:val="0"/>
        </w:rPr>
      </w:pPr>
      <w:bookmarkStart w:id="4" w:name="_Toc209781362"/>
      <w:r>
        <w:rPr>
          <w:rStyle w:val="CharSectno"/>
        </w:rPr>
        <w:t>2</w:t>
      </w:r>
      <w:r>
        <w:rPr>
          <w:snapToGrid w:val="0"/>
        </w:rPr>
        <w:t>.</w:t>
      </w:r>
      <w:r>
        <w:rPr>
          <w:snapToGrid w:val="0"/>
        </w:rPr>
        <w:tab/>
        <w:t>Time prescribed (Act s. 17(4))</w:t>
      </w:r>
      <w:bookmarkEnd w:id="4"/>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5" w:name="_Toc209781363"/>
      <w:r>
        <w:rPr>
          <w:rStyle w:val="CharSectno"/>
        </w:rPr>
        <w:t>3</w:t>
      </w:r>
      <w:r>
        <w:rPr>
          <w:snapToGrid w:val="0"/>
        </w:rPr>
        <w:t>.</w:t>
      </w:r>
      <w:r>
        <w:rPr>
          <w:snapToGrid w:val="0"/>
        </w:rPr>
        <w:tab/>
        <w:t>Fees and rates prescribed</w:t>
      </w:r>
      <w:bookmarkEnd w:id="5"/>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6" w:name="_Toc209781364"/>
      <w:r>
        <w:rPr>
          <w:rStyle w:val="CharSectno"/>
        </w:rPr>
        <w:t>4</w:t>
      </w:r>
      <w:r>
        <w:rPr>
          <w:snapToGrid w:val="0"/>
        </w:rPr>
        <w:t>.</w:t>
      </w:r>
      <w:r>
        <w:rPr>
          <w:snapToGrid w:val="0"/>
        </w:rPr>
        <w:tab/>
        <w:t>Form of instrument of transfer prescribed (Act s. 72(3)(a))</w:t>
      </w:r>
      <w:bookmarkEnd w:id="6"/>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7" w:name="_Toc209781365"/>
      <w:r>
        <w:rPr>
          <w:rStyle w:val="CharSectno"/>
        </w:rPr>
        <w:t>5</w:t>
      </w:r>
      <w:r>
        <w:rPr>
          <w:snapToGrid w:val="0"/>
        </w:rPr>
        <w:t>.</w:t>
      </w:r>
      <w:r>
        <w:rPr>
          <w:snapToGrid w:val="0"/>
        </w:rPr>
        <w:tab/>
        <w:t>Particulars prescribed (Act s. 75(4)(b))</w:t>
      </w:r>
      <w:bookmarkEnd w:id="7"/>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lastRenderedPageBreak/>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w:t>
      </w:r>
      <w:r>
        <w:lastRenderedPageBreak/>
        <w:t>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8" w:name="_Toc209781366"/>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8"/>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w:t>
      </w:r>
      <w:r>
        <w:rPr>
          <w:snapToGrid w:val="0"/>
        </w:rPr>
        <w:lastRenderedPageBreak/>
        <w:t>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9" w:name="_Toc209781367"/>
      <w:r>
        <w:rPr>
          <w:rStyle w:val="CharSectno"/>
        </w:rPr>
        <w:t>9</w:t>
      </w:r>
      <w:r>
        <w:t>.</w:t>
      </w:r>
      <w:r>
        <w:tab/>
        <w:t>Geocentric Datum of Australia 1994 previously prescribed (Act s. 8)</w:t>
      </w:r>
      <w:bookmarkEnd w:id="9"/>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lastRenderedPageBreak/>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Subsection"/>
      </w:pPr>
      <w:r>
        <w:tab/>
        <w:t>(4)</w:t>
      </w:r>
      <w:r>
        <w:tab/>
        <w:t xml:space="preserve">This regulation does not have effect on or after the day on which the </w:t>
      </w:r>
      <w:r>
        <w:rPr>
          <w:i/>
        </w:rPr>
        <w:t>Mines and Petroleum Regulations Amendment (Geocentric Datum) Regulations 2025</w:t>
      </w:r>
      <w:r>
        <w:rPr>
          <w:iCs/>
        </w:rPr>
        <w:t xml:space="preserve"> regulations 15 and 16 come into operation.</w:t>
      </w:r>
    </w:p>
    <w:p>
      <w:pPr>
        <w:pStyle w:val="Footnotesection"/>
        <w:ind w:left="890" w:hanging="890"/>
      </w:pPr>
      <w:r>
        <w:tab/>
        <w:t xml:space="preserve">[Regulation 9 amended: SL 2025/172 r. 15.] </w:t>
      </w:r>
    </w:p>
    <w:p>
      <w:pPr>
        <w:pStyle w:val="Heading5"/>
      </w:pPr>
      <w:bookmarkStart w:id="10" w:name="_Toc209694101"/>
      <w:bookmarkStart w:id="11" w:name="_Toc209694216"/>
      <w:bookmarkStart w:id="12" w:name="_Toc209781368"/>
      <w:r>
        <w:rPr>
          <w:rStyle w:val="CharSectno"/>
        </w:rPr>
        <w:t>10</w:t>
      </w:r>
      <w:r>
        <w:t>.</w:t>
      </w:r>
      <w:r>
        <w:tab/>
        <w:t>Geocentric Datum of Australia 2020 currently prescribed (Act s. 8)</w:t>
      </w:r>
      <w:bookmarkEnd w:id="10"/>
      <w:bookmarkEnd w:id="11"/>
      <w:bookmarkEnd w:id="12"/>
    </w:p>
    <w:p>
      <w:pPr>
        <w:pStyle w:val="Subsection"/>
      </w:pPr>
      <w:r>
        <w:tab/>
        <w:t>(1)</w:t>
      </w:r>
      <w:r>
        <w:tab/>
        <w:t xml:space="preserve">In this regulation — </w:t>
      </w:r>
    </w:p>
    <w:p>
      <w:pPr>
        <w:pStyle w:val="Defstart"/>
      </w:pPr>
      <w:r>
        <w:tab/>
      </w:r>
      <w:r>
        <w:rPr>
          <w:rStyle w:val="CharDefText"/>
        </w:rPr>
        <w:t>Geocentric Datum of Australia 2020</w:t>
      </w:r>
      <w:r>
        <w:t xml:space="preserve"> means the Reference Frame defined in the </w:t>
      </w:r>
      <w:r>
        <w:rPr>
          <w:i/>
          <w:iCs/>
        </w:rPr>
        <w:t>National Measurement (Recognized</w:t>
      </w:r>
      <w:r>
        <w:rPr>
          <w:i/>
          <w:iCs/>
        </w:rPr>
        <w:noBreakHyphen/>
        <w:t>Value Standard of Measurement of Position) Determination 2017</w:t>
      </w:r>
      <w:r>
        <w:t xml:space="preserve"> (Cth) clause 4.</w:t>
      </w:r>
    </w:p>
    <w:p>
      <w:pPr>
        <w:pStyle w:val="Subsection"/>
      </w:pPr>
      <w:r>
        <w:tab/>
        <w:t>(2)</w:t>
      </w:r>
      <w:r>
        <w:tab/>
        <w:t>The Geocentric Datum of Australia 2020 is prescribed for the purposes referred to in section 8(1) of the Act.</w:t>
      </w:r>
    </w:p>
    <w:p>
      <w:pPr>
        <w:pStyle w:val="Footnotesection"/>
        <w:ind w:left="890" w:hanging="890"/>
        <w:rPr>
          <w:rStyle w:val="CharSectno"/>
        </w:rPr>
      </w:pPr>
      <w:r>
        <w:tab/>
        <w:t xml:space="preserve">[Regulation 10 inserted: SL 2025/172 r. 16.] </w:t>
      </w:r>
    </w:p>
    <w:p>
      <w:pPr>
        <w:pStyle w:val="Heading5"/>
      </w:pPr>
      <w:bookmarkStart w:id="13" w:name="_Toc209781369"/>
      <w:r>
        <w:rPr>
          <w:rStyle w:val="CharSectno"/>
        </w:rPr>
        <w:t>11</w:t>
      </w:r>
      <w:r>
        <w:t>.</w:t>
      </w:r>
      <w:r>
        <w:tab/>
        <w:t>Australian Geodetic Datum prescribed for limited purposes (Act s. 8)</w:t>
      </w:r>
      <w:bookmarkEnd w:id="13"/>
    </w:p>
    <w:p>
      <w:pPr>
        <w:pStyle w:val="Subsection"/>
      </w:pPr>
      <w:r>
        <w:tab/>
        <w:t>(1)</w:t>
      </w:r>
      <w:r>
        <w:tab/>
        <w:t>Despite regulation 10, the AGD is the prescribed datum for the purposes referred to in section 27(4) of the Act.</w:t>
      </w:r>
    </w:p>
    <w:p>
      <w:pPr>
        <w:pStyle w:val="Subsection"/>
      </w:pPr>
      <w:r>
        <w:lastRenderedPageBreak/>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 xml:space="preserve">An instrument in force under the Act or these regulations immediately before </w:t>
      </w:r>
      <w:r>
        <w:t>16 December 2000</w:t>
      </w:r>
      <w:r>
        <w:rPr>
          <w:snapToGrid w:val="0"/>
        </w:rPr>
        <w:t xml:space="preserve">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ind w:left="890" w:hanging="890"/>
      </w:pPr>
      <w:r>
        <w:tab/>
        <w:t>[Regulation 11 inserted: Gazette 15 Dec 2000 p. 7215; amended: SL 2025/172 r. 17.]</w:t>
      </w:r>
    </w:p>
    <w:p>
      <w:pPr>
        <w:pStyle w:val="Heading5"/>
      </w:pPr>
      <w:bookmarkStart w:id="14" w:name="_Toc209781370"/>
      <w:r>
        <w:rPr>
          <w:rStyle w:val="CharSectno"/>
        </w:rPr>
        <w:t>12</w:t>
      </w:r>
      <w:r>
        <w:t>.</w:t>
      </w:r>
      <w:r>
        <w:tab/>
        <w:t>Transitional provision: operation of r. 3</w:t>
      </w:r>
      <w:bookmarkEnd w:id="14"/>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lastRenderedPageBreak/>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15" w:name="_Toc209702212"/>
      <w:bookmarkStart w:id="16" w:name="_Toc209702765"/>
      <w:bookmarkStart w:id="17" w:name="_Toc209781371"/>
      <w:r>
        <w:rPr>
          <w:rStyle w:val="CharSchNo"/>
        </w:rPr>
        <w:lastRenderedPageBreak/>
        <w:t>Schedule 1</w:t>
      </w:r>
      <w:r>
        <w:t> — </w:t>
      </w:r>
      <w:r>
        <w:rPr>
          <w:rStyle w:val="CharSchText"/>
        </w:rPr>
        <w:t>Prescribed fees</w:t>
      </w:r>
      <w:bookmarkEnd w:id="15"/>
      <w:bookmarkEnd w:id="16"/>
      <w:bookmarkEnd w:id="17"/>
    </w:p>
    <w:p>
      <w:pPr>
        <w:pStyle w:val="yShoulderClause"/>
      </w:pPr>
      <w:r>
        <w:t>[r. 3(1)]</w:t>
      </w:r>
    </w:p>
    <w:p>
      <w:pPr>
        <w:pStyle w:val="yFootnoteheading"/>
        <w:spacing w:after="60"/>
        <w:ind w:left="1758"/>
      </w:pPr>
      <w:r>
        <w:t>[Heading inserted: SL 2024/97 r.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rPr>
                <w:highlight w:val="yellow"/>
              </w:rPr>
            </w:pPr>
            <w:r>
              <w:t>8 740.00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ind w:right="1033"/>
              <w:jc w:val="right"/>
            </w:pPr>
            <w:r>
              <w:rPr>
                <w:szCs w:val="22"/>
              </w:rPr>
              <w:t>8 950.00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ind w:right="1033"/>
              <w:jc w:val="right"/>
              <w:rPr>
                <w:highlight w:val="yellow"/>
              </w:rPr>
            </w:pPr>
            <w:r>
              <w:t>8 320.00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ind w:right="1033"/>
              <w:jc w:val="right"/>
            </w:pPr>
            <w:r>
              <w:rPr>
                <w:szCs w:val="22"/>
              </w:rPr>
              <w:t>167.00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ind w:right="1033"/>
              <w:jc w:val="right"/>
            </w:pPr>
            <w:r>
              <w:t>156.00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ind w:right="1033"/>
              <w:jc w:val="right"/>
            </w:pPr>
            <w:r>
              <w:t>149.00</w:t>
            </w:r>
          </w:p>
        </w:tc>
      </w:tr>
      <w:tr>
        <w:trPr>
          <w:cantSplit/>
          <w:jc w:val="center"/>
        </w:trPr>
        <w:tc>
          <w:tcPr>
            <w:tcW w:w="1559" w:type="dxa"/>
            <w:noWrap/>
            <w:vAlign w:val="center"/>
          </w:tcPr>
          <w:p>
            <w:pPr>
              <w:pStyle w:val="yTableNAm"/>
            </w:pPr>
            <w:r>
              <w:lastRenderedPageBreak/>
              <w:t>17.</w:t>
            </w:r>
          </w:p>
        </w:tc>
        <w:tc>
          <w:tcPr>
            <w:tcW w:w="2126" w:type="dxa"/>
            <w:noWrap/>
            <w:vAlign w:val="center"/>
          </w:tcPr>
          <w:p>
            <w:pPr>
              <w:pStyle w:val="yTableNAm"/>
            </w:pPr>
            <w:r>
              <w:t>s. 81(3)</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bottom"/>
          </w:tcPr>
          <w:p>
            <w:pPr>
              <w:pStyle w:val="yTableNAm"/>
              <w:ind w:right="1033"/>
              <w:jc w:val="right"/>
            </w:pPr>
            <w:r>
              <w:t>2 400.00</w:t>
            </w:r>
          </w:p>
        </w:tc>
      </w:tr>
    </w:tbl>
    <w:p>
      <w:pPr>
        <w:pStyle w:val="yFootnotesection"/>
      </w:pPr>
      <w:r>
        <w:tab/>
        <w:t>[Schedule 1 inserted: SL 2024/97 r. 19; amended: SL 2025/90 r. 21.]</w:t>
      </w:r>
    </w:p>
    <w:p>
      <w:pPr>
        <w:pStyle w:val="yScheduleHeading"/>
      </w:pPr>
      <w:bookmarkStart w:id="18" w:name="_Toc209702213"/>
      <w:bookmarkStart w:id="19" w:name="_Toc209702766"/>
      <w:bookmarkStart w:id="20" w:name="_Toc209781372"/>
      <w:r>
        <w:rPr>
          <w:rStyle w:val="CharSchNo"/>
        </w:rPr>
        <w:lastRenderedPageBreak/>
        <w:t>Schedule 2</w:t>
      </w:r>
      <w:bookmarkEnd w:id="18"/>
      <w:bookmarkEnd w:id="19"/>
      <w:bookmarkEnd w:id="20"/>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keepNext/>
        <w:spacing w:before="60"/>
      </w:pPr>
      <w:r>
        <w:tab/>
        <w:t>[Schedule 2 inserted: Gazette 28 Sep 1990 p. 5102; amended: Gazette 23 Jun 2009 p. 2474.]</w:t>
      </w:r>
    </w:p>
    <w:p>
      <w:pPr>
        <w:pStyle w:val="CentredBaseLine"/>
        <w:spacing w:before="120"/>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spacing w:before="120"/>
        <w:ind w:right="958"/>
        <w:sectPr>
          <w:headerReference w:type="even" r:id="rId25"/>
          <w:headerReference w:type="default" r:id="rId26"/>
          <w:headerReference w:type="first" r:id="rId27"/>
          <w:pgSz w:w="11907" w:h="16840" w:code="9"/>
          <w:pgMar w:top="2381" w:right="2409" w:bottom="3543" w:left="2409" w:header="720" w:footer="3544" w:gutter="0"/>
          <w:cols w:space="720"/>
          <w:noEndnote/>
          <w:docGrid w:linePitch="326"/>
        </w:sectPr>
      </w:pPr>
    </w:p>
    <w:p>
      <w:pPr>
        <w:pStyle w:val="nHeading2"/>
      </w:pPr>
      <w:bookmarkStart w:id="22" w:name="_Toc209702214"/>
      <w:bookmarkStart w:id="23" w:name="_Toc209702767"/>
      <w:bookmarkStart w:id="24" w:name="_Toc209781373"/>
      <w:r>
        <w:lastRenderedPageBreak/>
        <w:t>Notes</w:t>
      </w:r>
      <w:bookmarkEnd w:id="22"/>
      <w:bookmarkEnd w:id="23"/>
      <w:bookmarkEnd w:id="24"/>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w:t>
      </w:r>
    </w:p>
    <w:p>
      <w:pPr>
        <w:pStyle w:val="nHeading3"/>
      </w:pPr>
      <w:bookmarkStart w:id="25" w:name="_Toc209781374"/>
      <w:r>
        <w:t>Compilation table</w:t>
      </w:r>
      <w:bookmarkEnd w:id="25"/>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lastRenderedPageBreak/>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lastRenderedPageBreak/>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10</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2024</w:t>
            </w:r>
            <w:r>
              <w:rPr>
                <w:iCs/>
              </w:rPr>
              <w:t xml:space="preserve"> Pt. 9</w:t>
            </w:r>
          </w:p>
        </w:tc>
        <w:tc>
          <w:tcPr>
            <w:tcW w:w="1276" w:type="dxa"/>
            <w:tcBorders>
              <w:top w:val="nil"/>
              <w:bottom w:val="nil"/>
            </w:tcBorders>
          </w:tcPr>
          <w:p>
            <w:pPr>
              <w:pStyle w:val="nTable"/>
              <w:spacing w:after="40"/>
            </w:pPr>
            <w:r>
              <w:t>SL 2024/97 12 Jun 2024</w:t>
            </w:r>
          </w:p>
        </w:tc>
        <w:tc>
          <w:tcPr>
            <w:tcW w:w="2693" w:type="dxa"/>
            <w:tcBorders>
              <w:top w:val="nil"/>
              <w:bottom w:val="nil"/>
            </w:tcBorders>
          </w:tcPr>
          <w:p>
            <w:pPr>
              <w:pStyle w:val="nTable"/>
              <w:spacing w:after="40"/>
            </w:pPr>
            <w:r>
              <w:t>1 Jul 2024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 xml:space="preserve">Mines and Petroleum Regulations Amendment (Fees and Charges) Regulations 2025 </w:t>
            </w:r>
            <w:r>
              <w:rPr>
                <w:iCs/>
              </w:rPr>
              <w:t>Pt. 10</w:t>
            </w:r>
          </w:p>
        </w:tc>
        <w:tc>
          <w:tcPr>
            <w:tcW w:w="1276" w:type="dxa"/>
            <w:tcBorders>
              <w:top w:val="nil"/>
              <w:bottom w:val="nil"/>
            </w:tcBorders>
          </w:tcPr>
          <w:p>
            <w:pPr>
              <w:pStyle w:val="nTable"/>
              <w:spacing w:after="40"/>
            </w:pPr>
            <w:r>
              <w:t>SL 2025/90 11 Jun 2025</w:t>
            </w:r>
          </w:p>
        </w:tc>
        <w:tc>
          <w:tcPr>
            <w:tcW w:w="2693" w:type="dxa"/>
            <w:tcBorders>
              <w:top w:val="nil"/>
              <w:bottom w:val="nil"/>
            </w:tcBorders>
          </w:tcPr>
          <w:p>
            <w:pPr>
              <w:pStyle w:val="nTable"/>
              <w:spacing w:after="40"/>
            </w:pPr>
            <w:r>
              <w:t>1 Jul 2025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(Geocentric Datum) Regulations 2025</w:t>
            </w:r>
            <w:r>
              <w:rPr>
                <w:iCs/>
              </w:rPr>
              <w:t xml:space="preserve"> Pt. 4</w:t>
            </w:r>
          </w:p>
        </w:tc>
        <w:tc>
          <w:tcPr>
            <w:tcW w:w="1276" w:type="dxa"/>
            <w:tcBorders>
              <w:top w:val="nil"/>
              <w:bottom w:val="single" w:sz="4" w:space="0" w:color="auto"/>
            </w:tcBorders>
          </w:tcPr>
          <w:p>
            <w:pPr>
              <w:pStyle w:val="nTable"/>
              <w:spacing w:after="40"/>
            </w:pPr>
            <w:r>
              <w:t>SL 2025/172 2 Oct 2025</w:t>
            </w:r>
          </w:p>
        </w:tc>
        <w:tc>
          <w:tcPr>
            <w:tcW w:w="2693" w:type="dxa"/>
            <w:tcBorders>
              <w:top w:val="nil"/>
              <w:bottom w:val="single" w:sz="4" w:space="0" w:color="auto"/>
            </w:tcBorders>
          </w:tcPr>
          <w:p>
            <w:pPr>
              <w:pStyle w:val="nTable"/>
              <w:spacing w:after="40"/>
            </w:pPr>
            <w:r>
              <w:t>3 Oct 2025 (see r. 2(b))</w:t>
            </w:r>
          </w:p>
        </w:tc>
      </w:tr>
    </w:tbl>
    <w:p>
      <w:pPr>
        <w:pStyle w:val="nHeading3"/>
      </w:pPr>
      <w:bookmarkStart w:id="26" w:name="_Toc209781375"/>
      <w:r>
        <w:lastRenderedPageBreak/>
        <w:t>Other notes</w:t>
      </w:r>
      <w:bookmarkEnd w:id="26"/>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Footnote no longer required.</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8" w:name="_Toc209781376"/>
      <w:r>
        <w:rPr>
          <w:sz w:val="28"/>
        </w:rPr>
        <w:lastRenderedPageBreak/>
        <w:t>Defined terms</w:t>
      </w:r>
      <w:bookmarkEnd w:id="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dealing</w:t>
      </w:r>
      <w:r>
        <w:tab/>
        <w:t>5(1)</w:t>
      </w:r>
    </w:p>
    <w:p>
      <w:pPr>
        <w:pStyle w:val="DefinedTerms"/>
      </w:pPr>
      <w:r>
        <w:t>GDA</w:t>
      </w:r>
      <w:r>
        <w:tab/>
        <w:t>1A</w:t>
      </w:r>
    </w:p>
    <w:p>
      <w:pPr>
        <w:pStyle w:val="DefinedTerms"/>
      </w:pPr>
      <w:r>
        <w:t>Geocentric Datum of Australia 2020</w:t>
      </w:r>
      <w:r>
        <w:tab/>
        <w:t>10(1)</w:t>
      </w:r>
    </w:p>
    <w:p>
      <w:pPr>
        <w:pStyle w:val="DefinedTerms"/>
      </w:pPr>
      <w:r>
        <w:t>GRS80</w:t>
      </w:r>
      <w:r>
        <w:tab/>
        <w:t>9(2)</w:t>
      </w:r>
    </w:p>
    <w:p>
      <w:pPr>
        <w:pStyle w:val="DefinedTerms"/>
      </w:pPr>
      <w:r>
        <w:t>regulation 3</w:t>
      </w:r>
      <w:r>
        <w:tab/>
        <w:t>12(1)</w:t>
      </w:r>
    </w:p>
    <w:p>
      <w:pPr>
        <w:pStyle w:val="DefinedTerms"/>
      </w:pPr>
      <w:r>
        <w:t>related dealing</w:t>
      </w:r>
      <w:r>
        <w:tab/>
        <w:t>5(2)</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F977D5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E7DE645" w14:textId="682A5C1C" w:rsidR="008B7067" w:rsidRDefault="00B04E3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123C4">
                        <w:rPr>
                          <w:sz w:val="16"/>
                        </w:rPr>
                        <w:t>2025</w:t>
                      </w:r>
                      <w:r>
                        <w:rPr>
                          <w:sz w:val="16"/>
                        </w:rPr>
                        <w:fldChar w:fldCharType="end"/>
                      </w:r>
                      <w:r>
                        <w:rPr>
                          <w:sz w:val="16"/>
                        </w:rPr>
                        <w:t>.</w:t>
                      </w:r>
                    </w:p>
                    <w:p w14:paraId="5EF7A9B3" w14:textId="77777777" w:rsidR="008B7067" w:rsidRDefault="00B04E3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36208D" w14:textId="4F30D37A" w:rsidR="008B7067" w:rsidRDefault="00B04E3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123C4">
                        <w:rPr>
                          <w:sz w:val="16"/>
                        </w:rPr>
                        <w:t>2025</w:t>
                      </w:r>
                      <w:r>
                        <w:rPr>
                          <w:sz w:val="16"/>
                        </w:rPr>
                        <w:fldChar w:fldCharType="end"/>
                      </w:r>
                      <w:r>
                        <w:rPr>
                          <w:sz w:val="16"/>
                        </w:rPr>
                        <w:t>.</w:t>
                      </w:r>
                    </w:p>
                    <w:p w14:paraId="5D8BA9F9" w14:textId="77777777" w:rsidR="008B7067" w:rsidRDefault="00B04E3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1" w:name="Schedule"/>
    <w:bookmarkEnd w:id="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 w:name="DefinedTerms"/>
    <w:bookmarkEnd w:id="2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0" w:name="Coversheet"/>
    <w:bookmarkEnd w:id="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514152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 w:name="WAFER_20240625114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932_GUID" w:val="746ed59d-13aa-45c3-8a5e-2e0947a83294"/>
    <w:docVar w:name="WAFER_202506250836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3600_GUID" w:val="e1dacae3-705d-4584-922e-e6149322ed10"/>
    <w:docVar w:name="WAFER_202509251415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5141520_GUID" w:val="0f06cb10-bca7-483e-a073-587b289eb3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1"/>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3668</Words>
  <Characters>18012</Characters>
  <Application>Microsoft Office Word</Application>
  <DocSecurity>0</DocSecurity>
  <Lines>720</Lines>
  <Paragraphs>461</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1987 - 03-u0-00</dc:title>
  <dc:subject/>
  <dc:creator/>
  <cp:keywords/>
  <dc:description/>
  <cp:lastModifiedBy>Master Repository Process</cp:lastModifiedBy>
  <cp:revision>4</cp:revision>
  <cp:lastPrinted>2013-01-31T01:18:00Z</cp:lastPrinted>
  <dcterms:created xsi:type="dcterms:W3CDTF">2025-10-01T02:57:00Z</dcterms:created>
  <dcterms:modified xsi:type="dcterms:W3CDTF">2025-10-01T02:57:00Z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20251003</vt:lpwstr>
  </property>
  <property fmtid="{D5CDD505-2E9C-101B-9397-08002B2CF9AE}" pid="8" name="CommencementAsAt">
    <vt:filetime>2025-10-02T16:00:00Z</vt:filetime>
  </property>
  <property fmtid="{D5CDD505-2E9C-101B-9397-08002B2CF9AE}" pid="9" name="CommencementYear">
    <vt:lpwstr>2025</vt:lpwstr>
  </property>
  <property fmtid="{D5CDD505-2E9C-101B-9397-08002B2CF9AE}" pid="10" name="AsAtDate">
    <vt:lpwstr>03 Oct 2025</vt:lpwstr>
  </property>
  <property fmtid="{D5CDD505-2E9C-101B-9397-08002B2CF9AE}" pid="11" name="Suffix">
    <vt:lpwstr>03-u0-00</vt:lpwstr>
  </property>
  <property fmtid="{D5CDD505-2E9C-101B-9397-08002B2CF9AE}" pid="12" name="Official">
    <vt:lpwstr/>
  </property>
</Properties>
</file>