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_Toc210208705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_Toc210208706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_Toc210208707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_Toc210208708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_Toc210208709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_Toc210208710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_Toc210208711 \h </w:instrText>
      </w:r>
      <w:r>
        <w:fldChar w:fldCharType="separate"/>
      </w:r>
      <w:r>
        <w:t>4</w:t>
      </w:r>
      <w:r>
        <w:fldChar w:fldCharType="end"/>
      </w:r>
    </w:p>
    <w:p>
      <w:pPr>
        <w:pStyle w:val="TOC8"/>
        <w:rPr>
          <w:rFonts w:asciiTheme="minorHAnsi" w:eastAsiaTheme="minorEastAsia" w:hAnsiTheme="minorHAnsi" w:cstheme="minorBidi"/>
          <w:szCs w:val="22"/>
        </w:rPr>
      </w:pPr>
      <w:r>
        <w:t>9.</w:t>
      </w:r>
      <w:r>
        <w:tab/>
        <w:t>Geocentric Datum of Australia 1994 previously prescribed (Act s. 10)</w:t>
      </w:r>
      <w:r>
        <w:tab/>
      </w:r>
      <w:r>
        <w:fldChar w:fldCharType="begin"/>
      </w:r>
      <w:r>
        <w:instrText xml:space="preserve"> PAGEREF _Toc210208712 \h </w:instrText>
      </w:r>
      <w:r>
        <w:fldChar w:fldCharType="separate"/>
      </w:r>
      <w:r>
        <w:t>5</w:t>
      </w:r>
      <w:r>
        <w:fldChar w:fldCharType="end"/>
      </w:r>
    </w:p>
    <w:p>
      <w:pPr>
        <w:pStyle w:val="TOC8"/>
        <w:rPr>
          <w:rFonts w:asciiTheme="minorHAnsi" w:eastAsiaTheme="minorEastAsia" w:hAnsiTheme="minorHAnsi" w:cstheme="minorBidi"/>
          <w:szCs w:val="22"/>
        </w:rPr>
      </w:pPr>
      <w:r>
        <w:t>10.</w:t>
      </w:r>
      <w:r>
        <w:tab/>
        <w:t>Geocentric Datum of Australia 2020 currently prescribed (Act s. 10)</w:t>
      </w:r>
      <w:r>
        <w:tab/>
      </w:r>
      <w:r>
        <w:fldChar w:fldCharType="begin"/>
      </w:r>
      <w:r>
        <w:instrText xml:space="preserve"> PAGEREF _Toc210208713 \h </w:instrText>
      </w:r>
      <w:r>
        <w:fldChar w:fldCharType="separate"/>
      </w:r>
      <w:r>
        <w:t>6</w:t>
      </w:r>
      <w:r>
        <w:fldChar w:fldCharType="end"/>
      </w:r>
    </w:p>
    <w:p>
      <w:pPr>
        <w:pStyle w:val="TOC8"/>
        <w:rPr>
          <w:rFonts w:asciiTheme="minorHAnsi" w:eastAsiaTheme="minorEastAsia" w:hAnsiTheme="minorHAnsi" w:cstheme="minorBidi"/>
          <w:szCs w:val="22"/>
        </w:rPr>
      </w:pPr>
      <w:r>
        <w:t>11.</w:t>
      </w:r>
      <w:r>
        <w:tab/>
        <w:t>Australian Geodetic Datum prescribed for limited purposes (Act s. 10)</w:t>
      </w:r>
      <w:r>
        <w:tab/>
      </w:r>
      <w:r>
        <w:fldChar w:fldCharType="begin"/>
      </w:r>
      <w:r>
        <w:instrText xml:space="preserve"> PAGEREF _Toc210208714 \h </w:instrText>
      </w:r>
      <w:r>
        <w:fldChar w:fldCharType="separate"/>
      </w:r>
      <w:r>
        <w:t>6</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_Toc210208715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t>Schedule 1 — Prescribed fees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_Toc210208719 \h </w:instrText>
      </w:r>
      <w:r>
        <w:fldChar w:fldCharType="separate"/>
      </w:r>
      <w:r>
        <w:t>12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2" w:name="_Toc21020870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21020870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4" w:name="_Toc210208707"/>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1994 referred to in regulation 9.</w:t>
      </w:r>
    </w:p>
    <w:p>
      <w:pPr>
        <w:pStyle w:val="Footnotesection"/>
      </w:pPr>
      <w:r>
        <w:tab/>
        <w:t>[Regulation 2A inserted: Gazette 15 Dec 2000 p. 7216; amended: SL 2025/172 r. 19.]</w:t>
      </w:r>
    </w:p>
    <w:p>
      <w:pPr>
        <w:pStyle w:val="Heading5"/>
        <w:rPr>
          <w:snapToGrid w:val="0"/>
        </w:rPr>
      </w:pPr>
      <w:bookmarkStart w:id="5" w:name="_Toc210208708"/>
      <w:r>
        <w:rPr>
          <w:rStyle w:val="CharSectno"/>
        </w:rPr>
        <w:t>3</w:t>
      </w:r>
      <w:r>
        <w:rPr>
          <w:snapToGrid w:val="0"/>
        </w:rPr>
        <w:t>.</w:t>
      </w:r>
      <w:r>
        <w:rPr>
          <w:snapToGrid w:val="0"/>
        </w:rPr>
        <w:tab/>
        <w:t>Prescribed fees, rates and sums</w:t>
      </w:r>
      <w:bookmarkEnd w:id="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lastRenderedPageBreak/>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6" w:name="_Toc210208709"/>
      <w:r>
        <w:rPr>
          <w:rStyle w:val="CharSectno"/>
        </w:rPr>
        <w:t>4</w:t>
      </w:r>
      <w:r>
        <w:rPr>
          <w:snapToGrid w:val="0"/>
        </w:rPr>
        <w:t>.</w:t>
      </w:r>
      <w:r>
        <w:rPr>
          <w:snapToGrid w:val="0"/>
        </w:rPr>
        <w:tab/>
        <w:t>Form of instrument of transfer</w:t>
      </w:r>
      <w:bookmarkEnd w:id="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7" w:name="_Toc210208710"/>
      <w:r>
        <w:rPr>
          <w:rStyle w:val="CharSectno"/>
        </w:rPr>
        <w:t>5</w:t>
      </w:r>
      <w:r>
        <w:rPr>
          <w:snapToGrid w:val="0"/>
        </w:rPr>
        <w:t>.</w:t>
      </w:r>
      <w:r>
        <w:rPr>
          <w:snapToGrid w:val="0"/>
        </w:rPr>
        <w:tab/>
        <w:t>Instrument under Act s. 81(4)(b)</w:t>
      </w:r>
      <w:bookmarkEnd w:id="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lastRenderedPageBreak/>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8" w:name="_Toc210208711"/>
      <w:r>
        <w:rPr>
          <w:rStyle w:val="CharSectno"/>
        </w:rPr>
        <w:t>8</w:t>
      </w:r>
      <w:r>
        <w:rPr>
          <w:snapToGrid w:val="0"/>
        </w:rPr>
        <w:t>.</w:t>
      </w:r>
      <w:r>
        <w:rPr>
          <w:snapToGrid w:val="0"/>
        </w:rPr>
        <w:tab/>
        <w:t>Royalty value — deductible imposts</w:t>
      </w:r>
      <w:bookmarkEnd w:id="8"/>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9" w:name="_Toc210208712"/>
      <w:r>
        <w:rPr>
          <w:rStyle w:val="CharSectno"/>
        </w:rPr>
        <w:t>9</w:t>
      </w:r>
      <w:r>
        <w:t>.</w:t>
      </w:r>
      <w:r>
        <w:tab/>
        <w:t>Geocentric Datum of Australia 1994 previously prescribed (Act s. 10)</w:t>
      </w:r>
      <w:bookmarkEnd w:id="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6750" w:type="dxa"/>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lastRenderedPageBreak/>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Subsection"/>
      </w:pPr>
      <w:r>
        <w:tab/>
        <w:t>(4)</w:t>
      </w:r>
      <w:r>
        <w:tab/>
        <w:t xml:space="preserve">This regulation does not have effect on or after the day on which the </w:t>
      </w:r>
      <w:r>
        <w:rPr>
          <w:i/>
        </w:rPr>
        <w:t>Mines and Petroleum Regulations Amendment (Geocentric Datum) Regulations 2025</w:t>
      </w:r>
      <w:r>
        <w:rPr>
          <w:iCs/>
        </w:rPr>
        <w:t xml:space="preserve"> regulations 20 and 21 come into operation.</w:t>
      </w:r>
      <w:r>
        <w:tab/>
      </w:r>
    </w:p>
    <w:p>
      <w:pPr>
        <w:pStyle w:val="Footnotesection"/>
      </w:pPr>
      <w:r>
        <w:tab/>
        <w:t>[Regulation 9 inserted: Gazette 15 Dec 2000 p. 7216</w:t>
      </w:r>
      <w:r>
        <w:noBreakHyphen/>
        <w:t>17; amended: SL 2025/172 r. 20.]</w:t>
      </w:r>
    </w:p>
    <w:p>
      <w:pPr>
        <w:pStyle w:val="Heading5"/>
      </w:pPr>
      <w:bookmarkStart w:id="10" w:name="_Toc209694108"/>
      <w:bookmarkStart w:id="11" w:name="_Toc209694223"/>
      <w:bookmarkStart w:id="12" w:name="_Toc210208713"/>
      <w:r>
        <w:rPr>
          <w:rStyle w:val="CharSectno"/>
        </w:rPr>
        <w:t>10</w:t>
      </w:r>
      <w:r>
        <w:t>.</w:t>
      </w:r>
      <w:r>
        <w:tab/>
        <w:t>Geocentric Datum of Australia 2020 currently prescribed (Act s. 10)</w:t>
      </w:r>
      <w:bookmarkEnd w:id="10"/>
      <w:bookmarkEnd w:id="11"/>
      <w:bookmarkEnd w:id="12"/>
    </w:p>
    <w:p>
      <w:pPr>
        <w:pStyle w:val="Subsection"/>
      </w:pPr>
      <w:r>
        <w:tab/>
        <w:t>(1)</w:t>
      </w:r>
      <w:r>
        <w:tab/>
        <w:t xml:space="preserve">In this regulation — </w:t>
      </w:r>
    </w:p>
    <w:p>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pPr>
        <w:pStyle w:val="Subsection"/>
      </w:pPr>
      <w:r>
        <w:tab/>
        <w:t>(2)</w:t>
      </w:r>
      <w:r>
        <w:tab/>
        <w:t>The Geocentric Datum of Australia 2020 is prescribed for the purposes referred to in section 10(1) of the Act.</w:t>
      </w:r>
    </w:p>
    <w:p>
      <w:pPr>
        <w:pStyle w:val="Footnotesection"/>
        <w:rPr>
          <w:rStyle w:val="CharSectno"/>
        </w:rPr>
      </w:pPr>
      <w:r>
        <w:tab/>
        <w:t>[Regulation 10 inserted: SL 2025/172 r. 21.]</w:t>
      </w:r>
    </w:p>
    <w:p>
      <w:pPr>
        <w:pStyle w:val="Heading5"/>
      </w:pPr>
      <w:bookmarkStart w:id="13" w:name="_Toc210208714"/>
      <w:r>
        <w:rPr>
          <w:rStyle w:val="CharSectno"/>
        </w:rPr>
        <w:t>11</w:t>
      </w:r>
      <w:r>
        <w:t>.</w:t>
      </w:r>
      <w:r>
        <w:tab/>
        <w:t>Australian Geodetic Datum prescribed for limited purposes (Act s. 10)</w:t>
      </w:r>
      <w:bookmarkEnd w:id="13"/>
    </w:p>
    <w:p>
      <w:pPr>
        <w:pStyle w:val="Subsection"/>
      </w:pPr>
      <w:r>
        <w:tab/>
        <w:t>(1)</w:t>
      </w:r>
      <w:r>
        <w:tab/>
        <w:t xml:space="preserve">Despite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lastRenderedPageBreak/>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w:t>
      </w:r>
      <w:r>
        <w:t>16 December 2000</w:t>
      </w:r>
      <w:r>
        <w:rPr>
          <w:snapToGrid w:val="0"/>
        </w:rPr>
        <w:t xml:space="preserve">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 amended: SL 2025/172 r. 22.]</w:t>
      </w:r>
    </w:p>
    <w:p>
      <w:pPr>
        <w:pStyle w:val="Heading5"/>
      </w:pPr>
      <w:bookmarkStart w:id="14" w:name="_Toc210208715"/>
      <w:r>
        <w:rPr>
          <w:rStyle w:val="CharSectno"/>
        </w:rPr>
        <w:lastRenderedPageBreak/>
        <w:t>12</w:t>
      </w:r>
      <w:r>
        <w:t>.</w:t>
      </w:r>
      <w:r>
        <w:tab/>
        <w:t>Transitional provision: operation of r. 3</w:t>
      </w:r>
      <w:bookmarkEnd w:id="14"/>
    </w:p>
    <w:p>
      <w:pPr>
        <w:pStyle w:val="Subsection"/>
        <w:keepNext/>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5" w:name="_Toc209702962"/>
      <w:bookmarkStart w:id="16" w:name="_Toc209703410"/>
      <w:bookmarkStart w:id="17" w:name="_Toc210208716"/>
      <w:r>
        <w:rPr>
          <w:rStyle w:val="CharSchNo"/>
        </w:rPr>
        <w:lastRenderedPageBreak/>
        <w:t>Schedule 1</w:t>
      </w:r>
      <w:r>
        <w:t> — </w:t>
      </w:r>
      <w:r>
        <w:rPr>
          <w:rStyle w:val="CharSchText"/>
        </w:rPr>
        <w:t>Prescribed fees</w:t>
      </w:r>
      <w:bookmarkEnd w:id="15"/>
      <w:bookmarkEnd w:id="16"/>
      <w:bookmarkEnd w:id="17"/>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8 950.00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167.00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233.00</w:t>
            </w:r>
          </w:p>
        </w:tc>
      </w:tr>
    </w:tbl>
    <w:p>
      <w:pPr>
        <w:pStyle w:val="yFootnotesection"/>
      </w:pPr>
      <w:r>
        <w:tab/>
        <w:t>[Schedule 1 inserted: SL 2024/97 r. 25; amended: SL 2025/90 r. 26.]</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9" w:name="_Toc209702963"/>
      <w:bookmarkStart w:id="20" w:name="_Toc209703411"/>
      <w:bookmarkStart w:id="21" w:name="_Toc210208717"/>
      <w:r>
        <w:rPr>
          <w:rStyle w:val="CharSchNo"/>
        </w:rPr>
        <w:lastRenderedPageBreak/>
        <w:t>Schedule 2</w:t>
      </w:r>
      <w:bookmarkEnd w:id="19"/>
      <w:bookmarkEnd w:id="20"/>
      <w:bookmarkEnd w:id="2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2" w:name="_Toc209702964"/>
      <w:bookmarkStart w:id="23" w:name="_Toc209703412"/>
      <w:bookmarkStart w:id="24" w:name="_Toc210208718"/>
      <w:r>
        <w:lastRenderedPageBreak/>
        <w:t>Notes</w:t>
      </w:r>
      <w:bookmarkEnd w:id="22"/>
      <w:bookmarkEnd w:id="23"/>
      <w:bookmarkEnd w:id="24"/>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p>
    <w:p>
      <w:pPr>
        <w:pStyle w:val="nHeading3"/>
      </w:pPr>
      <w:bookmarkStart w:id="25" w:name="_Toc210208719"/>
      <w:r>
        <w:t>Compilation table</w:t>
      </w:r>
      <w:bookmarkEnd w:id="25"/>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pPr>
              <w:pStyle w:val="nTable"/>
              <w:spacing w:after="40"/>
            </w:pPr>
            <w:r>
              <w:t>SL 2024/97 12 Jun 2024</w:t>
            </w:r>
          </w:p>
        </w:tc>
        <w:tc>
          <w:tcPr>
            <w:tcW w:w="2730" w:type="dxa"/>
            <w:gridSpan w:val="2"/>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nil"/>
            </w:tcBorders>
          </w:tcPr>
          <w:p>
            <w:pPr>
              <w:pStyle w:val="nTable"/>
              <w:spacing w:after="40"/>
            </w:pPr>
            <w:r>
              <w:t>SL 2025/90 11 Jun 2025</w:t>
            </w:r>
          </w:p>
        </w:tc>
        <w:tc>
          <w:tcPr>
            <w:tcW w:w="2730" w:type="dxa"/>
            <w:gridSpan w:val="2"/>
            <w:tcBorders>
              <w:top w:val="nil"/>
              <w:bottom w:val="nil"/>
            </w:tcBorders>
          </w:tcPr>
          <w:p>
            <w:pPr>
              <w:pStyle w:val="nTable"/>
              <w:spacing w:after="40"/>
            </w:pPr>
            <w:r>
              <w:t>1 Jul 2025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(Geocentric Datum) Regulations 2025</w:t>
            </w:r>
            <w:r>
              <w:rPr>
                <w:iCs/>
              </w:rPr>
              <w:t xml:space="preserve"> Pt. 5</w:t>
            </w:r>
          </w:p>
        </w:tc>
        <w:tc>
          <w:tcPr>
            <w:tcW w:w="1276" w:type="dxa"/>
            <w:tcBorders>
              <w:top w:val="nil"/>
              <w:bottom w:val="single" w:sz="4" w:space="0" w:color="auto"/>
            </w:tcBorders>
          </w:tcPr>
          <w:p>
            <w:pPr>
              <w:pStyle w:val="nTable"/>
              <w:spacing w:after="40"/>
            </w:pPr>
            <w:r>
              <w:t>SL 2025/172 2 Oct 2025</w:t>
            </w:r>
          </w:p>
        </w:tc>
        <w:tc>
          <w:tcPr>
            <w:tcW w:w="2730" w:type="dxa"/>
            <w:gridSpan w:val="2"/>
            <w:tcBorders>
              <w:top w:val="nil"/>
              <w:bottom w:val="single" w:sz="4" w:space="0" w:color="auto"/>
            </w:tcBorders>
          </w:tcPr>
          <w:p>
            <w:pPr>
              <w:pStyle w:val="nTable"/>
              <w:spacing w:after="40"/>
            </w:pPr>
            <w:r>
              <w:t>3 Oct 2025 (see r. 2(b))</w:t>
            </w:r>
          </w:p>
        </w:tc>
      </w:tr>
    </w:tbl>
    <w:p>
      <w:pPr>
        <w:pStyle w:val="nNote"/>
        <w:spacing w:before="160"/>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7" w:name="_Toc210208720"/>
      <w:r>
        <w:rPr>
          <w:sz w:val="28"/>
        </w:rPr>
        <w:lastRenderedPageBreak/>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Geocentric Datum of Australia 2020</w:t>
      </w:r>
      <w:r>
        <w:tab/>
        <w:t>10(1)</w:t>
      </w:r>
    </w:p>
    <w:p>
      <w:pPr>
        <w:pStyle w:val="DefinedTerms"/>
      </w:pPr>
      <w:r>
        <w:t>GRS80</w:t>
      </w:r>
      <w:r>
        <w:tab/>
        <w:t>9(2)</w:t>
      </w:r>
    </w:p>
    <w:p>
      <w:pPr>
        <w:pStyle w:val="DefinedTerms"/>
      </w:pPr>
      <w:r>
        <w:t>regulation 3</w:t>
      </w:r>
      <w:r>
        <w:tab/>
        <w:t>12(1)</w:t>
      </w:r>
    </w:p>
    <w:p>
      <w:pPr>
        <w:pStyle w:val="DefinedTerms"/>
      </w:pPr>
      <w:r>
        <w:t>related dealing</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BDD4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92D687" w14:textId="62E55B3D" w:rsidR="00465B43" w:rsidRDefault="00465B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13CD727" w14:textId="77777777" w:rsidR="00465B43" w:rsidRDefault="00465B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16D267" w14:textId="1524091F" w:rsidR="00465B43" w:rsidRDefault="00465B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4928E16" w14:textId="77777777" w:rsidR="00465B43" w:rsidRDefault="00465B4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2746"/>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 w:name="WAFER_2025092514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2746_GUID" w:val="47f4dd3b-16fd-47d2-abc2-483d3a6421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3385</Words>
  <Characters>16589</Characters>
  <Application>Microsoft Office Word</Application>
  <DocSecurity>0</DocSecurity>
  <Lines>663</Lines>
  <Paragraphs>443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1990 - 03-s0-00</dc:title>
  <dc:subject/>
  <dc:creator/>
  <cp:keywords/>
  <dc:description/>
  <cp:lastModifiedBy>Master Repository Process</cp:lastModifiedBy>
  <cp:revision>4</cp:revision>
  <cp:lastPrinted>2014-11-25T02:07:00Z</cp:lastPrinted>
  <dcterms:created xsi:type="dcterms:W3CDTF">2025-10-01T02:58:00Z</dcterms:created>
  <dcterms:modified xsi:type="dcterms:W3CDTF">2025-10-01T02:58:00Z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20251003</vt:lpwstr>
  </property>
  <property fmtid="{D5CDD505-2E9C-101B-9397-08002B2CF9AE}" pid="8" name="CommencementAsAt">
    <vt:filetime>2025-10-02T16:00:00Z</vt:filetime>
  </property>
  <property fmtid="{D5CDD505-2E9C-101B-9397-08002B2CF9AE}" pid="9" name="CommencementYear">
    <vt:lpwstr>2025</vt:lpwstr>
  </property>
  <property fmtid="{D5CDD505-2E9C-101B-9397-08002B2CF9AE}" pid="10" name="AsAtDate">
    <vt:lpwstr>03 Oct 2025</vt:lpwstr>
  </property>
  <property fmtid="{D5CDD505-2E9C-101B-9397-08002B2CF9AE}" pid="11" name="Suffix">
    <vt:lpwstr>03-s0-00</vt:lpwstr>
  </property>
  <property fmtid="{D5CDD505-2E9C-101B-9397-08002B2CF9AE}" pid="12" name="Official">
    <vt:lpwstr/>
  </property>
</Properties>
</file>