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 xml:space="preserve">Rail Safety National Law (WA) </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National Regulations (Safety Management System)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National Regulations (Safety Management System) Amendment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_Toc210221688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_Toc210221689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Amendment provisions</w:t>
      </w:r>
      <w:r>
        <w:tab/>
      </w:r>
      <w:r>
        <w:fldChar w:fldCharType="begin"/>
      </w:r>
      <w:r>
        <w:instrText xml:space="preserve"> PAGEREF _Toc210221690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Amendment of </w:t>
      </w:r>
      <w:r>
        <w:rPr>
          <w:i/>
          <w:iCs/>
        </w:rPr>
        <w:t>Rail Safety National Law National Regulations 2012</w:t>
      </w:r>
    </w:p>
    <w:p>
      <w:pPr>
        <w:pStyle w:val="TOC8"/>
        <w:rPr>
          <w:rFonts w:asciiTheme="minorHAnsi" w:eastAsiaTheme="minorEastAsia" w:hAnsiTheme="minorHAnsi" w:cstheme="minorBidi"/>
          <w:szCs w:val="22"/>
        </w:rPr>
      </w:pPr>
      <w:r>
        <w:t>4</w:t>
      </w:r>
      <w:r>
        <w:rPr>
          <w:snapToGrid w:val="0"/>
        </w:rPr>
        <w:t>.</w:t>
      </w:r>
      <w:r>
        <w:rPr>
          <w:snapToGrid w:val="0"/>
        </w:rPr>
        <w:tab/>
        <w:t>Amendment of regulation 16 — Prescribed requirements for safety management system</w:t>
      </w:r>
      <w:r>
        <w:tab/>
      </w:r>
      <w:r>
        <w:fldChar w:fldCharType="begin"/>
      </w:r>
      <w:r>
        <w:instrText xml:space="preserve"> PAGEREF _Toc210221692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Amendment of Schedule 1 — Content of safety management system</w:t>
      </w:r>
      <w:r>
        <w:tab/>
      </w:r>
      <w:r>
        <w:fldChar w:fldCharType="begin"/>
      </w:r>
      <w:r>
        <w:instrText xml:space="preserve"> PAGEREF _Toc210221693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20A.</w:t>
      </w:r>
      <w:r>
        <w:rPr>
          <w:noProof/>
        </w:rPr>
        <w:tab/>
        <w:t>Interoperability of railway operations</w:t>
      </w:r>
      <w:r>
        <w:rPr>
          <w:noProof/>
        </w:rPr>
        <w:tab/>
      </w:r>
      <w:r>
        <w:rPr>
          <w:noProof/>
        </w:rPr>
        <w:fldChar w:fldCharType="begin"/>
      </w:r>
      <w:r>
        <w:rPr>
          <w:noProof/>
        </w:rPr>
        <w:instrText xml:space="preserve"> PAGEREF _Toc210221694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w:t>
      </w:r>
    </w:p>
    <w:p>
      <w:pPr>
        <w:pStyle w:val="TOC8"/>
        <w:rPr>
          <w:rFonts w:asciiTheme="minorHAnsi" w:eastAsiaTheme="minorEastAsia" w:hAnsiTheme="minorHAnsi" w:cstheme="minorBidi"/>
          <w:szCs w:val="22"/>
        </w:rPr>
      </w:pPr>
      <w:r>
        <w:t>1.</w:t>
      </w:r>
      <w:r>
        <w:tab/>
        <w:t>Transitional provision</w:t>
      </w:r>
      <w:r>
        <w:tab/>
      </w:r>
      <w:r>
        <w:fldChar w:fldCharType="begin"/>
      </w:r>
      <w:r>
        <w:instrText xml:space="preserve"> PAGEREF _Toc210221696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 xml:space="preserve">Rail Safety National Law (WA) </w:t>
      </w:r>
      <w:r>
        <w:br/>
        <w:t>Rail Safety National Law Application Act 2024</w:t>
      </w:r>
    </w:p>
    <w:p>
      <w:pPr>
        <w:pStyle w:val="NameofActReg"/>
      </w:pPr>
      <w:r>
        <w:t>Rail Safety National Law National Regulations (Safety Management System) Amendment Regulations 2025</w:t>
      </w:r>
    </w:p>
    <w:p>
      <w:pPr>
        <w:pStyle w:val="MadeBy"/>
        <w:rPr>
          <w:strike/>
        </w:rPr>
      </w:pPr>
      <w:r>
        <w:t>Made by the Governor of South Australia on the unanimous recommendation of the responsible Ministers and with the advice and consent of the Executive Council of that State on 18 September 2025.</w:t>
      </w:r>
    </w:p>
    <w:p>
      <w:pPr>
        <w:pStyle w:val="PermNoteHeading"/>
      </w:pPr>
      <w:r>
        <w:t xml:space="preserve">[Editorial note: </w:t>
      </w:r>
    </w:p>
    <w:p>
      <w:pPr>
        <w:pStyle w:val="PermNoteText"/>
        <w:tabs>
          <w:tab w:val="clear" w:pos="879"/>
          <w:tab w:val="left" w:pos="567"/>
        </w:tabs>
        <w:ind w:left="567" w:hanging="567"/>
      </w:pPr>
      <w:r>
        <w:tab/>
        <w:t xml:space="preserve">Regulations made under the </w:t>
      </w:r>
      <w:r>
        <w:rPr>
          <w:i/>
          <w:iCs/>
        </w:rPr>
        <w:t>Rail Safety National Law (WA)</w:t>
      </w:r>
      <w:r>
        <w:t xml:space="preserve"> s. 264 are made by the Governor of South Australia (see SL 2025-103 published in SA </w:t>
      </w:r>
      <w:r>
        <w:rPr>
          <w:i/>
          <w:iCs/>
        </w:rPr>
        <w:t>Gazette</w:t>
      </w:r>
      <w:r>
        <w:t xml:space="preserve"> 18 September 2025 p. 3854</w:t>
      </w:r>
      <w:r>
        <w:noBreakHyphen/>
        <w:t>6).]</w:t>
      </w:r>
    </w:p>
    <w:p>
      <w:pPr>
        <w:pStyle w:val="Heading2"/>
        <w:pageBreakBefore w:val="0"/>
        <w:spacing w:before="360"/>
      </w:pPr>
      <w:bookmarkStart w:id="2" w:name="_Toc210212409"/>
      <w:bookmarkStart w:id="3" w:name="_Toc210212469"/>
      <w:bookmarkStart w:id="4" w:name="_Toc210212531"/>
      <w:bookmarkStart w:id="5" w:name="_Toc210212662"/>
      <w:bookmarkStart w:id="6" w:name="_Toc2102216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0212410"/>
      <w:bookmarkStart w:id="8" w:name="_Toc210221688"/>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Rail Safety National Law National Regulations (Safety Management System) Amendment Regulations 2025</w:t>
      </w:r>
      <w:r>
        <w:t>.</w:t>
      </w:r>
    </w:p>
    <w:p>
      <w:pPr>
        <w:pStyle w:val="Heading5"/>
        <w:rPr>
          <w:spacing w:val="-2"/>
        </w:rPr>
      </w:pPr>
      <w:bookmarkStart w:id="10" w:name="_Toc210212411"/>
      <w:bookmarkStart w:id="11" w:name="_Toc21022168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r>
      <w:r>
        <w:t xml:space="preserve">These </w:t>
      </w:r>
      <w:r>
        <w:rPr>
          <w:spacing w:val="-2"/>
        </w:rPr>
        <w:t>regulations come into operation on 1 November 2025.</w:t>
      </w:r>
    </w:p>
    <w:p>
      <w:pPr>
        <w:pStyle w:val="Heading5"/>
        <w:rPr>
          <w:snapToGrid w:val="0"/>
        </w:rPr>
      </w:pPr>
      <w:bookmarkStart w:id="12" w:name="_Toc210212412"/>
      <w:bookmarkStart w:id="13" w:name="_Toc210221690"/>
      <w:r>
        <w:rPr>
          <w:rStyle w:val="CharSectno"/>
        </w:rPr>
        <w:t>3</w:t>
      </w:r>
      <w:r>
        <w:rPr>
          <w:snapToGrid w:val="0"/>
        </w:rPr>
        <w:t>.</w:t>
      </w:r>
      <w:r>
        <w:rPr>
          <w:snapToGrid w:val="0"/>
        </w:rPr>
        <w:tab/>
        <w:t>Amendment provisions</w:t>
      </w:r>
      <w:bookmarkEnd w:id="12"/>
      <w:bookmarkEnd w:id="13"/>
    </w:p>
    <w:p>
      <w:pPr>
        <w:pStyle w:val="Subsection"/>
      </w:pPr>
      <w:r>
        <w:tab/>
      </w:r>
      <w:r>
        <w:tab/>
        <w:t>In these regulations, a provision under a heading referring to the amendment of specified regulations amends the regulations so specified.</w:t>
      </w:r>
    </w:p>
    <w:p>
      <w:pPr>
        <w:pStyle w:val="Heading2"/>
        <w:pageBreakBefore w:val="0"/>
        <w:spacing w:before="360"/>
      </w:pPr>
      <w:bookmarkStart w:id="14" w:name="_Toc210212413"/>
      <w:bookmarkStart w:id="15" w:name="_Toc210212473"/>
      <w:bookmarkStart w:id="16" w:name="_Toc210212535"/>
      <w:bookmarkStart w:id="17" w:name="_Toc210212666"/>
      <w:bookmarkStart w:id="18" w:name="_Toc210221691"/>
      <w:r>
        <w:rPr>
          <w:rStyle w:val="CharPartNo"/>
        </w:rPr>
        <w:lastRenderedPageBreak/>
        <w:t>Part 2</w:t>
      </w:r>
      <w:r>
        <w:rPr>
          <w:rStyle w:val="CharDivNo"/>
        </w:rPr>
        <w:t> </w:t>
      </w:r>
      <w:r>
        <w:t>—</w:t>
      </w:r>
      <w:r>
        <w:rPr>
          <w:rStyle w:val="CharDivText"/>
        </w:rPr>
        <w:t> </w:t>
      </w:r>
      <w:r>
        <w:rPr>
          <w:rStyle w:val="CharPartText"/>
        </w:rPr>
        <w:t xml:space="preserve">Amendment of </w:t>
      </w:r>
      <w:r>
        <w:rPr>
          <w:rStyle w:val="CharPartText"/>
          <w:i/>
          <w:iCs/>
        </w:rPr>
        <w:t>Rail Safety National Law National Regulations 2012</w:t>
      </w:r>
      <w:bookmarkEnd w:id="14"/>
      <w:bookmarkEnd w:id="15"/>
      <w:bookmarkEnd w:id="16"/>
      <w:bookmarkEnd w:id="17"/>
      <w:bookmarkEnd w:id="18"/>
    </w:p>
    <w:p>
      <w:pPr>
        <w:pStyle w:val="PermNoteHeading"/>
      </w:pPr>
      <w:r>
        <w:t xml:space="preserve">[Editorial note: </w:t>
      </w:r>
    </w:p>
    <w:p>
      <w:pPr>
        <w:pStyle w:val="PermNoteText"/>
        <w:tabs>
          <w:tab w:val="clear" w:pos="879"/>
          <w:tab w:val="left" w:pos="567"/>
        </w:tabs>
        <w:ind w:left="567" w:hanging="567"/>
      </w:pPr>
      <w:r>
        <w:tab/>
        <w:t xml:space="preserve">These regulations have the effect of amending the </w:t>
      </w:r>
      <w:r>
        <w:rPr>
          <w:i/>
          <w:iCs/>
        </w:rPr>
        <w:t>Rail Safety National Regulations (WA)</w:t>
      </w:r>
      <w:r>
        <w:t xml:space="preserve">. See the </w:t>
      </w:r>
      <w:r>
        <w:rPr>
          <w:i/>
          <w:iCs/>
        </w:rPr>
        <w:t>Rail Safety National Law Application Act 2024</w:t>
      </w:r>
      <w:r>
        <w:t xml:space="preserve"> section 12.]</w:t>
      </w:r>
    </w:p>
    <w:p>
      <w:pPr>
        <w:pStyle w:val="Heading5"/>
        <w:rPr>
          <w:snapToGrid w:val="0"/>
        </w:rPr>
      </w:pPr>
      <w:bookmarkStart w:id="19" w:name="_Toc210212414"/>
      <w:bookmarkStart w:id="20" w:name="_Toc210221692"/>
      <w:r>
        <w:rPr>
          <w:rStyle w:val="CharSectno"/>
        </w:rPr>
        <w:t>4</w:t>
      </w:r>
      <w:r>
        <w:rPr>
          <w:snapToGrid w:val="0"/>
        </w:rPr>
        <w:t>.</w:t>
      </w:r>
      <w:r>
        <w:rPr>
          <w:snapToGrid w:val="0"/>
        </w:rPr>
        <w:tab/>
        <w:t>Amendment of regulation 16 — Prescribed requirements for safety management system</w:t>
      </w:r>
      <w:bookmarkEnd w:id="19"/>
      <w:bookmarkEnd w:id="20"/>
    </w:p>
    <w:p>
      <w:pPr>
        <w:pStyle w:val="Subsection"/>
        <w:rPr>
          <w:color w:val="000000"/>
          <w:szCs w:val="24"/>
        </w:rPr>
      </w:pPr>
      <w:r>
        <w:tab/>
        <w:t>(1)</w:t>
      </w:r>
      <w:r>
        <w:tab/>
      </w:r>
      <w:r>
        <w:rPr>
          <w:color w:val="000000"/>
          <w:szCs w:val="24"/>
        </w:rPr>
        <w:t>Regulation 16 — delete “A” and substitute:</w:t>
      </w:r>
    </w:p>
    <w:p>
      <w:pPr>
        <w:pStyle w:val="BlankOpen"/>
      </w:pPr>
    </w:p>
    <w:p>
      <w:pPr>
        <w:pStyle w:val="Subsection"/>
      </w:pPr>
      <w:r>
        <w:tab/>
      </w:r>
      <w:r>
        <w:tab/>
        <w:t>Subject to subregulation (2), a</w:t>
      </w:r>
    </w:p>
    <w:p>
      <w:pPr>
        <w:pStyle w:val="BlankClose"/>
      </w:pPr>
    </w:p>
    <w:p>
      <w:pPr>
        <w:pStyle w:val="Subsection"/>
        <w:rPr>
          <w:color w:val="000000"/>
          <w:szCs w:val="24"/>
        </w:rPr>
      </w:pPr>
      <w:r>
        <w:tab/>
        <w:t>(2)</w:t>
      </w:r>
      <w:r>
        <w:tab/>
      </w:r>
      <w:r>
        <w:rPr>
          <w:color w:val="000000"/>
          <w:szCs w:val="24"/>
        </w:rPr>
        <w:t>Regulation 16 — after its present contents as amended by this regulation (now to be designated as subregulation (1)) insert:</w:t>
      </w:r>
    </w:p>
    <w:p>
      <w:pPr>
        <w:pStyle w:val="BlankOpen"/>
      </w:pPr>
    </w:p>
    <w:p>
      <w:pPr>
        <w:pStyle w:val="zSubsection"/>
      </w:pPr>
      <w:r>
        <w:tab/>
        <w:t>(2)</w:t>
      </w:r>
      <w:r>
        <w:tab/>
        <w:t>A safety management system for a rail transport operator is not required to provide for the matters listed in Schedule 1 clause 20A</w:t>
      </w:r>
      <w:r>
        <w:rPr>
          <w:color w:val="000000"/>
          <w:szCs w:val="24"/>
        </w:rPr>
        <w:t xml:space="preserve"> — </w:t>
      </w:r>
    </w:p>
    <w:p>
      <w:pPr>
        <w:pStyle w:val="zIndenta"/>
      </w:pPr>
      <w:r>
        <w:tab/>
        <w:t>(a)</w:t>
      </w:r>
      <w:r>
        <w:tab/>
        <w:t xml:space="preserve">if the rail transport operator is a tourist and heritage railway operator; or </w:t>
      </w:r>
    </w:p>
    <w:p>
      <w:pPr>
        <w:pStyle w:val="zIndenta"/>
      </w:pPr>
      <w:r>
        <w:tab/>
        <w:t>(b)</w:t>
      </w:r>
      <w:r>
        <w:tab/>
        <w:t xml:space="preserve">unless the rail transport operator is, by notice in writing given to the operator, determined by the Regulator to be a rail transport operator whose railway operations are undertaken on, or form part of, the National Network for Interoperability. </w:t>
      </w:r>
    </w:p>
    <w:p>
      <w:pPr>
        <w:pStyle w:val="zSubsection"/>
      </w:pPr>
      <w:r>
        <w:tab/>
        <w:t>(3)</w:t>
      </w:r>
      <w:r>
        <w:tab/>
        <w:t>In this regulation</w:t>
      </w:r>
      <w:r>
        <w:rPr>
          <w:color w:val="000000"/>
          <w:szCs w:val="24"/>
        </w:rPr>
        <w:t xml:space="preserve"> — </w:t>
      </w:r>
    </w:p>
    <w:p>
      <w:pPr>
        <w:pStyle w:val="zDefstart"/>
      </w:pPr>
      <w:r>
        <w:tab/>
      </w:r>
      <w:r>
        <w:rPr>
          <w:rStyle w:val="CharDefText"/>
        </w:rPr>
        <w:t>National Network for Interoperability</w:t>
      </w:r>
      <w:r>
        <w:t xml:space="preserve"> means the rail network comprised of those rail networks that are specified as the National Network for Interoperability by map or by description (or both), from time to time </w:t>
      </w:r>
      <w:r>
        <w:lastRenderedPageBreak/>
        <w:t xml:space="preserve">by the Regulator, following the unanimous approval of the responsible Ministers, by notice in the South Australian Government Gazette and on ONRSR’s website, for the purposes of this definition; </w:t>
      </w:r>
    </w:p>
    <w:p>
      <w:pPr>
        <w:pStyle w:val="zDefstart"/>
      </w:pPr>
      <w:r>
        <w:tab/>
      </w:r>
      <w:r>
        <w:rPr>
          <w:rStyle w:val="CharDefText"/>
        </w:rPr>
        <w:t>tourist and heritage railway operator</w:t>
      </w:r>
      <w:r>
        <w:t xml:space="preserve"> means a rail transport operator determined by the Regulator to be a tourist and heritage railway operator as recorded in the Register for the purposes of this definition.</w:t>
      </w:r>
    </w:p>
    <w:p>
      <w:pPr>
        <w:pStyle w:val="BlankClose"/>
      </w:pPr>
    </w:p>
    <w:p>
      <w:pPr>
        <w:pStyle w:val="Heading5"/>
        <w:rPr>
          <w:snapToGrid w:val="0"/>
        </w:rPr>
      </w:pPr>
      <w:bookmarkStart w:id="21" w:name="_Toc210212415"/>
      <w:bookmarkStart w:id="22" w:name="_Toc210221693"/>
      <w:r>
        <w:rPr>
          <w:rStyle w:val="CharSectno"/>
        </w:rPr>
        <w:t>5</w:t>
      </w:r>
      <w:r>
        <w:rPr>
          <w:snapToGrid w:val="0"/>
        </w:rPr>
        <w:t>.</w:t>
      </w:r>
      <w:r>
        <w:rPr>
          <w:snapToGrid w:val="0"/>
        </w:rPr>
        <w:tab/>
        <w:t>Amendment of Schedule 1 — Content of safety management system</w:t>
      </w:r>
      <w:bookmarkEnd w:id="21"/>
      <w:bookmarkEnd w:id="22"/>
    </w:p>
    <w:p>
      <w:pPr>
        <w:pStyle w:val="Subsection"/>
        <w:rPr>
          <w:color w:val="000000"/>
          <w:szCs w:val="24"/>
        </w:rPr>
      </w:pPr>
      <w:r>
        <w:tab/>
      </w:r>
      <w:r>
        <w:tab/>
      </w:r>
      <w:r>
        <w:rPr>
          <w:color w:val="000000"/>
          <w:szCs w:val="24"/>
        </w:rPr>
        <w:t>Schedule 1 — after clause 20 insert:</w:t>
      </w:r>
    </w:p>
    <w:p>
      <w:pPr>
        <w:pStyle w:val="BlankOpen"/>
      </w:pPr>
    </w:p>
    <w:p>
      <w:pPr>
        <w:pStyle w:val="zyHeading5"/>
      </w:pPr>
      <w:bookmarkStart w:id="23" w:name="_Toc210212416"/>
      <w:bookmarkStart w:id="24" w:name="_Toc210221694"/>
      <w:r>
        <w:t>20A.</w:t>
      </w:r>
      <w:r>
        <w:tab/>
        <w:t>Interoperability of railway operations</w:t>
      </w:r>
      <w:bookmarkEnd w:id="23"/>
      <w:bookmarkEnd w:id="24"/>
      <w:r>
        <w:t xml:space="preserve"> </w:t>
      </w:r>
    </w:p>
    <w:p>
      <w:pPr>
        <w:pStyle w:val="zySubsection"/>
      </w:pPr>
      <w:r>
        <w:tab/>
        <w:t>(1)</w:t>
      </w:r>
      <w:r>
        <w:tab/>
        <w:t>Systems and procedures for the identification and consideration of matters (</w:t>
      </w:r>
      <w:r>
        <w:rPr>
          <w:rStyle w:val="CharDefText"/>
        </w:rPr>
        <w:t>interoperability matters</w:t>
      </w:r>
      <w:r>
        <w:t xml:space="preserve">) relating to the ability of a rail transport operator’s railway systems to operate together with those of other rail transport operators to enable the rail transport operator’s railway operations to be undertaken safely and seamlessly on the National Network for Interoperability (within the meaning of regulation 16(3)), when changes to the operator’s railway operations that are undertaken on, or form part of, the National Network for Interoperability are being planned or implemented. </w:t>
      </w:r>
    </w:p>
    <w:p>
      <w:pPr>
        <w:pStyle w:val="zySubsection"/>
      </w:pPr>
      <w:r>
        <w:tab/>
        <w:t>(2)</w:t>
      </w:r>
      <w:r>
        <w:tab/>
        <w:t xml:space="preserve">An interoperability management plan that — </w:t>
      </w:r>
    </w:p>
    <w:p>
      <w:pPr>
        <w:pStyle w:val="zyIndenta"/>
      </w:pPr>
      <w:r>
        <w:tab/>
        <w:t>(a)</w:t>
      </w:r>
      <w:r>
        <w:tab/>
        <w:t xml:space="preserve">sets out any interoperability matters that have been identified; and </w:t>
      </w:r>
    </w:p>
    <w:p>
      <w:pPr>
        <w:pStyle w:val="zyIndenta"/>
        <w:keepLines/>
      </w:pPr>
      <w:r>
        <w:tab/>
        <w:t>(b)</w:t>
      </w:r>
      <w:r>
        <w:tab/>
        <w:t>includes systems and procedures to ensure that the identified interoperability matters are taken into consideration before changes are made to the rail transport operator’s railway operations.</w:t>
      </w:r>
    </w:p>
    <w:p>
      <w:pPr>
        <w:pStyle w:val="Subsection"/>
        <w:jc w:val="center"/>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5" w:name="_Toc210212417"/>
      <w:bookmarkStart w:id="26" w:name="_Toc210212477"/>
      <w:bookmarkStart w:id="27" w:name="_Toc210212539"/>
      <w:bookmarkStart w:id="28" w:name="_Toc210212670"/>
      <w:bookmarkStart w:id="29" w:name="_Toc210221695"/>
      <w:r>
        <w:rPr>
          <w:rStyle w:val="CharSchNo"/>
        </w:rPr>
        <w:lastRenderedPageBreak/>
        <w:t>Schedule 1</w:t>
      </w:r>
      <w:r>
        <w:rPr>
          <w:rStyle w:val="CharSDivNo"/>
        </w:rPr>
        <w:t> </w:t>
      </w:r>
      <w:r>
        <w:t>—</w:t>
      </w:r>
      <w:r>
        <w:rPr>
          <w:rStyle w:val="CharSDivText"/>
        </w:rPr>
        <w:t> </w:t>
      </w:r>
      <w:r>
        <w:rPr>
          <w:rStyle w:val="CharSchText"/>
        </w:rPr>
        <w:t>Transitional provision</w:t>
      </w:r>
      <w:bookmarkEnd w:id="25"/>
      <w:bookmarkEnd w:id="26"/>
      <w:bookmarkEnd w:id="27"/>
      <w:bookmarkEnd w:id="28"/>
      <w:bookmarkEnd w:id="29"/>
    </w:p>
    <w:p>
      <w:pPr>
        <w:pStyle w:val="yHeading5"/>
      </w:pPr>
      <w:bookmarkStart w:id="30" w:name="_Toc210212418"/>
      <w:bookmarkStart w:id="31" w:name="_Toc210221696"/>
      <w:r>
        <w:rPr>
          <w:rStyle w:val="CharSClsNo"/>
        </w:rPr>
        <w:t>1</w:t>
      </w:r>
      <w:r>
        <w:t>.</w:t>
      </w:r>
      <w:r>
        <w:tab/>
        <w:t>Transitional provision</w:t>
      </w:r>
      <w:bookmarkEnd w:id="30"/>
      <w:bookmarkEnd w:id="31"/>
    </w:p>
    <w:p>
      <w:pPr>
        <w:pStyle w:val="ySubsection"/>
      </w:pPr>
      <w:r>
        <w:tab/>
        <w:t>(1)</w:t>
      </w:r>
      <w:r>
        <w:tab/>
        <w:t xml:space="preserve">A requirement for a safety management system for a rail transport operator to provide for the matters specified in Schedule 1 clause 20A of the principal regulations, in accordance with regulation 16 of the principal regulations, both as in force on and from the relevant day, does not apply until 28 February 2026. </w:t>
      </w:r>
    </w:p>
    <w:p>
      <w:pPr>
        <w:pStyle w:val="ySubsection"/>
      </w:pPr>
      <w:r>
        <w:tab/>
        <w:t>(2)</w:t>
      </w:r>
      <w:r>
        <w:tab/>
        <w:t xml:space="preserve">In this clause — </w:t>
      </w:r>
    </w:p>
    <w:p>
      <w:pPr>
        <w:pStyle w:val="yDefstart"/>
      </w:pPr>
      <w:r>
        <w:tab/>
      </w:r>
      <w:r>
        <w:rPr>
          <w:rStyle w:val="CharDefText"/>
        </w:rPr>
        <w:t>principal regulations</w:t>
      </w:r>
      <w:r>
        <w:t xml:space="preserve"> means the </w:t>
      </w:r>
      <w:r>
        <w:rPr>
          <w:i/>
          <w:iCs/>
        </w:rPr>
        <w:t>Rail Safety National Law National Regulations 2012</w:t>
      </w:r>
      <w:r>
        <w:t>;</w:t>
      </w:r>
    </w:p>
    <w:p>
      <w:pPr>
        <w:pStyle w:val="yDefstart"/>
      </w:pPr>
      <w:r>
        <w:tab/>
      </w:r>
      <w:r>
        <w:rPr>
          <w:rStyle w:val="CharDefText"/>
        </w:rPr>
        <w:t>relevant day</w:t>
      </w:r>
      <w:r>
        <w:t xml:space="preserve"> means 1 November 2025.</w:t>
      </w:r>
    </w:p>
    <w:p>
      <w:pPr>
        <w:pStyle w:val="ByCommand"/>
        <w:tabs>
          <w:tab w:val="left" w:pos="3969"/>
        </w:tabs>
      </w:pP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2025/173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2025/173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(Safety Management System)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National Regulations (Safety Management System)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284"/>
      <w:gridCol w:w="175"/>
    </w:tblGrid>
    <w:tr>
      <w:trPr>
        <w:cantSplit/>
        <w:jc w:val="center"/>
      </w:trPr>
      <w:tc>
        <w:tcPr>
          <w:tcW w:w="7263" w:type="dxa"/>
          <w:gridSpan w:val="4"/>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(Safety Management System) Amendment Regulations 2025</w:t>
          </w:r>
          <w:r>
            <w:rPr>
              <w:b/>
              <w:i/>
            </w:rPr>
            <w:fldChar w:fldCharType="end"/>
          </w:r>
        </w:p>
      </w:tc>
    </w:tr>
    <w:tr>
      <w:trPr>
        <w:gridAfter w:val="1"/>
        <w:wAfter w:w="175"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540" w:type="dxa"/>
          <w:gridSpan w:val="2"/>
          <w:vAlign w:val="bottom"/>
        </w:tcPr>
        <w:p>
          <w:pPr>
            <w:pStyle w:val="Header"/>
            <w:spacing w:before="40"/>
          </w:pPr>
          <w:r>
            <w:fldChar w:fldCharType="begin"/>
          </w:r>
          <w:r>
            <w:instrText xml:space="preserve"> styleref CharPartText </w:instrText>
          </w:r>
          <w:r>
            <w:fldChar w:fldCharType="end"/>
          </w:r>
        </w:p>
      </w:tc>
    </w:tr>
    <w:tr>
      <w:trPr>
        <w:gridAfter w:val="2"/>
        <w:wAfter w:w="459" w:type="dxa"/>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256"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4"/>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284"/>
      <w:gridCol w:w="5289"/>
      <w:gridCol w:w="1548"/>
    </w:tblGrid>
    <w:tr>
      <w:trPr>
        <w:cantSplit/>
        <w:jc w:val="center"/>
      </w:trPr>
      <w:tc>
        <w:tcPr>
          <w:tcW w:w="7263" w:type="dxa"/>
          <w:gridSpan w:val="4"/>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National Regulations (Safety Management System) Amendment Regulations 2025</w:t>
          </w:r>
          <w:r>
            <w:rPr>
              <w:b/>
              <w:i/>
            </w:rPr>
            <w:fldChar w:fldCharType="end"/>
          </w:r>
        </w:p>
      </w:tc>
    </w:tr>
    <w:tr>
      <w:trPr>
        <w:gridBefore w:val="1"/>
        <w:wBefore w:w="142" w:type="dxa"/>
        <w:jc w:val="center"/>
      </w:trPr>
      <w:tc>
        <w:tcPr>
          <w:tcW w:w="5573"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gridBefore w:val="2"/>
        <w:wBefore w:w="426" w:type="dxa"/>
        <w:jc w:val="center"/>
      </w:trPr>
      <w:tc>
        <w:tcPr>
          <w:tcW w:w="5289"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4"/>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(Safety Management System)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National Regulations (Safety Management System) Amendment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5"/>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111585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00111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001115854_GUID" w:val="a2f9ffb3-dfc6-4325-8f7b-b3d2eea5c7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D67848F-5C5C-4017-8150-100964EE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841</Words>
  <Characters>4778</Characters>
  <Application>Microsoft Office Word</Application>
  <DocSecurity>0</DocSecurity>
  <Lines>154</Lines>
  <Paragraphs>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National Regulations (Safety Management System) Amendment Regulations 2025 - 00-00-00</dc:title>
  <dc:subject/>
  <dc:creator/>
  <cp:keywords/>
  <dc:description/>
  <cp:lastModifiedBy>Master Repository Process</cp:lastModifiedBy>
  <cp:revision>4</cp:revision>
  <cp:lastPrinted>2021-03-14T07:59:00Z</cp:lastPrinted>
  <dcterms:created xsi:type="dcterms:W3CDTF">2025-10-01T07:00:00Z</dcterms:created>
  <dcterms:modified xsi:type="dcterms:W3CDTF">2025-10-01T07:00:00Z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55676</vt:lpwstr>
  </property>
  <property fmtid="{D5CDD505-2E9C-101B-9397-08002B2CF9AE}" pid="3" name="DocumentType">
    <vt:lpwstr>Reg</vt:lpwstr>
  </property>
  <property fmtid="{D5CDD505-2E9C-101B-9397-08002B2CF9AE}" pid="4" name="AsAtDate">
    <vt:lpwstr>02 Oct 2025</vt:lpwstr>
  </property>
  <property fmtid="{D5CDD505-2E9C-101B-9397-08002B2CF9AE}" pid="5" name="Suffix">
    <vt:lpwstr>00-00-00</vt:lpwstr>
  </property>
  <property fmtid="{D5CDD505-2E9C-101B-9397-08002B2CF9AE}" pid="6" name="Official">
    <vt:lpwstr/>
  </property>
  <property fmtid="{D5CDD505-2E9C-101B-9397-08002B2CF9AE}" pid="7" name="SLAPId">
    <vt:lpwstr>2025/173</vt:lpwstr>
  </property>
  <property fmtid="{D5CDD505-2E9C-101B-9397-08002B2CF9AE}" pid="8" name="PublishDate">
    <vt:lpwstr>2 Oct 2025</vt:lpwstr>
  </property>
  <property fmtid="{D5CDD505-2E9C-101B-9397-08002B2CF9AE}" pid="9" name="CommencementDate">
    <vt:lpwstr>20251002</vt:lpwstr>
  </property>
  <property fmtid="{D5CDD505-2E9C-101B-9397-08002B2CF9AE}" pid="10" name="CommencementAsAt">
    <vt:filetime>2025-10-01T16:00:00Z</vt:filetime>
  </property>
  <property fmtid="{D5CDD505-2E9C-101B-9397-08002B2CF9AE}" pid="11" name="CommencementYear">
    <vt:lpwstr>2025</vt:lpwstr>
  </property>
</Properties>
</file>