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_Toc210218947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_Toc210218948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_Toc210218949 \h </w:instrText>
      </w:r>
      <w:r>
        <w:fldChar w:fldCharType="separate"/>
      </w:r>
      <w:r>
        <w:t>1</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_Toc210218950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_Toc210218951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_Toc210218952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_Toc210218955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_Toc210218956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2" w:name="_Toc210218947"/>
      <w:r>
        <w:rPr>
          <w:rStyle w:val="CharSectno"/>
        </w:rPr>
        <w:t>1</w:t>
      </w:r>
      <w:r>
        <w:t>.</w:t>
      </w:r>
      <w:r>
        <w:tab/>
        <w:t>Citation</w:t>
      </w:r>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3" w:name="_Toc210218948"/>
      <w:r>
        <w:rPr>
          <w:rStyle w:val="CharSectno"/>
        </w:rPr>
        <w:t>2</w:t>
      </w:r>
      <w:r>
        <w:t>.</w:t>
      </w:r>
      <w:r>
        <w:tab/>
        <w:t>Booking fee</w:t>
      </w:r>
      <w:bookmarkEnd w:id="3"/>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4" w:name="_Toc210218949"/>
      <w:r>
        <w:rPr>
          <w:rStyle w:val="CharSectno"/>
        </w:rPr>
        <w:t>3</w:t>
      </w:r>
      <w:r>
        <w:t>.</w:t>
      </w:r>
      <w:r>
        <w:tab/>
        <w:t>Hourly fee</w:t>
      </w:r>
      <w:bookmarkEnd w:id="4"/>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5" w:name="_Toc210218950"/>
      <w:r>
        <w:rPr>
          <w:rStyle w:val="CharSectno"/>
        </w:rPr>
        <w:t>4</w:t>
      </w:r>
      <w:r>
        <w:t>.</w:t>
      </w:r>
      <w:r>
        <w:tab/>
        <w:t>Telecommunications charges</w:t>
      </w:r>
      <w:bookmarkEnd w:id="5"/>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6" w:name="_Toc210218951"/>
      <w:r>
        <w:rPr>
          <w:rStyle w:val="CharSectno"/>
        </w:rPr>
        <w:t>5</w:t>
      </w:r>
      <w:r>
        <w:t>.</w:t>
      </w:r>
      <w:r>
        <w:tab/>
        <w:t>Fees and expenses to be recoverable as debts due to the Crown</w:t>
      </w:r>
      <w:bookmarkEnd w:id="6"/>
    </w:p>
    <w:p>
      <w:pPr>
        <w:pStyle w:val="Subsection"/>
      </w:pPr>
      <w:r>
        <w:tab/>
      </w:r>
      <w:r>
        <w:tab/>
        <w:t>A fee or expense payable under these regulations is a debt due to the Crown and is recoverable in a court of competent jurisdiction.</w:t>
      </w:r>
    </w:p>
    <w:p>
      <w:pPr>
        <w:pStyle w:val="Heading5"/>
      </w:pPr>
      <w:bookmarkStart w:id="7" w:name="_Toc210218952"/>
      <w:r>
        <w:rPr>
          <w:rStyle w:val="CharSectno"/>
        </w:rPr>
        <w:t>6</w:t>
      </w:r>
      <w:r>
        <w:t>.</w:t>
      </w:r>
      <w:r>
        <w:tab/>
        <w:t>Court may waive fees and expenses in a particular case</w:t>
      </w:r>
      <w:bookmarkEnd w:id="7"/>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201239159"/>
      <w:bookmarkStart w:id="9" w:name="_Toc201239236"/>
      <w:bookmarkStart w:id="10" w:name="_Toc201239507"/>
      <w:bookmarkStart w:id="11" w:name="_Toc201308946"/>
      <w:bookmarkStart w:id="12" w:name="_Toc201325379"/>
      <w:bookmarkStart w:id="13" w:name="_Toc210218085"/>
      <w:bookmarkStart w:id="14" w:name="_Toc210218953"/>
      <w:bookmarkStart w:id="15" w:name="_Toc201308516"/>
      <w:r>
        <w:rPr>
          <w:rStyle w:val="CharSchNo"/>
        </w:rPr>
        <w:lastRenderedPageBreak/>
        <w:t>Schedule 1</w:t>
      </w:r>
      <w:r>
        <w:t> —</w:t>
      </w:r>
      <w:r>
        <w:rPr>
          <w:rStyle w:val="CharSchText"/>
        </w:rPr>
        <w:t> Fees</w:t>
      </w:r>
      <w:bookmarkEnd w:id="8"/>
      <w:bookmarkEnd w:id="9"/>
      <w:bookmarkEnd w:id="10"/>
      <w:bookmarkEnd w:id="11"/>
      <w:bookmarkEnd w:id="12"/>
      <w:bookmarkEnd w:id="13"/>
      <w:bookmarkEnd w:id="14"/>
    </w:p>
    <w:p>
      <w:pPr>
        <w:pStyle w:val="yShoulderClause"/>
      </w:pPr>
      <w:r>
        <w:t>[r. 2 and 3]</w:t>
      </w:r>
    </w:p>
    <w:p>
      <w:pPr>
        <w:pStyle w:val="yFootnoteheading"/>
        <w:spacing w:after="60"/>
      </w:pPr>
      <w:r>
        <w:tab/>
        <w:t>[Heading inserted: SL 2025/111 r. 17.]</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Matter</w:t>
            </w:r>
          </w:p>
        </w:tc>
        <w:tc>
          <w:tcPr>
            <w:tcW w:w="1208" w:type="dxa"/>
            <w:tcBorders>
              <w:top w:val="single" w:sz="4" w:space="0" w:color="auto"/>
              <w:bottom w:val="single" w:sz="4" w:space="0" w:color="auto"/>
            </w:tcBorders>
            <w:noWrap/>
          </w:tcPr>
          <w:p>
            <w:pPr>
              <w:pStyle w:val="yTableNAm"/>
              <w:jc w:val="center"/>
              <w:rPr>
                <w:b/>
              </w:rPr>
            </w:pPr>
            <w:r>
              <w:rPr>
                <w:b/>
              </w:rPr>
              <w:t>Fee</w:t>
            </w:r>
            <w:r>
              <w:rPr>
                <w:b/>
              </w:rPr>
              <w:br/>
              <w:t>$</w:t>
            </w:r>
          </w:p>
        </w:tc>
      </w:tr>
      <w:tr>
        <w:trPr>
          <w:cantSplit/>
        </w:trPr>
        <w:tc>
          <w:tcPr>
            <w:tcW w:w="66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 xml:space="preserve">Booking fee (r. 2(1)) — </w:t>
            </w:r>
          </w:p>
        </w:tc>
        <w:tc>
          <w:tcPr>
            <w:tcW w:w="1208" w:type="dxa"/>
            <w:tcBorders>
              <w:top w:val="single" w:sz="4" w:space="0" w:color="auto"/>
            </w:tcBorders>
            <w:noWrap/>
          </w:tcPr>
          <w:p>
            <w:pPr>
              <w:pStyle w:val="yTableNAm"/>
            </w:pPr>
          </w:p>
        </w:tc>
      </w:tr>
      <w:tr>
        <w:trPr>
          <w:cantSplit/>
        </w:trPr>
        <w:tc>
          <w:tcPr>
            <w:tcW w:w="669" w:type="dxa"/>
            <w:noWrap/>
          </w:tcPr>
          <w:p>
            <w:pPr>
              <w:pStyle w:val="yTableNAm"/>
            </w:pPr>
          </w:p>
        </w:tc>
        <w:tc>
          <w:tcPr>
            <w:tcW w:w="5103" w:type="dxa"/>
            <w:noWrap/>
          </w:tcPr>
          <w:p>
            <w:pPr>
              <w:pStyle w:val="yTableNAm"/>
            </w:pPr>
            <w:r>
              <w:t>(a)</w:t>
            </w:r>
            <w:r>
              <w:tab/>
              <w:t xml:space="preserve">for intrastate link </w:t>
            </w:r>
          </w:p>
        </w:tc>
        <w:tc>
          <w:tcPr>
            <w:tcW w:w="1208" w:type="dxa"/>
            <w:noWrap/>
            <w:vAlign w:val="bottom"/>
          </w:tcPr>
          <w:p>
            <w:pPr>
              <w:pStyle w:val="yTableNAm"/>
              <w:ind w:right="172"/>
              <w:jc w:val="right"/>
            </w:pPr>
            <w:r>
              <w:rPr>
                <w:szCs w:val="22"/>
              </w:rPr>
              <w:t>176.50</w:t>
            </w:r>
          </w:p>
        </w:tc>
      </w:tr>
      <w:tr>
        <w:trPr>
          <w:cantSplit/>
        </w:trPr>
        <w:tc>
          <w:tcPr>
            <w:tcW w:w="669" w:type="dxa"/>
            <w:noWrap/>
          </w:tcPr>
          <w:p>
            <w:pPr>
              <w:pStyle w:val="yTableNAm"/>
            </w:pPr>
          </w:p>
        </w:tc>
        <w:tc>
          <w:tcPr>
            <w:tcW w:w="5103" w:type="dxa"/>
            <w:noWrap/>
          </w:tcPr>
          <w:p>
            <w:pPr>
              <w:pStyle w:val="yTableNAm"/>
            </w:pPr>
            <w:r>
              <w:t>(b)</w:t>
            </w:r>
            <w:r>
              <w:tab/>
              <w:t xml:space="preserve">for interstate or overseas link </w:t>
            </w:r>
          </w:p>
        </w:tc>
        <w:tc>
          <w:tcPr>
            <w:tcW w:w="1208" w:type="dxa"/>
            <w:noWrap/>
            <w:vAlign w:val="bottom"/>
          </w:tcPr>
          <w:p>
            <w:pPr>
              <w:pStyle w:val="yTableNAm"/>
              <w:ind w:right="172"/>
              <w:jc w:val="right"/>
              <w:rPr>
                <w:szCs w:val="22"/>
              </w:rPr>
            </w:pPr>
            <w:r>
              <w:rPr>
                <w:szCs w:val="22"/>
              </w:rPr>
              <w:t>260.50</w:t>
            </w:r>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ind w:right="172"/>
              <w:jc w:val="right"/>
              <w:rPr>
                <w:szCs w:val="22"/>
              </w:rPr>
            </w:pPr>
            <w:r>
              <w:rPr>
                <w:szCs w:val="22"/>
              </w:rPr>
              <w:t>138.00</w:t>
            </w:r>
          </w:p>
        </w:tc>
      </w:tr>
    </w:tbl>
    <w:p>
      <w:pPr>
        <w:pStyle w:val="yFootnotesection"/>
      </w:pPr>
      <w:r>
        <w:tab/>
        <w:t>[Schedule 1 inserted: SL 2025/111 r. 17.]</w:t>
      </w:r>
    </w:p>
    <w:bookmarkEnd w:id="1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7" w:name="_Toc201308517"/>
      <w:bookmarkStart w:id="18" w:name="_Toc201308947"/>
      <w:bookmarkStart w:id="19" w:name="_Toc201325380"/>
      <w:bookmarkStart w:id="20" w:name="_Toc210218086"/>
      <w:bookmarkStart w:id="21" w:name="_Toc210218954"/>
      <w:r>
        <w:lastRenderedPageBreak/>
        <w:t>Notes</w:t>
      </w:r>
      <w:bookmarkEnd w:id="17"/>
      <w:bookmarkEnd w:id="18"/>
      <w:bookmarkEnd w:id="19"/>
      <w:bookmarkEnd w:id="20"/>
      <w:bookmarkEnd w:id="21"/>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 w:name="_Toc210218955"/>
      <w:r>
        <w:t>Compilation table</w:t>
      </w:r>
      <w:bookmarkEnd w:id="2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top w:val="nil"/>
              <w:bottom w:val="nil"/>
            </w:tcBorders>
            <w:shd w:val="clear" w:color="auto" w:fill="auto"/>
          </w:tcPr>
          <w:p>
            <w:pPr>
              <w:pStyle w:val="nTable"/>
              <w:spacing w:after="40"/>
              <w:rPr>
                <w:i/>
              </w:rPr>
            </w:pPr>
            <w:r>
              <w:rPr>
                <w:i/>
              </w:rPr>
              <w:lastRenderedPageBreak/>
              <w:t>Attorney General Regulations Amendment (Fees and Charges) Regulations 2021</w:t>
            </w:r>
            <w:r>
              <w:t xml:space="preserve"> Pt. 7</w:t>
            </w:r>
          </w:p>
        </w:tc>
        <w:tc>
          <w:tcPr>
            <w:tcW w:w="1276" w:type="dxa"/>
            <w:tcBorders>
              <w:top w:val="nil"/>
              <w:bottom w:val="nil"/>
            </w:tcBorders>
            <w:shd w:val="clear" w:color="auto" w:fill="auto"/>
          </w:tcPr>
          <w:p>
            <w:pPr>
              <w:pStyle w:val="nTable"/>
              <w:spacing w:after="40"/>
            </w:pPr>
            <w:r>
              <w:t>SL 2021/101</w:t>
            </w:r>
            <w:r>
              <w:br/>
              <w:t>29 Jun 2021</w:t>
            </w:r>
          </w:p>
        </w:tc>
        <w:tc>
          <w:tcPr>
            <w:tcW w:w="2693" w:type="dxa"/>
            <w:tcBorders>
              <w:top w:val="nil"/>
              <w:bottom w:val="nil"/>
            </w:tcBorders>
            <w:shd w:val="clear" w:color="auto" w:fill="auto"/>
          </w:tcPr>
          <w:p>
            <w:pPr>
              <w:pStyle w:val="nTable"/>
              <w:spacing w:after="40"/>
            </w:pPr>
            <w:r>
              <w:t>1 Jul 2021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8</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Attorney General Regulations Amendment (Fees and Charges) Regulations 2025</w:t>
            </w:r>
            <w:r>
              <w:t xml:space="preserve"> Pt. 8</w:t>
            </w:r>
          </w:p>
        </w:tc>
        <w:tc>
          <w:tcPr>
            <w:tcW w:w="1276" w:type="dxa"/>
            <w:tcBorders>
              <w:bottom w:val="single" w:sz="4" w:space="0" w:color="auto"/>
            </w:tcBorders>
            <w:shd w:val="clear" w:color="auto" w:fill="auto"/>
          </w:tcPr>
          <w:p>
            <w:pPr>
              <w:pStyle w:val="nTable"/>
              <w:spacing w:after="40"/>
            </w:pPr>
            <w:r>
              <w:t>SL 2025/111 25 Jun 2025</w:t>
            </w:r>
          </w:p>
        </w:tc>
        <w:tc>
          <w:tcPr>
            <w:tcW w:w="2693" w:type="dxa"/>
            <w:tcBorders>
              <w:bottom w:val="single" w:sz="4" w:space="0" w:color="auto"/>
            </w:tcBorders>
            <w:shd w:val="clear" w:color="auto" w:fill="auto"/>
          </w:tcPr>
          <w:p>
            <w:pPr>
              <w:pStyle w:val="nTable"/>
              <w:spacing w:after="40"/>
            </w:pPr>
            <w:r>
              <w:t>1 Jul 2025 (see r. 2(b))</w:t>
            </w:r>
          </w:p>
        </w:tc>
      </w:tr>
    </w:tbl>
    <w:p>
      <w:pPr>
        <w:pStyle w:val="nHeading3"/>
      </w:pPr>
      <w:bookmarkStart w:id="23" w:name="_Toc210218956"/>
      <w:r>
        <w:t>Uncommenced provisions table</w:t>
      </w:r>
      <w:bookmarkEnd w:id="23"/>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Evidence Act 2025</w:t>
            </w:r>
            <w:r>
              <w:rPr>
                <w:iCs/>
              </w:rPr>
              <w:t xml:space="preserve"> </w:t>
            </w:r>
            <w:r>
              <w:t xml:space="preserve">assented to 25 Sep 2025 </w:t>
            </w:r>
            <w:r>
              <w:rPr>
                <w:iCs/>
              </w:rPr>
              <w:t>s. 387(e)</w:t>
            </w:r>
          </w:p>
        </w:tc>
        <w:tc>
          <w:tcPr>
            <w:tcW w:w="2693" w:type="dxa"/>
          </w:tcPr>
          <w:p>
            <w:pPr>
              <w:pStyle w:val="nTable"/>
              <w:spacing w:after="40"/>
            </w:pPr>
            <w:r>
              <w:t>To be proclaimed (see s. 2(e))</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40A50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4923D9E" w14:textId="0A46FBA3" w:rsidR="00D83CFF" w:rsidRDefault="005E7C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B18C1">
                        <w:rPr>
                          <w:sz w:val="16"/>
                        </w:rPr>
                        <w:t>2025</w:t>
                      </w:r>
                      <w:r>
                        <w:rPr>
                          <w:sz w:val="16"/>
                        </w:rPr>
                        <w:fldChar w:fldCharType="end"/>
                      </w:r>
                      <w:r>
                        <w:rPr>
                          <w:sz w:val="16"/>
                        </w:rPr>
                        <w:t>.</w:t>
                      </w:r>
                    </w:p>
                    <w:p w14:paraId="0952C1D9" w14:textId="77777777" w:rsidR="00D83CFF" w:rsidRDefault="005E7C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E36771" w14:textId="58CD5365" w:rsidR="00D83CFF" w:rsidRDefault="005E7C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B18C1">
                        <w:rPr>
                          <w:sz w:val="16"/>
                        </w:rPr>
                        <w:t>2025</w:t>
                      </w:r>
                      <w:r>
                        <w:rPr>
                          <w:sz w:val="16"/>
                        </w:rPr>
                        <w:fldChar w:fldCharType="end"/>
                      </w:r>
                      <w:r>
                        <w:rPr>
                          <w:sz w:val="16"/>
                        </w:rPr>
                        <w:t>.</w:t>
                      </w:r>
                    </w:p>
                    <w:p w14:paraId="1D042A14" w14:textId="77777777" w:rsidR="00D83CFF" w:rsidRDefault="005E7C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6" w:name="Schedule"/>
        <w:bookmarkEnd w:id="16"/>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3957"/>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 w:name="WAFER_2024062113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07_GUID" w:val="6aafb72c-2633-40ac-a6aa-c5e461303bb2"/>
    <w:docVar w:name="WAFER_2025062010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3957_GUID" w:val="bc0c7d87-2ffd-4f85-bc8f-763ec736c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1486</Words>
  <Characters>6689</Characters>
  <Application>Microsoft Office Word</Application>
  <DocSecurity>0</DocSecurity>
  <Lines>318</Lines>
  <Paragraphs>190</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1999 - 03-p0-00</dc:title>
  <dc:subject/>
  <dc:creator/>
  <cp:keywords/>
  <dc:description/>
  <cp:lastModifiedBy>Master Repository Process</cp:lastModifiedBy>
  <cp:revision>4</cp:revision>
  <cp:lastPrinted>2015-07-16T04:23:00Z</cp:lastPrinted>
  <dcterms:created xsi:type="dcterms:W3CDTF">2025-10-01T07:51:00Z</dcterms:created>
  <dcterms:modified xsi:type="dcterms:W3CDTF">2025-10-01T07:51:00Z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25 Sep 2025</vt:lpwstr>
  </property>
  <property fmtid="{D5CDD505-2E9C-101B-9397-08002B2CF9AE}" pid="8" name="Suffix">
    <vt:lpwstr>03-p0-00</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