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Wagering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_Toc210395225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_Toc210395226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_Toc210395227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_Toc210395228 \h </w:instrText>
      </w:r>
      <w:r>
        <w:fldChar w:fldCharType="separate"/>
      </w:r>
      <w:r>
        <w:t>7</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_Toc210395229 \h </w:instrText>
      </w:r>
      <w:r>
        <w:fldChar w:fldCharType="separate"/>
      </w:r>
      <w:r>
        <w:t>8</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_Toc210395230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_Toc210395232 \h </w:instrText>
      </w:r>
      <w:r>
        <w:fldChar w:fldCharType="separate"/>
      </w:r>
      <w:r>
        <w:t>10</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_Toc210395233 \h </w:instrText>
      </w:r>
      <w:r>
        <w:fldChar w:fldCharType="separate"/>
      </w:r>
      <w:r>
        <w:t>10</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_Toc210395234 \h </w:instrText>
      </w:r>
      <w:r>
        <w:fldChar w:fldCharType="separate"/>
      </w:r>
      <w:r>
        <w:t>10</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_Toc210395235 \h </w:instrText>
      </w:r>
      <w:r>
        <w:fldChar w:fldCharType="separate"/>
      </w:r>
      <w:r>
        <w:t>10</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_Toc210395236 \h </w:instrText>
      </w:r>
      <w:r>
        <w:fldChar w:fldCharType="separate"/>
      </w:r>
      <w:r>
        <w:t>11</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_Toc210395237 \h </w:instrText>
      </w:r>
      <w:r>
        <w:fldChar w:fldCharType="separate"/>
      </w:r>
      <w:r>
        <w:t>11</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_Toc210395238 \h </w:instrText>
      </w:r>
      <w:r>
        <w:fldChar w:fldCharType="separate"/>
      </w:r>
      <w:r>
        <w:t>11</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_Toc210395239 \h </w:instrText>
      </w:r>
      <w:r>
        <w:fldChar w:fldCharType="separate"/>
      </w:r>
      <w:r>
        <w:t>12</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_Toc210395240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_Toc210395242 \h </w:instrText>
      </w:r>
      <w:r>
        <w:fldChar w:fldCharType="separate"/>
      </w:r>
      <w:r>
        <w:t>13</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_Toc210395243 \h </w:instrText>
      </w:r>
      <w:r>
        <w:fldChar w:fldCharType="separate"/>
      </w:r>
      <w:r>
        <w:t>17</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_Toc210395244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18A.</w:t>
      </w:r>
      <w:r>
        <w:tab/>
        <w:t>Dividends on novelty wagers if less than one unit invested on correct selections</w:t>
      </w:r>
      <w:r>
        <w:tab/>
      </w:r>
      <w:r>
        <w:fldChar w:fldCharType="begin"/>
      </w:r>
      <w:r>
        <w:instrText xml:space="preserve"> PAGEREF _Toc210395245 \h </w:instrText>
      </w:r>
      <w:r>
        <w:fldChar w:fldCharType="separate"/>
      </w:r>
      <w:r>
        <w:t>21</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_Toc210395246 \h </w:instrText>
      </w:r>
      <w:r>
        <w:fldChar w:fldCharType="separate"/>
      </w:r>
      <w:r>
        <w:t>22</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_Toc210395247 \h </w:instrText>
      </w:r>
      <w:r>
        <w:fldChar w:fldCharType="separate"/>
      </w:r>
      <w:r>
        <w:t>23</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_Toc210395248 \h </w:instrText>
      </w:r>
      <w:r>
        <w:fldChar w:fldCharType="separate"/>
      </w:r>
      <w:r>
        <w:t>25</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_Toc210395249 \h </w:instrText>
      </w:r>
      <w:r>
        <w:fldChar w:fldCharType="separate"/>
      </w:r>
      <w:r>
        <w:t>26</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_Toc210395250 \h </w:instrText>
      </w:r>
      <w:r>
        <w:fldChar w:fldCharType="separate"/>
      </w:r>
      <w:r>
        <w:t>28</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_Toc210395251 \h </w:instrText>
      </w:r>
      <w:r>
        <w:fldChar w:fldCharType="separate"/>
      </w:r>
      <w:r>
        <w:t>30</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_Toc210395252 \h </w:instrText>
      </w:r>
      <w:r>
        <w:fldChar w:fldCharType="separate"/>
      </w:r>
      <w:r>
        <w:t>31</w:t>
      </w:r>
      <w:r>
        <w:fldChar w:fldCharType="end"/>
      </w:r>
    </w:p>
    <w:p>
      <w:pPr>
        <w:pStyle w:val="TOC8"/>
        <w:rPr>
          <w:rFonts w:asciiTheme="minorHAnsi" w:eastAsiaTheme="minorEastAsia" w:hAnsiTheme="minorHAnsi" w:cstheme="minorBidi"/>
          <w:szCs w:val="22"/>
        </w:rPr>
      </w:pPr>
      <w:r>
        <w:t>25.</w:t>
      </w:r>
      <w:r>
        <w:tab/>
        <w:t>Sports tipping wagers</w:t>
      </w:r>
      <w:r>
        <w:tab/>
      </w:r>
      <w:r>
        <w:fldChar w:fldCharType="begin"/>
      </w:r>
      <w:r>
        <w:instrText xml:space="preserve"> PAGEREF _Toc210395253 \h </w:instrText>
      </w:r>
      <w:r>
        <w:fldChar w:fldCharType="separate"/>
      </w:r>
      <w:r>
        <w:t>31</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_Toc210395254 \h </w:instrText>
      </w:r>
      <w:r>
        <w:fldChar w:fldCharType="separate"/>
      </w:r>
      <w:r>
        <w:t>33</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_Toc210395255 \h </w:instrText>
      </w:r>
      <w:r>
        <w:fldChar w:fldCharType="separate"/>
      </w:r>
      <w:r>
        <w:t>34</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_Toc210395256 \h </w:instrText>
      </w:r>
      <w:r>
        <w:fldChar w:fldCharType="separate"/>
      </w:r>
      <w:r>
        <w:t>34</w:t>
      </w:r>
      <w:r>
        <w:fldChar w:fldCharType="end"/>
      </w:r>
    </w:p>
    <w:p>
      <w:pPr>
        <w:pStyle w:val="TOC8"/>
        <w:rPr>
          <w:rFonts w:asciiTheme="minorHAnsi" w:eastAsiaTheme="minorEastAsia" w:hAnsiTheme="minorHAnsi" w:cstheme="minorBidi"/>
          <w:szCs w:val="22"/>
        </w:rPr>
      </w:pPr>
      <w:r>
        <w:t>29.</w:t>
      </w:r>
      <w:r>
        <w:tab/>
        <w:t>Wagers on sporting events</w:t>
      </w:r>
      <w:r>
        <w:tab/>
      </w:r>
      <w:r>
        <w:fldChar w:fldCharType="begin"/>
      </w:r>
      <w:r>
        <w:instrText xml:space="preserve"> PAGEREF _Toc210395257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_Toc210395259 \h </w:instrText>
      </w:r>
      <w:r>
        <w:fldChar w:fldCharType="separate"/>
      </w:r>
      <w:r>
        <w:t>37</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_Toc210395260 \h </w:instrText>
      </w:r>
      <w:r>
        <w:fldChar w:fldCharType="separate"/>
      </w:r>
      <w:r>
        <w:t>37</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_Toc210395261 \h </w:instrText>
      </w:r>
      <w:r>
        <w:fldChar w:fldCharType="separate"/>
      </w:r>
      <w:r>
        <w:t>38</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_Toc210395262 \h </w:instrText>
      </w:r>
      <w:r>
        <w:fldChar w:fldCharType="separate"/>
      </w:r>
      <w:r>
        <w:t>38</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_Toc210395263 \h </w:instrText>
      </w:r>
      <w:r>
        <w:fldChar w:fldCharType="separate"/>
      </w:r>
      <w:r>
        <w:t>39</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_Toc210395264 \h </w:instrText>
      </w:r>
      <w:r>
        <w:fldChar w:fldCharType="separate"/>
      </w:r>
      <w:r>
        <w:t>41</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_Toc210395265 \h </w:instrText>
      </w:r>
      <w:r>
        <w:fldChar w:fldCharType="separate"/>
      </w:r>
      <w:r>
        <w:t>41</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_Toc210395266 \h </w:instrText>
      </w:r>
      <w:r>
        <w:fldChar w:fldCharType="separate"/>
      </w:r>
      <w:r>
        <w:t>41</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_Toc210395267 \h </w:instrText>
      </w:r>
      <w:r>
        <w:fldChar w:fldCharType="separate"/>
      </w:r>
      <w:r>
        <w:t>44</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_Toc210395268 \h </w:instrText>
      </w:r>
      <w:r>
        <w:fldChar w:fldCharType="separate"/>
      </w:r>
      <w:r>
        <w:t>44</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_Toc210395269 \h </w:instrText>
      </w:r>
      <w:r>
        <w:fldChar w:fldCharType="separate"/>
      </w:r>
      <w:r>
        <w:t>45</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_Toc210395270 \h </w:instrText>
      </w:r>
      <w:r>
        <w:fldChar w:fldCharType="separate"/>
      </w:r>
      <w:r>
        <w:t>46</w:t>
      </w:r>
      <w:r>
        <w:fldChar w:fldCharType="end"/>
      </w:r>
    </w:p>
    <w:p>
      <w:pPr>
        <w:pStyle w:val="TOC8"/>
        <w:rPr>
          <w:rFonts w:asciiTheme="minorHAnsi" w:eastAsiaTheme="minorEastAsia" w:hAnsiTheme="minorHAnsi" w:cstheme="minorBidi"/>
          <w:szCs w:val="22"/>
        </w:rPr>
      </w:pPr>
      <w:r>
        <w:t>44.</w:t>
      </w:r>
      <w:r>
        <w:tab/>
        <w:t>Wagers with domestic betting operators and totalisators</w:t>
      </w:r>
      <w:r>
        <w:tab/>
      </w:r>
      <w:r>
        <w:fldChar w:fldCharType="begin"/>
      </w:r>
      <w:r>
        <w:instrText xml:space="preserve"> PAGEREF _Toc210395271 \h </w:instrText>
      </w:r>
      <w:r>
        <w:fldChar w:fldCharType="separate"/>
      </w:r>
      <w:r>
        <w:t>47</w:t>
      </w:r>
      <w:r>
        <w:fldChar w:fldCharType="end"/>
      </w:r>
    </w:p>
    <w:p>
      <w:pPr>
        <w:pStyle w:val="TOC8"/>
        <w:rPr>
          <w:rFonts w:asciiTheme="minorHAnsi" w:eastAsiaTheme="minorEastAsia" w:hAnsiTheme="minorHAnsi" w:cstheme="minorBidi"/>
          <w:szCs w:val="22"/>
        </w:rPr>
      </w:pPr>
      <w:r>
        <w:t>45A.</w:t>
      </w:r>
      <w:r>
        <w:tab/>
        <w:t>Bet back by means of a betting exchange</w:t>
      </w:r>
      <w:r>
        <w:tab/>
      </w:r>
      <w:r>
        <w:fldChar w:fldCharType="begin"/>
      </w:r>
      <w:r>
        <w:instrText xml:space="preserve"> PAGEREF _Toc210395272 \h </w:instrText>
      </w:r>
      <w:r>
        <w:fldChar w:fldCharType="separate"/>
      </w:r>
      <w:r>
        <w:t>48</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_Toc210395273 \h </w:instrText>
      </w:r>
      <w:r>
        <w:fldChar w:fldCharType="separate"/>
      </w:r>
      <w:r>
        <w:t>49</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_Toc210395274 \h </w:instrText>
      </w:r>
      <w:r>
        <w:fldChar w:fldCharType="separate"/>
      </w:r>
      <w:r>
        <w:t>51</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_Toc210395275 \h </w:instrText>
      </w:r>
      <w:r>
        <w:fldChar w:fldCharType="separate"/>
      </w:r>
      <w:r>
        <w:t>54</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_Toc210395276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_Toc210395278 \h </w:instrText>
      </w:r>
      <w:r>
        <w:fldChar w:fldCharType="separate"/>
      </w:r>
      <w:r>
        <w:t>56</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_Toc210395279 \h </w:instrText>
      </w:r>
      <w:r>
        <w:fldChar w:fldCharType="separate"/>
      </w:r>
      <w:r>
        <w:t>56</w:t>
      </w:r>
      <w:r>
        <w:fldChar w:fldCharType="end"/>
      </w:r>
    </w:p>
    <w:p>
      <w:pPr>
        <w:pStyle w:val="TOC8"/>
        <w:rPr>
          <w:rFonts w:asciiTheme="minorHAnsi" w:eastAsiaTheme="minorEastAsia" w:hAnsiTheme="minorHAnsi" w:cstheme="minorBidi"/>
          <w:szCs w:val="22"/>
        </w:rPr>
      </w:pPr>
      <w:r>
        <w:t>51A.</w:t>
      </w:r>
      <w:r>
        <w:tab/>
        <w:t>Default odds for starting price, starting price guarantee and top fluc wagering</w:t>
      </w:r>
      <w:r>
        <w:tab/>
      </w:r>
      <w:r>
        <w:fldChar w:fldCharType="begin"/>
      </w:r>
      <w:r>
        <w:instrText xml:space="preserve"> PAGEREF _Toc210395280 \h </w:instrText>
      </w:r>
      <w:r>
        <w:fldChar w:fldCharType="separate"/>
      </w:r>
      <w:r>
        <w:t>59</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_Toc210395281 \h </w:instrText>
      </w:r>
      <w:r>
        <w:fldChar w:fldCharType="separate"/>
      </w:r>
      <w:r>
        <w:t>59</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_Toc210395282 \h </w:instrText>
      </w:r>
      <w:r>
        <w:fldChar w:fldCharType="separate"/>
      </w:r>
      <w:r>
        <w:t>60</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_Toc210395283 \h </w:instrText>
      </w:r>
      <w:r>
        <w:fldChar w:fldCharType="separate"/>
      </w:r>
      <w:r>
        <w:t>60</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_Toc210395284 \h </w:instrText>
      </w:r>
      <w:r>
        <w:fldChar w:fldCharType="separate"/>
      </w:r>
      <w:r>
        <w:t>61</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_Toc210395285 \h </w:instrText>
      </w:r>
      <w:r>
        <w:fldChar w:fldCharType="separate"/>
      </w:r>
      <w:r>
        <w:t>62</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_Toc210395286 \h </w:instrText>
      </w:r>
      <w:r>
        <w:fldChar w:fldCharType="separate"/>
      </w:r>
      <w:r>
        <w:t>65</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_Toc210395287 \h </w:instrText>
      </w:r>
      <w:r>
        <w:fldChar w:fldCharType="separate"/>
      </w:r>
      <w:r>
        <w:t>68</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_Toc210395288 \h </w:instrText>
      </w:r>
      <w:r>
        <w:fldChar w:fldCharType="separate"/>
      </w:r>
      <w:r>
        <w:t>68</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_Toc210395289 \h </w:instrText>
      </w:r>
      <w:r>
        <w:fldChar w:fldCharType="separate"/>
      </w:r>
      <w:r>
        <w:t>71</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_Toc210395290 \h </w:instrText>
      </w:r>
      <w:r>
        <w:fldChar w:fldCharType="separate"/>
      </w:r>
      <w:r>
        <w:t>71</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_Toc210395291 \h </w:instrText>
      </w:r>
      <w:r>
        <w:fldChar w:fldCharType="separate"/>
      </w:r>
      <w:r>
        <w:t>71</w:t>
      </w:r>
      <w:r>
        <w:fldChar w:fldCharType="end"/>
      </w:r>
    </w:p>
    <w:p>
      <w:pPr>
        <w:pStyle w:val="TOC8"/>
        <w:rPr>
          <w:rFonts w:asciiTheme="minorHAnsi" w:eastAsiaTheme="minorEastAsia" w:hAnsiTheme="minorHAnsi" w:cstheme="minorBidi"/>
          <w:szCs w:val="22"/>
        </w:rPr>
      </w:pPr>
      <w:r>
        <w:t>62.</w:t>
      </w:r>
      <w:r>
        <w:tab/>
        <w:t>Wagering on approved events</w:t>
      </w:r>
      <w:r>
        <w:tab/>
      </w:r>
      <w:r>
        <w:fldChar w:fldCharType="begin"/>
      </w:r>
      <w:r>
        <w:instrText xml:space="preserve"> PAGEREF _Toc210395292 \h </w:instrText>
      </w:r>
      <w:r>
        <w:fldChar w:fldCharType="separate"/>
      </w:r>
      <w:r>
        <w:t>72</w:t>
      </w:r>
      <w:r>
        <w:fldChar w:fldCharType="end"/>
      </w:r>
    </w:p>
    <w:p>
      <w:pPr>
        <w:pStyle w:val="TOC8"/>
        <w:rPr>
          <w:rFonts w:asciiTheme="minorHAnsi" w:eastAsiaTheme="minorEastAsia" w:hAnsiTheme="minorHAnsi" w:cstheme="minorBidi"/>
          <w:szCs w:val="22"/>
        </w:rPr>
      </w:pPr>
      <w:r>
        <w:t>62AA.</w:t>
      </w:r>
      <w:r>
        <w:tab/>
        <w:t>Cash out on wagers made with bookmakers</w:t>
      </w:r>
      <w:r>
        <w:tab/>
      </w:r>
      <w:r>
        <w:fldChar w:fldCharType="begin"/>
      </w:r>
      <w:r>
        <w:instrText xml:space="preserve"> PAGEREF _Toc210395293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5A — Rules of RWWA fixed odds wagering on races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_Toc210395295 \h </w:instrText>
      </w:r>
      <w:r>
        <w:fldChar w:fldCharType="separate"/>
      </w:r>
      <w:r>
        <w:t>75</w:t>
      </w:r>
      <w:r>
        <w:fldChar w:fldCharType="end"/>
      </w:r>
    </w:p>
    <w:p>
      <w:pPr>
        <w:pStyle w:val="TOC8"/>
        <w:rPr>
          <w:rFonts w:asciiTheme="minorHAnsi" w:eastAsiaTheme="minorEastAsia" w:hAnsiTheme="minorHAnsi" w:cstheme="minorBidi"/>
          <w:szCs w:val="22"/>
        </w:rPr>
      </w:pPr>
      <w:r>
        <w:t>62B.</w:t>
      </w:r>
      <w:r>
        <w:tab/>
        <w:t>Application of Part</w:t>
      </w:r>
      <w:r>
        <w:tab/>
      </w:r>
      <w:r>
        <w:fldChar w:fldCharType="begin"/>
      </w:r>
      <w:r>
        <w:instrText xml:space="preserve"> PAGEREF _Toc210395296 \h </w:instrText>
      </w:r>
      <w:r>
        <w:fldChar w:fldCharType="separate"/>
      </w:r>
      <w:r>
        <w:t>75</w:t>
      </w:r>
      <w:r>
        <w:fldChar w:fldCharType="end"/>
      </w:r>
    </w:p>
    <w:p>
      <w:pPr>
        <w:pStyle w:val="TOC8"/>
        <w:rPr>
          <w:rFonts w:asciiTheme="minorHAnsi" w:eastAsiaTheme="minorEastAsia" w:hAnsiTheme="minorHAnsi" w:cstheme="minorBidi"/>
          <w:szCs w:val="22"/>
        </w:rPr>
      </w:pPr>
      <w:r>
        <w:t>62C.</w:t>
      </w:r>
      <w:r>
        <w:tab/>
        <w:t>When runner achieves place</w:t>
      </w:r>
      <w:r>
        <w:tab/>
      </w:r>
      <w:r>
        <w:fldChar w:fldCharType="begin"/>
      </w:r>
      <w:r>
        <w:instrText xml:space="preserve"> PAGEREF _Toc210395297 \h </w:instrText>
      </w:r>
      <w:r>
        <w:fldChar w:fldCharType="separate"/>
      </w:r>
      <w:r>
        <w:t>76</w:t>
      </w:r>
      <w:r>
        <w:fldChar w:fldCharType="end"/>
      </w:r>
    </w:p>
    <w:p>
      <w:pPr>
        <w:pStyle w:val="TOC8"/>
        <w:rPr>
          <w:rFonts w:asciiTheme="minorHAnsi" w:eastAsiaTheme="minorEastAsia" w:hAnsiTheme="minorHAnsi" w:cstheme="minorBidi"/>
          <w:szCs w:val="22"/>
        </w:rPr>
      </w:pPr>
      <w:r>
        <w:t>62D.</w:t>
      </w:r>
      <w:r>
        <w:tab/>
        <w:t>Permitted wagers on races</w:t>
      </w:r>
      <w:r>
        <w:tab/>
      </w:r>
      <w:r>
        <w:fldChar w:fldCharType="begin"/>
      </w:r>
      <w:r>
        <w:instrText xml:space="preserve"> PAGEREF _Toc210395298 \h </w:instrText>
      </w:r>
      <w:r>
        <w:fldChar w:fldCharType="separate"/>
      </w:r>
      <w:r>
        <w:t>76</w:t>
      </w:r>
      <w:r>
        <w:fldChar w:fldCharType="end"/>
      </w:r>
    </w:p>
    <w:p>
      <w:pPr>
        <w:pStyle w:val="TOC8"/>
        <w:rPr>
          <w:rFonts w:asciiTheme="minorHAnsi" w:eastAsiaTheme="minorEastAsia" w:hAnsiTheme="minorHAnsi" w:cstheme="minorBidi"/>
          <w:szCs w:val="22"/>
        </w:rPr>
      </w:pPr>
      <w:r>
        <w:t>62E.</w:t>
      </w:r>
      <w:r>
        <w:tab/>
        <w:t>All wagers to be at least 1 unit</w:t>
      </w:r>
      <w:r>
        <w:tab/>
      </w:r>
      <w:r>
        <w:fldChar w:fldCharType="begin"/>
      </w:r>
      <w:r>
        <w:instrText xml:space="preserve"> PAGEREF _Toc210395299 \h </w:instrText>
      </w:r>
      <w:r>
        <w:fldChar w:fldCharType="separate"/>
      </w:r>
      <w:r>
        <w:t>77</w:t>
      </w:r>
      <w:r>
        <w:fldChar w:fldCharType="end"/>
      </w:r>
    </w:p>
    <w:p>
      <w:pPr>
        <w:pStyle w:val="TOC8"/>
        <w:rPr>
          <w:rFonts w:asciiTheme="minorHAnsi" w:eastAsiaTheme="minorEastAsia" w:hAnsiTheme="minorHAnsi" w:cstheme="minorBidi"/>
          <w:szCs w:val="22"/>
        </w:rPr>
      </w:pPr>
      <w:r>
        <w:t>62F.</w:t>
      </w:r>
      <w:r>
        <w:tab/>
        <w:t>Default odds for starting price, starting price guarantee and top fluc wagers</w:t>
      </w:r>
      <w:r>
        <w:tab/>
      </w:r>
      <w:r>
        <w:fldChar w:fldCharType="begin"/>
      </w:r>
      <w:r>
        <w:instrText xml:space="preserve"> PAGEREF _Toc210395300 \h </w:instrText>
      </w:r>
      <w:r>
        <w:fldChar w:fldCharType="separate"/>
      </w:r>
      <w:r>
        <w:t>77</w:t>
      </w:r>
      <w:r>
        <w:fldChar w:fldCharType="end"/>
      </w:r>
    </w:p>
    <w:p>
      <w:pPr>
        <w:pStyle w:val="TOC8"/>
        <w:rPr>
          <w:rFonts w:asciiTheme="minorHAnsi" w:eastAsiaTheme="minorEastAsia" w:hAnsiTheme="minorHAnsi" w:cstheme="minorBidi"/>
          <w:szCs w:val="22"/>
        </w:rPr>
      </w:pPr>
      <w:r>
        <w:t>62G.</w:t>
      </w:r>
      <w:r>
        <w:tab/>
        <w:t>RWWA not to offer, make or accept certain wagers</w:t>
      </w:r>
      <w:r>
        <w:tab/>
      </w:r>
      <w:r>
        <w:fldChar w:fldCharType="begin"/>
      </w:r>
      <w:r>
        <w:instrText xml:space="preserve"> PAGEREF _Toc210395301 \h </w:instrText>
      </w:r>
      <w:r>
        <w:fldChar w:fldCharType="separate"/>
      </w:r>
      <w:r>
        <w:t>78</w:t>
      </w:r>
      <w:r>
        <w:fldChar w:fldCharType="end"/>
      </w:r>
    </w:p>
    <w:p>
      <w:pPr>
        <w:pStyle w:val="TOC8"/>
        <w:rPr>
          <w:rFonts w:asciiTheme="minorHAnsi" w:eastAsiaTheme="minorEastAsia" w:hAnsiTheme="minorHAnsi" w:cstheme="minorBidi"/>
          <w:szCs w:val="22"/>
        </w:rPr>
      </w:pPr>
      <w:r>
        <w:t>62H.</w:t>
      </w:r>
      <w:r>
        <w:tab/>
        <w:t>Provisions as to runners</w:t>
      </w:r>
      <w:r>
        <w:tab/>
      </w:r>
      <w:r>
        <w:fldChar w:fldCharType="begin"/>
      </w:r>
      <w:r>
        <w:instrText xml:space="preserve"> PAGEREF _Toc210395302 \h </w:instrText>
      </w:r>
      <w:r>
        <w:fldChar w:fldCharType="separate"/>
      </w:r>
      <w:r>
        <w:t>78</w:t>
      </w:r>
      <w:r>
        <w:fldChar w:fldCharType="end"/>
      </w:r>
    </w:p>
    <w:p>
      <w:pPr>
        <w:pStyle w:val="TOC8"/>
        <w:rPr>
          <w:rFonts w:asciiTheme="minorHAnsi" w:eastAsiaTheme="minorEastAsia" w:hAnsiTheme="minorHAnsi" w:cstheme="minorBidi"/>
          <w:szCs w:val="22"/>
        </w:rPr>
      </w:pPr>
      <w:r>
        <w:t>62I.</w:t>
      </w:r>
      <w:r>
        <w:tab/>
        <w:t>Wagers void in certain circumstances</w:t>
      </w:r>
      <w:r>
        <w:tab/>
      </w:r>
      <w:r>
        <w:fldChar w:fldCharType="begin"/>
      </w:r>
      <w:r>
        <w:instrText xml:space="preserve"> PAGEREF _Toc210395303 \h </w:instrText>
      </w:r>
      <w:r>
        <w:fldChar w:fldCharType="separate"/>
      </w:r>
      <w:r>
        <w:t>79</w:t>
      </w:r>
      <w:r>
        <w:fldChar w:fldCharType="end"/>
      </w:r>
    </w:p>
    <w:p>
      <w:pPr>
        <w:pStyle w:val="TOC8"/>
        <w:rPr>
          <w:rFonts w:asciiTheme="minorHAnsi" w:eastAsiaTheme="minorEastAsia" w:hAnsiTheme="minorHAnsi" w:cstheme="minorBidi"/>
          <w:szCs w:val="22"/>
        </w:rPr>
      </w:pPr>
      <w:r>
        <w:t>62J.</w:t>
      </w:r>
      <w:r>
        <w:tab/>
        <w:t>When wagers are off</w:t>
      </w:r>
      <w:r>
        <w:tab/>
      </w:r>
      <w:r>
        <w:fldChar w:fldCharType="begin"/>
      </w:r>
      <w:r>
        <w:instrText xml:space="preserve"> PAGEREF _Toc210395304 \h </w:instrText>
      </w:r>
      <w:r>
        <w:fldChar w:fldCharType="separate"/>
      </w:r>
      <w:r>
        <w:t>80</w:t>
      </w:r>
      <w:r>
        <w:fldChar w:fldCharType="end"/>
      </w:r>
    </w:p>
    <w:p>
      <w:pPr>
        <w:pStyle w:val="TOC8"/>
        <w:rPr>
          <w:rFonts w:asciiTheme="minorHAnsi" w:eastAsiaTheme="minorEastAsia" w:hAnsiTheme="minorHAnsi" w:cstheme="minorBidi"/>
          <w:szCs w:val="22"/>
        </w:rPr>
      </w:pPr>
      <w:r>
        <w:t>62K.</w:t>
      </w:r>
      <w:r>
        <w:tab/>
        <w:t>Acceptance of tickets</w:t>
      </w:r>
      <w:r>
        <w:tab/>
      </w:r>
      <w:r>
        <w:fldChar w:fldCharType="begin"/>
      </w:r>
      <w:r>
        <w:instrText xml:space="preserve"> PAGEREF _Toc210395305 \h </w:instrText>
      </w:r>
      <w:r>
        <w:fldChar w:fldCharType="separate"/>
      </w:r>
      <w:r>
        <w:t>80</w:t>
      </w:r>
      <w:r>
        <w:fldChar w:fldCharType="end"/>
      </w:r>
    </w:p>
    <w:p>
      <w:pPr>
        <w:pStyle w:val="TOC8"/>
        <w:rPr>
          <w:rFonts w:asciiTheme="minorHAnsi" w:eastAsiaTheme="minorEastAsia" w:hAnsiTheme="minorHAnsi" w:cstheme="minorBidi"/>
          <w:szCs w:val="22"/>
        </w:rPr>
      </w:pPr>
      <w:r>
        <w:t>62L.</w:t>
      </w:r>
      <w:r>
        <w:tab/>
        <w:t>Determination of wagers</w:t>
      </w:r>
      <w:r>
        <w:tab/>
      </w:r>
      <w:r>
        <w:fldChar w:fldCharType="begin"/>
      </w:r>
      <w:r>
        <w:instrText xml:space="preserve"> PAGEREF _Toc210395306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62M.</w:t>
      </w:r>
      <w:r>
        <w:tab/>
        <w:t>Settlement of wagers</w:t>
      </w:r>
      <w:r>
        <w:tab/>
      </w:r>
      <w:r>
        <w:fldChar w:fldCharType="begin"/>
      </w:r>
      <w:r>
        <w:instrText xml:space="preserve"> PAGEREF _Toc210395307 \h </w:instrText>
      </w:r>
      <w:r>
        <w:fldChar w:fldCharType="separate"/>
      </w:r>
      <w:r>
        <w:t>81</w:t>
      </w:r>
      <w:r>
        <w:fldChar w:fldCharType="end"/>
      </w:r>
    </w:p>
    <w:p>
      <w:pPr>
        <w:pStyle w:val="TOC8"/>
        <w:rPr>
          <w:rFonts w:asciiTheme="minorHAnsi" w:eastAsiaTheme="minorEastAsia" w:hAnsiTheme="minorHAnsi" w:cstheme="minorBidi"/>
          <w:szCs w:val="22"/>
        </w:rPr>
      </w:pPr>
      <w:r>
        <w:t>62N.</w:t>
      </w:r>
      <w:r>
        <w:tab/>
        <w:t>Unlisted odds</w:t>
      </w:r>
      <w:r>
        <w:tab/>
      </w:r>
      <w:r>
        <w:fldChar w:fldCharType="begin"/>
      </w:r>
      <w:r>
        <w:instrText xml:space="preserve"> PAGEREF _Toc210395308 \h </w:instrText>
      </w:r>
      <w:r>
        <w:fldChar w:fldCharType="separate"/>
      </w:r>
      <w:r>
        <w:t>83</w:t>
      </w:r>
      <w:r>
        <w:fldChar w:fldCharType="end"/>
      </w:r>
    </w:p>
    <w:p>
      <w:pPr>
        <w:pStyle w:val="TOC8"/>
        <w:rPr>
          <w:rFonts w:asciiTheme="minorHAnsi" w:eastAsiaTheme="minorEastAsia" w:hAnsiTheme="minorHAnsi" w:cstheme="minorBidi"/>
          <w:szCs w:val="22"/>
        </w:rPr>
      </w:pPr>
      <w:r>
        <w:t>62O.</w:t>
      </w:r>
      <w:r>
        <w:tab/>
        <w:t>Scratching of legs for multi, same race multi, place card and same race combo wagers</w:t>
      </w:r>
      <w:r>
        <w:tab/>
      </w:r>
      <w:r>
        <w:fldChar w:fldCharType="begin"/>
      </w:r>
      <w:r>
        <w:instrText xml:space="preserve"> PAGEREF _Toc210395309 \h </w:instrText>
      </w:r>
      <w:r>
        <w:fldChar w:fldCharType="separate"/>
      </w:r>
      <w:r>
        <w:t>83</w:t>
      </w:r>
      <w:r>
        <w:fldChar w:fldCharType="end"/>
      </w:r>
    </w:p>
    <w:p>
      <w:pPr>
        <w:pStyle w:val="TOC8"/>
        <w:rPr>
          <w:rFonts w:asciiTheme="minorHAnsi" w:eastAsiaTheme="minorEastAsia" w:hAnsiTheme="minorHAnsi" w:cstheme="minorBidi"/>
          <w:szCs w:val="22"/>
        </w:rPr>
      </w:pPr>
      <w:r>
        <w:t>62P.</w:t>
      </w:r>
      <w:r>
        <w:tab/>
        <w:t>Determination of race results</w:t>
      </w:r>
      <w:r>
        <w:tab/>
      </w:r>
      <w:r>
        <w:fldChar w:fldCharType="begin"/>
      </w:r>
      <w:r>
        <w:instrText xml:space="preserve"> PAGEREF _Toc210395310 \h </w:instrText>
      </w:r>
      <w:r>
        <w:fldChar w:fldCharType="separate"/>
      </w:r>
      <w:r>
        <w:t>83</w:t>
      </w:r>
      <w:r>
        <w:fldChar w:fldCharType="end"/>
      </w:r>
    </w:p>
    <w:p>
      <w:pPr>
        <w:pStyle w:val="TOC8"/>
        <w:rPr>
          <w:rFonts w:asciiTheme="minorHAnsi" w:eastAsiaTheme="minorEastAsia" w:hAnsiTheme="minorHAnsi" w:cstheme="minorBidi"/>
          <w:szCs w:val="22"/>
        </w:rPr>
      </w:pPr>
      <w:r>
        <w:t>62Q.</w:t>
      </w:r>
      <w:r>
        <w:tab/>
        <w:t>Determination of wagers if runner withdrawn</w:t>
      </w:r>
      <w:r>
        <w:tab/>
      </w:r>
      <w:r>
        <w:fldChar w:fldCharType="begin"/>
      </w:r>
      <w:r>
        <w:instrText xml:space="preserve"> PAGEREF _Toc210395311 \h </w:instrText>
      </w:r>
      <w:r>
        <w:fldChar w:fldCharType="separate"/>
      </w:r>
      <w:r>
        <w:t>84</w:t>
      </w:r>
      <w:r>
        <w:fldChar w:fldCharType="end"/>
      </w:r>
    </w:p>
    <w:p>
      <w:pPr>
        <w:pStyle w:val="TOC8"/>
        <w:rPr>
          <w:rFonts w:asciiTheme="minorHAnsi" w:eastAsiaTheme="minorEastAsia" w:hAnsiTheme="minorHAnsi" w:cstheme="minorBidi"/>
          <w:szCs w:val="22"/>
        </w:rPr>
      </w:pPr>
      <w:r>
        <w:t>62R.</w:t>
      </w:r>
      <w:r>
        <w:tab/>
        <w:t>Wagers are play or pay except in certain circumstances</w:t>
      </w:r>
      <w:r>
        <w:tab/>
      </w:r>
      <w:r>
        <w:fldChar w:fldCharType="begin"/>
      </w:r>
      <w:r>
        <w:instrText xml:space="preserve"> PAGEREF _Toc210395312 \h </w:instrText>
      </w:r>
      <w:r>
        <w:fldChar w:fldCharType="separate"/>
      </w:r>
      <w:r>
        <w:t>84</w:t>
      </w:r>
      <w:r>
        <w:fldChar w:fldCharType="end"/>
      </w:r>
    </w:p>
    <w:p>
      <w:pPr>
        <w:pStyle w:val="TOC8"/>
        <w:rPr>
          <w:rFonts w:asciiTheme="minorHAnsi" w:eastAsiaTheme="minorEastAsia" w:hAnsiTheme="minorHAnsi" w:cstheme="minorBidi"/>
          <w:szCs w:val="22"/>
        </w:rPr>
      </w:pPr>
      <w:r>
        <w:t>62S.</w:t>
      </w:r>
      <w:r>
        <w:tab/>
        <w:t>Settlement of wagers following dead heat</w:t>
      </w:r>
      <w:r>
        <w:tab/>
      </w:r>
      <w:r>
        <w:fldChar w:fldCharType="begin"/>
      </w:r>
      <w:r>
        <w:instrText xml:space="preserve"> PAGEREF _Toc210395313 \h </w:instrText>
      </w:r>
      <w:r>
        <w:fldChar w:fldCharType="separate"/>
      </w:r>
      <w:r>
        <w:t>87</w:t>
      </w:r>
      <w:r>
        <w:fldChar w:fldCharType="end"/>
      </w:r>
    </w:p>
    <w:p>
      <w:pPr>
        <w:pStyle w:val="TOC8"/>
        <w:rPr>
          <w:rFonts w:asciiTheme="minorHAnsi" w:eastAsiaTheme="minorEastAsia" w:hAnsiTheme="minorHAnsi" w:cstheme="minorBidi"/>
          <w:szCs w:val="22"/>
        </w:rPr>
      </w:pPr>
      <w:r>
        <w:t>62T.</w:t>
      </w:r>
      <w:r>
        <w:tab/>
        <w:t>Races that are re</w:t>
      </w:r>
      <w:r>
        <w:noBreakHyphen/>
        <w:t>run</w:t>
      </w:r>
      <w:r>
        <w:tab/>
      </w:r>
      <w:r>
        <w:fldChar w:fldCharType="begin"/>
      </w:r>
      <w:r>
        <w:instrText xml:space="preserve"> PAGEREF _Toc210395314 \h </w:instrText>
      </w:r>
      <w:r>
        <w:fldChar w:fldCharType="separate"/>
      </w:r>
      <w:r>
        <w:t>88</w:t>
      </w:r>
      <w:r>
        <w:fldChar w:fldCharType="end"/>
      </w:r>
    </w:p>
    <w:p>
      <w:pPr>
        <w:pStyle w:val="TOC8"/>
        <w:rPr>
          <w:rFonts w:asciiTheme="minorHAnsi" w:eastAsiaTheme="minorEastAsia" w:hAnsiTheme="minorHAnsi" w:cstheme="minorBidi"/>
          <w:szCs w:val="22"/>
        </w:rPr>
      </w:pPr>
      <w:r>
        <w:t>62U.</w:t>
      </w:r>
      <w:r>
        <w:tab/>
        <w:t>Treatment of errors</w:t>
      </w:r>
      <w:r>
        <w:tab/>
      </w:r>
      <w:r>
        <w:fldChar w:fldCharType="begin"/>
      </w:r>
      <w:r>
        <w:instrText xml:space="preserve"> PAGEREF _Toc210395315 \h </w:instrText>
      </w:r>
      <w:r>
        <w:fldChar w:fldCharType="separate"/>
      </w:r>
      <w:r>
        <w:t>88</w:t>
      </w:r>
      <w:r>
        <w:fldChar w:fldCharType="end"/>
      </w:r>
    </w:p>
    <w:p>
      <w:pPr>
        <w:pStyle w:val="TOC8"/>
        <w:rPr>
          <w:rFonts w:asciiTheme="minorHAnsi" w:eastAsiaTheme="minorEastAsia" w:hAnsiTheme="minorHAnsi" w:cstheme="minorBidi"/>
          <w:szCs w:val="22"/>
        </w:rPr>
      </w:pPr>
      <w:r>
        <w:t>62V.</w:t>
      </w:r>
      <w:r>
        <w:tab/>
        <w:t>Maximum payout if irregularity suspected</w:t>
      </w:r>
      <w:r>
        <w:tab/>
      </w:r>
      <w:r>
        <w:fldChar w:fldCharType="begin"/>
      </w:r>
      <w:r>
        <w:instrText xml:space="preserve"> PAGEREF _Toc210395316 \h </w:instrText>
      </w:r>
      <w:r>
        <w:fldChar w:fldCharType="separate"/>
      </w:r>
      <w:r>
        <w:t>90</w:t>
      </w:r>
      <w:r>
        <w:fldChar w:fldCharType="end"/>
      </w:r>
    </w:p>
    <w:p>
      <w:pPr>
        <w:pStyle w:val="TOC8"/>
        <w:rPr>
          <w:rFonts w:asciiTheme="minorHAnsi" w:eastAsiaTheme="minorEastAsia" w:hAnsiTheme="minorHAnsi" w:cstheme="minorBidi"/>
          <w:szCs w:val="22"/>
        </w:rPr>
      </w:pPr>
      <w:r>
        <w:t>62W.</w:t>
      </w:r>
      <w:r>
        <w:tab/>
        <w:t>Refusal of wagers</w:t>
      </w:r>
      <w:r>
        <w:tab/>
      </w:r>
      <w:r>
        <w:fldChar w:fldCharType="begin"/>
      </w:r>
      <w:r>
        <w:instrText xml:space="preserve"> PAGEREF _Toc210395317 \h </w:instrText>
      </w:r>
      <w:r>
        <w:fldChar w:fldCharType="separate"/>
      </w:r>
      <w:r>
        <w:t>90</w:t>
      </w:r>
      <w:r>
        <w:fldChar w:fldCharType="end"/>
      </w:r>
    </w:p>
    <w:p>
      <w:pPr>
        <w:pStyle w:val="TOC8"/>
        <w:rPr>
          <w:rFonts w:asciiTheme="minorHAnsi" w:eastAsiaTheme="minorEastAsia" w:hAnsiTheme="minorHAnsi" w:cstheme="minorBidi"/>
          <w:szCs w:val="22"/>
        </w:rPr>
      </w:pPr>
      <w:r>
        <w:t>62X.</w:t>
      </w:r>
      <w:r>
        <w:tab/>
        <w:t>Restrictions on wagering accounts</w:t>
      </w:r>
      <w:r>
        <w:tab/>
      </w:r>
      <w:r>
        <w:fldChar w:fldCharType="begin"/>
      </w:r>
      <w:r>
        <w:instrText xml:space="preserve"> PAGEREF _Toc210395318 \h </w:instrText>
      </w:r>
      <w:r>
        <w:fldChar w:fldCharType="separate"/>
      </w:r>
      <w:r>
        <w:t>90</w:t>
      </w:r>
      <w:r>
        <w:fldChar w:fldCharType="end"/>
      </w:r>
    </w:p>
    <w:p>
      <w:pPr>
        <w:pStyle w:val="TOC8"/>
        <w:rPr>
          <w:rFonts w:asciiTheme="minorHAnsi" w:eastAsiaTheme="minorEastAsia" w:hAnsiTheme="minorHAnsi" w:cstheme="minorBidi"/>
          <w:szCs w:val="22"/>
        </w:rPr>
      </w:pPr>
      <w:r>
        <w:t>62Y.</w:t>
      </w:r>
      <w:r>
        <w:tab/>
        <w:t>Cash out on wagers made with RWWA</w:t>
      </w:r>
      <w:r>
        <w:tab/>
      </w:r>
      <w:r>
        <w:fldChar w:fldCharType="begin"/>
      </w:r>
      <w:r>
        <w:instrText xml:space="preserve"> PAGEREF _Toc210395319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_Toc210395321 \h </w:instrText>
      </w:r>
      <w:r>
        <w:fldChar w:fldCharType="separate"/>
      </w:r>
      <w:r>
        <w:t>92</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_Toc210395322 \h </w:instrText>
      </w:r>
      <w:r>
        <w:fldChar w:fldCharType="separate"/>
      </w:r>
      <w:r>
        <w:t>92</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_Toc210395323 \h </w:instrText>
      </w:r>
      <w:r>
        <w:fldChar w:fldCharType="separate"/>
      </w:r>
      <w:r>
        <w:t>93</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_Toc210395324 \h </w:instrText>
      </w:r>
      <w:r>
        <w:fldChar w:fldCharType="separate"/>
      </w:r>
      <w:r>
        <w:t>93</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_Toc210395325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Deduction Table</w:t>
      </w:r>
    </w:p>
    <w:p>
      <w:pPr>
        <w:pStyle w:val="TOC2"/>
        <w:tabs>
          <w:tab w:val="right" w:leader="dot" w:pos="7077"/>
        </w:tabs>
        <w:rPr>
          <w:rFonts w:asciiTheme="minorHAnsi" w:eastAsiaTheme="minorEastAsia" w:hAnsiTheme="minorHAnsi" w:cstheme="minorBidi"/>
          <w:b w:val="0"/>
          <w:sz w:val="22"/>
          <w:szCs w:val="22"/>
        </w:rPr>
      </w:pPr>
      <w:r>
        <w:t>Schedule 2 — Permitted wagers on races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_Toc210395329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spacing w:after="720"/>
      </w:pPr>
      <w:r>
        <w:t>Rules of Wagering 2005</w:t>
      </w:r>
    </w:p>
    <w:p>
      <w:pPr>
        <w:pStyle w:val="Heading2"/>
        <w:keepNext w:val="0"/>
        <w:pageBreakBefore w:val="0"/>
        <w:spacing w:before="240"/>
      </w:pPr>
      <w:bookmarkStart w:id="2" w:name="_Toc210382590"/>
      <w:bookmarkStart w:id="3" w:name="_Toc210383597"/>
      <w:bookmarkStart w:id="4" w:name="_Toc210395117"/>
      <w:bookmarkStart w:id="5" w:name="_Toc21039522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10395225"/>
      <w:r>
        <w:rPr>
          <w:rStyle w:val="CharSectno"/>
        </w:rPr>
        <w:t>1</w:t>
      </w:r>
      <w:r>
        <w:t>.</w:t>
      </w:r>
      <w:r>
        <w:tab/>
        <w:t>Citation</w:t>
      </w:r>
      <w:bookmarkEnd w:id="6"/>
    </w:p>
    <w:p>
      <w:pPr>
        <w:pStyle w:val="Subsection"/>
        <w:rPr>
          <w:i/>
        </w:rPr>
      </w:pPr>
      <w:r>
        <w:tab/>
      </w:r>
      <w:r>
        <w:tab/>
        <w:t xml:space="preserve">These rules may be cited as the </w:t>
      </w:r>
      <w:r>
        <w:rPr>
          <w:i/>
        </w:rPr>
        <w:t>Rules of Wagering 2005</w:t>
      </w:r>
      <w:r>
        <w:t>.</w:t>
      </w:r>
    </w:p>
    <w:p>
      <w:pPr>
        <w:pStyle w:val="Heading5"/>
      </w:pPr>
      <w:bookmarkStart w:id="7" w:name="_Toc210395226"/>
      <w:r>
        <w:rPr>
          <w:rStyle w:val="CharSectno"/>
        </w:rPr>
        <w:t>2</w:t>
      </w:r>
      <w:r>
        <w:t>.</w:t>
      </w:r>
      <w:r>
        <w:tab/>
        <w:t>Commencement</w:t>
      </w:r>
      <w:bookmarkEnd w:id="7"/>
    </w:p>
    <w:p>
      <w:pPr>
        <w:pStyle w:val="Subsection"/>
      </w:pPr>
      <w:r>
        <w:tab/>
      </w:r>
      <w:r>
        <w:tab/>
        <w:t>These rules come into operation on 30 January 2005.</w:t>
      </w:r>
    </w:p>
    <w:p>
      <w:pPr>
        <w:pStyle w:val="Heading5"/>
      </w:pPr>
      <w:bookmarkStart w:id="8" w:name="_Toc210395227"/>
      <w:r>
        <w:rPr>
          <w:rStyle w:val="CharSectno"/>
        </w:rPr>
        <w:t>3</w:t>
      </w:r>
      <w:r>
        <w:t>.</w:t>
      </w:r>
      <w:r>
        <w:tab/>
        <w:t>Terms used</w:t>
      </w:r>
      <w:bookmarkEnd w:id="8"/>
    </w:p>
    <w:p>
      <w:pPr>
        <w:pStyle w:val="Subsection"/>
      </w:pPr>
      <w:r>
        <w:tab/>
        <w:t>(1)</w:t>
      </w:r>
      <w:r>
        <w:tab/>
        <w:t xml:space="preserve">In these rules — </w:t>
      </w:r>
    </w:p>
    <w:p>
      <w:pPr>
        <w:pStyle w:val="Defstart"/>
        <w:rPr>
          <w:rStyle w:val="DraftersNotes"/>
        </w:rPr>
      </w:pPr>
      <w:r>
        <w:tab/>
      </w:r>
      <w:r>
        <w:rPr>
          <w:rStyle w:val="CharDefText"/>
        </w:rPr>
        <w:t>approved event</w:t>
      </w:r>
      <w:r>
        <w:t xml:space="preserve"> means an event, or a contingency, on or in relation to which bookmaking has been approved under the </w:t>
      </w:r>
      <w:r>
        <w:rPr>
          <w:i/>
        </w:rPr>
        <w:t xml:space="preserve">Betting Control Act 1954 </w:t>
      </w:r>
      <w:r>
        <w:t>section 4B(2);</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has the meaning given in the </w:t>
      </w:r>
      <w:r>
        <w:rPr>
          <w:i/>
        </w:rPr>
        <w:t>Betting Control Act 1954</w:t>
      </w:r>
      <w:r>
        <w:t xml:space="preserve"> section 14A(1);</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box (trap) number</w:t>
      </w:r>
      <w:r>
        <w:t xml:space="preserve"> means the number assigned to a box or trap from which a greyhound starts a race;</w:t>
      </w:r>
    </w:p>
    <w:p>
      <w:pPr>
        <w:pStyle w:val="Defstart"/>
      </w:pPr>
      <w:r>
        <w:rPr>
          <w:b/>
        </w:rPr>
        <w:tab/>
      </w:r>
      <w:r>
        <w:rPr>
          <w:rStyle w:val="CharDefText"/>
        </w:rPr>
        <w:t>cash</w:t>
      </w:r>
      <w:r>
        <w:t xml:space="preserve"> means bank notes or coins;</w:t>
      </w:r>
    </w:p>
    <w:p>
      <w:pPr>
        <w:pStyle w:val="Defstart"/>
      </w:pPr>
      <w:r>
        <w:rPr>
          <w:b/>
        </w:rPr>
        <w:lastRenderedPageBreak/>
        <w:tab/>
      </w:r>
      <w:r>
        <w:rPr>
          <w:rStyle w:val="CharDefText"/>
        </w:rPr>
        <w:t>cash out amount</w:t>
      </w:r>
      <w:r>
        <w:t xml:space="preserve"> means an amount offered under rule 62AA(2) or 62Y(2);</w:t>
      </w:r>
    </w:p>
    <w:p>
      <w:pPr>
        <w:pStyle w:val="Defstart"/>
      </w:pPr>
      <w:r>
        <w:rPr>
          <w:b/>
        </w:rPr>
        <w:tab/>
      </w:r>
      <w:r>
        <w:rPr>
          <w:rStyle w:val="CharDefText"/>
        </w:rPr>
        <w:t>Commission</w:t>
      </w:r>
      <w:r>
        <w:t xml:space="preserve"> means the Gaming and Wagering Commission of Western Australia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tab/>
      </w:r>
      <w:r>
        <w:rPr>
          <w:rStyle w:val="CharDefText"/>
        </w:rPr>
        <w:t>controlling authority</w:t>
      </w:r>
      <w:r>
        <w:t xml:space="preserve"> means, for an approved event or a sporting event, the body responsible for conducting the event; </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the RWWA Act section 62;</w:t>
      </w:r>
    </w:p>
    <w:p>
      <w:pPr>
        <w:pStyle w:val="Defstart"/>
      </w:pPr>
      <w:r>
        <w:rPr>
          <w:b/>
        </w:rPr>
        <w:tab/>
      </w:r>
      <w:r>
        <w:rPr>
          <w:rStyle w:val="CharDefText"/>
        </w:rPr>
        <w:t>doubles wager</w:t>
      </w:r>
      <w:r>
        <w:t xml:space="preserve"> means a wager on the contingency of 2 races or events;</w:t>
      </w:r>
    </w:p>
    <w:p>
      <w:pPr>
        <w:pStyle w:val="Defstart"/>
      </w:pPr>
      <w:r>
        <w:rPr>
          <w:b/>
        </w:rPr>
        <w:tab/>
      </w:r>
      <w:r>
        <w:rPr>
          <w:rStyle w:val="CharDefText"/>
        </w:rPr>
        <w:t>each way wager</w:t>
      </w:r>
      <w:r>
        <w:t xml:space="preserve"> means a wager on a runner either winning or achieving a place in a race;</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lastRenderedPageBreak/>
        <w:tab/>
      </w:r>
      <w:r>
        <w:rPr>
          <w:rStyle w:val="CharDefText"/>
        </w:rPr>
        <w:t>investor</w:t>
      </w:r>
      <w:r>
        <w:t xml:space="preserve"> means a person who makes, or offers to make, or attempts to make, a wager on a race, approved event or sporting event and includes a bettor;</w:t>
      </w:r>
    </w:p>
    <w:p>
      <w:pPr>
        <w:pStyle w:val="Defstart"/>
      </w:pPr>
      <w:r>
        <w:rPr>
          <w:b/>
        </w:rPr>
        <w:tab/>
      </w:r>
      <w:r>
        <w:rPr>
          <w:rStyle w:val="CharDefText"/>
        </w:rPr>
        <w:t>judge</w:t>
      </w:r>
      <w:r>
        <w:t>, in relation to a race, means the person appointed by the committee or other authority controlling the racecourse at which the race is run to determine the finishing order of runners;</w:t>
      </w:r>
    </w:p>
    <w:p>
      <w:pPr>
        <w:pStyle w:val="Defstart"/>
        <w:keepNex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doubles wager</w:t>
      </w:r>
      <w:r>
        <w:t xml:space="preserve"> means a doubles wager on 2 races or events scheduled at the time the wager is made to be run on the same day;</w:t>
      </w:r>
    </w:p>
    <w:p>
      <w:pPr>
        <w:pStyle w:val="Defstart"/>
        <w:keepNext/>
      </w:pPr>
      <w:r>
        <w:rPr>
          <w:b/>
        </w:rPr>
        <w:tab/>
      </w:r>
      <w:r>
        <w:rPr>
          <w:rStyle w:val="CharDefText"/>
        </w:rPr>
        <w:t>multi wager</w:t>
      </w:r>
      <w:r>
        <w:t xml:space="preserve"> means a wager involving the selection of a series of propositions in relation to races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keepNex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lastRenderedPageBreak/>
        <w:tab/>
      </w:r>
      <w:r>
        <w:rPr>
          <w:rStyle w:val="CharDefText"/>
        </w:rPr>
        <w:t>official result</w:t>
      </w:r>
      <w:r>
        <w:t>, of an approved event or a sporting event, means the result or outcome of the event, as declared by the controlling authority for the event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tab/>
      </w:r>
      <w:r>
        <w:rPr>
          <w:rStyle w:val="CharDefText"/>
        </w:rPr>
        <w:t>participant</w:t>
      </w:r>
      <w:r>
        <w:t>, in relation to an approved event or a sporting event, means an individual or a team contesting the outcome of that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approved event or sporting event;</w:t>
      </w:r>
    </w:p>
    <w:p>
      <w:pPr>
        <w:pStyle w:val="Defstart"/>
        <w:keepNext/>
      </w:pPr>
      <w:r>
        <w:rPr>
          <w:b/>
        </w:rPr>
        <w:tab/>
      </w:r>
      <w:r>
        <w:rPr>
          <w:rStyle w:val="CharDefText"/>
        </w:rPr>
        <w:t>play or pay</w:t>
      </w:r>
      <w:r>
        <w:t xml:space="preserve">, in relation to a wager, means that the wager holds good whether or not, as the case may be — </w:t>
      </w:r>
    </w:p>
    <w:p>
      <w:pPr>
        <w:pStyle w:val="Defpara"/>
      </w:pPr>
      <w:r>
        <w:tab/>
        <w:t>(a)</w:t>
      </w:r>
      <w:r>
        <w:tab/>
        <w:t>the runner on which the wager is made runs in the race in respect of which the wager is made; or</w:t>
      </w:r>
    </w:p>
    <w:p>
      <w:pPr>
        <w:pStyle w:val="Defpara"/>
      </w:pPr>
      <w:r>
        <w:tab/>
        <w:t>(b)</w:t>
      </w:r>
      <w:r>
        <w:tab/>
        <w:t>the participant on which the wager is made participates in the approved event in respect of which the wager is made; or</w:t>
      </w:r>
    </w:p>
    <w:p>
      <w:pPr>
        <w:pStyle w:val="Defpara"/>
      </w:pPr>
      <w:r>
        <w:tab/>
        <w:t>(c)</w:t>
      </w:r>
      <w:r>
        <w:tab/>
        <w:t>by reason of a runner not running in a race, or a participant not participating in an event, the contingency on which the wager is made cannot occur;</w:t>
      </w:r>
    </w:p>
    <w:p>
      <w:pPr>
        <w:pStyle w:val="Defstart"/>
      </w:pPr>
      <w:r>
        <w:rPr>
          <w:b/>
        </w:rPr>
        <w:tab/>
      </w:r>
      <w:r>
        <w:rPr>
          <w:rStyle w:val="CharDefText"/>
        </w:rPr>
        <w:t>prescribed commission</w:t>
      </w:r>
      <w:r>
        <w:t xml:space="preserve"> means the</w:t>
      </w:r>
      <w:r>
        <w:rPr>
          <w:b/>
          <w:bCs/>
        </w:rPr>
        <w:t xml:space="preserve"> </w:t>
      </w:r>
      <w:r>
        <w:t xml:space="preserve">amount prescribed by the </w:t>
      </w:r>
      <w:r>
        <w:rPr>
          <w:i/>
        </w:rPr>
        <w:t xml:space="preserve">Betting Control Regulations 1978 </w:t>
      </w:r>
      <w:r>
        <w:t>regulation 17C or 17D,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lastRenderedPageBreak/>
        <w:tab/>
      </w:r>
      <w:r>
        <w:rPr>
          <w:rStyle w:val="CharDefText"/>
        </w:rPr>
        <w:t>race</w:t>
      </w:r>
      <w:r>
        <w:t xml:space="preserve"> means a thoroughbred race, a harness race or a greyhound race, but does not include a trial;</w:t>
      </w:r>
    </w:p>
    <w:p>
      <w:pPr>
        <w:pStyle w:val="Defstart"/>
      </w:pPr>
      <w:r>
        <w:rPr>
          <w:b/>
        </w:rPr>
        <w:tab/>
      </w:r>
      <w:r>
        <w:rPr>
          <w:rStyle w:val="CharDefText"/>
        </w:rPr>
        <w:t>rules of racing</w:t>
      </w:r>
      <w:r>
        <w:t xml:space="preserve"> means rules made under the RWWA Act section 45;</w:t>
      </w:r>
    </w:p>
    <w:p>
      <w:pPr>
        <w:pStyle w:val="Defstart"/>
        <w:keepNex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the RWWA Act section 4;</w:t>
      </w:r>
    </w:p>
    <w:p>
      <w:pPr>
        <w:pStyle w:val="Defstart"/>
      </w:pPr>
      <w:r>
        <w:rPr>
          <w:b/>
        </w:rPr>
        <w:tab/>
      </w:r>
      <w:r>
        <w:rPr>
          <w:rStyle w:val="CharDefText"/>
        </w:rPr>
        <w:t>RWWA Act</w:t>
      </w:r>
      <w:r>
        <w:t xml:space="preserve"> means the </w:t>
      </w:r>
      <w:r>
        <w:rPr>
          <w:i/>
          <w:iCs/>
        </w:rPr>
        <w:t>Racing and Wagering Western Australia Act 2003</w:t>
      </w:r>
      <w:r>
        <w:t>;</w:t>
      </w:r>
    </w:p>
    <w:p>
      <w:pPr>
        <w:pStyle w:val="Defstart"/>
      </w:pPr>
      <w:r>
        <w:rPr>
          <w:b/>
        </w:rPr>
        <w:tab/>
      </w:r>
      <w:r>
        <w:rPr>
          <w:rStyle w:val="CharDefText"/>
        </w:rPr>
        <w:t>RWWA Regulations</w:t>
      </w:r>
      <w:r>
        <w:t xml:space="preserve"> means the </w:t>
      </w:r>
      <w:r>
        <w:rPr>
          <w:i/>
          <w:iCs/>
        </w:rPr>
        <w:t>Racing and Wagering Western Australia Regulations 2003</w:t>
      </w:r>
      <w:r>
        <w:t>;</w:t>
      </w:r>
    </w:p>
    <w:p>
      <w:pPr>
        <w:pStyle w:val="Defstart"/>
        <w:keepNex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keepNext/>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keepNext/>
      </w:pPr>
      <w:r>
        <w:tab/>
      </w:r>
      <w:r>
        <w:rPr>
          <w:rStyle w:val="CharDefText"/>
        </w:rPr>
        <w:t xml:space="preserve">starting price guarantee wager </w:t>
      </w:r>
      <w:r>
        <w:t>means a win wager where the odds for a runner are the higher of the fixed odds for that runner at the time of the wager and the final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lastRenderedPageBreak/>
        <w:tab/>
        <w:t>(ii)</w:t>
      </w:r>
      <w:r>
        <w:tab/>
        <w:t>RWWA — rule 62F(2);</w:t>
      </w:r>
    </w:p>
    <w:p>
      <w:pPr>
        <w:pStyle w:val="Defstart"/>
      </w:pPr>
    </w:p>
    <w:p>
      <w:pPr>
        <w:pStyle w:val="Defstart"/>
        <w:keepNext/>
      </w:pPr>
      <w:r>
        <w:rPr>
          <w:b/>
        </w:rPr>
        <w:tab/>
      </w:r>
      <w:r>
        <w:rPr>
          <w:rStyle w:val="CharDefText"/>
        </w:rPr>
        <w:t>starting price wager</w:t>
      </w:r>
      <w:r>
        <w:t xml:space="preserve"> means a win wager where the odds for a runner are equal to the final on</w:t>
      </w:r>
      <w:r>
        <w:noBreakHyphen/>
        <w:t xml:space="preserve">course bookmaker’s odds for the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pPr>
      <w:r>
        <w:tab/>
      </w:r>
      <w:r>
        <w:rPr>
          <w:rStyle w:val="CharDefText"/>
        </w:rPr>
        <w:t>top fluc wager</w:t>
      </w:r>
      <w:r>
        <w:t xml:space="preserve"> means a win wager where the odds for a runner are the highest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51A(2); or</w:t>
      </w:r>
    </w:p>
    <w:p>
      <w:pPr>
        <w:pStyle w:val="Defsubpara"/>
      </w:pPr>
      <w:r>
        <w:tab/>
        <w:t>(ii)</w:t>
      </w:r>
      <w:r>
        <w:tab/>
        <w:t>RWWA — rule 62F(4);</w:t>
      </w:r>
    </w:p>
    <w:p>
      <w:pPr>
        <w:pStyle w:val="Defstart"/>
      </w:pP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t>
      </w:r>
      <w:r>
        <w:lastRenderedPageBreak/>
        <w:t>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the RWWA Act section 64;</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approved event or sporting event.</w:t>
      </w:r>
    </w:p>
    <w:p>
      <w:pPr>
        <w:pStyle w:val="Subsection"/>
        <w:keepNext/>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 15 Mar 2019 p. 798-9; SL 2021/188 r. 4; SL 2025/175 r. 4.]</w:t>
      </w:r>
    </w:p>
    <w:p>
      <w:pPr>
        <w:pStyle w:val="Heading5"/>
        <w:keepNext w:val="0"/>
        <w:keepLines w:val="0"/>
        <w:spacing w:before="180"/>
      </w:pPr>
      <w:bookmarkStart w:id="9" w:name="_Toc210395228"/>
      <w:r>
        <w:rPr>
          <w:rStyle w:val="CharSectno"/>
        </w:rPr>
        <w:t>4</w:t>
      </w:r>
      <w:r>
        <w:t>.</w:t>
      </w:r>
      <w:r>
        <w:tab/>
        <w:t>Application</w:t>
      </w:r>
      <w:bookmarkEnd w:id="9"/>
    </w:p>
    <w:p>
      <w:pPr>
        <w:pStyle w:val="Subsection"/>
        <w:keepNext/>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lastRenderedPageBreak/>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keepNext/>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0" w:name="_Toc210395229"/>
      <w:r>
        <w:rPr>
          <w:rStyle w:val="CharSectno"/>
        </w:rPr>
        <w:t>5</w:t>
      </w:r>
      <w:r>
        <w:t>.</w:t>
      </w:r>
      <w:r>
        <w:tab/>
      </w:r>
      <w:r>
        <w:rPr>
          <w:szCs w:val="18"/>
        </w:rPr>
        <w:t>Matters not covered by these rules</w:t>
      </w:r>
      <w:bookmarkEnd w:id="10"/>
    </w:p>
    <w:p>
      <w:pPr>
        <w:pStyle w:val="Subsection"/>
        <w:keepNext/>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keepNext/>
      </w:pPr>
      <w:r>
        <w:lastRenderedPageBreak/>
        <w:tab/>
        <w:t>(2)</w:t>
      </w:r>
      <w:r>
        <w:tab/>
        <w:t>A determination under subrule (1) is final and binding and, unless a written law otherwise provides, not subject to further review.</w:t>
      </w:r>
    </w:p>
    <w:p>
      <w:pPr>
        <w:pStyle w:val="Footnotesection"/>
        <w:keepNext/>
      </w:pPr>
      <w:r>
        <w:tab/>
        <w:t>[Rule 5 amended: Gazette 29 Nov 2013 p.</w:t>
      </w:r>
      <w:r>
        <w:rPr>
          <w:sz w:val="19"/>
        </w:rPr>
        <w:t> </w:t>
      </w:r>
      <w:r>
        <w:t>5469.]</w:t>
      </w:r>
    </w:p>
    <w:p>
      <w:pPr>
        <w:pStyle w:val="Heading5"/>
        <w:rPr>
          <w:szCs w:val="18"/>
        </w:rPr>
      </w:pPr>
      <w:bookmarkStart w:id="11" w:name="_Toc210395230"/>
      <w:r>
        <w:rPr>
          <w:rStyle w:val="CharSectno"/>
        </w:rPr>
        <w:t>6</w:t>
      </w:r>
      <w:r>
        <w:rPr>
          <w:szCs w:val="18"/>
        </w:rPr>
        <w:t>.</w:t>
      </w:r>
      <w:r>
        <w:rPr>
          <w:szCs w:val="18"/>
        </w:rPr>
        <w:tab/>
        <w:t>Copy of these rules to be available</w:t>
      </w:r>
      <w:bookmarkEnd w:id="11"/>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12" w:name="_Toc210382597"/>
      <w:bookmarkStart w:id="13" w:name="_Toc210383604"/>
      <w:bookmarkStart w:id="14" w:name="_Toc210395124"/>
      <w:bookmarkStart w:id="15" w:name="_Toc210395231"/>
      <w:r>
        <w:rPr>
          <w:rStyle w:val="CharPartNo"/>
        </w:rPr>
        <w:lastRenderedPageBreak/>
        <w:t>Part 2</w:t>
      </w:r>
      <w:r>
        <w:rPr>
          <w:rStyle w:val="CharDivNo"/>
        </w:rPr>
        <w:t> </w:t>
      </w:r>
      <w:r>
        <w:t>—</w:t>
      </w:r>
      <w:r>
        <w:rPr>
          <w:rStyle w:val="CharDivText"/>
        </w:rPr>
        <w:t> </w:t>
      </w:r>
      <w:r>
        <w:rPr>
          <w:rStyle w:val="CharPartText"/>
        </w:rPr>
        <w:t>Conduct of totalisator wagering generally</w:t>
      </w:r>
      <w:bookmarkEnd w:id="12"/>
      <w:bookmarkEnd w:id="13"/>
      <w:bookmarkEnd w:id="14"/>
      <w:bookmarkEnd w:id="15"/>
    </w:p>
    <w:p>
      <w:pPr>
        <w:pStyle w:val="Heading5"/>
      </w:pPr>
      <w:bookmarkStart w:id="16" w:name="_Toc210395232"/>
      <w:r>
        <w:rPr>
          <w:rStyle w:val="CharSectno"/>
        </w:rPr>
        <w:t>7</w:t>
      </w:r>
      <w:r>
        <w:t>.</w:t>
      </w:r>
      <w:r>
        <w:tab/>
        <w:t>Supervision of wagering by on</w:t>
      </w:r>
      <w:r>
        <w:noBreakHyphen/>
        <w:t>course totalisators</w:t>
      </w:r>
      <w:bookmarkEnd w:id="16"/>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17" w:name="_Toc210395233"/>
      <w:r>
        <w:rPr>
          <w:rStyle w:val="CharSectno"/>
        </w:rPr>
        <w:t>8</w:t>
      </w:r>
      <w:r>
        <w:t>.</w:t>
      </w:r>
      <w:r>
        <w:tab/>
        <w:t>Racing club to appoint on</w:t>
      </w:r>
      <w:r>
        <w:noBreakHyphen/>
        <w:t>course totalisator manager</w:t>
      </w:r>
      <w:bookmarkEnd w:id="17"/>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18" w:name="_Toc210395234"/>
      <w:r>
        <w:rPr>
          <w:rStyle w:val="CharSectno"/>
        </w:rPr>
        <w:t>9</w:t>
      </w:r>
      <w:r>
        <w:t>.</w:t>
      </w:r>
      <w:r>
        <w:tab/>
        <w:t>Duty to report non</w:t>
      </w:r>
      <w:r>
        <w:noBreakHyphen/>
        <w:t>compliance</w:t>
      </w:r>
      <w:bookmarkEnd w:id="18"/>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19" w:name="_Toc210395235"/>
      <w:r>
        <w:rPr>
          <w:rStyle w:val="CharSectno"/>
        </w:rPr>
        <w:t>10</w:t>
      </w:r>
      <w:r>
        <w:t>.</w:t>
      </w:r>
      <w:r>
        <w:tab/>
        <w:t>Changes affecting wagering to be advised</w:t>
      </w:r>
      <w:bookmarkEnd w:id="19"/>
    </w:p>
    <w:p>
      <w:pPr>
        <w:pStyle w:val="Subsection"/>
        <w:keepNext/>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lastRenderedPageBreak/>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20" w:name="_Toc210395236"/>
      <w:r>
        <w:rPr>
          <w:rStyle w:val="CharSectno"/>
        </w:rPr>
        <w:t>11</w:t>
      </w:r>
      <w:r>
        <w:t>.</w:t>
      </w:r>
      <w:r>
        <w:tab/>
        <w:t>Numbering of runner on totalisator</w:t>
      </w:r>
      <w:bookmarkEnd w:id="20"/>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21" w:name="_Toc210395237"/>
      <w:r>
        <w:rPr>
          <w:rStyle w:val="CharSectno"/>
        </w:rPr>
        <w:t>12</w:t>
      </w:r>
      <w:r>
        <w:t>.</w:t>
      </w:r>
      <w:r>
        <w:tab/>
        <w:t>Display of anticipated dividends</w:t>
      </w:r>
      <w:bookmarkEnd w:id="21"/>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22" w:name="_Toc210395238"/>
      <w:r>
        <w:rPr>
          <w:rStyle w:val="CharSectno"/>
        </w:rPr>
        <w:t>13</w:t>
      </w:r>
      <w:r>
        <w:t>.</w:t>
      </w:r>
      <w:r>
        <w:tab/>
        <w:t>When dividends become payable</w:t>
      </w:r>
      <w:bookmarkEnd w:id="22"/>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 xml:space="preserve">A dividend declared in accordance with subrule (1) is final despite any subsequent order or decision of the stewards, RWWA, the Racing Penalties Appeal Tribunal or of any court or otherwise, to declare any other runner to be the winner or </w:t>
      </w:r>
      <w:r>
        <w:lastRenderedPageBreak/>
        <w:t>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23" w:name="_Toc210395239"/>
      <w:r>
        <w:rPr>
          <w:rStyle w:val="CharSectno"/>
        </w:rPr>
        <w:t>14</w:t>
      </w:r>
      <w:r>
        <w:t>.</w:t>
      </w:r>
      <w:r>
        <w:tab/>
        <w:t>Exhibiting of dividends</w:t>
      </w:r>
      <w:bookmarkEnd w:id="23"/>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24" w:name="_Toc210395240"/>
      <w:r>
        <w:rPr>
          <w:rStyle w:val="CharSectno"/>
        </w:rPr>
        <w:t>15</w:t>
      </w:r>
      <w:r>
        <w:t>.</w:t>
      </w:r>
      <w:r>
        <w:tab/>
        <w:t>Wagers that contravene rules of racing not permitted</w:t>
      </w:r>
      <w:bookmarkEnd w:id="24"/>
    </w:p>
    <w:p>
      <w:pPr>
        <w:pStyle w:val="Subsection"/>
      </w:pPr>
      <w:r>
        <w:tab/>
      </w:r>
      <w:r>
        <w:tab/>
        <w:t>A totalisator operator is not permitted to receive or make a wager that contravenes the rules of racing made under section 45 of the RWWA Act.</w:t>
      </w:r>
    </w:p>
    <w:p>
      <w:pPr>
        <w:pStyle w:val="Heading2"/>
      </w:pPr>
      <w:bookmarkStart w:id="25" w:name="_Toc210382607"/>
      <w:bookmarkStart w:id="26" w:name="_Toc210383614"/>
      <w:bookmarkStart w:id="27" w:name="_Toc210395134"/>
      <w:bookmarkStart w:id="28" w:name="_Toc210395241"/>
      <w:r>
        <w:rPr>
          <w:rStyle w:val="CharPartNo"/>
        </w:rPr>
        <w:lastRenderedPageBreak/>
        <w:t>Part 3</w:t>
      </w:r>
      <w:r>
        <w:rPr>
          <w:rStyle w:val="CharDivNo"/>
        </w:rPr>
        <w:t> </w:t>
      </w:r>
      <w:r>
        <w:t>—</w:t>
      </w:r>
      <w:r>
        <w:rPr>
          <w:rStyle w:val="CharDivText"/>
        </w:rPr>
        <w:t> </w:t>
      </w:r>
      <w:r>
        <w:rPr>
          <w:rStyle w:val="CharPartText"/>
        </w:rPr>
        <w:t>Rules of totalisator wagering</w:t>
      </w:r>
      <w:bookmarkEnd w:id="25"/>
      <w:bookmarkEnd w:id="26"/>
      <w:bookmarkEnd w:id="27"/>
      <w:bookmarkEnd w:id="28"/>
    </w:p>
    <w:p>
      <w:pPr>
        <w:pStyle w:val="Heading5"/>
        <w:spacing w:before="240"/>
      </w:pPr>
      <w:bookmarkStart w:id="29" w:name="_Toc210395242"/>
      <w:r>
        <w:rPr>
          <w:rStyle w:val="CharSectno"/>
        </w:rPr>
        <w:t>16</w:t>
      </w:r>
      <w:r>
        <w:t>.</w:t>
      </w:r>
      <w:r>
        <w:tab/>
        <w:t>Totalisator pools — win and place wagers</w:t>
      </w:r>
      <w:bookmarkEnd w:id="29"/>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w:t>
      </w:r>
      <w:r>
        <w:lastRenderedPageBreak/>
        <w:t xml:space="preserve">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 xml:space="preserve">divide and set aside the amount then remaining in the pool in 2 equal parts on behalf of the other 2 placed </w:t>
      </w:r>
      <w:r>
        <w:lastRenderedPageBreak/>
        <w:t>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lastRenderedPageBreak/>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lastRenderedPageBreak/>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30" w:name="_Toc210395243"/>
      <w:r>
        <w:rPr>
          <w:rStyle w:val="CharSectno"/>
        </w:rPr>
        <w:t>17</w:t>
      </w:r>
      <w:r>
        <w:t>.</w:t>
      </w:r>
      <w:r>
        <w:tab/>
        <w:t>Totalisator pools – novelty wagers on races</w:t>
      </w:r>
      <w:bookmarkEnd w:id="30"/>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lastRenderedPageBreak/>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31" w:name="_Toc210395244"/>
      <w:r>
        <w:rPr>
          <w:rStyle w:val="CharSectno"/>
        </w:rPr>
        <w:t>18</w:t>
      </w:r>
      <w:r>
        <w:t>.</w:t>
      </w:r>
      <w:r>
        <w:tab/>
        <w:t>Dividends on novelty wagers</w:t>
      </w:r>
      <w:bookmarkEnd w:id="31"/>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lastRenderedPageBreak/>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 xml:space="preserve">if no wager placed in the totalisator pool concerned is a winning wager, the totalisator operator is to deduct the prescribed commission from the sum of the wagers included in the pool and carry forward the balance and </w:t>
      </w:r>
      <w:r>
        <w:lastRenderedPageBreak/>
        <w:t>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lastRenderedPageBreak/>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32" w:name="_Toc210395245"/>
      <w:r>
        <w:rPr>
          <w:rStyle w:val="CharSectno"/>
        </w:rPr>
        <w:t>18A</w:t>
      </w:r>
      <w:r>
        <w:t>.</w:t>
      </w:r>
      <w:r>
        <w:tab/>
        <w:t>Dividends on novelty wagers if less than one unit invested on correct selections</w:t>
      </w:r>
      <w:bookmarkEnd w:id="32"/>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lastRenderedPageBreak/>
        <w:tab/>
        <w:t>ui</w:t>
      </w:r>
      <w:r>
        <w:rPr>
          <w:b/>
        </w:rPr>
        <w:tab/>
      </w:r>
      <w:r>
        <w:t>is the unit of investment for the relevant novelty wager;</w:t>
      </w:r>
    </w:p>
    <w:p>
      <w:pPr>
        <w:pStyle w:val="Indenta"/>
      </w:pPr>
      <w:r>
        <w:tab/>
      </w:r>
      <w:r>
        <w:tab/>
        <w:t>and</w:t>
      </w:r>
    </w:p>
    <w:p>
      <w:pPr>
        <w:pStyle w:val="Indenta"/>
        <w:keepNext/>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keepNext/>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33" w:name="_Toc210395246"/>
      <w:r>
        <w:rPr>
          <w:rStyle w:val="CharSectno"/>
        </w:rPr>
        <w:t>19</w:t>
      </w:r>
      <w:r>
        <w:t>.</w:t>
      </w:r>
      <w:r>
        <w:tab/>
        <w:t>Double event wagers on races</w:t>
      </w:r>
      <w:bookmarkEnd w:id="33"/>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 xml:space="preserve">Where the first race of a double event has already been run and the race that would have comprised the second race of that </w:t>
      </w:r>
      <w:r>
        <w:lastRenderedPageBreak/>
        <w:t>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34" w:name="_Toc210395247"/>
      <w:r>
        <w:rPr>
          <w:rStyle w:val="CharSectno"/>
        </w:rPr>
        <w:t>20</w:t>
      </w:r>
      <w:r>
        <w:t>.</w:t>
      </w:r>
      <w:r>
        <w:tab/>
        <w:t>Favourite numbers wagers</w:t>
      </w:r>
      <w:bookmarkEnd w:id="34"/>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lastRenderedPageBreak/>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keepNext/>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 xml:space="preserve">If there are no wagers nominating the required number of successful numbers as reduced under subrule (6) the totalisator operator is to progressively reduce by one the number of </w:t>
      </w:r>
      <w:r>
        <w:lastRenderedPageBreak/>
        <w:t>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35" w:name="_Toc210395248"/>
      <w:r>
        <w:rPr>
          <w:rStyle w:val="CharSectno"/>
        </w:rPr>
        <w:t>21</w:t>
      </w:r>
      <w:r>
        <w:t>.</w:t>
      </w:r>
      <w:r>
        <w:tab/>
        <w:t>Determination of totalisator favourite</w:t>
      </w:r>
      <w:bookmarkEnd w:id="35"/>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 xml:space="preserve">If in a race there have been invested on 2 or more runners equal win wager amounts, each of which is greater than the amount so invested on any other runner starting in the race, the totalisator favourite is to be taken to be whichever of those equally backed </w:t>
      </w:r>
      <w:r>
        <w:lastRenderedPageBreak/>
        <w:t>runners has assigned to it the lowest number in the list of starters exhibited by the totalisator operator for the race.</w:t>
      </w:r>
    </w:p>
    <w:p>
      <w:pPr>
        <w:pStyle w:val="Heading5"/>
      </w:pPr>
      <w:bookmarkStart w:id="36" w:name="_Toc210395249"/>
      <w:r>
        <w:rPr>
          <w:rStyle w:val="CharSectno"/>
        </w:rPr>
        <w:t>22</w:t>
      </w:r>
      <w:r>
        <w:t>.</w:t>
      </w:r>
      <w:r>
        <w:tab/>
        <w:t>Quaddie wagers</w:t>
      </w:r>
      <w:bookmarkEnd w:id="36"/>
    </w:p>
    <w:p>
      <w:pPr>
        <w:pStyle w:val="Subsection"/>
        <w:keepNext/>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lastRenderedPageBreak/>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keepNext/>
      </w:pPr>
      <w:r>
        <w:tab/>
        <w:t>(9)</w:t>
      </w:r>
      <w:r>
        <w:tab/>
        <w:t xml:space="preserve">If there are no winning wagers on a particular group of races nominated as being the 4 races on which quaddie wagers are taken, the totalisator operator is to deduct the prescribed </w:t>
      </w:r>
      <w:r>
        <w:lastRenderedPageBreak/>
        <w:t xml:space="preserve">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keepNext/>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keepNext/>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37" w:name="_Toc210395250"/>
      <w:r>
        <w:rPr>
          <w:rStyle w:val="CharSectno"/>
        </w:rPr>
        <w:t>22A</w:t>
      </w:r>
      <w:r>
        <w:t>.</w:t>
      </w:r>
      <w:r>
        <w:tab/>
        <w:t>Flexi Bets</w:t>
      </w:r>
      <w:bookmarkEnd w:id="37"/>
    </w:p>
    <w:p>
      <w:pPr>
        <w:pStyle w:val="Subsection"/>
      </w:pPr>
      <w:r>
        <w:tab/>
        <w:t>(1)</w:t>
      </w:r>
      <w:r>
        <w:tab/>
        <w:t>A Flexi Bet is available on a novelty wager.</w:t>
      </w:r>
    </w:p>
    <w:p>
      <w:pPr>
        <w:pStyle w:val="Subsection"/>
      </w:pPr>
      <w:r>
        <w:lastRenderedPageBreak/>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38" w:name="_Toc210395251"/>
      <w:r>
        <w:rPr>
          <w:rStyle w:val="CharSectno"/>
        </w:rPr>
        <w:lastRenderedPageBreak/>
        <w:t>23</w:t>
      </w:r>
      <w:r>
        <w:t>.</w:t>
      </w:r>
      <w:r>
        <w:tab/>
        <w:t>Totalisator pools – sporting events</w:t>
      </w:r>
      <w:bookmarkEnd w:id="38"/>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keepNext/>
            </w:pPr>
            <w:r>
              <w:t>Any game of rugby union or series of games of rugby union.</w:t>
            </w:r>
          </w:p>
        </w:tc>
      </w:tr>
      <w:tr>
        <w:tc>
          <w:tcPr>
            <w:tcW w:w="5244" w:type="dxa"/>
          </w:tcPr>
          <w:p>
            <w:pPr>
              <w:pStyle w:val="TableNAm"/>
              <w:keepNext/>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39" w:name="_Toc210395252"/>
      <w:r>
        <w:rPr>
          <w:rStyle w:val="CharSectno"/>
        </w:rPr>
        <w:lastRenderedPageBreak/>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39"/>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765"/>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r>
        <w:tab/>
        <w:t>[Rule 24 amended: Gazette 22 Mar 2016 p. 837.]</w:t>
      </w:r>
    </w:p>
    <w:p>
      <w:pPr>
        <w:pStyle w:val="Heading5"/>
      </w:pPr>
      <w:bookmarkStart w:id="40" w:name="_Toc210395253"/>
      <w:r>
        <w:rPr>
          <w:rStyle w:val="CharSectno"/>
        </w:rPr>
        <w:t>25</w:t>
      </w:r>
      <w:r>
        <w:t>.</w:t>
      </w:r>
      <w:r>
        <w:tab/>
        <w:t>Sports tipping wagers</w:t>
      </w:r>
      <w:bookmarkEnd w:id="40"/>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w:t>
      </w:r>
      <w:r>
        <w:lastRenderedPageBreak/>
        <w:t>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keepNext/>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keepNext/>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41" w:name="_Toc210395254"/>
      <w:r>
        <w:rPr>
          <w:rStyle w:val="CharSectno"/>
        </w:rPr>
        <w:lastRenderedPageBreak/>
        <w:t>26</w:t>
      </w:r>
      <w:r>
        <w:t>.</w:t>
      </w:r>
      <w:r>
        <w:tab/>
        <w:t>Wagers on Australian Rules Football</w:t>
      </w:r>
      <w:bookmarkEnd w:id="41"/>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42" w:name="_Toc210395255"/>
      <w:r>
        <w:rPr>
          <w:rStyle w:val="CharSectno"/>
        </w:rPr>
        <w:lastRenderedPageBreak/>
        <w:t>27</w:t>
      </w:r>
      <w:r>
        <w:t>.</w:t>
      </w:r>
      <w:r>
        <w:tab/>
        <w:t>Footo wagers</w:t>
      </w:r>
      <w:bookmarkEnd w:id="42"/>
    </w:p>
    <w:p>
      <w:pPr>
        <w:pStyle w:val="Subsection"/>
        <w:keepNext/>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43" w:name="_Toc210395256"/>
      <w:r>
        <w:rPr>
          <w:rStyle w:val="CharSectno"/>
        </w:rPr>
        <w:t>28</w:t>
      </w:r>
      <w:r>
        <w:t>.</w:t>
      </w:r>
      <w:r>
        <w:tab/>
        <w:t>Wagers on cricket</w:t>
      </w:r>
      <w:bookmarkEnd w:id="43"/>
    </w:p>
    <w:p>
      <w:pPr>
        <w:pStyle w:val="Subsection"/>
      </w:pPr>
      <w:r>
        <w:tab/>
        <w:t>(1)</w:t>
      </w:r>
      <w:r>
        <w:tab/>
        <w:t>The totalisator operator may make and accept wagers on cricket in accordance with these rules.</w:t>
      </w:r>
    </w:p>
    <w:p>
      <w:pPr>
        <w:pStyle w:val="Subsection"/>
        <w:keepNext/>
      </w:pPr>
      <w:r>
        <w:lastRenderedPageBreak/>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 xml:space="preserve">Where a match is selected, but the match is cancelled, or postponed from one day to another, then all amounts of wagers </w:t>
      </w:r>
      <w:r>
        <w:lastRenderedPageBreak/>
        <w:t>made in respect of that match are to be refunded by the totalisator operator.</w:t>
      </w:r>
    </w:p>
    <w:p>
      <w:pPr>
        <w:pStyle w:val="Heading5"/>
      </w:pPr>
      <w:bookmarkStart w:id="44" w:name="_Toc210395257"/>
      <w:r>
        <w:rPr>
          <w:rStyle w:val="CharSectno"/>
        </w:rPr>
        <w:t>29</w:t>
      </w:r>
      <w:r>
        <w:t>.</w:t>
      </w:r>
      <w:r>
        <w:tab/>
        <w:t>Wagers on sporting events</w:t>
      </w:r>
      <w:bookmarkEnd w:id="44"/>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45" w:name="_Toc210382624"/>
      <w:bookmarkStart w:id="46" w:name="_Toc210383631"/>
      <w:bookmarkStart w:id="47" w:name="_Toc210395151"/>
      <w:bookmarkStart w:id="48" w:name="_Toc210395258"/>
      <w:r>
        <w:rPr>
          <w:rStyle w:val="CharPartNo"/>
        </w:rPr>
        <w:lastRenderedPageBreak/>
        <w:t>Part 4</w:t>
      </w:r>
      <w:r>
        <w:rPr>
          <w:rStyle w:val="CharDivNo"/>
        </w:rPr>
        <w:t> </w:t>
      </w:r>
      <w:r>
        <w:t>—</w:t>
      </w:r>
      <w:r>
        <w:rPr>
          <w:rStyle w:val="CharDivText"/>
        </w:rPr>
        <w:t> </w:t>
      </w:r>
      <w:r>
        <w:rPr>
          <w:rStyle w:val="CharPartText"/>
        </w:rPr>
        <w:t>Conduct of bookmaker wagering generally</w:t>
      </w:r>
      <w:bookmarkEnd w:id="45"/>
      <w:bookmarkEnd w:id="46"/>
      <w:bookmarkEnd w:id="47"/>
      <w:bookmarkEnd w:id="48"/>
    </w:p>
    <w:p>
      <w:pPr>
        <w:pStyle w:val="Heading5"/>
      </w:pPr>
      <w:bookmarkStart w:id="49" w:name="_Toc210395259"/>
      <w:r>
        <w:rPr>
          <w:rStyle w:val="CharSectno"/>
        </w:rPr>
        <w:t>30</w:t>
      </w:r>
      <w:r>
        <w:t>.</w:t>
      </w:r>
      <w:r>
        <w:tab/>
        <w:t>Application</w:t>
      </w:r>
      <w:bookmarkEnd w:id="49"/>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 xml:space="preserve">a reference to a race or a race meeting includes a reference to an approved event and a designated sporting event under section 4A of the </w:t>
      </w:r>
      <w:r>
        <w:rPr>
          <w:i/>
        </w:rPr>
        <w:t>Betting Control Act 1954</w:t>
      </w:r>
      <w:r>
        <w: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Footnotesection"/>
      </w:pPr>
      <w:r>
        <w:tab/>
        <w:t>[Rule 30 amended: Gazette 15 Mar 2019 p. 799.]</w:t>
      </w:r>
    </w:p>
    <w:p>
      <w:pPr>
        <w:pStyle w:val="Heading5"/>
        <w:spacing w:before="180"/>
      </w:pPr>
      <w:bookmarkStart w:id="50" w:name="_Toc210395260"/>
      <w:r>
        <w:rPr>
          <w:rStyle w:val="CharSectno"/>
        </w:rPr>
        <w:t>31</w:t>
      </w:r>
      <w:r>
        <w:t>.</w:t>
      </w:r>
      <w:r>
        <w:tab/>
        <w:t>Bookmakers, bookmaker’s managers and bookmaker’s employees to be licensed</w:t>
      </w:r>
      <w:bookmarkEnd w:id="50"/>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51" w:name="_Toc210395261"/>
      <w:r>
        <w:rPr>
          <w:rStyle w:val="CharSectno"/>
        </w:rPr>
        <w:lastRenderedPageBreak/>
        <w:t>32</w:t>
      </w:r>
      <w:r>
        <w:t>.</w:t>
      </w:r>
      <w:r>
        <w:tab/>
        <w:t>Bookmakers to operate in accordance with permit issued by racing club</w:t>
      </w:r>
      <w:bookmarkEnd w:id="51"/>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52" w:name="_Toc210395262"/>
      <w:r>
        <w:rPr>
          <w:rStyle w:val="CharSectno"/>
        </w:rPr>
        <w:t>33</w:t>
      </w:r>
      <w:r>
        <w:t>.</w:t>
      </w:r>
      <w:r>
        <w:tab/>
        <w:t>Bookmaker’s agents and substitutes</w:t>
      </w:r>
      <w:bookmarkEnd w:id="52"/>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w:t>
      </w:r>
      <w:r>
        <w:lastRenderedPageBreak/>
        <w:t xml:space="preserve">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53" w:name="_Toc210395263"/>
      <w:r>
        <w:rPr>
          <w:rStyle w:val="CharSectno"/>
        </w:rPr>
        <w:t>34</w:t>
      </w:r>
      <w:r>
        <w:t>.</w:t>
      </w:r>
      <w:r>
        <w:tab/>
        <w:t>Temporary bookmaker’s employee licence</w:t>
      </w:r>
      <w:bookmarkEnd w:id="53"/>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keepNext/>
      </w:pPr>
      <w:r>
        <w:lastRenderedPageBreak/>
        <w:tab/>
        <w:t>(3)</w:t>
      </w:r>
      <w:r>
        <w:tab/>
        <w:t xml:space="preserve">A steward to whom an application referred to in subrule (1) or (2) is made may, under section 12A(2) of the </w:t>
      </w:r>
      <w:r>
        <w:rPr>
          <w:i/>
          <w:iCs/>
        </w:rPr>
        <w:t>Betting Control Act 1954</w:t>
      </w:r>
      <w:r>
        <w:t xml:space="preserve"> — </w:t>
      </w:r>
    </w:p>
    <w:p>
      <w:pPr>
        <w:pStyle w:val="Indenta"/>
        <w:keepNext/>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lastRenderedPageBreak/>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54" w:name="_Toc210395264"/>
      <w:r>
        <w:rPr>
          <w:rStyle w:val="CharSectno"/>
        </w:rPr>
        <w:t>35</w:t>
      </w:r>
      <w:r>
        <w:t>.</w:t>
      </w:r>
      <w:r>
        <w:tab/>
        <w:t>Supervision of wagering by bookmakers</w:t>
      </w:r>
      <w:bookmarkEnd w:id="54"/>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55" w:name="_Toc210395265"/>
      <w:r>
        <w:rPr>
          <w:rStyle w:val="CharSectno"/>
        </w:rPr>
        <w:t>36</w:t>
      </w:r>
      <w:r>
        <w:t>.</w:t>
      </w:r>
      <w:r>
        <w:tab/>
        <w:t>Duty to report non</w:t>
      </w:r>
      <w:r>
        <w:noBreakHyphen/>
        <w:t>compliance</w:t>
      </w:r>
      <w:bookmarkEnd w:id="55"/>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56" w:name="_Toc210395266"/>
      <w:r>
        <w:rPr>
          <w:rStyle w:val="CharSectno"/>
        </w:rPr>
        <w:t>37</w:t>
      </w:r>
      <w:r>
        <w:t>.</w:t>
      </w:r>
      <w:r>
        <w:tab/>
        <w:t>Record of wagering transactions</w:t>
      </w:r>
      <w:bookmarkEnd w:id="56"/>
    </w:p>
    <w:p>
      <w:pPr>
        <w:pStyle w:val="Subsection"/>
        <w:keepNext/>
      </w:pPr>
      <w:r>
        <w:tab/>
        <w:t>(1)</w:t>
      </w:r>
      <w:r>
        <w:tab/>
        <w:t xml:space="preserve">A bookmaker conducting wagering at a racecourse is to, in respect of each race meeting on which the bookmaker is </w:t>
      </w:r>
      <w:r>
        <w:lastRenderedPageBreak/>
        <w:t xml:space="preserve">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an approved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lastRenderedPageBreak/>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lastRenderedPageBreak/>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 15 Mar 2019 p. 800-1.]</w:t>
      </w:r>
    </w:p>
    <w:p>
      <w:pPr>
        <w:pStyle w:val="Heading5"/>
      </w:pPr>
      <w:bookmarkStart w:id="57" w:name="_Toc210395267"/>
      <w:r>
        <w:rPr>
          <w:rStyle w:val="CharSectno"/>
        </w:rPr>
        <w:t>38</w:t>
      </w:r>
      <w:r>
        <w:t>.</w:t>
      </w:r>
      <w:r>
        <w:tab/>
        <w:t>Tickets</w:t>
      </w:r>
      <w:bookmarkEnd w:id="57"/>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Commission’s name.</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Footnotesection"/>
      </w:pPr>
      <w:r>
        <w:tab/>
        <w:t>[Rule 38 amended: Gazette 15 Mar 2019 p. 799.]</w:t>
      </w:r>
    </w:p>
    <w:p>
      <w:pPr>
        <w:pStyle w:val="Heading5"/>
      </w:pPr>
      <w:bookmarkStart w:id="58" w:name="_Toc210395268"/>
      <w:r>
        <w:rPr>
          <w:rStyle w:val="CharSectno"/>
        </w:rPr>
        <w:t>39</w:t>
      </w:r>
      <w:r>
        <w:t>.</w:t>
      </w:r>
      <w:r>
        <w:tab/>
        <w:t>Betting stands</w:t>
      </w:r>
      <w:bookmarkEnd w:id="58"/>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lastRenderedPageBreak/>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keepNext/>
        <w:keepLines/>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59" w:name="_Toc210395269"/>
      <w:r>
        <w:rPr>
          <w:rStyle w:val="CharSectno"/>
        </w:rPr>
        <w:t>40</w:t>
      </w:r>
      <w:r>
        <w:t>.</w:t>
      </w:r>
      <w:r>
        <w:tab/>
        <w:t>Betting boards, charts etc.</w:t>
      </w:r>
      <w:bookmarkEnd w:id="59"/>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 xml:space="preserve">is to display a betting board, chart, sign or other notice listing the names of the runners in each race in the same order as they appear in the official race book published for that race meeting or in the context of an approved </w:t>
      </w:r>
      <w:r>
        <w:lastRenderedPageBreak/>
        <w:t>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starting time of the first race (as determined by the relevant racing club or body conducting the race and notified to RWWA)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r>
        <w:t>5469; 15 Mar 2019 p. 799 and 800-1.]</w:t>
      </w:r>
    </w:p>
    <w:p>
      <w:pPr>
        <w:pStyle w:val="Ednotesection"/>
      </w:pPr>
      <w:r>
        <w:t>[</w:t>
      </w:r>
      <w:r>
        <w:rPr>
          <w:b/>
        </w:rPr>
        <w:t>41.</w:t>
      </w:r>
      <w:r>
        <w:tab/>
        <w:t>Deleted: Gazette 15 Mar 2019 p. 799.]</w:t>
      </w:r>
    </w:p>
    <w:p>
      <w:pPr>
        <w:pStyle w:val="Heading5"/>
      </w:pPr>
      <w:bookmarkStart w:id="60" w:name="_Toc210395270"/>
      <w:r>
        <w:rPr>
          <w:rStyle w:val="CharSectno"/>
        </w:rPr>
        <w:t>42</w:t>
      </w:r>
      <w:r>
        <w:t>.</w:t>
      </w:r>
      <w:r>
        <w:tab/>
        <w:t>Collection of wagering sheets</w:t>
      </w:r>
      <w:bookmarkEnd w:id="60"/>
    </w:p>
    <w:p>
      <w:pPr>
        <w:pStyle w:val="Subsection"/>
        <w:keepNext/>
      </w:pPr>
      <w:r>
        <w:tab/>
      </w:r>
      <w:r>
        <w:tab/>
        <w:t xml:space="preserve">A bookmaker conducting wagering at a racecourse is to cause to be delivered to a person authorised by the racing club to receive </w:t>
      </w:r>
      <w:r>
        <w:lastRenderedPageBreak/>
        <w:t>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Footnotesection"/>
      </w:pPr>
      <w:r>
        <w:tab/>
        <w:t>[Rule 42 amended: Gazette 15 Mar 2019 p. 799.]</w:t>
      </w:r>
    </w:p>
    <w:p>
      <w:pPr>
        <w:pStyle w:val="Ednotesection"/>
      </w:pPr>
      <w:r>
        <w:t>[</w:t>
      </w:r>
      <w:r>
        <w:rPr>
          <w:b/>
        </w:rPr>
        <w:t>43.</w:t>
      </w:r>
      <w:r>
        <w:tab/>
        <w:t>Deleted: Gazette 19 Nov 2021 p. 5144.]</w:t>
      </w:r>
    </w:p>
    <w:p>
      <w:pPr>
        <w:pStyle w:val="Heading5"/>
      </w:pPr>
      <w:bookmarkStart w:id="61" w:name="_Toc210395271"/>
      <w:r>
        <w:rPr>
          <w:rStyle w:val="CharSectno"/>
        </w:rPr>
        <w:t>44</w:t>
      </w:r>
      <w:r>
        <w:t>.</w:t>
      </w:r>
      <w:r>
        <w:tab/>
        <w:t>Wagers with domestic betting operators and totalisators</w:t>
      </w:r>
      <w:bookmarkEnd w:id="61"/>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 xml:space="preserve">if the domestic betting operator is another bookmaker, the bookmaker receiving the wager is to record the name of the bookmaker making the wager, or on whose behalf </w:t>
      </w:r>
      <w:r>
        <w:lastRenderedPageBreak/>
        <w:t>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62" w:name="_Toc210395272"/>
      <w:r>
        <w:rPr>
          <w:rStyle w:val="CharSectno"/>
        </w:rPr>
        <w:t>45A</w:t>
      </w:r>
      <w:r>
        <w:t>.</w:t>
      </w:r>
      <w:r>
        <w:tab/>
        <w:t>Bet back by means of a betting exchange</w:t>
      </w:r>
      <w:bookmarkEnd w:id="62"/>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lastRenderedPageBreak/>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keepNext/>
        <w:keepLines/>
      </w:pPr>
      <w:r>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63" w:name="_Toc210395273"/>
      <w:r>
        <w:rPr>
          <w:rStyle w:val="CharSectno"/>
        </w:rPr>
        <w:t>45</w:t>
      </w:r>
      <w:r>
        <w:t>.</w:t>
      </w:r>
      <w:r>
        <w:tab/>
        <w:t>Telephone wagering</w:t>
      </w:r>
      <w:bookmarkEnd w:id="63"/>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by telephone where the wager relates to a runner in a race being conducted at a racecourse elsewhere in Western Australia,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lastRenderedPageBreak/>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lastRenderedPageBreak/>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Footnotesection"/>
      </w:pPr>
      <w:r>
        <w:tab/>
        <w:t>[Rule 45 amended: Gazette 15 Mar 2019 p. 800-1.]</w:t>
      </w:r>
    </w:p>
    <w:p>
      <w:pPr>
        <w:pStyle w:val="Heading5"/>
      </w:pPr>
      <w:bookmarkStart w:id="64" w:name="_Toc210395274"/>
      <w:r>
        <w:rPr>
          <w:rStyle w:val="CharSectno"/>
        </w:rPr>
        <w:t>46</w:t>
      </w:r>
      <w:r>
        <w:t>.</w:t>
      </w:r>
      <w:r>
        <w:tab/>
        <w:t>Internet wagering</w:t>
      </w:r>
      <w:bookmarkEnd w:id="64"/>
    </w:p>
    <w:p>
      <w:pPr>
        <w:pStyle w:val="Subsection"/>
      </w:pPr>
      <w:r>
        <w:tab/>
        <w:t>(1)</w:t>
      </w:r>
      <w:r>
        <w:tab/>
        <w:t xml:space="preserve">Subject to subrule (2), a bookmaker conducting wagering on a racecourse may, if authorised by the Commission and by the committee or other authority controlling the racecourse, negotiate and accept wagers communicated to the bookmaker by </w:t>
      </w:r>
      <w:r>
        <w:lastRenderedPageBreak/>
        <w:t>internet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via the internet where the wager relates to a runner in a race being conducted at a racecourse elsewhere in Western Australia, unless the committee or other authority conducting that other race so permits.</w:t>
      </w:r>
    </w:p>
    <w:p>
      <w:pPr>
        <w:pStyle w:val="Subsection"/>
      </w:pPr>
      <w:r>
        <w:tab/>
        <w:t>(3)</w:t>
      </w:r>
      <w:r>
        <w:tab/>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keepNext/>
      </w:pPr>
      <w:r>
        <w:lastRenderedPageBreak/>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 xml:space="preserve">commitment facility where clients are able to indicate the maximum individual </w:t>
      </w:r>
      <w:r>
        <w:lastRenderedPageBreak/>
        <w:t>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committee or other authority controlling the racecourse in respect of each internet wager accepted, or alternatively, the committee or other authority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rPr>
          <w:i/>
          <w:iCs/>
        </w:rPr>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Footnotesection"/>
      </w:pPr>
      <w:r>
        <w:tab/>
        <w:t>[Rule 46 amended: Gazette 15 Mar 2019 p. 799 and 800-1.]</w:t>
      </w:r>
    </w:p>
    <w:p>
      <w:pPr>
        <w:pStyle w:val="Heading5"/>
      </w:pPr>
      <w:bookmarkStart w:id="65" w:name="_Toc210395275"/>
      <w:r>
        <w:rPr>
          <w:rStyle w:val="CharSectno"/>
        </w:rPr>
        <w:t>47</w:t>
      </w:r>
      <w:r>
        <w:t>.</w:t>
      </w:r>
      <w:r>
        <w:tab/>
        <w:t>Settling generally</w:t>
      </w:r>
      <w:bookmarkEnd w:id="65"/>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lastRenderedPageBreak/>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66" w:name="_Toc210395276"/>
      <w:r>
        <w:rPr>
          <w:rStyle w:val="CharSectno"/>
        </w:rPr>
        <w:t>48</w:t>
      </w:r>
      <w:r>
        <w:t>.</w:t>
      </w:r>
      <w:r>
        <w:tab/>
        <w:t>Defaulters in wagering</w:t>
      </w:r>
      <w:bookmarkEnd w:id="66"/>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67" w:name="_Toc210382643"/>
      <w:bookmarkStart w:id="68" w:name="_Toc210383650"/>
      <w:bookmarkStart w:id="69" w:name="_Toc210395170"/>
      <w:bookmarkStart w:id="70" w:name="_Toc210395277"/>
      <w:r>
        <w:rPr>
          <w:rStyle w:val="CharPartNo"/>
        </w:rPr>
        <w:lastRenderedPageBreak/>
        <w:t>Part 5</w:t>
      </w:r>
      <w:r>
        <w:rPr>
          <w:rStyle w:val="CharDivNo"/>
        </w:rPr>
        <w:t> </w:t>
      </w:r>
      <w:r>
        <w:t>—</w:t>
      </w:r>
      <w:r>
        <w:rPr>
          <w:rStyle w:val="CharDivText"/>
        </w:rPr>
        <w:t> </w:t>
      </w:r>
      <w:r>
        <w:rPr>
          <w:rStyle w:val="CharPartText"/>
        </w:rPr>
        <w:t>Rules of bookmaker wagering</w:t>
      </w:r>
      <w:bookmarkEnd w:id="67"/>
      <w:bookmarkEnd w:id="68"/>
      <w:bookmarkEnd w:id="69"/>
      <w:bookmarkEnd w:id="70"/>
    </w:p>
    <w:p>
      <w:pPr>
        <w:pStyle w:val="Heading5"/>
        <w:spacing w:before="180"/>
      </w:pPr>
      <w:bookmarkStart w:id="71" w:name="_Toc210395278"/>
      <w:r>
        <w:rPr>
          <w:rStyle w:val="CharSectno"/>
        </w:rPr>
        <w:t>49</w:t>
      </w:r>
      <w:r>
        <w:t>.</w:t>
      </w:r>
      <w:r>
        <w:tab/>
        <w:t>Terms used</w:t>
      </w:r>
      <w:bookmarkEnd w:id="71"/>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the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Footnotesection"/>
      </w:pPr>
      <w:r>
        <w:tab/>
        <w:t>[Rule 49 amended: SL 2021/188 r. 5.]</w:t>
      </w:r>
    </w:p>
    <w:p>
      <w:pPr>
        <w:pStyle w:val="Heading5"/>
        <w:spacing w:before="180"/>
      </w:pPr>
      <w:bookmarkStart w:id="72" w:name="_Toc210395279"/>
      <w:r>
        <w:rPr>
          <w:rStyle w:val="CharSectno"/>
        </w:rPr>
        <w:t>50</w:t>
      </w:r>
      <w:r>
        <w:t>.</w:t>
      </w:r>
      <w:r>
        <w:tab/>
        <w:t>Permitted wagers — races</w:t>
      </w:r>
      <w:bookmarkEnd w:id="72"/>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lastRenderedPageBreak/>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keepNext/>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Ednotepara"/>
      </w:pPr>
      <w:r>
        <w:tab/>
        <w:t>[(f), (g)</w:t>
      </w:r>
      <w:r>
        <w:tab/>
        <w:t>deleted]</w:t>
      </w:r>
    </w:p>
    <w:p>
      <w:pPr>
        <w:pStyle w:val="Indenta"/>
        <w:keepNext/>
      </w:pPr>
      <w:r>
        <w:lastRenderedPageBreak/>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keepNext/>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keepNext/>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keepNext/>
      </w:pPr>
      <w:r>
        <w:tab/>
        <w:t>(5)</w:t>
      </w:r>
      <w:r>
        <w:tab/>
        <w:t xml:space="preserve">For the purposes of subrule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keepNext/>
      </w:pPr>
      <w:r>
        <w:lastRenderedPageBreak/>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 SL 2021/188 r. 6; SL 2025/175 r. 5.]</w:t>
      </w:r>
    </w:p>
    <w:p>
      <w:pPr>
        <w:pStyle w:val="Heading5"/>
      </w:pPr>
      <w:bookmarkStart w:id="73" w:name="_Toc210395280"/>
      <w:r>
        <w:rPr>
          <w:rStyle w:val="CharSectno"/>
        </w:rPr>
        <w:t>51A</w:t>
      </w:r>
      <w:r>
        <w:t>.</w:t>
      </w:r>
      <w:r>
        <w:tab/>
        <w:t>Default odds for starting price, starting price guarantee and top fluc wagering</w:t>
      </w:r>
      <w:bookmarkEnd w:id="73"/>
    </w:p>
    <w:p>
      <w:pPr>
        <w:pStyle w:val="Subsection"/>
      </w:pPr>
      <w:r>
        <w:tab/>
        <w:t>(1)</w:t>
      </w:r>
      <w:r>
        <w:tab/>
        <w:t>If a bookmaker accepts a starting price wager or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keepNext/>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 SL 2021/188 r. 7.]</w:t>
      </w:r>
    </w:p>
    <w:p>
      <w:pPr>
        <w:pStyle w:val="Heading5"/>
        <w:spacing w:before="180"/>
      </w:pPr>
      <w:bookmarkStart w:id="74" w:name="_Toc210395281"/>
      <w:r>
        <w:rPr>
          <w:rStyle w:val="CharSectno"/>
        </w:rPr>
        <w:t>51</w:t>
      </w:r>
      <w:r>
        <w:t>.</w:t>
      </w:r>
      <w:r>
        <w:tab/>
        <w:t>Bookmakers not to offer, make or accept certain wagers</w:t>
      </w:r>
      <w:bookmarkEnd w:id="74"/>
    </w:p>
    <w:p>
      <w:pPr>
        <w:pStyle w:val="Subsection"/>
        <w:keepNext/>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keepNext/>
      </w:pPr>
      <w:r>
        <w:lastRenderedPageBreak/>
        <w:tab/>
        <w:t>[(c), (d)</w:t>
      </w:r>
      <w:r>
        <w:tab/>
        <w:t>deleted]</w:t>
      </w:r>
    </w:p>
    <w:p>
      <w:pPr>
        <w:pStyle w:val="Footnotesection"/>
      </w:pPr>
      <w:r>
        <w:tab/>
        <w:t>[Rule 51 amended: Gazette 14 Jun 2013 p. 2246; 29 Nov 2013 p. 5471.]</w:t>
      </w:r>
    </w:p>
    <w:p>
      <w:pPr>
        <w:pStyle w:val="Heading5"/>
      </w:pPr>
      <w:bookmarkStart w:id="75" w:name="_Toc210395282"/>
      <w:r>
        <w:rPr>
          <w:rStyle w:val="CharSectno"/>
        </w:rPr>
        <w:t>52</w:t>
      </w:r>
      <w:r>
        <w:t>.</w:t>
      </w:r>
      <w:r>
        <w:tab/>
        <w:t>Provisions as to runners</w:t>
      </w:r>
      <w:bookmarkEnd w:id="75"/>
    </w:p>
    <w:p>
      <w:pPr>
        <w:pStyle w:val="Subsection"/>
        <w:keepNext/>
      </w:pPr>
      <w:r>
        <w:tab/>
      </w:r>
      <w:r>
        <w:tab/>
        <w:t>For the purpose of this Part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Footnotesection"/>
      </w:pPr>
      <w:r>
        <w:tab/>
        <w:t>[Rule 52 amended: SL 2021/188 r. 8.]</w:t>
      </w:r>
    </w:p>
    <w:p>
      <w:pPr>
        <w:pStyle w:val="Heading5"/>
      </w:pPr>
      <w:bookmarkStart w:id="76" w:name="_Toc210395283"/>
      <w:r>
        <w:rPr>
          <w:rStyle w:val="CharSectno"/>
        </w:rPr>
        <w:t>53</w:t>
      </w:r>
      <w:r>
        <w:t>.</w:t>
      </w:r>
      <w:r>
        <w:tab/>
        <w:t>Wagers void in certain circumstances</w:t>
      </w:r>
      <w:bookmarkEnd w:id="76"/>
    </w:p>
    <w:p>
      <w:pPr>
        <w:pStyle w:val="Subsection"/>
        <w:keepNext/>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lastRenderedPageBreak/>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77" w:name="_Toc210395284"/>
      <w:r>
        <w:rPr>
          <w:rStyle w:val="CharSectno"/>
        </w:rPr>
        <w:t>54</w:t>
      </w:r>
      <w:r>
        <w:t>.</w:t>
      </w:r>
      <w:r>
        <w:tab/>
        <w:t>When wagers are off</w:t>
      </w:r>
      <w:bookmarkEnd w:id="77"/>
    </w:p>
    <w:p>
      <w:pPr>
        <w:pStyle w:val="Subsection"/>
        <w:keepNext/>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keepNext/>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78" w:name="_Toc210395285"/>
      <w:r>
        <w:rPr>
          <w:rStyle w:val="CharSectno"/>
        </w:rPr>
        <w:lastRenderedPageBreak/>
        <w:t>55</w:t>
      </w:r>
      <w:r>
        <w:t>.</w:t>
      </w:r>
      <w:r>
        <w:tab/>
        <w:t>Determination and settlement of wagers</w:t>
      </w:r>
      <w:bookmarkEnd w:id="78"/>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keepNext/>
        <w:spacing w:before="120"/>
      </w:pPr>
      <w:r>
        <w:lastRenderedPageBreak/>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keepNext/>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keepNext/>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 xml:space="preserve">quarter of </w:t>
      </w:r>
      <w:r>
        <w:lastRenderedPageBreak/>
        <w:t>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considered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keepNext/>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 xml:space="preserve">if either leg is decided in the investor’s favour and the other results in a dead heat between 2 runners, one of which was selected in the wager, the wager is to be determined and settled at one-half of the dividend which </w:t>
      </w:r>
      <w:r>
        <w:lastRenderedPageBreak/>
        <w:t>would have been payable in respect of the wager, were it not for the dead heat, and if the dead heat is between more than 2 runners the wager is to be determined and settled on a proportionate basis;</w:t>
      </w:r>
    </w:p>
    <w:p>
      <w:pPr>
        <w:pStyle w:val="Indenta"/>
        <w:keepNext/>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Footnotesection"/>
      </w:pPr>
      <w:r>
        <w:tab/>
        <w:t>[Rule 55 amended: SL 2021/188 r. 9.]</w:t>
      </w:r>
    </w:p>
    <w:p>
      <w:pPr>
        <w:pStyle w:val="Heading5"/>
      </w:pPr>
      <w:bookmarkStart w:id="79" w:name="_Toc210395286"/>
      <w:r>
        <w:rPr>
          <w:rStyle w:val="CharSectno"/>
        </w:rPr>
        <w:t>56</w:t>
      </w:r>
      <w:r>
        <w:t>.</w:t>
      </w:r>
      <w:r>
        <w:tab/>
        <w:t>Determination of wagers where runner withdrawn</w:t>
      </w:r>
      <w:bookmarkEnd w:id="79"/>
    </w:p>
    <w:p>
      <w:pPr>
        <w:pStyle w:val="Subsection"/>
        <w:keepNext/>
      </w:pPr>
      <w:r>
        <w:tab/>
        <w:t>(1)</w:t>
      </w:r>
      <w:r>
        <w:tab/>
        <w:t xml:space="preserve">In this rule — </w:t>
      </w:r>
    </w:p>
    <w:p>
      <w:pPr>
        <w:pStyle w:val="Defstart"/>
        <w:keepNex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keepNex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tab/>
      </w:r>
      <w:r>
        <w:rPr>
          <w:rStyle w:val="CharDefText"/>
        </w:rPr>
        <w:t>sum percentage</w:t>
      </w:r>
      <w:r>
        <w:t>, for runners in a race, means the sum of the percentages for the runners;</w:t>
      </w:r>
    </w:p>
    <w:p>
      <w:pPr>
        <w:pStyle w:val="Defstart"/>
        <w:keepNext/>
      </w:pPr>
      <w:r>
        <w:lastRenderedPageBreak/>
        <w:tab/>
      </w:r>
      <w:r>
        <w:rPr>
          <w:rStyle w:val="CharDefText"/>
        </w:rPr>
        <w:t>wager</w:t>
      </w:r>
      <w:r>
        <w:t xml:space="preserve"> means a wager, other than a wager that is play or pay,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keepNext/>
      </w:pPr>
      <w:r>
        <w:tab/>
        <w:t>(3)</w:t>
      </w:r>
      <w:r>
        <w:tab/>
        <w:t xml:space="preserve">The stewards may — </w:t>
      </w:r>
    </w:p>
    <w:p>
      <w:pPr>
        <w:pStyle w:val="Indenta"/>
        <w:keepNext/>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keepNext/>
      </w:pPr>
      <w:r>
        <w:lastRenderedPageBreak/>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keepNext/>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keepNext/>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keepNext/>
      </w:pPr>
      <w:r>
        <w:tab/>
        <w:t>(5)</w:t>
      </w:r>
      <w:r>
        <w:tab/>
        <w:t xml:space="preserve">The amount paid in relation to a wager must — </w:t>
      </w:r>
    </w:p>
    <w:p>
      <w:pPr>
        <w:pStyle w:val="Indenta"/>
        <w:keepNext/>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keepNext/>
      </w:pPr>
      <w:r>
        <w:lastRenderedPageBreak/>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keepNext/>
      </w:pPr>
      <w:r>
        <w:tab/>
        <w:t>(b)</w:t>
      </w:r>
      <w:r>
        <w:tab/>
        <w:t>any rule to the contrary,</w:t>
      </w:r>
    </w:p>
    <w:p>
      <w:pPr>
        <w:pStyle w:val="Subsection"/>
      </w:pPr>
      <w:r>
        <w:tab/>
      </w:r>
      <w:r>
        <w:tab/>
        <w:t>unless the bookmaker is specifically directed to do so by the stewards.</w:t>
      </w:r>
    </w:p>
    <w:p>
      <w:pPr>
        <w:pStyle w:val="Subsection"/>
        <w:keepNext/>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 amended: SL 2021/188 r. 10.]</w:t>
      </w:r>
    </w:p>
    <w:p>
      <w:pPr>
        <w:pStyle w:val="Heading5"/>
      </w:pPr>
      <w:bookmarkStart w:id="80" w:name="_Toc210395287"/>
      <w:r>
        <w:rPr>
          <w:rStyle w:val="CharSectno"/>
        </w:rPr>
        <w:t>57</w:t>
      </w:r>
      <w:r>
        <w:t>.</w:t>
      </w:r>
      <w:r>
        <w:tab/>
        <w:t>Wagers to be pay or play except in certain circumstances</w:t>
      </w:r>
      <w:bookmarkEnd w:id="80"/>
    </w:p>
    <w:p>
      <w:pPr>
        <w:pStyle w:val="Subsection"/>
      </w:pPr>
      <w:r>
        <w:tab/>
        <w:t>(1)</w:t>
      </w:r>
      <w:r>
        <w:tab/>
        <w:t>All wagers are to be play or pay, unless the parties agree to the contrary.</w:t>
      </w:r>
    </w:p>
    <w:p>
      <w:pPr>
        <w:pStyle w:val="Subsection"/>
        <w:keepNext/>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81" w:name="_Toc210395288"/>
      <w:r>
        <w:rPr>
          <w:rStyle w:val="CharSectno"/>
        </w:rPr>
        <w:t>58</w:t>
      </w:r>
      <w:r>
        <w:t>.</w:t>
      </w:r>
      <w:r>
        <w:tab/>
        <w:t>Provisions as to settlement of wagers following dead heat</w:t>
      </w:r>
      <w:bookmarkEnd w:id="81"/>
    </w:p>
    <w:p>
      <w:pPr>
        <w:pStyle w:val="Subsection"/>
      </w:pPr>
      <w:r>
        <w:tab/>
        <w:t>(1)</w:t>
      </w:r>
      <w:r>
        <w:tab/>
        <w:t>This rule does not apply to doubles wagers.</w:t>
      </w:r>
    </w:p>
    <w:p>
      <w:pPr>
        <w:pStyle w:val="Subsection"/>
        <w:keepNext/>
      </w:pPr>
      <w:r>
        <w:lastRenderedPageBreak/>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keepNext/>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keepNext/>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keepNext/>
      </w:pPr>
      <w:r>
        <w:lastRenderedPageBreak/>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keepNext/>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keepNext/>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Lines w:val="0"/>
      </w:pPr>
      <w:bookmarkStart w:id="82" w:name="_Toc210395289"/>
      <w:r>
        <w:rPr>
          <w:rStyle w:val="CharSectno"/>
        </w:rPr>
        <w:lastRenderedPageBreak/>
        <w:t>59</w:t>
      </w:r>
      <w:r>
        <w:t>.</w:t>
      </w:r>
      <w:r>
        <w:tab/>
        <w:t>Provisions as to races that are re</w:t>
      </w:r>
      <w:r>
        <w:noBreakHyphen/>
        <w:t>run</w:t>
      </w:r>
      <w:bookmarkEnd w:id="82"/>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83" w:name="_Toc210395290"/>
      <w:r>
        <w:rPr>
          <w:rStyle w:val="CharSectno"/>
        </w:rPr>
        <w:t>60</w:t>
      </w:r>
      <w:r>
        <w:t>.</w:t>
      </w:r>
      <w:r>
        <w:tab/>
        <w:t>Pre</w:t>
      </w:r>
      <w:r>
        <w:noBreakHyphen/>
        <w:t>post wagering on the final of special event</w:t>
      </w:r>
      <w:bookmarkEnd w:id="83"/>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keepNext/>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84" w:name="_Toc210395291"/>
      <w:r>
        <w:rPr>
          <w:rStyle w:val="CharSectno"/>
        </w:rPr>
        <w:t>61</w:t>
      </w:r>
      <w:r>
        <w:t>.</w:t>
      </w:r>
      <w:r>
        <w:tab/>
        <w:t>“Favout” wagering</w:t>
      </w:r>
      <w:bookmarkEnd w:id="84"/>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lastRenderedPageBreak/>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85" w:name="_Toc210395292"/>
      <w:r>
        <w:rPr>
          <w:rStyle w:val="CharSectno"/>
        </w:rPr>
        <w:t>62</w:t>
      </w:r>
      <w:r>
        <w:t>.</w:t>
      </w:r>
      <w:r>
        <w:tab/>
        <w:t>Wagering on approved events</w:t>
      </w:r>
      <w:bookmarkEnd w:id="85"/>
    </w:p>
    <w:p>
      <w:pPr>
        <w:pStyle w:val="Subsection"/>
      </w:pPr>
      <w:r>
        <w:tab/>
        <w:t>(1)</w:t>
      </w:r>
      <w:r>
        <w:tab/>
        <w:t>Wagers are to be determined on the official results of the approved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an approved event results in a tie, draw or dead heat, and odds are offered for that tie, draw or dead heat, any wager for a win is lost.</w:t>
      </w:r>
    </w:p>
    <w:p>
      <w:pPr>
        <w:pStyle w:val="Subsection"/>
      </w:pPr>
      <w:r>
        <w:tab/>
        <w:t>(5)</w:t>
      </w:r>
      <w:r>
        <w:tab/>
        <w:t>If no odds are offered for a tie, draw or dead heat and the approved event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keepNext/>
        <w:spacing w:before="120"/>
      </w:pPr>
      <w:r>
        <w:tab/>
        <w:t>(6)</w:t>
      </w:r>
      <w:r>
        <w:tab/>
        <w:t>In wagers involving more than one contingency of, or relating to, the same approved event —</w:t>
      </w:r>
    </w:p>
    <w:p>
      <w:pPr>
        <w:pStyle w:val="Indenta"/>
      </w:pPr>
      <w:r>
        <w:tab/>
        <w:t>(a)</w:t>
      </w:r>
      <w:r>
        <w:tab/>
        <w:t>if the first contingency is not decided in the investor’s favour, the wager is lost; and</w:t>
      </w:r>
    </w:p>
    <w:p>
      <w:pPr>
        <w:pStyle w:val="Indenta"/>
      </w:pPr>
      <w:r>
        <w:lastRenderedPageBreak/>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an approved event is abandoned, all wagers are to be refunded except those made in respect of contingencies that have been decided totally or in part.</w:t>
      </w:r>
    </w:p>
    <w:p>
      <w:pPr>
        <w:pStyle w:val="Subsection"/>
      </w:pPr>
      <w:r>
        <w:tab/>
        <w:t>(8)</w:t>
      </w:r>
      <w:r>
        <w:tab/>
        <w:t>Where an approved event is postponed to a later date, all wagers on the event or contingent on the event are to stand.</w:t>
      </w:r>
    </w:p>
    <w:p>
      <w:pPr>
        <w:pStyle w:val="Subsection"/>
        <w:keepNext/>
      </w:pPr>
      <w:r>
        <w:lastRenderedPageBreak/>
        <w:tab/>
        <w:t>(9)</w:t>
      </w:r>
      <w:r>
        <w:tab/>
        <w:t>All wagers in relation to approved events are to be “play or pay”, unless the parties mutually agree to the contrary.</w:t>
      </w:r>
    </w:p>
    <w:p>
      <w:pPr>
        <w:pStyle w:val="Footnotesection"/>
      </w:pPr>
      <w:r>
        <w:tab/>
        <w:t>[Rule 62 amended: Gazette 7 Apr 2006 p. 1490; 19 Oct 2010 p. 5192; 15 Mar 2019 p. 800.]</w:t>
      </w:r>
    </w:p>
    <w:p>
      <w:pPr>
        <w:pStyle w:val="Heading5"/>
      </w:pPr>
      <w:bookmarkStart w:id="86" w:name="_Toc210378770"/>
      <w:bookmarkStart w:id="87" w:name="_Toc210381213"/>
      <w:bookmarkStart w:id="88" w:name="_Toc210395293"/>
      <w:r>
        <w:rPr>
          <w:rStyle w:val="CharSectno"/>
        </w:rPr>
        <w:t>62AA</w:t>
      </w:r>
      <w:r>
        <w:t>.</w:t>
      </w:r>
      <w:r>
        <w:tab/>
        <w:t>Cash out on wagers made with bookmakers</w:t>
      </w:r>
      <w:bookmarkEnd w:id="86"/>
      <w:bookmarkEnd w:id="87"/>
      <w:bookmarkEnd w:id="88"/>
    </w:p>
    <w:p>
      <w:pPr>
        <w:pStyle w:val="Subsection"/>
      </w:pPr>
      <w:r>
        <w:tab/>
        <w:t>(1)</w:t>
      </w:r>
      <w:r>
        <w:tab/>
        <w:t>This rule applies in relation to a wager referred to in rule 50(1).</w:t>
      </w:r>
    </w:p>
    <w:p>
      <w:pPr>
        <w:pStyle w:val="Subsection"/>
      </w:pPr>
      <w:r>
        <w:tab/>
        <w:t>(2)</w:t>
      </w:r>
      <w:r>
        <w:tab/>
        <w:t>A bookmaker may, on request and at any time before the completion of a race or series of races (whichever is applicable) in relation to which a wager is placed, offer an amount in settlement of the wager.</w:t>
      </w:r>
    </w:p>
    <w:p>
      <w:pPr>
        <w:pStyle w:val="Subsection"/>
      </w:pPr>
      <w:r>
        <w:tab/>
        <w:t>(3)</w:t>
      </w:r>
      <w:r>
        <w:tab/>
        <w:t>If an investor accepts a cash out amount offered under subrule (2) in respect of a wager before the completion of the race or series of races in relation to which the wager is placed, the wager is settled at that amount.</w:t>
      </w:r>
    </w:p>
    <w:p>
      <w:pPr>
        <w:pStyle w:val="Footnotesection"/>
      </w:pPr>
      <w:r>
        <w:tab/>
        <w:t>[Rule 62AA inserted: SL 2025/175 r. 6.]</w:t>
      </w:r>
    </w:p>
    <w:p>
      <w:pPr>
        <w:pStyle w:val="Heading2"/>
      </w:pPr>
      <w:bookmarkStart w:id="89" w:name="_Toc210382659"/>
      <w:bookmarkStart w:id="90" w:name="_Toc210383667"/>
      <w:bookmarkStart w:id="91" w:name="_Toc210395187"/>
      <w:bookmarkStart w:id="92" w:name="_Toc210395294"/>
      <w:r>
        <w:rPr>
          <w:rStyle w:val="CharPartNo"/>
        </w:rPr>
        <w:lastRenderedPageBreak/>
        <w:t>Part 5A</w:t>
      </w:r>
      <w:r>
        <w:t> — </w:t>
      </w:r>
      <w:r>
        <w:rPr>
          <w:rStyle w:val="CharPartText"/>
        </w:rPr>
        <w:t>Rules of RWWA fixed odds wagering on races</w:t>
      </w:r>
      <w:bookmarkEnd w:id="89"/>
      <w:bookmarkEnd w:id="90"/>
      <w:bookmarkEnd w:id="91"/>
      <w:bookmarkEnd w:id="92"/>
    </w:p>
    <w:p>
      <w:pPr>
        <w:pStyle w:val="Footnoteheading"/>
      </w:pPr>
      <w:r>
        <w:tab/>
        <w:t>[Heading inserted: SL 2021/188 r. 11.]</w:t>
      </w:r>
    </w:p>
    <w:p>
      <w:pPr>
        <w:pStyle w:val="Heading5"/>
      </w:pPr>
      <w:bookmarkStart w:id="93" w:name="_Toc210395295"/>
      <w:r>
        <w:rPr>
          <w:rStyle w:val="CharSectno"/>
        </w:rPr>
        <w:t>62A</w:t>
      </w:r>
      <w:r>
        <w:t>.</w:t>
      </w:r>
      <w:r>
        <w:tab/>
        <w:t>Terms used</w:t>
      </w:r>
      <w:bookmarkEnd w:id="93"/>
    </w:p>
    <w:p>
      <w:pPr>
        <w:pStyle w:val="Subsection"/>
        <w:keepNext/>
      </w:pPr>
      <w:r>
        <w:tab/>
      </w:r>
      <w:r>
        <w:tab/>
        <w:t xml:space="preserve">In this Part — </w:t>
      </w:r>
    </w:p>
    <w:p>
      <w:pPr>
        <w:pStyle w:val="Defstart"/>
      </w:pPr>
      <w:r>
        <w:tab/>
      </w:r>
      <w:r>
        <w:rPr>
          <w:rStyle w:val="CharDefText"/>
        </w:rPr>
        <w:t>before noms wager</w:t>
      </w:r>
      <w:r>
        <w:t xml:space="preserve"> means a wager placed on a list of runners for a race, or participants for an event, before the first round of official nominations;</w:t>
      </w:r>
    </w:p>
    <w:p>
      <w:pPr>
        <w:pStyle w:val="Defstart"/>
      </w:pPr>
      <w:r>
        <w:tab/>
      </w:r>
      <w:r>
        <w:rPr>
          <w:rStyle w:val="CharDefText"/>
        </w:rPr>
        <w:t>final field</w:t>
      </w:r>
      <w:r>
        <w:t xml:space="preserve"> means the list of nominated runners declared by the relevant racing authority as having been accepted to start in a race;</w:t>
      </w:r>
    </w:p>
    <w:p>
      <w:pPr>
        <w:pStyle w:val="Defstart"/>
      </w:pPr>
      <w:r>
        <w:tab/>
      </w:r>
      <w:r>
        <w:rPr>
          <w:rStyle w:val="CharDefText"/>
        </w:rPr>
        <w:t>futures wager</w:t>
      </w:r>
      <w:r>
        <w:t xml:space="preserve"> means a wager placed on a list of runners for a race, or participants for an event, before the final field is declared;</w:t>
      </w:r>
    </w:p>
    <w:p>
      <w:pPr>
        <w:pStyle w:val="Defstart"/>
      </w:pPr>
      <w:r>
        <w:tab/>
      </w:r>
      <w:r>
        <w:rPr>
          <w:rStyle w:val="CharDefText"/>
        </w:rPr>
        <w:t>in the run wager</w:t>
      </w:r>
      <w:r>
        <w:t xml:space="preserve"> means a wager that is placed after the commencement of a race;</w:t>
      </w:r>
    </w:p>
    <w:p>
      <w:pPr>
        <w:pStyle w:val="Defstart"/>
      </w:pPr>
      <w:r>
        <w:tab/>
      </w:r>
      <w:r>
        <w:rPr>
          <w:rStyle w:val="CharDefText"/>
        </w:rPr>
        <w:t>late scratched runner</w:t>
      </w:r>
      <w:r>
        <w:t>, in relation to a race, means a runner that is withdrawn from the race after the final field is declared;</w:t>
      </w:r>
    </w:p>
    <w:p>
      <w:pPr>
        <w:pStyle w:val="Defstart"/>
      </w:pPr>
      <w:r>
        <w:tab/>
      </w:r>
      <w:r>
        <w:rPr>
          <w:rStyle w:val="CharDefText"/>
        </w:rPr>
        <w:t>odds</w:t>
      </w:r>
      <w:r>
        <w:t xml:space="preserve"> means the numerical ratio of money to be paid by RWWA (the </w:t>
      </w:r>
      <w:r>
        <w:rPr>
          <w:rStyle w:val="CharDefText"/>
        </w:rPr>
        <w:t>odds portion</w:t>
      </w:r>
      <w:r>
        <w:t>) to the amount of the investor’s stake in respect of a wager in the event that the wager is successful.</w:t>
      </w:r>
    </w:p>
    <w:p>
      <w:pPr>
        <w:pStyle w:val="PermNoteHeading"/>
      </w:pPr>
      <w:r>
        <w:tab/>
        <w:t>Example for this definition:</w:t>
      </w:r>
    </w:p>
    <w:p>
      <w:pPr>
        <w:pStyle w:val="PermNoteText"/>
      </w:pPr>
      <w:r>
        <w:tab/>
      </w:r>
      <w:r>
        <w:tab/>
        <w:t>If a dividend of $3 is offered in respect of a runner, then the odds at which the wager is offered are 2:1, the odds portion of the dividend is $2 and the remainder of the dividend is the return of the investor’s stake of $1.</w:t>
      </w:r>
    </w:p>
    <w:p>
      <w:pPr>
        <w:pStyle w:val="Footnotesection"/>
      </w:pPr>
      <w:r>
        <w:tab/>
        <w:t>[Rule 62A inserted: SL 2021/188 r. 11.]</w:t>
      </w:r>
    </w:p>
    <w:p>
      <w:pPr>
        <w:pStyle w:val="Heading5"/>
      </w:pPr>
      <w:bookmarkStart w:id="94" w:name="_Toc210395296"/>
      <w:r>
        <w:rPr>
          <w:rStyle w:val="CharSectno"/>
        </w:rPr>
        <w:t>62B</w:t>
      </w:r>
      <w:r>
        <w:t>.</w:t>
      </w:r>
      <w:r>
        <w:tab/>
        <w:t>Application of Part</w:t>
      </w:r>
      <w:bookmarkEnd w:id="94"/>
    </w:p>
    <w:p>
      <w:pPr>
        <w:pStyle w:val="Subsection"/>
      </w:pPr>
      <w:r>
        <w:tab/>
      </w:r>
      <w:r>
        <w:tab/>
        <w:t>This Part applies to the conduct by RWWA of wagering on races at fixed odds.</w:t>
      </w:r>
    </w:p>
    <w:p>
      <w:pPr>
        <w:pStyle w:val="Footnotesection"/>
      </w:pPr>
      <w:r>
        <w:tab/>
        <w:t>[Rule 62B inserted: SL 2021/188 r. 11.]</w:t>
      </w:r>
    </w:p>
    <w:p>
      <w:pPr>
        <w:pStyle w:val="Heading5"/>
      </w:pPr>
      <w:bookmarkStart w:id="95" w:name="_Toc210395297"/>
      <w:r>
        <w:rPr>
          <w:rStyle w:val="CharSectno"/>
        </w:rPr>
        <w:lastRenderedPageBreak/>
        <w:t>62C</w:t>
      </w:r>
      <w:r>
        <w:t>.</w:t>
      </w:r>
      <w:r>
        <w:tab/>
        <w:t>When runner achieves place</w:t>
      </w:r>
      <w:bookmarkEnd w:id="95"/>
    </w:p>
    <w:p>
      <w:pPr>
        <w:pStyle w:val="Subsection"/>
        <w:keepNext/>
      </w:pPr>
      <w:r>
        <w:tab/>
        <w:t>(1)</w:t>
      </w:r>
      <w:r>
        <w:tab/>
        <w:t xml:space="preserve">This rule applies to the following wagers — </w:t>
      </w:r>
    </w:p>
    <w:p>
      <w:pPr>
        <w:pStyle w:val="Indenta"/>
      </w:pPr>
      <w:r>
        <w:tab/>
        <w:t>(a)</w:t>
      </w:r>
      <w:r>
        <w:tab/>
        <w:t>place wagers;</w:t>
      </w:r>
    </w:p>
    <w:p>
      <w:pPr>
        <w:pStyle w:val="Indenta"/>
      </w:pPr>
      <w:r>
        <w:tab/>
        <w:t>(b)</w:t>
      </w:r>
      <w:r>
        <w:tab/>
        <w:t>place card wagers;</w:t>
      </w:r>
    </w:p>
    <w:p>
      <w:pPr>
        <w:pStyle w:val="Indenta"/>
      </w:pPr>
      <w:r>
        <w:tab/>
        <w:t>(c)</w:t>
      </w:r>
      <w:r>
        <w:tab/>
        <w:t>each way wagers;</w:t>
      </w:r>
    </w:p>
    <w:p>
      <w:pPr>
        <w:pStyle w:val="Indenta"/>
      </w:pPr>
      <w:r>
        <w:tab/>
        <w:t>(d)</w:t>
      </w:r>
      <w:r>
        <w:tab/>
        <w:t>insurance wagers (2 places);</w:t>
      </w:r>
    </w:p>
    <w:p>
      <w:pPr>
        <w:pStyle w:val="Indenta"/>
      </w:pPr>
      <w:r>
        <w:tab/>
        <w:t>(e)</w:t>
      </w:r>
      <w:r>
        <w:tab/>
        <w:t>insurance wagers (3 places).</w:t>
      </w:r>
    </w:p>
    <w:p>
      <w:pPr>
        <w:pStyle w:val="Subsection"/>
        <w:keepNext/>
      </w:pPr>
      <w:r>
        <w:tab/>
        <w:t>(2)</w:t>
      </w:r>
      <w:r>
        <w:tab/>
        <w:t xml:space="preserve">For the purposes of this Part, if, at the time a wager is made on a race, there are 8 or more runners listed to start in the race — </w:t>
      </w:r>
    </w:p>
    <w:p>
      <w:pPr>
        <w:pStyle w:val="Indenta"/>
      </w:pPr>
      <w:r>
        <w:tab/>
        <w:t>(a)</w:t>
      </w:r>
      <w:r>
        <w:tab/>
        <w:t>3 places are payable; and</w:t>
      </w:r>
    </w:p>
    <w:p>
      <w:pPr>
        <w:pStyle w:val="Indenta"/>
      </w:pPr>
      <w:r>
        <w:tab/>
        <w:t>(b)</w:t>
      </w:r>
      <w:r>
        <w:tab/>
        <w:t>a runner achieves a place if it finishes first, second or third.</w:t>
      </w:r>
    </w:p>
    <w:p>
      <w:pPr>
        <w:pStyle w:val="Subsection"/>
        <w:keepNext/>
      </w:pPr>
      <w:r>
        <w:tab/>
        <w:t>(3)</w:t>
      </w:r>
      <w:r>
        <w:tab/>
        <w:t>For the purposes of this Part, if, at the time a wager is made on a race, there are 5, 6 or 7 runners listed to start in the race —</w:t>
      </w:r>
    </w:p>
    <w:p>
      <w:pPr>
        <w:pStyle w:val="Indenta"/>
      </w:pPr>
      <w:r>
        <w:tab/>
        <w:t>(a)</w:t>
      </w:r>
      <w:r>
        <w:tab/>
        <w:t>2 places are payable; and</w:t>
      </w:r>
    </w:p>
    <w:p>
      <w:pPr>
        <w:pStyle w:val="Indenta"/>
        <w:keepNext/>
      </w:pPr>
      <w:r>
        <w:tab/>
        <w:t>(b)</w:t>
      </w:r>
      <w:r>
        <w:tab/>
        <w:t>a runner achieves a place if it finishes first or second.</w:t>
      </w:r>
    </w:p>
    <w:p>
      <w:pPr>
        <w:pStyle w:val="Footnotesection"/>
      </w:pPr>
      <w:r>
        <w:tab/>
        <w:t>[Rule 62C inserted: SL 2021/188 r. 11.]</w:t>
      </w:r>
    </w:p>
    <w:p>
      <w:pPr>
        <w:pStyle w:val="Heading5"/>
      </w:pPr>
      <w:bookmarkStart w:id="96" w:name="_Toc210395298"/>
      <w:r>
        <w:rPr>
          <w:rStyle w:val="CharSectno"/>
        </w:rPr>
        <w:t>62D</w:t>
      </w:r>
      <w:r>
        <w:t>.</w:t>
      </w:r>
      <w:r>
        <w:tab/>
        <w:t>Permitted wagers on races</w:t>
      </w:r>
      <w:bookmarkEnd w:id="96"/>
    </w:p>
    <w:p>
      <w:pPr>
        <w:pStyle w:val="Subsection"/>
        <w:keepNext/>
      </w:pPr>
      <w:r>
        <w:tab/>
        <w:t>(1)</w:t>
      </w:r>
      <w:r>
        <w:tab/>
        <w:t xml:space="preserve">RWWA may, in accordance with these rules, make and accept the following wagers on races — </w:t>
      </w:r>
    </w:p>
    <w:p>
      <w:pPr>
        <w:pStyle w:val="Indenta"/>
      </w:pPr>
      <w:r>
        <w:tab/>
        <w:t>(a)</w:t>
      </w:r>
      <w:r>
        <w:tab/>
        <w:t>win wagers;</w:t>
      </w:r>
    </w:p>
    <w:p>
      <w:pPr>
        <w:pStyle w:val="Indenta"/>
      </w:pPr>
      <w:r>
        <w:tab/>
        <w:t>(b)</w:t>
      </w:r>
      <w:r>
        <w:tab/>
        <w:t>place wagers;</w:t>
      </w:r>
    </w:p>
    <w:p>
      <w:pPr>
        <w:pStyle w:val="Indenta"/>
      </w:pPr>
      <w:r>
        <w:tab/>
        <w:t>(c)</w:t>
      </w:r>
      <w:r>
        <w:tab/>
        <w:t>each way wagers;</w:t>
      </w:r>
    </w:p>
    <w:p>
      <w:pPr>
        <w:pStyle w:val="Indenta"/>
      </w:pPr>
      <w:r>
        <w:tab/>
        <w:t>(d)</w:t>
      </w:r>
      <w:r>
        <w:tab/>
        <w:t>multi wagers;</w:t>
      </w:r>
    </w:p>
    <w:p>
      <w:pPr>
        <w:pStyle w:val="Indenta"/>
      </w:pPr>
      <w:r>
        <w:tab/>
        <w:t>(e)</w:t>
      </w:r>
      <w:r>
        <w:tab/>
        <w:t xml:space="preserve">starting price guarantee wagers; </w:t>
      </w:r>
    </w:p>
    <w:p>
      <w:pPr>
        <w:pStyle w:val="Indenta"/>
      </w:pPr>
      <w:r>
        <w:tab/>
        <w:t>(f)</w:t>
      </w:r>
      <w:r>
        <w:tab/>
        <w:t xml:space="preserve">top fluc wagers; </w:t>
      </w:r>
    </w:p>
    <w:p>
      <w:pPr>
        <w:pStyle w:val="Indenta"/>
      </w:pPr>
      <w:r>
        <w:tab/>
        <w:t>(g)</w:t>
      </w:r>
      <w:r>
        <w:tab/>
        <w:t>wagers of a kind specified in the 2</w:t>
      </w:r>
      <w:r>
        <w:rPr>
          <w:vertAlign w:val="superscript"/>
        </w:rPr>
        <w:t>nd</w:t>
      </w:r>
      <w:r>
        <w:t xml:space="preserve"> column of an item in the Table in Schedule 2.</w:t>
      </w:r>
    </w:p>
    <w:p>
      <w:pPr>
        <w:pStyle w:val="Subsection"/>
      </w:pPr>
      <w:r>
        <w:lastRenderedPageBreak/>
        <w:tab/>
        <w:t>(2)</w:t>
      </w:r>
      <w:r>
        <w:tab/>
        <w:t>For the purpose of this Part, a reference to a wager of a kind specified in the 2</w:t>
      </w:r>
      <w:r>
        <w:rPr>
          <w:vertAlign w:val="superscript"/>
        </w:rPr>
        <w:t>nd</w:t>
      </w:r>
      <w:r>
        <w:t> column of an item in the Table in Schedule 2 is a reference to a wager in which RWWA offers fixed odds on the basis set out in the 3</w:t>
      </w:r>
      <w:r>
        <w:rPr>
          <w:vertAlign w:val="superscript"/>
        </w:rPr>
        <w:t>rd</w:t>
      </w:r>
      <w:r>
        <w:t> column of that item.</w:t>
      </w:r>
    </w:p>
    <w:p>
      <w:pPr>
        <w:pStyle w:val="Subsection"/>
        <w:keepNext/>
      </w:pPr>
      <w:r>
        <w:tab/>
        <w:t>(3)</w:t>
      </w:r>
      <w:r>
        <w:tab/>
        <w:t>Place wagers, each way wagers, insurance wagers (2 places) and insurance wagers (3 places) are not permitted if 4 or less runners are listed to start a race at the time wagering is opened on that race.</w:t>
      </w:r>
    </w:p>
    <w:p>
      <w:pPr>
        <w:pStyle w:val="Footnotesection"/>
      </w:pPr>
      <w:r>
        <w:tab/>
        <w:t>[Rule 62D inserted: SL 2021/188 r. 11.]</w:t>
      </w:r>
    </w:p>
    <w:p>
      <w:pPr>
        <w:pStyle w:val="Heading5"/>
      </w:pPr>
      <w:bookmarkStart w:id="97" w:name="_Toc210395299"/>
      <w:r>
        <w:rPr>
          <w:rStyle w:val="CharSectno"/>
        </w:rPr>
        <w:t>62E</w:t>
      </w:r>
      <w:r>
        <w:t>.</w:t>
      </w:r>
      <w:r>
        <w:tab/>
        <w:t>All wagers to be at least 1 unit</w:t>
      </w:r>
      <w:bookmarkEnd w:id="97"/>
    </w:p>
    <w:p>
      <w:pPr>
        <w:pStyle w:val="Subsection"/>
      </w:pPr>
      <w:r>
        <w:tab/>
        <w:t>(1)</w:t>
      </w:r>
      <w:r>
        <w:tab/>
        <w:t>This rule applies to wagers made with RWWA under this Part.</w:t>
      </w:r>
    </w:p>
    <w:p>
      <w:pPr>
        <w:pStyle w:val="Subsection"/>
        <w:keepNext/>
      </w:pPr>
      <w:r>
        <w:tab/>
        <w:t>(2)</w:t>
      </w:r>
      <w:r>
        <w:tab/>
        <w:t>The minimum wager that may be made is 1 unit.</w:t>
      </w:r>
    </w:p>
    <w:p>
      <w:pPr>
        <w:pStyle w:val="Footnotesection"/>
      </w:pPr>
      <w:r>
        <w:tab/>
        <w:t>[Rule 62E inserted: SL 2021/188 r. 11.]</w:t>
      </w:r>
    </w:p>
    <w:p>
      <w:pPr>
        <w:pStyle w:val="Heading5"/>
      </w:pPr>
      <w:bookmarkStart w:id="98" w:name="_Toc210395300"/>
      <w:r>
        <w:rPr>
          <w:rStyle w:val="CharSectno"/>
        </w:rPr>
        <w:t>62F</w:t>
      </w:r>
      <w:r>
        <w:t>.</w:t>
      </w:r>
      <w:r>
        <w:tab/>
        <w:t>Default odds for starting price, starting price guarantee and top fluc wagers</w:t>
      </w:r>
      <w:bookmarkEnd w:id="98"/>
    </w:p>
    <w:p>
      <w:pPr>
        <w:pStyle w:val="Subsection"/>
        <w:keepNext/>
      </w:pPr>
      <w:r>
        <w:tab/>
        <w:t>(1)</w:t>
      </w:r>
      <w:r>
        <w:tab/>
        <w:t xml:space="preserve">Subrule (2) applies if — </w:t>
      </w:r>
    </w:p>
    <w:p>
      <w:pPr>
        <w:pStyle w:val="Indenta"/>
      </w:pPr>
      <w:r>
        <w:tab/>
        <w:t>(a)</w:t>
      </w:r>
      <w:r>
        <w:tab/>
        <w:t>RWWA accepts a starting price wager or a starting price guarantee wager on a runner; and</w:t>
      </w:r>
    </w:p>
    <w:p>
      <w:pPr>
        <w:pStyle w:val="Indenta"/>
      </w:pPr>
      <w:r>
        <w:tab/>
        <w:t>(b)</w:t>
      </w:r>
      <w:r>
        <w:tab/>
        <w:t>the pricing information body does not determine the pricing information for the runner immediately prior to the commencement of the race.</w:t>
      </w:r>
    </w:p>
    <w:p>
      <w:pPr>
        <w:pStyle w:val="Subsection"/>
      </w:pPr>
      <w:r>
        <w:tab/>
        <w:t>(2)</w:t>
      </w:r>
      <w:r>
        <w:tab/>
        <w:t>The odds for the runner are based on the closing fixed odds win price offered by RWWA for the runner.</w:t>
      </w:r>
    </w:p>
    <w:p>
      <w:pPr>
        <w:pStyle w:val="Subsection"/>
        <w:keepNext/>
      </w:pPr>
      <w:r>
        <w:tab/>
        <w:t>(3)</w:t>
      </w:r>
      <w:r>
        <w:tab/>
        <w:t xml:space="preserve">Subrule (4) applies if — </w:t>
      </w:r>
    </w:p>
    <w:p>
      <w:pPr>
        <w:pStyle w:val="Indenta"/>
      </w:pPr>
      <w:r>
        <w:tab/>
        <w:t>(a)</w:t>
      </w:r>
      <w:r>
        <w:tab/>
        <w:t>RWWA accepts a top fluc wager on a runner; and</w:t>
      </w:r>
    </w:p>
    <w:p>
      <w:pPr>
        <w:pStyle w:val="Indenta"/>
      </w:pPr>
      <w:r>
        <w:tab/>
        <w:t>(b)</w:t>
      </w:r>
      <w:r>
        <w:tab/>
        <w:t>the pricing information body does not determine the pricing information for the runner immediately prior to the commencement of the race.</w:t>
      </w:r>
    </w:p>
    <w:p>
      <w:pPr>
        <w:pStyle w:val="Subsection"/>
        <w:keepNext/>
      </w:pPr>
      <w:r>
        <w:lastRenderedPageBreak/>
        <w:tab/>
        <w:t>(4)</w:t>
      </w:r>
      <w:r>
        <w:tab/>
        <w:t>The odds for the runner are based on the highest fixed odds win price offered by RWWA for the runner in the 30 minutes immediately prior to the commencement of the race.</w:t>
      </w:r>
    </w:p>
    <w:p>
      <w:pPr>
        <w:pStyle w:val="Footnotesection"/>
      </w:pPr>
      <w:r>
        <w:tab/>
        <w:t>[Rule 62F inserted: SL 2021/188 r. 11.]</w:t>
      </w:r>
    </w:p>
    <w:p>
      <w:pPr>
        <w:pStyle w:val="Heading5"/>
      </w:pPr>
      <w:bookmarkStart w:id="99" w:name="_Toc210395301"/>
      <w:r>
        <w:rPr>
          <w:rStyle w:val="CharSectno"/>
        </w:rPr>
        <w:t>62G</w:t>
      </w:r>
      <w:r>
        <w:t>.</w:t>
      </w:r>
      <w:r>
        <w:tab/>
        <w:t>RWWA not to offer, make or accept certain wagers</w:t>
      </w:r>
      <w:bookmarkEnd w:id="99"/>
    </w:p>
    <w:p>
      <w:pPr>
        <w:pStyle w:val="Subsection"/>
        <w:keepNext/>
      </w:pPr>
      <w:r>
        <w:tab/>
      </w:r>
      <w:r>
        <w:tab/>
        <w:t xml:space="preserve">RWWA must not offer, make or accept the following wagers — </w:t>
      </w:r>
    </w:p>
    <w:p>
      <w:pPr>
        <w:pStyle w:val="Indenta"/>
      </w:pPr>
      <w:r>
        <w:tab/>
        <w:t>(a)</w:t>
      </w:r>
      <w:r>
        <w:tab/>
        <w:t>a wager requested by a person who is warned off under the RWWA Regulations regulation 72;</w:t>
      </w:r>
    </w:p>
    <w:p>
      <w:pPr>
        <w:pStyle w:val="Indenta"/>
      </w:pPr>
      <w:r>
        <w:tab/>
        <w:t>(b)</w:t>
      </w:r>
      <w:r>
        <w:tab/>
        <w:t>a wager requested by a person who is disqualified under or otherwise contravenes the rules of racing.</w:t>
      </w:r>
    </w:p>
    <w:p>
      <w:pPr>
        <w:pStyle w:val="Footnotesection"/>
      </w:pPr>
      <w:r>
        <w:tab/>
        <w:t>[Rule 62G inserted: SL 2021/188 r. 11.]</w:t>
      </w:r>
    </w:p>
    <w:p>
      <w:pPr>
        <w:pStyle w:val="Heading5"/>
      </w:pPr>
      <w:bookmarkStart w:id="100" w:name="_Toc210395302"/>
      <w:r>
        <w:rPr>
          <w:rStyle w:val="CharSectno"/>
        </w:rPr>
        <w:t>62H</w:t>
      </w:r>
      <w:r>
        <w:t>.</w:t>
      </w:r>
      <w:r>
        <w:tab/>
        <w:t>Provisions as to runners</w:t>
      </w:r>
      <w:bookmarkEnd w:id="100"/>
    </w:p>
    <w:p>
      <w:pPr>
        <w:pStyle w:val="Subsection"/>
        <w:keepNext/>
      </w:pPr>
      <w:r>
        <w:tab/>
        <w:t>(1)</w:t>
      </w:r>
      <w:r>
        <w:tab/>
        <w:t xml:space="preserve">For the purpose of this Part a runner is taken to run in a race if — </w:t>
      </w:r>
    </w:p>
    <w:p>
      <w:pPr>
        <w:pStyle w:val="Indenta"/>
      </w:pPr>
      <w:r>
        <w:tab/>
        <w:t>(a)</w:t>
      </w:r>
      <w:r>
        <w:tab/>
        <w:t>the runner is ordered by the starter to take its place at the barrier, starting gate or box (as applicable) or has been semaphored as a starter; and</w:t>
      </w:r>
    </w:p>
    <w:p>
      <w:pPr>
        <w:pStyle w:val="Indenta"/>
      </w:pPr>
      <w:r>
        <w:tab/>
        <w:t>(b)</w:t>
      </w:r>
      <w:r>
        <w:tab/>
        <w:t>the stewards have not declared the runner not to be a starter in the race.</w:t>
      </w:r>
    </w:p>
    <w:p>
      <w:pPr>
        <w:pStyle w:val="Subsection"/>
      </w:pPr>
      <w:r>
        <w:tab/>
        <w:t>(2)</w:t>
      </w:r>
      <w:r>
        <w:tab/>
        <w:t>Subrule (1) applies whether or not the runner actually takes part in the race.</w:t>
      </w:r>
    </w:p>
    <w:p>
      <w:pPr>
        <w:pStyle w:val="Subsection"/>
      </w:pPr>
      <w:r>
        <w:tab/>
        <w:t>(3)</w:t>
      </w:r>
      <w:r>
        <w:tab/>
        <w:t>If a runner is withdrawn from a greyhound race in the United Kingdom and replaced by a reserve runner, wagers made with RWWA on the withdrawn runner’s box (trap) number will stand and be transferred to the reserve runner.</w:t>
      </w:r>
    </w:p>
    <w:p>
      <w:pPr>
        <w:pStyle w:val="Subsection"/>
        <w:keepNext/>
      </w:pPr>
      <w:r>
        <w:tab/>
        <w:t>(4)</w:t>
      </w:r>
      <w:r>
        <w:tab/>
        <w:t xml:space="preserve">All wagers made with RWWA on a greyhound race in the United Kingdom — </w:t>
      </w:r>
    </w:p>
    <w:p>
      <w:pPr>
        <w:pStyle w:val="Indenta"/>
      </w:pPr>
      <w:r>
        <w:tab/>
        <w:t>(a)</w:t>
      </w:r>
      <w:r>
        <w:tab/>
        <w:t>must be settled on a box (trap) number; and</w:t>
      </w:r>
    </w:p>
    <w:p>
      <w:pPr>
        <w:pStyle w:val="Indenta"/>
        <w:keepNext/>
      </w:pPr>
      <w:r>
        <w:lastRenderedPageBreak/>
        <w:tab/>
        <w:t>(b)</w:t>
      </w:r>
      <w:r>
        <w:tab/>
        <w:t>must not be settled on a runner name.</w:t>
      </w:r>
    </w:p>
    <w:p>
      <w:pPr>
        <w:pStyle w:val="Footnotesection"/>
      </w:pPr>
      <w:r>
        <w:tab/>
        <w:t>[Rule 62H inserted: SL 2021/188 r. 11.]</w:t>
      </w:r>
    </w:p>
    <w:p>
      <w:pPr>
        <w:pStyle w:val="Heading5"/>
      </w:pPr>
      <w:bookmarkStart w:id="101" w:name="_Toc210395303"/>
      <w:r>
        <w:rPr>
          <w:rStyle w:val="CharSectno"/>
        </w:rPr>
        <w:t>62I</w:t>
      </w:r>
      <w:r>
        <w:t>.</w:t>
      </w:r>
      <w:r>
        <w:tab/>
        <w:t>Wagers void in certain circumstances</w:t>
      </w:r>
      <w:bookmarkEnd w:id="101"/>
    </w:p>
    <w:p>
      <w:pPr>
        <w:pStyle w:val="Subsection"/>
        <w:keepNext/>
      </w:pPr>
      <w:r>
        <w:tab/>
        <w:t>(1)</w:t>
      </w:r>
      <w:r>
        <w:tab/>
        <w:t xml:space="preserve">A wager is void if any of the following circumstances apply — </w:t>
      </w:r>
    </w:p>
    <w:p>
      <w:pPr>
        <w:pStyle w:val="Indenta"/>
      </w:pPr>
      <w:r>
        <w:tab/>
        <w:t>(a)</w:t>
      </w:r>
      <w:r>
        <w:tab/>
        <w:t>at the time the wager is made, it is impossible for the investor to win;</w:t>
      </w:r>
    </w:p>
    <w:p>
      <w:pPr>
        <w:pStyle w:val="Indenta"/>
      </w:pPr>
      <w:r>
        <w:tab/>
        <w:t>(b)</w:t>
      </w:r>
      <w:r>
        <w:tab/>
        <w:t>the wager is made on a runner more than 5 seconds after the commencement of the race to which the wager relates;</w:t>
      </w:r>
    </w:p>
    <w:p>
      <w:pPr>
        <w:pStyle w:val="Indenta"/>
      </w:pPr>
      <w:r>
        <w:tab/>
        <w:t>(c)</w:t>
      </w:r>
      <w:r>
        <w:tab/>
        <w:t>the wager is made after the determination of the race to which the wager relates;</w:t>
      </w:r>
    </w:p>
    <w:p>
      <w:pPr>
        <w:pStyle w:val="Indenta"/>
      </w:pPr>
      <w:r>
        <w:tab/>
        <w:t>(d)</w:t>
      </w:r>
      <w:r>
        <w:tab/>
        <w:t>the wager is declared void by the rules of racing or these rules;</w:t>
      </w:r>
    </w:p>
    <w:p>
      <w:pPr>
        <w:pStyle w:val="Indenta"/>
      </w:pPr>
      <w:r>
        <w:tab/>
        <w:t>(e)</w:t>
      </w:r>
      <w:r>
        <w:tab/>
        <w:t>the wager is declared void by the Commission under subrule (3)(b);</w:t>
      </w:r>
    </w:p>
    <w:p>
      <w:pPr>
        <w:pStyle w:val="Indenta"/>
      </w:pPr>
      <w:r>
        <w:tab/>
        <w:t>(f)</w:t>
      </w:r>
      <w:r>
        <w:tab/>
        <w:t>the wager is declared void by the stewards under another provision of these rules.</w:t>
      </w:r>
    </w:p>
    <w:p>
      <w:pPr>
        <w:pStyle w:val="Subsection"/>
      </w:pPr>
      <w:r>
        <w:tab/>
        <w:t>(2)</w:t>
      </w:r>
      <w:r>
        <w:tab/>
        <w:t>Subrule (1)(b) does not apply to an in the run wager.</w:t>
      </w:r>
    </w:p>
    <w:p>
      <w:pPr>
        <w:pStyle w:val="Subsection"/>
        <w:keepNext/>
      </w:pPr>
      <w:r>
        <w:tab/>
        <w:t>(3)</w:t>
      </w:r>
      <w:r>
        <w:tab/>
        <w:t xml:space="preserve">The Commission may — </w:t>
      </w:r>
    </w:p>
    <w:p>
      <w:pPr>
        <w:pStyle w:val="Indenta"/>
      </w:pPr>
      <w:r>
        <w:tab/>
        <w:t>(a)</w:t>
      </w:r>
      <w:r>
        <w:tab/>
        <w:t>investigate, in such a manner as it thinks fit, an allegation of fraud or corrupt practice in relation to a wager or a race to which a wager relates; and</w:t>
      </w:r>
    </w:p>
    <w:p>
      <w:pPr>
        <w:pStyle w:val="Indenta"/>
      </w:pPr>
      <w:r>
        <w:tab/>
        <w:t>(b)</w:t>
      </w:r>
      <w:r>
        <w:tab/>
        <w:t xml:space="preserve">declare to be void, as the case may be — </w:t>
      </w:r>
    </w:p>
    <w:p>
      <w:pPr>
        <w:pStyle w:val="Indenti"/>
      </w:pPr>
      <w:r>
        <w:tab/>
        <w:t>(i)</w:t>
      </w:r>
      <w:r>
        <w:tab/>
        <w:t>the wager the subject of the investigation; or</w:t>
      </w:r>
    </w:p>
    <w:p>
      <w:pPr>
        <w:pStyle w:val="Indenti"/>
        <w:keepNext/>
      </w:pPr>
      <w:r>
        <w:tab/>
        <w:t>(ii)</w:t>
      </w:r>
      <w:r>
        <w:tab/>
        <w:t>any or all wagers made in respect of the race the subject of the investigation.</w:t>
      </w:r>
    </w:p>
    <w:p>
      <w:pPr>
        <w:pStyle w:val="Footnotesection"/>
      </w:pPr>
      <w:r>
        <w:tab/>
        <w:t>[Rule 62I inserted: SL 2021/188 r. 11.]</w:t>
      </w:r>
    </w:p>
    <w:p>
      <w:pPr>
        <w:pStyle w:val="Heading5"/>
      </w:pPr>
      <w:bookmarkStart w:id="102" w:name="_Toc210395304"/>
      <w:r>
        <w:rPr>
          <w:rStyle w:val="CharSectno"/>
        </w:rPr>
        <w:lastRenderedPageBreak/>
        <w:t>62J</w:t>
      </w:r>
      <w:r>
        <w:t>.</w:t>
      </w:r>
      <w:r>
        <w:tab/>
        <w:t>When wagers are off</w:t>
      </w:r>
      <w:bookmarkEnd w:id="102"/>
    </w:p>
    <w:p>
      <w:pPr>
        <w:pStyle w:val="Subsection"/>
        <w:keepNext/>
      </w:pPr>
      <w:r>
        <w:tab/>
      </w:r>
      <w:r>
        <w:tab/>
        <w:t xml:space="preserve">A wager is off if any of the following circumstances apply — </w:t>
      </w:r>
    </w:p>
    <w:p>
      <w:pPr>
        <w:pStyle w:val="Indenta"/>
      </w:pPr>
      <w:r>
        <w:tab/>
        <w:t>(a)</w:t>
      </w:r>
      <w:r>
        <w:tab/>
        <w:t>the investor and RWWA mutually consent to the wager being off;</w:t>
      </w:r>
    </w:p>
    <w:p>
      <w:pPr>
        <w:pStyle w:val="Indenta"/>
      </w:pPr>
      <w:r>
        <w:tab/>
        <w:t>(b)</w:t>
      </w:r>
      <w:r>
        <w:tab/>
        <w:t xml:space="preserve">the ticket issued as a result of the wager being made is cancelled under the RWWA Regulations regulation 40(4a); </w:t>
      </w:r>
    </w:p>
    <w:p>
      <w:pPr>
        <w:pStyle w:val="Indenta"/>
        <w:keepNext/>
      </w:pPr>
      <w:r>
        <w:tab/>
        <w:t>(c)</w:t>
      </w:r>
      <w:r>
        <w:tab/>
        <w:t xml:space="preserve">the wager is placed on a race that is — </w:t>
      </w:r>
    </w:p>
    <w:p>
      <w:pPr>
        <w:pStyle w:val="Indenti"/>
      </w:pPr>
      <w:r>
        <w:tab/>
        <w:t>(i)</w:t>
      </w:r>
      <w:r>
        <w:tab/>
        <w:t>subsequently postponed from one day to another or transferred to another racecourse; or</w:t>
      </w:r>
    </w:p>
    <w:p>
      <w:pPr>
        <w:pStyle w:val="Indenti"/>
        <w:keepNext/>
      </w:pPr>
      <w:r>
        <w:tab/>
        <w:t>(ii)</w:t>
      </w:r>
      <w:r>
        <w:tab/>
        <w:t>at a race meeting that is subsequently postponed from one day to another or transferred to another racecourse.</w:t>
      </w:r>
    </w:p>
    <w:p>
      <w:pPr>
        <w:pStyle w:val="Footnotesection"/>
      </w:pPr>
      <w:r>
        <w:tab/>
        <w:t>[Rule 62J inserted: SL 2021/188 r. 11.]</w:t>
      </w:r>
    </w:p>
    <w:p>
      <w:pPr>
        <w:pStyle w:val="Heading5"/>
      </w:pPr>
      <w:bookmarkStart w:id="103" w:name="_Toc210395305"/>
      <w:r>
        <w:rPr>
          <w:rStyle w:val="CharSectno"/>
        </w:rPr>
        <w:t>62K</w:t>
      </w:r>
      <w:r>
        <w:t>.</w:t>
      </w:r>
      <w:r>
        <w:tab/>
        <w:t>Acceptance of tickets</w:t>
      </w:r>
      <w:bookmarkEnd w:id="103"/>
    </w:p>
    <w:p>
      <w:pPr>
        <w:pStyle w:val="Subsection"/>
        <w:keepNext/>
      </w:pPr>
      <w:r>
        <w:tab/>
        <w:t>(1)</w:t>
      </w:r>
      <w:r>
        <w:tab/>
        <w:t xml:space="preserve">Subject to subrule (2), a person to whom RWWA issues a ticket is taken to have — </w:t>
      </w:r>
    </w:p>
    <w:p>
      <w:pPr>
        <w:pStyle w:val="Indenta"/>
      </w:pPr>
      <w:r>
        <w:tab/>
        <w:t>(a)</w:t>
      </w:r>
      <w:r>
        <w:tab/>
        <w:t>accepted the ticket; and</w:t>
      </w:r>
    </w:p>
    <w:p>
      <w:pPr>
        <w:pStyle w:val="Indenta"/>
      </w:pPr>
      <w:r>
        <w:tab/>
        <w:t>(b)</w:t>
      </w:r>
      <w:r>
        <w:tab/>
        <w:t>agreed that the particulars of the wager shown on the ticket are correct.</w:t>
      </w:r>
    </w:p>
    <w:p>
      <w:pPr>
        <w:pStyle w:val="Subsection"/>
        <w:keepNext/>
      </w:pPr>
      <w:r>
        <w:tab/>
        <w:t>(2)</w:t>
      </w:r>
      <w:r>
        <w:tab/>
        <w:t>Subrule (1) does not apply if, immediately following the issue of the ticket, the person to whom it was issued appeals to the person who issued it to correct an error or omission.</w:t>
      </w:r>
    </w:p>
    <w:p>
      <w:pPr>
        <w:pStyle w:val="Footnotesection"/>
      </w:pPr>
      <w:r>
        <w:tab/>
        <w:t>[Rule 62K inserted: SL 2021/188 r. 11.]</w:t>
      </w:r>
    </w:p>
    <w:p>
      <w:pPr>
        <w:pStyle w:val="Heading5"/>
      </w:pPr>
      <w:bookmarkStart w:id="104" w:name="_Toc210395306"/>
      <w:r>
        <w:rPr>
          <w:rStyle w:val="CharSectno"/>
        </w:rPr>
        <w:t>62L</w:t>
      </w:r>
      <w:r>
        <w:t>.</w:t>
      </w:r>
      <w:r>
        <w:tab/>
        <w:t>Determination of wagers</w:t>
      </w:r>
      <w:bookmarkEnd w:id="104"/>
    </w:p>
    <w:p>
      <w:pPr>
        <w:pStyle w:val="Subsection"/>
        <w:keepNext/>
      </w:pPr>
      <w:r>
        <w:tab/>
        <w:t>(1)</w:t>
      </w:r>
      <w:r>
        <w:tab/>
        <w:t xml:space="preserve">Subject to subrules (2), (4) and (5) — </w:t>
      </w:r>
    </w:p>
    <w:p>
      <w:pPr>
        <w:pStyle w:val="Indenta"/>
      </w:pPr>
      <w:r>
        <w:tab/>
        <w:t>(a)</w:t>
      </w:r>
      <w:r>
        <w:tab/>
        <w:t>winning wagers are based on the placing of runners in a race as determined by the judge; and</w:t>
      </w:r>
    </w:p>
    <w:p>
      <w:pPr>
        <w:pStyle w:val="Indenta"/>
      </w:pPr>
      <w:r>
        <w:lastRenderedPageBreak/>
        <w:tab/>
        <w:t>(b)</w:t>
      </w:r>
      <w:r>
        <w:tab/>
        <w:t>dividends in respect of winning wagers are payable once the “Correct Weight” or “All Clear” signal has been given under the rules of racing.</w:t>
      </w:r>
    </w:p>
    <w:p>
      <w:pPr>
        <w:pStyle w:val="Subsection"/>
      </w:pPr>
      <w:r>
        <w:tab/>
        <w:t>(2)</w:t>
      </w:r>
      <w:r>
        <w:tab/>
        <w:t>If a protest or objection is entered in accordance with the rules of racing before the “Correct Weight” or “All Clear” signal has been given under the rules of racing then, subject to subrule (4), winning wagers are based on the placing of runners by the stewards determined in accordance with the result of the decision on the protest or objection.</w:t>
      </w:r>
    </w:p>
    <w:p>
      <w:pPr>
        <w:pStyle w:val="Subsection"/>
        <w:keepNext/>
      </w:pPr>
      <w:r>
        <w:tab/>
        <w:t>(3)</w:t>
      </w:r>
      <w:r>
        <w:tab/>
        <w:t>Subrule (4) applies if —</w:t>
      </w:r>
    </w:p>
    <w:p>
      <w:pPr>
        <w:pStyle w:val="Indenta"/>
      </w:pPr>
      <w:r>
        <w:tab/>
        <w:t>(a)</w:t>
      </w:r>
      <w:r>
        <w:tab/>
        <w:t>a runner or (in the case of a thoroughbred race or harness race) a rider or driver is disqualified; and</w:t>
      </w:r>
    </w:p>
    <w:p>
      <w:pPr>
        <w:pStyle w:val="Indenta"/>
      </w:pPr>
      <w:r>
        <w:tab/>
        <w:t>(b)</w:t>
      </w:r>
      <w:r>
        <w:tab/>
        <w:t>there are circumstances in connection with the disqualification which in the opinion of the stewards require further investigation.</w:t>
      </w:r>
    </w:p>
    <w:p>
      <w:pPr>
        <w:pStyle w:val="Subsection"/>
      </w:pPr>
      <w:r>
        <w:tab/>
        <w:t>(4)</w:t>
      </w:r>
      <w:r>
        <w:tab/>
        <w:t>A steward may order that the settlement of all wagers be postponed pending completion of the stewards’ enquiries.</w:t>
      </w:r>
    </w:p>
    <w:p>
      <w:pPr>
        <w:pStyle w:val="Subsection"/>
      </w:pPr>
      <w:r>
        <w:tab/>
        <w:t>(5)</w:t>
      </w:r>
      <w:r>
        <w:tab/>
        <w:t>Subject to rule 62P(1), if a steward orders a postponement of the settlement of wagers under subrule (4), winning wagers are determined in accordance with the decision of the stewards following their enquiries.</w:t>
      </w:r>
    </w:p>
    <w:p>
      <w:pPr>
        <w:pStyle w:val="Subsection"/>
        <w:keepNext/>
      </w:pPr>
      <w:r>
        <w:tab/>
        <w:t>(6)</w:t>
      </w:r>
      <w:r>
        <w:tab/>
        <w:t>This rule does not apply in respect of first past the post wagers.</w:t>
      </w:r>
    </w:p>
    <w:p>
      <w:pPr>
        <w:pStyle w:val="Footnotesection"/>
      </w:pPr>
      <w:r>
        <w:tab/>
        <w:t>[Rule 62L inserted: SL 2021/188 r. 11.]</w:t>
      </w:r>
    </w:p>
    <w:p>
      <w:pPr>
        <w:pStyle w:val="Heading5"/>
      </w:pPr>
      <w:bookmarkStart w:id="105" w:name="_Toc210395307"/>
      <w:r>
        <w:rPr>
          <w:rStyle w:val="CharSectno"/>
        </w:rPr>
        <w:t>62M</w:t>
      </w:r>
      <w:r>
        <w:t>.</w:t>
      </w:r>
      <w:r>
        <w:tab/>
        <w:t>Settlement of wagers</w:t>
      </w:r>
      <w:bookmarkEnd w:id="105"/>
    </w:p>
    <w:p>
      <w:pPr>
        <w:pStyle w:val="Subsection"/>
      </w:pPr>
      <w:r>
        <w:tab/>
        <w:t>(1)</w:t>
      </w:r>
      <w:r>
        <w:tab/>
        <w:t>Subject to these rules, a win wager in respect of a race or event is settled at the odds agreed at the time of the wager if the selected runner wins the race or the selected participant wins the event, as the case may be.</w:t>
      </w:r>
    </w:p>
    <w:p>
      <w:pPr>
        <w:pStyle w:val="Subsection"/>
      </w:pPr>
      <w:r>
        <w:tab/>
        <w:t>(2)</w:t>
      </w:r>
      <w:r>
        <w:tab/>
        <w:t xml:space="preserve">Subject to these rules, a place wager in respect of a race is settled at the odds agreed at the time of the wager if the selected </w:t>
      </w:r>
      <w:r>
        <w:lastRenderedPageBreak/>
        <w:t>runner achieves a place as described in rule 62C(2)(b) or 62C(3)(b).</w:t>
      </w:r>
    </w:p>
    <w:p>
      <w:pPr>
        <w:pStyle w:val="Subsection"/>
        <w:keepNext/>
      </w:pPr>
      <w:r>
        <w:tab/>
        <w:t>(3)</w:t>
      </w:r>
      <w:r>
        <w:tab/>
        <w:t xml:space="preserve">Subject to these rules, an each way wager is settled as follows — </w:t>
      </w:r>
    </w:p>
    <w:p>
      <w:pPr>
        <w:pStyle w:val="Indenta"/>
      </w:pPr>
      <w:r>
        <w:tab/>
        <w:t>(a)</w:t>
      </w:r>
      <w:r>
        <w:tab/>
        <w:t>the win component is settled at the odds agreed at the time of the wager in the same manner as a win wager under subrule (1);</w:t>
      </w:r>
    </w:p>
    <w:p>
      <w:pPr>
        <w:pStyle w:val="Indenta"/>
        <w:keepNext/>
      </w:pPr>
      <w:r>
        <w:tab/>
        <w:t>(b)</w:t>
      </w:r>
      <w:r>
        <w:tab/>
        <w:t xml:space="preserve">the place component is settled at the odds agreed at the time of the wager — </w:t>
      </w:r>
    </w:p>
    <w:p>
      <w:pPr>
        <w:pStyle w:val="Indenti"/>
      </w:pPr>
      <w:r>
        <w:tab/>
        <w:t>(i)</w:t>
      </w:r>
      <w:r>
        <w:tab/>
        <w:t>if there are 8 or more runners listed to start in the race and 3 places payable, at one</w:t>
      </w:r>
      <w:r>
        <w:noBreakHyphen/>
        <w:t>fourth of the odds agreed at the time of the wager; or</w:t>
      </w:r>
    </w:p>
    <w:p>
      <w:pPr>
        <w:pStyle w:val="Indenti"/>
      </w:pPr>
      <w:r>
        <w:tab/>
        <w:t>(ii)</w:t>
      </w:r>
      <w:r>
        <w:tab/>
        <w:t>if there are 5, 6 or 7 runners listed to start in the race and 2 places payable, at one</w:t>
      </w:r>
      <w:r>
        <w:noBreakHyphen/>
        <w:t>third of the odds agreed at the time of the wager.</w:t>
      </w:r>
    </w:p>
    <w:p>
      <w:pPr>
        <w:pStyle w:val="Subsection"/>
        <w:keepNext/>
      </w:pPr>
      <w:r>
        <w:tab/>
        <w:t>(4)</w:t>
      </w:r>
      <w:r>
        <w:tab/>
        <w:t xml:space="preserve">Subject to these rules, an insurance wager (2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pPr>
      <w:r>
        <w:tab/>
        <w:t>(b)</w:t>
      </w:r>
      <w:r>
        <w:tab/>
        <w:t>if there are 8 or more runners listed to start in the race and 3 places payable, or 5, 6 or 7 runners listed to start in the race and 2 places payable, and the selected runner achieves second place, the investor’s stake is returned.</w:t>
      </w:r>
    </w:p>
    <w:p>
      <w:pPr>
        <w:pStyle w:val="Subsection"/>
        <w:keepNext/>
      </w:pPr>
      <w:r>
        <w:tab/>
        <w:t>(5)</w:t>
      </w:r>
      <w:r>
        <w:tab/>
        <w:t xml:space="preserve">Subject to these rules, an insurance wager (3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keepNext/>
      </w:pPr>
      <w:r>
        <w:lastRenderedPageBreak/>
        <w:tab/>
        <w:t>(b)</w:t>
      </w:r>
      <w:r>
        <w:tab/>
        <w:t>if the selected runner achieves a place as described in rule 62C(2)(b) other than first place, the investor’s stake is returned.</w:t>
      </w:r>
    </w:p>
    <w:p>
      <w:pPr>
        <w:pStyle w:val="Footnotesection"/>
      </w:pPr>
      <w:r>
        <w:tab/>
        <w:t>[Rule 62M inserted: SL 2021/188 r. 11.]</w:t>
      </w:r>
    </w:p>
    <w:p>
      <w:pPr>
        <w:pStyle w:val="Heading5"/>
      </w:pPr>
      <w:bookmarkStart w:id="106" w:name="_Toc210395308"/>
      <w:r>
        <w:rPr>
          <w:rStyle w:val="CharSectno"/>
        </w:rPr>
        <w:t>62N</w:t>
      </w:r>
      <w:r>
        <w:t>.</w:t>
      </w:r>
      <w:r>
        <w:tab/>
        <w:t>Unlisted odds</w:t>
      </w:r>
      <w:bookmarkEnd w:id="106"/>
    </w:p>
    <w:p>
      <w:pPr>
        <w:pStyle w:val="Subsection"/>
      </w:pPr>
      <w:r>
        <w:tab/>
        <w:t>(1)</w:t>
      </w:r>
      <w:r>
        <w:tab/>
        <w:t>RWWA is not required to list or otherwise display all of the odds it offers.</w:t>
      </w:r>
    </w:p>
    <w:p>
      <w:pPr>
        <w:pStyle w:val="Subsection"/>
        <w:keepNext/>
      </w:pPr>
      <w:r>
        <w:tab/>
        <w:t>(2)</w:t>
      </w:r>
      <w:r>
        <w:tab/>
        <w:t>If RWWA does not list or otherwise display odds it offers, it may provide the odds upon request by an investor.</w:t>
      </w:r>
    </w:p>
    <w:p>
      <w:pPr>
        <w:pStyle w:val="Footnotesection"/>
      </w:pPr>
      <w:r>
        <w:tab/>
        <w:t>[Rule 62N inserted: SL 2021/188 r. 11.]</w:t>
      </w:r>
    </w:p>
    <w:p>
      <w:pPr>
        <w:pStyle w:val="Heading5"/>
      </w:pPr>
      <w:bookmarkStart w:id="107" w:name="_Toc210395309"/>
      <w:r>
        <w:rPr>
          <w:rStyle w:val="CharSectno"/>
        </w:rPr>
        <w:t>62O</w:t>
      </w:r>
      <w:r>
        <w:t>.</w:t>
      </w:r>
      <w:r>
        <w:tab/>
        <w:t>Scratching of legs for multi, same race multi, place card and same race combo wagers</w:t>
      </w:r>
      <w:bookmarkEnd w:id="107"/>
    </w:p>
    <w:p>
      <w:pPr>
        <w:pStyle w:val="Subsection"/>
      </w:pPr>
      <w:r>
        <w:tab/>
        <w:t>(1)</w:t>
      </w:r>
      <w:r>
        <w:tab/>
        <w:t>If a leg of a multi wager or place card wager is scratched, the wager stands with the odds recalculated based on the odds of the remaining legs at the time the wager was placed.</w:t>
      </w:r>
    </w:p>
    <w:p>
      <w:pPr>
        <w:pStyle w:val="Subsection"/>
      </w:pPr>
      <w:r>
        <w:tab/>
        <w:t>(2)</w:t>
      </w:r>
      <w:r>
        <w:tab/>
        <w:t>If a leg of a same race multi wager or same race combo wager is scratched, the wager is refunded</w:t>
      </w:r>
    </w:p>
    <w:p>
      <w:pPr>
        <w:pStyle w:val="Footnotesection"/>
      </w:pPr>
      <w:r>
        <w:tab/>
        <w:t>[Rule 62O inserted: SL 2021/188 r. 11; amended: Gazette 15 Jul 2022 p. 4177.]</w:t>
      </w:r>
    </w:p>
    <w:p>
      <w:pPr>
        <w:pStyle w:val="Heading5"/>
      </w:pPr>
      <w:bookmarkStart w:id="108" w:name="_Toc210395310"/>
      <w:r>
        <w:rPr>
          <w:rStyle w:val="CharSectno"/>
        </w:rPr>
        <w:t>62P</w:t>
      </w:r>
      <w:r>
        <w:t>.</w:t>
      </w:r>
      <w:r>
        <w:tab/>
        <w:t>Determination of race results</w:t>
      </w:r>
      <w:bookmarkEnd w:id="108"/>
    </w:p>
    <w:p>
      <w:pPr>
        <w:pStyle w:val="Subsection"/>
      </w:pPr>
      <w:r>
        <w:tab/>
        <w:t>(1)</w:t>
      </w:r>
      <w:r>
        <w:tab/>
        <w:t>For the purpose of settlement of wagers, the result of a race or event will be determined on the day on which the race or event is concluded.</w:t>
      </w:r>
    </w:p>
    <w:p>
      <w:pPr>
        <w:pStyle w:val="Subsection"/>
        <w:keepNext/>
      </w:pPr>
      <w:r>
        <w:tab/>
        <w:t>(2)</w:t>
      </w:r>
      <w:r>
        <w:tab/>
        <w:t>The result of a race or event that is overturned after the day on which the race or event is concluded is not recognised by RWWA and the original settlement of wagers will stand.</w:t>
      </w:r>
    </w:p>
    <w:p>
      <w:pPr>
        <w:pStyle w:val="Footnotesection"/>
      </w:pPr>
      <w:r>
        <w:tab/>
        <w:t>[Rule 62P inserted: SL 2021/188 r. 11.]</w:t>
      </w:r>
    </w:p>
    <w:p>
      <w:pPr>
        <w:pStyle w:val="Heading5"/>
      </w:pPr>
      <w:bookmarkStart w:id="109" w:name="_Toc210395311"/>
      <w:r>
        <w:rPr>
          <w:rStyle w:val="CharSectno"/>
        </w:rPr>
        <w:lastRenderedPageBreak/>
        <w:t>62Q</w:t>
      </w:r>
      <w:r>
        <w:t>.</w:t>
      </w:r>
      <w:r>
        <w:tab/>
        <w:t>Determination of wagers if runner withdrawn</w:t>
      </w:r>
      <w:bookmarkEnd w:id="109"/>
    </w:p>
    <w:p>
      <w:pPr>
        <w:pStyle w:val="Subsection"/>
      </w:pPr>
      <w:r>
        <w:tab/>
        <w:t>(1)</w:t>
      </w:r>
      <w:r>
        <w:tab/>
        <w:t>Subrule (2) applies in relation to wagers placed after the declaration of the final field.</w:t>
      </w:r>
    </w:p>
    <w:p>
      <w:pPr>
        <w:pStyle w:val="Subsection"/>
        <w:keepNext/>
      </w:pPr>
      <w:r>
        <w:tab/>
        <w:t>(2)</w:t>
      </w:r>
      <w:r>
        <w:tab/>
        <w:t xml:space="preserve">If, in relation to a race, there is a late scratched runner — </w:t>
      </w:r>
    </w:p>
    <w:p>
      <w:pPr>
        <w:pStyle w:val="Indenta"/>
      </w:pPr>
      <w:r>
        <w:tab/>
        <w:t>(a)</w:t>
      </w:r>
      <w:r>
        <w:tab/>
        <w:t>RWWA must refund all wagers on the late scratched runner and those wagers are, by operation of this rule, declared off; and</w:t>
      </w:r>
    </w:p>
    <w:p>
      <w:pPr>
        <w:pStyle w:val="Indenta"/>
        <w:keepNext/>
      </w:pPr>
      <w:r>
        <w:tab/>
        <w:t>(b)</w:t>
      </w:r>
      <w:r>
        <w:tab/>
        <w:t xml:space="preserve">if the late scratched runner is part of a quinella wager — </w:t>
      </w:r>
    </w:p>
    <w:p>
      <w:pPr>
        <w:pStyle w:val="Indenti"/>
      </w:pPr>
      <w:r>
        <w:tab/>
        <w:t>(i)</w:t>
      </w:r>
      <w:r>
        <w:tab/>
        <w:t>if there are 2 runners selected — the whole of the wager must be refunded; and</w:t>
      </w:r>
    </w:p>
    <w:p>
      <w:pPr>
        <w:pStyle w:val="Indenti"/>
      </w:pPr>
      <w:r>
        <w:tab/>
        <w:t>(ii)</w:t>
      </w:r>
      <w:r>
        <w:tab/>
        <w:t>if there are more than 2 runners selected — the portion of the wager that relates to the late scratched runner must be refunded;</w:t>
      </w:r>
    </w:p>
    <w:p>
      <w:pPr>
        <w:pStyle w:val="Indenta"/>
      </w:pPr>
      <w:r>
        <w:tab/>
      </w:r>
      <w:r>
        <w:tab/>
        <w:t>and</w:t>
      </w:r>
    </w:p>
    <w:p>
      <w:pPr>
        <w:pStyle w:val="Indenta"/>
      </w:pPr>
      <w:r>
        <w:tab/>
        <w:t>(c)</w:t>
      </w:r>
      <w:r>
        <w:tab/>
        <w:t>wagers placed on runners other than the late scratched runner will be subject to any applicable deduction in accordance with Schedule 1.</w:t>
      </w:r>
    </w:p>
    <w:p>
      <w:pPr>
        <w:pStyle w:val="Subsection"/>
      </w:pPr>
      <w:r>
        <w:tab/>
        <w:t>(3)</w:t>
      </w:r>
      <w:r>
        <w:tab/>
        <w:t>Subrule (4) applies in relation to futures wagers.</w:t>
      </w:r>
    </w:p>
    <w:p>
      <w:pPr>
        <w:pStyle w:val="Subsection"/>
        <w:keepNext/>
      </w:pPr>
      <w:r>
        <w:tab/>
        <w:t>(4)</w:t>
      </w:r>
      <w:r>
        <w:tab/>
        <w:t xml:space="preserve">If, in relation to a race, there is a late scratched runner — </w:t>
      </w:r>
    </w:p>
    <w:p>
      <w:pPr>
        <w:pStyle w:val="Indenta"/>
      </w:pPr>
      <w:r>
        <w:tab/>
        <w:t>(a)</w:t>
      </w:r>
      <w:r>
        <w:tab/>
        <w:t>RWWA will not refund wagers on the late scratched runner; and</w:t>
      </w:r>
    </w:p>
    <w:p>
      <w:pPr>
        <w:pStyle w:val="Indenta"/>
        <w:keepNext/>
      </w:pPr>
      <w:r>
        <w:tab/>
        <w:t>(b)</w:t>
      </w:r>
      <w:r>
        <w:tab/>
        <w:t>no deduction applies.</w:t>
      </w:r>
    </w:p>
    <w:p>
      <w:pPr>
        <w:pStyle w:val="Footnotesection"/>
      </w:pPr>
      <w:r>
        <w:tab/>
        <w:t>[Rule 62Q inserted: SL 2021/188 r. 11.]</w:t>
      </w:r>
    </w:p>
    <w:p>
      <w:pPr>
        <w:pStyle w:val="Heading5"/>
      </w:pPr>
      <w:bookmarkStart w:id="110" w:name="_Toc210395312"/>
      <w:r>
        <w:rPr>
          <w:rStyle w:val="CharSectno"/>
        </w:rPr>
        <w:t>62R</w:t>
      </w:r>
      <w:r>
        <w:t>.</w:t>
      </w:r>
      <w:r>
        <w:tab/>
        <w:t>Wagers are play or pay except in certain circumstances</w:t>
      </w:r>
      <w:bookmarkEnd w:id="110"/>
    </w:p>
    <w:p>
      <w:pPr>
        <w:pStyle w:val="Subsection"/>
      </w:pPr>
      <w:r>
        <w:tab/>
        <w:t>(1)</w:t>
      </w:r>
      <w:r>
        <w:tab/>
        <w:t>Subject to this rule and unless the parties agree otherwise, wagers are play or pay.</w:t>
      </w:r>
    </w:p>
    <w:p>
      <w:pPr>
        <w:pStyle w:val="Subsection"/>
        <w:keepNext/>
      </w:pPr>
      <w:r>
        <w:lastRenderedPageBreak/>
        <w:tab/>
        <w:t>(2)</w:t>
      </w:r>
      <w:r>
        <w:tab/>
        <w:t xml:space="preserve">Subrule (1) does not apply to the following — </w:t>
      </w:r>
    </w:p>
    <w:p>
      <w:pPr>
        <w:pStyle w:val="Indenta"/>
      </w:pPr>
      <w:r>
        <w:tab/>
        <w:t>(a)</w:t>
      </w:r>
      <w:r>
        <w:tab/>
        <w:t xml:space="preserve">a wager made after the running numbers are officially placed on the semaphore, in relation to a runner that is not subsequently under the starter’s orders; </w:t>
      </w:r>
    </w:p>
    <w:p>
      <w:pPr>
        <w:pStyle w:val="Indenta"/>
      </w:pPr>
      <w:r>
        <w:tab/>
        <w:t>(b)</w:t>
      </w:r>
      <w:r>
        <w:tab/>
        <w:t xml:space="preserve">a wager that is declared off by the stewards; </w:t>
      </w:r>
    </w:p>
    <w:p>
      <w:pPr>
        <w:pStyle w:val="Indenta"/>
      </w:pPr>
      <w:r>
        <w:tab/>
        <w:t>(c)</w:t>
      </w:r>
      <w:r>
        <w:tab/>
        <w:t>a wager on a walk</w:t>
      </w:r>
      <w:r>
        <w:noBreakHyphen/>
        <w:t xml:space="preserve">over; </w:t>
      </w:r>
    </w:p>
    <w:p>
      <w:pPr>
        <w:pStyle w:val="Indenta"/>
      </w:pPr>
      <w:r>
        <w:tab/>
        <w:t>(d)</w:t>
      </w:r>
      <w:r>
        <w:tab/>
        <w:t xml:space="preserve">a wager made at starting price; </w:t>
      </w:r>
    </w:p>
    <w:p>
      <w:pPr>
        <w:pStyle w:val="Indenta"/>
      </w:pPr>
      <w:r>
        <w:tab/>
        <w:t>(e)</w:t>
      </w:r>
      <w:r>
        <w:tab/>
        <w:t xml:space="preserve">a futures wager if the runner does not officially nominate for the race or the participant does not officially nominate for the event; </w:t>
      </w:r>
    </w:p>
    <w:p>
      <w:pPr>
        <w:pStyle w:val="Indenta"/>
        <w:keepNext/>
      </w:pPr>
      <w:r>
        <w:tab/>
        <w:t>(f)</w:t>
      </w:r>
      <w:r>
        <w:tab/>
        <w:t xml:space="preserve">the following wagers placed after the final field is declared — </w:t>
      </w:r>
    </w:p>
    <w:p>
      <w:pPr>
        <w:pStyle w:val="Indenti"/>
      </w:pPr>
      <w:r>
        <w:tab/>
        <w:t>(i)</w:t>
      </w:r>
      <w:r>
        <w:tab/>
        <w:t>a win wager;</w:t>
      </w:r>
    </w:p>
    <w:p>
      <w:pPr>
        <w:pStyle w:val="Indenti"/>
      </w:pPr>
      <w:r>
        <w:tab/>
        <w:t>(ii)</w:t>
      </w:r>
      <w:r>
        <w:tab/>
        <w:t>a place wager;</w:t>
      </w:r>
    </w:p>
    <w:p>
      <w:pPr>
        <w:pStyle w:val="Indenti"/>
      </w:pPr>
      <w:r>
        <w:tab/>
        <w:t>(iii)</w:t>
      </w:r>
      <w:r>
        <w:tab/>
        <w:t>an each way wager;</w:t>
      </w:r>
    </w:p>
    <w:p>
      <w:pPr>
        <w:pStyle w:val="Indenti"/>
      </w:pPr>
      <w:r>
        <w:tab/>
        <w:t>(iv)</w:t>
      </w:r>
      <w:r>
        <w:tab/>
        <w:t>an insurance wager (2 places);</w:t>
      </w:r>
    </w:p>
    <w:p>
      <w:pPr>
        <w:pStyle w:val="Indenti"/>
      </w:pPr>
      <w:r>
        <w:tab/>
        <w:t>(v)</w:t>
      </w:r>
      <w:r>
        <w:tab/>
        <w:t>an insurance wager (3 places);</w:t>
      </w:r>
    </w:p>
    <w:p>
      <w:pPr>
        <w:pStyle w:val="Indenti"/>
      </w:pPr>
      <w:r>
        <w:tab/>
        <w:t>(vi)</w:t>
      </w:r>
      <w:r>
        <w:tab/>
        <w:t>a starting price guarantee wager;</w:t>
      </w:r>
    </w:p>
    <w:p>
      <w:pPr>
        <w:pStyle w:val="Indenti"/>
      </w:pPr>
      <w:r>
        <w:tab/>
        <w:t>(vii)</w:t>
      </w:r>
      <w:r>
        <w:tab/>
        <w:t>a top fluc wager;</w:t>
      </w:r>
    </w:p>
    <w:p>
      <w:pPr>
        <w:pStyle w:val="Indenti"/>
      </w:pPr>
      <w:r>
        <w:tab/>
        <w:t>(viii)</w:t>
      </w:r>
      <w:r>
        <w:tab/>
        <w:t>a quinella wager;</w:t>
      </w:r>
    </w:p>
    <w:p>
      <w:pPr>
        <w:pStyle w:val="Indenti"/>
      </w:pPr>
      <w:r>
        <w:tab/>
        <w:t>(ix)</w:t>
      </w:r>
      <w:r>
        <w:tab/>
        <w:t>a favout wager;</w:t>
      </w:r>
    </w:p>
    <w:p>
      <w:pPr>
        <w:pStyle w:val="Indenti"/>
      </w:pPr>
      <w:r>
        <w:tab/>
        <w:t>(x)</w:t>
      </w:r>
      <w:r>
        <w:tab/>
        <w:t>a same race combo wager;</w:t>
      </w:r>
    </w:p>
    <w:p>
      <w:pPr>
        <w:pStyle w:val="Indenti"/>
      </w:pPr>
      <w:r>
        <w:tab/>
        <w:t>(xi)</w:t>
      </w:r>
      <w:r>
        <w:tab/>
        <w:t>a same race multi wager;</w:t>
      </w:r>
    </w:p>
    <w:p>
      <w:pPr>
        <w:pStyle w:val="Indenti"/>
      </w:pPr>
      <w:r>
        <w:tab/>
        <w:t>(xii)</w:t>
      </w:r>
      <w:r>
        <w:tab/>
        <w:t>a top x wager;</w:t>
      </w:r>
    </w:p>
    <w:p>
      <w:pPr>
        <w:pStyle w:val="Indenta"/>
      </w:pPr>
      <w:r>
        <w:tab/>
        <w:t>(g)</w:t>
      </w:r>
      <w:r>
        <w:tab/>
        <w:t>a hot wings wager if the runner in box number 1 or 8 is scratched;</w:t>
      </w:r>
    </w:p>
    <w:p>
      <w:pPr>
        <w:pStyle w:val="Indenta"/>
      </w:pPr>
      <w:r>
        <w:tab/>
        <w:t>(h)</w:t>
      </w:r>
      <w:r>
        <w:tab/>
        <w:t>a tight squeeze wager if the runner in box number 4 or 5 is scratched;</w:t>
      </w:r>
    </w:p>
    <w:p>
      <w:pPr>
        <w:pStyle w:val="Indenta"/>
      </w:pPr>
      <w:r>
        <w:tab/>
        <w:t>(i)</w:t>
      </w:r>
      <w:r>
        <w:tab/>
        <w:t>a rags to riches wager if a runner that is not 1 of the 4 runners nominated by RWWA is scratched;</w:t>
      </w:r>
    </w:p>
    <w:p>
      <w:pPr>
        <w:pStyle w:val="Indenta"/>
        <w:keepNext/>
      </w:pPr>
      <w:r>
        <w:lastRenderedPageBreak/>
        <w:tab/>
        <w:t>(j)</w:t>
      </w:r>
      <w:r>
        <w:tab/>
        <w:t xml:space="preserve">a jockey challenge wager if — </w:t>
      </w:r>
    </w:p>
    <w:p>
      <w:pPr>
        <w:pStyle w:val="Indenti"/>
      </w:pPr>
      <w:r>
        <w:tab/>
        <w:t>(i)</w:t>
      </w:r>
      <w:r>
        <w:tab/>
        <w:t>the meeting is abandoned or postponed; and</w:t>
      </w:r>
    </w:p>
    <w:p>
      <w:pPr>
        <w:pStyle w:val="Indenti"/>
      </w:pPr>
      <w:r>
        <w:tab/>
        <w:t>(ii)</w:t>
      </w:r>
      <w:r>
        <w:tab/>
        <w:t>at the time the meeting is abandoned or postponed, no jockey holds an unassailable lead;</w:t>
      </w:r>
    </w:p>
    <w:p>
      <w:pPr>
        <w:pStyle w:val="Indenta"/>
        <w:keepNext/>
      </w:pPr>
      <w:r>
        <w:tab/>
        <w:t>(k)</w:t>
      </w:r>
      <w:r>
        <w:tab/>
        <w:t xml:space="preserve">a jockey challenge quinella wager if — </w:t>
      </w:r>
    </w:p>
    <w:p>
      <w:pPr>
        <w:pStyle w:val="Indenti"/>
      </w:pPr>
      <w:r>
        <w:tab/>
        <w:t>(i)</w:t>
      </w:r>
      <w:r>
        <w:tab/>
        <w:t>the meeting is abandoned or postponed; and</w:t>
      </w:r>
    </w:p>
    <w:p>
      <w:pPr>
        <w:pStyle w:val="Indenti"/>
      </w:pPr>
      <w:r>
        <w:tab/>
        <w:t>(ii)</w:t>
      </w:r>
      <w:r>
        <w:tab/>
        <w:t>at the time the meeting is abandoned or postponed, no combination of 2 jockeys holds an unassailable lead;</w:t>
      </w:r>
    </w:p>
    <w:p>
      <w:pPr>
        <w:pStyle w:val="Indenta"/>
        <w:keepNext/>
      </w:pPr>
      <w:r>
        <w:tab/>
        <w:t>(l)</w:t>
      </w:r>
      <w:r>
        <w:tab/>
        <w:t xml:space="preserve">a greyhound box challenge wager if — </w:t>
      </w:r>
    </w:p>
    <w:p>
      <w:pPr>
        <w:pStyle w:val="Indenti"/>
      </w:pPr>
      <w:r>
        <w:tab/>
        <w:t>(i)</w:t>
      </w:r>
      <w:r>
        <w:tab/>
        <w:t>the meeting is abandoned or postponed; and</w:t>
      </w:r>
    </w:p>
    <w:p>
      <w:pPr>
        <w:pStyle w:val="Indenti"/>
      </w:pPr>
      <w:r>
        <w:tab/>
        <w:t>(ii)</w:t>
      </w:r>
      <w:r>
        <w:tab/>
        <w:t>at the time the meeting is abandoned or postponed, no box number holds an unassailable lead;</w:t>
      </w:r>
    </w:p>
    <w:p>
      <w:pPr>
        <w:pStyle w:val="Indenta"/>
        <w:keepNext/>
      </w:pPr>
      <w:r>
        <w:tab/>
        <w:t>(m)</w:t>
      </w:r>
      <w:r>
        <w:tab/>
        <w:t xml:space="preserve">a greyhound box number challenge wager if — </w:t>
      </w:r>
    </w:p>
    <w:p>
      <w:pPr>
        <w:pStyle w:val="Indenti"/>
      </w:pPr>
      <w:r>
        <w:tab/>
        <w:t>(i)</w:t>
      </w:r>
      <w:r>
        <w:tab/>
        <w:t>the meeting is abandoned or postponed; and</w:t>
      </w:r>
    </w:p>
    <w:p>
      <w:pPr>
        <w:pStyle w:val="Indenti"/>
      </w:pPr>
      <w:r>
        <w:tab/>
        <w:t>(ii)</w:t>
      </w:r>
      <w:r>
        <w:tab/>
        <w:t>at the time the meeting is abandoned or postponed, no combination of 2 greyhound box numbers holds an unassailable lead;</w:t>
      </w:r>
    </w:p>
    <w:p>
      <w:pPr>
        <w:pStyle w:val="Indenta"/>
        <w:keepNext/>
      </w:pPr>
      <w:r>
        <w:tab/>
        <w:t>(n)</w:t>
      </w:r>
      <w:r>
        <w:tab/>
        <w:t xml:space="preserve">a driver challenge wager if — </w:t>
      </w:r>
    </w:p>
    <w:p>
      <w:pPr>
        <w:pStyle w:val="Indenti"/>
      </w:pPr>
      <w:r>
        <w:tab/>
        <w:t>(i)</w:t>
      </w:r>
      <w:r>
        <w:tab/>
        <w:t>the meeting is abandoned or postponed; and</w:t>
      </w:r>
    </w:p>
    <w:p>
      <w:pPr>
        <w:pStyle w:val="Indenti"/>
      </w:pPr>
      <w:r>
        <w:tab/>
        <w:t>(ii)</w:t>
      </w:r>
      <w:r>
        <w:tab/>
        <w:t>at the time the meeting is abandoned or postponed, no driver holds an unassailable lead;</w:t>
      </w:r>
    </w:p>
    <w:p>
      <w:pPr>
        <w:pStyle w:val="Indenta"/>
      </w:pPr>
      <w:r>
        <w:tab/>
        <w:t>(o)</w:t>
      </w:r>
      <w:r>
        <w:tab/>
        <w:t>a runner versus the field wager if the selected runner is scratched;</w:t>
      </w:r>
    </w:p>
    <w:p>
      <w:pPr>
        <w:pStyle w:val="Indenta"/>
      </w:pPr>
      <w:r>
        <w:tab/>
        <w:t>(p)</w:t>
      </w:r>
      <w:r>
        <w:tab/>
        <w:t>a head to head wager if 1 or both of the selected runners is scratched;</w:t>
      </w:r>
    </w:p>
    <w:p>
      <w:pPr>
        <w:pStyle w:val="Indenta"/>
      </w:pPr>
      <w:r>
        <w:tab/>
        <w:t>(q)</w:t>
      </w:r>
      <w:r>
        <w:tab/>
        <w:t>a head to head wager if at least 1 of the selected runners does not finish in the first 4 placings;</w:t>
      </w:r>
    </w:p>
    <w:p>
      <w:pPr>
        <w:pStyle w:val="Indenta"/>
      </w:pPr>
      <w:r>
        <w:lastRenderedPageBreak/>
        <w:tab/>
        <w:t>(r)</w:t>
      </w:r>
      <w:r>
        <w:tab/>
        <w:t>a favourites challenge wager if a race at the nominated race meeting or series of races is abandoned, postponed or declared a no race;</w:t>
      </w:r>
    </w:p>
    <w:p>
      <w:pPr>
        <w:pStyle w:val="Indenta"/>
      </w:pPr>
      <w:r>
        <w:tab/>
        <w:t>(s)</w:t>
      </w:r>
      <w:r>
        <w:tab/>
        <w:t>a place card wager if 2 or more of the investor’s selections are scratched;</w:t>
      </w:r>
    </w:p>
    <w:p>
      <w:pPr>
        <w:pStyle w:val="Indenta"/>
        <w:keepNext/>
      </w:pPr>
      <w:r>
        <w:tab/>
        <w:t>(t)</w:t>
      </w:r>
      <w:r>
        <w:tab/>
        <w:t>a total winning saddlecloth numbers wager if a race at the nominated race meeting or series of races is abandoned, postponed or declared a no race.</w:t>
      </w:r>
    </w:p>
    <w:p>
      <w:pPr>
        <w:pStyle w:val="Indenta"/>
        <w:keepNext/>
      </w:pPr>
      <w:r>
        <w:tab/>
        <w:t>(u)</w:t>
      </w:r>
      <w:r>
        <w:tab/>
        <w:t xml:space="preserve">a Number of Winners wager if - </w:t>
      </w:r>
    </w:p>
    <w:p>
      <w:pPr>
        <w:pStyle w:val="Indenti"/>
      </w:pPr>
      <w:r>
        <w:tab/>
        <w:t>(i)</w:t>
      </w:r>
      <w:r>
        <w:tab/>
        <w:t>the meeting, or series of races, is abandoned or postponed; or</w:t>
      </w:r>
    </w:p>
    <w:p>
      <w:pPr>
        <w:pStyle w:val="Indenti"/>
      </w:pPr>
      <w:r>
        <w:tab/>
        <w:t>(ii)</w:t>
      </w:r>
      <w:r>
        <w:tab/>
        <w:t>the selected jockey, driver or trainer takes no part in the nominated race meeting or series of races.</w:t>
      </w:r>
    </w:p>
    <w:p>
      <w:pPr>
        <w:pStyle w:val="Indenta"/>
        <w:keepNext/>
      </w:pPr>
    </w:p>
    <w:p>
      <w:pPr>
        <w:pStyle w:val="Footnotesection"/>
      </w:pPr>
      <w:r>
        <w:tab/>
        <w:t>[Rule 62R inserted: SL 2021/188 r. 11; amended: Gazette 15 Jul 2022 p. 4177.]</w:t>
      </w:r>
    </w:p>
    <w:p>
      <w:pPr>
        <w:pStyle w:val="Heading5"/>
      </w:pPr>
      <w:bookmarkStart w:id="111" w:name="_Toc210395313"/>
      <w:r>
        <w:rPr>
          <w:rStyle w:val="CharSectno"/>
        </w:rPr>
        <w:t>62S</w:t>
      </w:r>
      <w:r>
        <w:t>.</w:t>
      </w:r>
      <w:r>
        <w:tab/>
        <w:t>Settlement of wagers following dead heat</w:t>
      </w:r>
      <w:bookmarkEnd w:id="111"/>
    </w:p>
    <w:p>
      <w:pPr>
        <w:pStyle w:val="Subsection"/>
        <w:keepNext/>
      </w:pPr>
      <w:r>
        <w:tab/>
        <w:t>(1)</w:t>
      </w:r>
      <w:r>
        <w:tab/>
        <w:t xml:space="preserve">In this rule — </w:t>
      </w:r>
    </w:p>
    <w:p>
      <w:pPr>
        <w:pStyle w:val="Defstart"/>
        <w:keepNext/>
      </w:pPr>
      <w:r>
        <w:tab/>
      </w:r>
      <w:r>
        <w:rPr>
          <w:rStyle w:val="CharDefText"/>
        </w:rPr>
        <w:t>dead heat</w:t>
      </w:r>
      <w:r>
        <w:t xml:space="preserve">, in relation to a wager, means a result in which it is officially declared that — </w:t>
      </w:r>
    </w:p>
    <w:p>
      <w:pPr>
        <w:pStyle w:val="Defpara"/>
      </w:pPr>
      <w:r>
        <w:tab/>
        <w:t>(a)</w:t>
      </w:r>
      <w:r>
        <w:tab/>
        <w:t>for a wager on a runner in a race — the runner finished in equal place with 1 or more other runners; or</w:t>
      </w:r>
    </w:p>
    <w:p>
      <w:pPr>
        <w:pStyle w:val="Defpara"/>
        <w:keepNext/>
      </w:pPr>
      <w:r>
        <w:tab/>
        <w:t>(b)</w:t>
      </w:r>
      <w:r>
        <w:tab/>
        <w:t>for a wager on any other contingency referred to in Schedule 2 — there is an equal result between that contingency and 1 or more other contingencies.</w:t>
      </w:r>
    </w:p>
    <w:p>
      <w:pPr>
        <w:pStyle w:val="PermNoteHeading"/>
      </w:pPr>
      <w:r>
        <w:tab/>
        <w:t>Example for this definition:</w:t>
      </w:r>
    </w:p>
    <w:p>
      <w:pPr>
        <w:pStyle w:val="PermNoteText"/>
      </w:pPr>
      <w:r>
        <w:tab/>
      </w:r>
      <w:r>
        <w:tab/>
        <w:t>For a jockey challenge wager, a dead heat occurs if 2 or more jockeys accumulate the same number of points across an entire thoroughbred race meeting.</w:t>
      </w:r>
    </w:p>
    <w:p>
      <w:pPr>
        <w:pStyle w:val="Subsection"/>
        <w:keepNext/>
      </w:pPr>
      <w:r>
        <w:tab/>
        <w:t>(2)</w:t>
      </w:r>
      <w:r>
        <w:tab/>
        <w:t xml:space="preserve">If a dead heat occurs, the wager will be paid at the face value of the ticket divided by the number of runners or contingencies that </w:t>
      </w:r>
      <w:r>
        <w:lastRenderedPageBreak/>
        <w:t>are officially declared to have finished in equal place, or have an equal result, as the case may be.</w:t>
      </w:r>
    </w:p>
    <w:p>
      <w:pPr>
        <w:pStyle w:val="Footnotesection"/>
      </w:pPr>
      <w:r>
        <w:tab/>
        <w:t>[Rule 62S inserted: SL 2021/188 r. 11.]</w:t>
      </w:r>
    </w:p>
    <w:p>
      <w:pPr>
        <w:pStyle w:val="Heading5"/>
      </w:pPr>
      <w:bookmarkStart w:id="112" w:name="_Toc210395314"/>
      <w:r>
        <w:rPr>
          <w:rStyle w:val="CharSectno"/>
        </w:rPr>
        <w:t>62T</w:t>
      </w:r>
      <w:r>
        <w:t>.</w:t>
      </w:r>
      <w:r>
        <w:tab/>
        <w:t>Races that are re</w:t>
      </w:r>
      <w:r>
        <w:noBreakHyphen/>
        <w:t>run</w:t>
      </w:r>
      <w:bookmarkEnd w:id="112"/>
    </w:p>
    <w:p>
      <w:pPr>
        <w:pStyle w:val="Subsection"/>
        <w:keepNext/>
      </w:pPr>
      <w:r>
        <w:tab/>
        <w:t>(1)</w:t>
      </w:r>
      <w:r>
        <w:tab/>
        <w:t>If a race is ordered by the stewards to be re</w:t>
      </w:r>
      <w:r>
        <w:noBreakHyphen/>
        <w:t xml:space="preserve">run on the same day — </w:t>
      </w:r>
    </w:p>
    <w:p>
      <w:pPr>
        <w:pStyle w:val="Indenta"/>
      </w:pPr>
      <w:r>
        <w:tab/>
        <w:t>(a)</w:t>
      </w:r>
      <w:r>
        <w:tab/>
        <w:t>all wagers in favour of any runner that started on the first run stand; and</w:t>
      </w:r>
    </w:p>
    <w:p>
      <w:pPr>
        <w:pStyle w:val="Indenta"/>
      </w:pPr>
      <w:r>
        <w:tab/>
        <w:t>(b)</w:t>
      </w:r>
      <w:r>
        <w:tab/>
        <w:t xml:space="preserve">unless RWWA in its absolute discretion decides otherwise, the applicable deduction under the Scale of Deduction Table in Schedule 1 will apply in respect of any runner that is unable to start. </w:t>
      </w:r>
    </w:p>
    <w:p>
      <w:pPr>
        <w:pStyle w:val="Subsection"/>
        <w:keepNext/>
      </w:pPr>
      <w:r>
        <w:tab/>
        <w:t>(2)</w:t>
      </w:r>
      <w:r>
        <w:tab/>
        <w:t>If a race is postponed to another date or is abandoned, all wagers are off and all moneys must be refunded.</w:t>
      </w:r>
    </w:p>
    <w:p>
      <w:pPr>
        <w:pStyle w:val="Footnotesection"/>
      </w:pPr>
      <w:r>
        <w:tab/>
        <w:t>[Rule 62T inserted: SL 2021/188 r. 11.]</w:t>
      </w:r>
    </w:p>
    <w:p>
      <w:pPr>
        <w:pStyle w:val="Heading5"/>
      </w:pPr>
      <w:bookmarkStart w:id="113" w:name="_Toc210395315"/>
      <w:r>
        <w:rPr>
          <w:rStyle w:val="CharSectno"/>
        </w:rPr>
        <w:t>62U</w:t>
      </w:r>
      <w:r>
        <w:t>.</w:t>
      </w:r>
      <w:r>
        <w:tab/>
        <w:t>Treatment of errors</w:t>
      </w:r>
      <w:bookmarkEnd w:id="113"/>
    </w:p>
    <w:p>
      <w:pPr>
        <w:pStyle w:val="Subsection"/>
        <w:keepNext/>
      </w:pPr>
      <w:r>
        <w:tab/>
        <w:t>(1)</w:t>
      </w:r>
      <w:r>
        <w:tab/>
        <w:t xml:space="preserve">In this rule — </w:t>
      </w:r>
    </w:p>
    <w:p>
      <w:pPr>
        <w:pStyle w:val="Defstart"/>
      </w:pPr>
      <w:r>
        <w:tab/>
      </w:r>
      <w:r>
        <w:rPr>
          <w:rStyle w:val="CharDefText"/>
        </w:rPr>
        <w:t>correct cash out amount</w:t>
      </w:r>
      <w:r>
        <w:t>, in relation to a mistaken cash out amount, means the amount RWWA would have offered to an investor but for the error;</w:t>
      </w:r>
    </w:p>
    <w:p>
      <w:pPr>
        <w:pStyle w:val="Defstart"/>
        <w:keepNext/>
      </w:pPr>
      <w:r>
        <w:tab/>
      </w:r>
      <w:r>
        <w:rPr>
          <w:rStyle w:val="CharDefText"/>
        </w:rPr>
        <w:t>error</w:t>
      </w:r>
      <w:r>
        <w:t xml:space="preserve"> — </w:t>
      </w:r>
    </w:p>
    <w:p>
      <w:pPr>
        <w:pStyle w:val="Defpara"/>
      </w:pPr>
      <w:r>
        <w:tab/>
        <w:t>(a)</w:t>
      </w:r>
      <w:r>
        <w:tab/>
        <w:t>means an inadvertent mistake or inaccuracy; and</w:t>
      </w:r>
    </w:p>
    <w:p>
      <w:pPr>
        <w:pStyle w:val="Defpara"/>
        <w:keepNext/>
      </w:pPr>
      <w:r>
        <w:tab/>
        <w:t>(b)</w:t>
      </w:r>
      <w:r>
        <w:tab/>
        <w:t xml:space="preserve">includes any of the following, whether caused by human error, computer malfunction or any other reason — </w:t>
      </w:r>
    </w:p>
    <w:p>
      <w:pPr>
        <w:pStyle w:val="Defsubpara"/>
      </w:pPr>
      <w:r>
        <w:tab/>
        <w:t>(i)</w:t>
      </w:r>
      <w:r>
        <w:tab/>
        <w:t>a mistaken acceptance;</w:t>
      </w:r>
    </w:p>
    <w:p>
      <w:pPr>
        <w:pStyle w:val="Defsubpara"/>
      </w:pPr>
      <w:r>
        <w:tab/>
        <w:t>(ii)</w:t>
      </w:r>
      <w:r>
        <w:tab/>
        <w:t>a misstatement by RWWA to an investor of the odds or terms of a wager;</w:t>
      </w:r>
    </w:p>
    <w:p>
      <w:pPr>
        <w:pStyle w:val="Defsubpara"/>
      </w:pPr>
      <w:r>
        <w:tab/>
        <w:t>(iii)</w:t>
      </w:r>
      <w:r>
        <w:tab/>
        <w:t>an error by RWWA as to the amount of winnings to be paid to an investor;</w:t>
      </w:r>
    </w:p>
    <w:p>
      <w:pPr>
        <w:pStyle w:val="Defsubpara"/>
      </w:pPr>
      <w:r>
        <w:lastRenderedPageBreak/>
        <w:tab/>
        <w:t>(iv)</w:t>
      </w:r>
      <w:r>
        <w:tab/>
        <w:t>an error by RWWA as to a cash out amount offered to an investor;</w:t>
      </w:r>
    </w:p>
    <w:p>
      <w:pPr>
        <w:pStyle w:val="Defstart"/>
        <w:keepNext/>
      </w:pPr>
      <w:r>
        <w:tab/>
      </w:r>
      <w:r>
        <w:rPr>
          <w:rStyle w:val="CharDefText"/>
        </w:rPr>
        <w:t>mistaken acceptance</w:t>
      </w:r>
      <w:r>
        <w:t xml:space="preserve"> means the continued acceptance of wagers by RWWA on a race on which wagering should have been closed because — </w:t>
      </w:r>
    </w:p>
    <w:p>
      <w:pPr>
        <w:pStyle w:val="Defpara"/>
      </w:pPr>
      <w:r>
        <w:tab/>
        <w:t>(a)</w:t>
      </w:r>
      <w:r>
        <w:tab/>
        <w:t>more than 5 seconds had elapsed since the commencement of the race; and</w:t>
      </w:r>
    </w:p>
    <w:p>
      <w:pPr>
        <w:pStyle w:val="Defpara"/>
      </w:pPr>
      <w:r>
        <w:tab/>
        <w:t>(b)</w:t>
      </w:r>
      <w:r>
        <w:tab/>
        <w:t>the race was not open to an in the run wager;</w:t>
      </w:r>
    </w:p>
    <w:p>
      <w:pPr>
        <w:pStyle w:val="Defstart"/>
      </w:pPr>
      <w:r>
        <w:tab/>
      </w:r>
      <w:r>
        <w:rPr>
          <w:rStyle w:val="CharDefText"/>
        </w:rPr>
        <w:t>mistaken cash out amount</w:t>
      </w:r>
      <w:r>
        <w:t xml:space="preserve"> means a cash out amount offered in error to an investor in settlement of a wager.</w:t>
      </w:r>
    </w:p>
    <w:p>
      <w:pPr>
        <w:pStyle w:val="Subsection"/>
        <w:keepNext/>
      </w:pPr>
      <w:r>
        <w:tab/>
        <w:t>(2)</w:t>
      </w:r>
      <w:r>
        <w:tab/>
        <w:t xml:space="preserve">If an error in relation to a wager other than an error described in subrule (3) occurs, RWWA may do any of the following — </w:t>
      </w:r>
    </w:p>
    <w:p>
      <w:pPr>
        <w:pStyle w:val="Indenta"/>
      </w:pPr>
      <w:r>
        <w:tab/>
        <w:t>(a)</w:t>
      </w:r>
      <w:r>
        <w:tab/>
        <w:t>declare the wager to be void and refund the amount wagered;</w:t>
      </w:r>
    </w:p>
    <w:p>
      <w:pPr>
        <w:pStyle w:val="Indenta"/>
        <w:keepNext/>
      </w:pPr>
      <w:r>
        <w:tab/>
        <w:t>(b)</w:t>
      </w:r>
      <w:r>
        <w:tab/>
        <w:t>if the wager is part of a multi wager — recalculate the multi wager having excluded the runner or contingency in respect of which the error occurred.</w:t>
      </w:r>
    </w:p>
    <w:p>
      <w:pPr>
        <w:pStyle w:val="Subsection"/>
      </w:pPr>
      <w:r>
        <w:tab/>
        <w:t>(3)</w:t>
      </w:r>
      <w:r>
        <w:tab/>
        <w:t>If an error occurs in relation to a cash out amount offered to an investor, RWWA may notify the investor that the mistaken cash out amount was offered in error and offer the correct cash out amount in settlement of the wager.</w:t>
      </w:r>
    </w:p>
    <w:p>
      <w:pPr>
        <w:pStyle w:val="Subsection"/>
      </w:pPr>
      <w:r>
        <w:tab/>
        <w:t>(4)</w:t>
      </w:r>
      <w:r>
        <w:tab/>
        <w:t>If RWWA offers a correct cash out amount as described in subrule (3), an investor may accept the correct cash out amount in settlement of the wager only within 24 hours after the offer is made.</w:t>
      </w:r>
    </w:p>
    <w:p>
      <w:pPr>
        <w:pStyle w:val="Subsection"/>
      </w:pPr>
      <w:r>
        <w:tab/>
        <w:t>(5)</w:t>
      </w:r>
      <w:r>
        <w:tab/>
        <w:t>If an investor accepts a correct cash out amount as described in subrule (4), the wager is settled at that amount.</w:t>
      </w:r>
    </w:p>
    <w:p>
      <w:pPr>
        <w:pStyle w:val="Subsection"/>
      </w:pPr>
      <w:r>
        <w:tab/>
        <w:t>(6)</w:t>
      </w:r>
      <w:r>
        <w:tab/>
        <w:t>If an investor does not accept an offer as described in subrule (4), the wager is settled in accordance with rule 62M.</w:t>
      </w:r>
    </w:p>
    <w:p>
      <w:pPr>
        <w:pStyle w:val="Subsection"/>
      </w:pPr>
      <w:r>
        <w:lastRenderedPageBreak/>
        <w:tab/>
        <w:t>(7)</w:t>
      </w:r>
      <w:r>
        <w:tab/>
        <w:t>Notification of an error and the offer of a correct cash amount under subrule (3) voids the settlement of the wager under rule 62Y(3).</w:t>
      </w:r>
    </w:p>
    <w:p>
      <w:pPr>
        <w:pStyle w:val="Footnotesection"/>
      </w:pPr>
      <w:r>
        <w:tab/>
        <w:t>[Rule 62U inserted: SL 2021/188 r. 11; amended: SL 2025/175 r. 7.]</w:t>
      </w:r>
    </w:p>
    <w:p>
      <w:pPr>
        <w:pStyle w:val="Heading5"/>
      </w:pPr>
      <w:bookmarkStart w:id="114" w:name="_Toc210395316"/>
      <w:r>
        <w:rPr>
          <w:rStyle w:val="CharSectno"/>
        </w:rPr>
        <w:t>62V</w:t>
      </w:r>
      <w:r>
        <w:t>.</w:t>
      </w:r>
      <w:r>
        <w:tab/>
        <w:t>Maximum payout if irregularity suspected</w:t>
      </w:r>
      <w:bookmarkEnd w:id="114"/>
    </w:p>
    <w:p>
      <w:pPr>
        <w:pStyle w:val="Subsection"/>
        <w:keepNext/>
      </w:pPr>
      <w:r>
        <w:tab/>
        <w:t>(1)</w:t>
      </w:r>
      <w:r>
        <w:tab/>
        <w:t xml:space="preserve">This rule applies if RWWA reasonably suspects that an investor placed a wager or series of wagers in an attempt to — </w:t>
      </w:r>
    </w:p>
    <w:p>
      <w:pPr>
        <w:pStyle w:val="Indenta"/>
      </w:pPr>
      <w:r>
        <w:tab/>
        <w:t>(a)</w:t>
      </w:r>
      <w:r>
        <w:tab/>
        <w:t>gain a financial benefit through the manipulation of official starting prices; or</w:t>
      </w:r>
    </w:p>
    <w:p>
      <w:pPr>
        <w:pStyle w:val="Indenta"/>
      </w:pPr>
      <w:r>
        <w:tab/>
        <w:t>(b)</w:t>
      </w:r>
      <w:r>
        <w:tab/>
        <w:t>circumvent RWWA’s risk management parameters by adopting abnormal wagering patterns, behaviours or strategies.</w:t>
      </w:r>
    </w:p>
    <w:p>
      <w:pPr>
        <w:pStyle w:val="Subsection"/>
      </w:pPr>
      <w:r>
        <w:tab/>
        <w:t>(2)</w:t>
      </w:r>
      <w:r>
        <w:tab/>
        <w:t>Subject to subrule (3), the maximum amount that will be paid out on a single wager placed by the investor is $50 000.</w:t>
      </w:r>
    </w:p>
    <w:p>
      <w:pPr>
        <w:pStyle w:val="Subsection"/>
        <w:keepNext/>
      </w:pPr>
      <w:r>
        <w:tab/>
        <w:t>(3)</w:t>
      </w:r>
      <w:r>
        <w:tab/>
        <w:t>If the same wager is placed more than once by the investor, the maximum total amount that will be paid on all of those wagers together is $50 000.</w:t>
      </w:r>
    </w:p>
    <w:p>
      <w:pPr>
        <w:pStyle w:val="Footnotesection"/>
      </w:pPr>
      <w:r>
        <w:tab/>
        <w:t>[Rule 62V inserted: SL 2021/188 r. 11.]</w:t>
      </w:r>
    </w:p>
    <w:p>
      <w:pPr>
        <w:pStyle w:val="Heading5"/>
      </w:pPr>
      <w:bookmarkStart w:id="115" w:name="_Toc210395317"/>
      <w:r>
        <w:rPr>
          <w:rStyle w:val="CharSectno"/>
        </w:rPr>
        <w:t>62W</w:t>
      </w:r>
      <w:r>
        <w:t>.</w:t>
      </w:r>
      <w:r>
        <w:tab/>
        <w:t>Refusal of wagers</w:t>
      </w:r>
      <w:bookmarkEnd w:id="115"/>
    </w:p>
    <w:p>
      <w:pPr>
        <w:pStyle w:val="Subsection"/>
        <w:keepNext/>
      </w:pPr>
      <w:r>
        <w:tab/>
      </w:r>
      <w:r>
        <w:tab/>
        <w:t>RWWA may refuse to accept a wager in its absolute discretion.</w:t>
      </w:r>
    </w:p>
    <w:p>
      <w:pPr>
        <w:pStyle w:val="Footnotesection"/>
      </w:pPr>
      <w:r>
        <w:tab/>
        <w:t>[Rule 62W inserted: SL 2021/188 r. 11.]</w:t>
      </w:r>
    </w:p>
    <w:p>
      <w:pPr>
        <w:pStyle w:val="Heading5"/>
      </w:pPr>
      <w:bookmarkStart w:id="116" w:name="_Toc210395318"/>
      <w:r>
        <w:rPr>
          <w:rStyle w:val="CharSectno"/>
        </w:rPr>
        <w:t>62X</w:t>
      </w:r>
      <w:r>
        <w:t>.</w:t>
      </w:r>
      <w:r>
        <w:tab/>
        <w:t>Restrictions on wagering accounts</w:t>
      </w:r>
      <w:bookmarkEnd w:id="116"/>
    </w:p>
    <w:p>
      <w:pPr>
        <w:pStyle w:val="Subsection"/>
        <w:keepNext/>
      </w:pPr>
      <w:r>
        <w:tab/>
        <w:t>(1)</w:t>
      </w:r>
      <w:r>
        <w:tab/>
        <w:t xml:space="preserve">RWWA may — </w:t>
      </w:r>
    </w:p>
    <w:p>
      <w:pPr>
        <w:pStyle w:val="Indenta"/>
      </w:pPr>
      <w:r>
        <w:tab/>
        <w:t>(a)</w:t>
      </w:r>
      <w:r>
        <w:tab/>
        <w:t>place restrictions on an investor’s wagering account without notification; or</w:t>
      </w:r>
    </w:p>
    <w:p>
      <w:pPr>
        <w:pStyle w:val="Indenta"/>
      </w:pPr>
      <w:r>
        <w:tab/>
        <w:t>(b)</w:t>
      </w:r>
      <w:r>
        <w:tab/>
        <w:t>close an investor’s wagering account without explanation and refund the balance of the account.</w:t>
      </w:r>
    </w:p>
    <w:p>
      <w:pPr>
        <w:pStyle w:val="Subsection"/>
      </w:pPr>
      <w:r>
        <w:lastRenderedPageBreak/>
        <w:tab/>
        <w:t>(2)</w:t>
      </w:r>
      <w:r>
        <w:tab/>
        <w:t>If RWWA closes an investor’s wagering account under subrule (1)(b), it must honour outstanding wagers made through the account unless subrule (3) applies.</w:t>
      </w:r>
    </w:p>
    <w:p>
      <w:pPr>
        <w:pStyle w:val="Subsection"/>
        <w:keepNext/>
      </w:pPr>
      <w:r>
        <w:tab/>
        <w:t>(3)</w:t>
      </w:r>
      <w:r>
        <w:tab/>
        <w:t>If RWWA reasonably suspects the account closed under subrule (1)(b) has been used for a fraudulent transaction or purpose, outstanding wagers made through the account are void.</w:t>
      </w:r>
    </w:p>
    <w:p>
      <w:pPr>
        <w:pStyle w:val="Footnotesection"/>
      </w:pPr>
      <w:r>
        <w:tab/>
        <w:t>[Rule 62X inserted: SL 2021/188 r. 11.]</w:t>
      </w:r>
    </w:p>
    <w:p>
      <w:pPr>
        <w:pStyle w:val="Heading5"/>
      </w:pPr>
      <w:bookmarkStart w:id="117" w:name="_Toc210378773"/>
      <w:bookmarkStart w:id="118" w:name="_Toc210381216"/>
      <w:bookmarkStart w:id="119" w:name="_Toc210395319"/>
      <w:r>
        <w:rPr>
          <w:rStyle w:val="CharSectno"/>
        </w:rPr>
        <w:t>62Y</w:t>
      </w:r>
      <w:r>
        <w:t>.</w:t>
      </w:r>
      <w:r>
        <w:tab/>
        <w:t>Cash out on wagers made with RWWA</w:t>
      </w:r>
      <w:bookmarkEnd w:id="117"/>
      <w:bookmarkEnd w:id="118"/>
      <w:bookmarkEnd w:id="119"/>
    </w:p>
    <w:p>
      <w:pPr>
        <w:pStyle w:val="Subsection"/>
      </w:pPr>
      <w:r>
        <w:tab/>
        <w:t>(1)</w:t>
      </w:r>
      <w:r>
        <w:tab/>
        <w:t>This rule applies in relation to a wager referred to in rule 62D(1).</w:t>
      </w:r>
    </w:p>
    <w:p>
      <w:pPr>
        <w:pStyle w:val="Subsection"/>
      </w:pPr>
      <w:r>
        <w:tab/>
        <w:t>(2)</w:t>
      </w:r>
      <w:r>
        <w:tab/>
        <w:t>RWWA may, on request and at any time before the completion of a race or series of races (whichever is applicable) in relation to which a wager is placed, offer an amount in settlement of the wager.</w:t>
      </w:r>
    </w:p>
    <w:p>
      <w:pPr>
        <w:pStyle w:val="Subsection"/>
      </w:pPr>
      <w:r>
        <w:tab/>
        <w:t>(3)</w:t>
      </w:r>
      <w:r>
        <w:tab/>
        <w:t>Subject to rule 62U(7), if an investor accepts a cash out amount offered under subrule (2) in respect of a wager before the completion of the race or series of races in relation to which the wager is placed, the wager is settled at that amount.</w:t>
      </w:r>
    </w:p>
    <w:p>
      <w:pPr>
        <w:pStyle w:val="Footnotesection"/>
      </w:pPr>
      <w:r>
        <w:tab/>
        <w:t>[Rule 62Y inserted: SL 2025/175 r. 8.]</w:t>
      </w:r>
    </w:p>
    <w:p>
      <w:pPr>
        <w:pStyle w:val="Heading2"/>
      </w:pPr>
      <w:bookmarkStart w:id="120" w:name="_Toc210382684"/>
      <w:bookmarkStart w:id="121" w:name="_Toc210383693"/>
      <w:bookmarkStart w:id="122" w:name="_Toc210395213"/>
      <w:bookmarkStart w:id="123" w:name="_Toc210395320"/>
      <w:r>
        <w:rPr>
          <w:rStyle w:val="CharPartNo"/>
        </w:rPr>
        <w:lastRenderedPageBreak/>
        <w:t>Part 6</w:t>
      </w:r>
      <w:r>
        <w:rPr>
          <w:rStyle w:val="CharDivNo"/>
        </w:rPr>
        <w:t> </w:t>
      </w:r>
      <w:r>
        <w:t>—</w:t>
      </w:r>
      <w:r>
        <w:rPr>
          <w:rStyle w:val="CharDivText"/>
        </w:rPr>
        <w:t> </w:t>
      </w:r>
      <w:r>
        <w:rPr>
          <w:rStyle w:val="CharPartText"/>
        </w:rPr>
        <w:t>Rules as to the operation of totalisator agencies</w:t>
      </w:r>
      <w:bookmarkEnd w:id="120"/>
      <w:bookmarkEnd w:id="121"/>
      <w:bookmarkEnd w:id="122"/>
      <w:bookmarkEnd w:id="123"/>
    </w:p>
    <w:p>
      <w:pPr>
        <w:pStyle w:val="Heading5"/>
      </w:pPr>
      <w:bookmarkStart w:id="124" w:name="_Toc210395321"/>
      <w:r>
        <w:rPr>
          <w:rStyle w:val="CharSectno"/>
        </w:rPr>
        <w:t>63</w:t>
      </w:r>
      <w:r>
        <w:t>.</w:t>
      </w:r>
      <w:r>
        <w:tab/>
        <w:t>Terms used</w:t>
      </w:r>
      <w:bookmarkEnd w:id="124"/>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125" w:name="_Toc210395322"/>
      <w:r>
        <w:rPr>
          <w:rStyle w:val="CharSectno"/>
        </w:rPr>
        <w:t>64</w:t>
      </w:r>
      <w:r>
        <w:t>.</w:t>
      </w:r>
      <w:r>
        <w:tab/>
        <w:t>Obligations of agents and employees while on duty</w:t>
      </w:r>
      <w:bookmarkEnd w:id="125"/>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126" w:name="_Toc210395323"/>
      <w:r>
        <w:rPr>
          <w:rStyle w:val="CharSectno"/>
        </w:rPr>
        <w:lastRenderedPageBreak/>
        <w:t>65</w:t>
      </w:r>
      <w:r>
        <w:t>.</w:t>
      </w:r>
      <w:r>
        <w:tab/>
        <w:t>Use of video surveillance</w:t>
      </w:r>
      <w:bookmarkEnd w:id="126"/>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127" w:name="_Toc210395324"/>
      <w:r>
        <w:rPr>
          <w:rStyle w:val="CharSectno"/>
        </w:rPr>
        <w:t>66</w:t>
      </w:r>
      <w:r>
        <w:t>.</w:t>
      </w:r>
      <w:r>
        <w:tab/>
        <w:t>Agency bonds</w:t>
      </w:r>
      <w:bookmarkEnd w:id="127"/>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128" w:name="_Toc210395325"/>
      <w:r>
        <w:rPr>
          <w:rStyle w:val="CharSectno"/>
        </w:rPr>
        <w:t>67</w:t>
      </w:r>
      <w:r>
        <w:t>.</w:t>
      </w:r>
      <w:r>
        <w:tab/>
        <w:t>Acceptance of cheques</w:t>
      </w:r>
      <w:bookmarkEnd w:id="128"/>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 xml:space="preserve">an agent appointed under a PubTAB agreement can only accept an uncleared cheque as payment for a bet if that </w:t>
      </w:r>
      <w:r>
        <w:lastRenderedPageBreak/>
        <w:t>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9" w:name="_Toc210382690"/>
      <w:bookmarkStart w:id="130" w:name="_Toc210383699"/>
      <w:bookmarkStart w:id="131" w:name="_Toc210395219"/>
      <w:bookmarkStart w:id="132" w:name="_Toc210395326"/>
      <w:r>
        <w:rPr>
          <w:rStyle w:val="CharSchNo"/>
        </w:rPr>
        <w:lastRenderedPageBreak/>
        <w:t>Schedule 1</w:t>
      </w:r>
      <w:r>
        <w:t xml:space="preserve"> — </w:t>
      </w:r>
      <w:r>
        <w:rPr>
          <w:rStyle w:val="CharSchText"/>
        </w:rPr>
        <w:t>Scale of Deduction Table</w:t>
      </w:r>
      <w:bookmarkEnd w:id="129"/>
      <w:bookmarkEnd w:id="130"/>
      <w:bookmarkEnd w:id="131"/>
      <w:bookmarkEnd w:id="132"/>
    </w:p>
    <w:p>
      <w:pPr>
        <w:pStyle w:val="yShoulderClause"/>
      </w:pPr>
      <w:r>
        <w:rPr>
          <w:szCs w:val="22"/>
        </w:rPr>
        <w:t>[r. 56, 62Q, 62T]</w:t>
      </w:r>
    </w:p>
    <w:p>
      <w:pPr>
        <w:pStyle w:val="yNumberedItem"/>
        <w:tabs>
          <w:tab w:val="left" w:pos="560"/>
        </w:tabs>
        <w:ind w:left="574" w:hanging="574"/>
      </w:pPr>
      <w:r>
        <w:t>1.</w:t>
      </w:r>
      <w:r>
        <w:tab/>
      </w:r>
      <w:r>
        <w:rPr>
          <w:szCs w:val="22"/>
        </w:rPr>
        <w:t xml:space="preserve">For the purposes of rule 56(4), the stewards may declare a deduction in accordance with this Scale of Deduction Table. For the purposes of rules 62Q(2) and 62T(1)(b), RWWA will apply a deduction in accordance with this Scale of Deduction Table. Calculations will be made in respect of win, place, each way, concession, doubles, multiple doubles, insurance (2 places), insurance (3 places), </w:t>
      </w:r>
      <w:r>
        <w:rPr>
          <w:spacing w:val="-4"/>
        </w:rPr>
        <w:t xml:space="preserve">same race multi, </w:t>
      </w:r>
      <w:r>
        <w:rPr>
          <w:szCs w:val="22"/>
        </w:rPr>
        <w:t xml:space="preserve">quinella and </w:t>
      </w:r>
      <w:r>
        <w:t>favout</w:t>
      </w:r>
      <w:r>
        <w:rPr>
          <w:szCs w:val="22"/>
        </w:rPr>
        <w:t xml:space="preserve"> wagers. </w:t>
      </w:r>
      <w:r>
        <w:t>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ind w:left="567" w:hanging="567"/>
      </w:pPr>
      <w:r>
        <w:t>3.</w:t>
      </w:r>
      <w:r>
        <w:tab/>
        <w:t>In relation to concession, doubles, insurance (2 places) and insurance (3 places) wagers, the deduction is applied only in respect of a runner that finishes first. </w:t>
      </w:r>
    </w:p>
    <w:p>
      <w:pPr>
        <w:pStyle w:val="yNumberedItem"/>
        <w:ind w:left="567" w:hanging="567"/>
      </w:pPr>
      <w:r>
        <w:t>3A.</w:t>
      </w:r>
      <w:r>
        <w:tab/>
        <w:t xml:space="preserve">In relation to multi wagers — </w:t>
      </w:r>
    </w:p>
    <w:p>
      <w:pPr>
        <w:pStyle w:val="yNumberedItemPara"/>
        <w:tabs>
          <w:tab w:val="clear" w:pos="1332"/>
        </w:tabs>
        <w:ind w:left="1134" w:hanging="567"/>
      </w:pPr>
      <w:r>
        <w:t>(a)</w:t>
      </w:r>
      <w:r>
        <w:tab/>
        <w:t>the deduction is applied to the relevant leg with the multi price to be recalculated based upon the revised leg price; and</w:t>
      </w:r>
    </w:p>
    <w:p>
      <w:pPr>
        <w:pStyle w:val="yNumberedItemPara"/>
        <w:tabs>
          <w:tab w:val="clear" w:pos="1332"/>
        </w:tabs>
        <w:ind w:left="1134" w:hanging="567"/>
      </w:pPr>
      <w:r>
        <w:t>(b)</w:t>
      </w:r>
      <w:r>
        <w:tab/>
        <w:t>deductions may apply to more than one leg.</w:t>
      </w:r>
    </w:p>
    <w:p>
      <w:pPr>
        <w:pStyle w:val="yNumberedItem"/>
        <w:ind w:left="567" w:hanging="567"/>
      </w:pPr>
      <w:r>
        <w:t>3B.</w:t>
      </w:r>
      <w:r>
        <w:tab/>
        <w:t>In relation to quinella wagers, the deduction is applied in respect of the successful combination.</w:t>
      </w:r>
    </w:p>
    <w:p>
      <w:pPr>
        <w:pStyle w:val="yNumberedItem"/>
        <w:ind w:left="567" w:hanging="567"/>
      </w:pPr>
      <w:r>
        <w:t>3C.</w:t>
      </w:r>
      <w:r>
        <w:tab/>
        <w:t>In relation to favout wagers, the deduction is applied in respect of the successful wager.</w:t>
      </w:r>
    </w:p>
    <w:p>
      <w:pPr>
        <w:pStyle w:val="yNumberedItem"/>
        <w:keepNext/>
        <w:ind w:left="567" w:hanging="567"/>
        <w:rPr>
          <w:spacing w:val="-4"/>
        </w:rPr>
      </w:pPr>
      <w:r>
        <w:rPr>
          <w:spacing w:val="-4"/>
        </w:rPr>
        <w:t>3D</w:t>
      </w:r>
      <w:r>
        <w:rPr>
          <w:spacing w:val="-4"/>
        </w:rPr>
        <w:tab/>
        <w:t>In relation to same race multi wagers, the deduction is applied to the total same race multi price.</w:t>
      </w:r>
    </w:p>
    <w:p>
      <w:pPr>
        <w:pStyle w:val="yNumberedItem"/>
        <w:keepNext/>
        <w:ind w:left="567" w:hanging="567"/>
        <w:rPr>
          <w:szCs w:val="22"/>
        </w:rPr>
      </w:pPr>
      <w:r>
        <w:rPr>
          <w:szCs w:val="22"/>
        </w:rPr>
        <w:t>4.</w:t>
      </w:r>
      <w:r>
        <w:rPr>
          <w:szCs w:val="22"/>
        </w:rPr>
        <w:tab/>
        <w:t xml:space="preserve">In </w:t>
      </w:r>
      <w:r>
        <w:t>relation</w:t>
      </w:r>
      <w:r>
        <w:rPr>
          <w:szCs w:val="22"/>
        </w:rPr>
        <w:t xml:space="preserve"> to all successful win, place, each way, concession, insurance (2 places), insurance (3 places), </w:t>
      </w:r>
      <w:r>
        <w:rPr>
          <w:spacing w:val="-4"/>
        </w:rPr>
        <w:t xml:space="preserve">same race multi, </w:t>
      </w:r>
      <w:r>
        <w:rPr>
          <w:szCs w:val="22"/>
        </w:rPr>
        <w:t>quinella, favout and multiple doubles wagers, investors must be paid </w:t>
      </w:r>
      <w:r>
        <w:t>the dividend payable in respect of the wager, less</w:t>
      </w:r>
      <w:r>
        <w:rPr>
          <w:szCs w:val="22"/>
        </w:rPr>
        <w:t xml:space="preserve"> — </w:t>
      </w:r>
    </w:p>
    <w:p>
      <w:pPr>
        <w:pStyle w:val="yNumberedItemPara"/>
        <w:tabs>
          <w:tab w:val="clear" w:pos="1332"/>
        </w:tabs>
        <w:ind w:left="1134" w:hanging="567"/>
      </w:pPr>
      <w:r>
        <w:t>(a)</w:t>
      </w:r>
      <w:r>
        <w:tab/>
        <w:t xml:space="preserve">the number of cents in the dollar deduction applicable on the scale of deductions in the Scale of Deduction Table for the dividends of the runner at the time of its withdrawal; or </w:t>
      </w:r>
    </w:p>
    <w:p>
      <w:pPr>
        <w:pStyle w:val="yNumberedItemPara"/>
        <w:keepNext/>
        <w:tabs>
          <w:tab w:val="clear" w:pos="1332"/>
        </w:tabs>
        <w:ind w:left="1134" w:hanging="567"/>
      </w:pPr>
      <w:r>
        <w:lastRenderedPageBreak/>
        <w:t>(b)</w:t>
      </w:r>
      <w:r>
        <w:tab/>
        <w:t xml:space="preserve">a deduction of any lesser amount as determined by — </w:t>
      </w:r>
    </w:p>
    <w:p>
      <w:pPr>
        <w:pStyle w:val="yNumberedItemSubPara"/>
        <w:tabs>
          <w:tab w:val="clear" w:pos="2041"/>
        </w:tabs>
        <w:ind w:left="1701" w:hanging="567"/>
      </w:pPr>
      <w:r>
        <w:t>(i)</w:t>
      </w:r>
      <w:r>
        <w:tab/>
        <w:t>in relation to the conduct of wagering by RWWA — RWWA; or</w:t>
      </w:r>
    </w:p>
    <w:p>
      <w:pPr>
        <w:pStyle w:val="yNumberedItemSubPara"/>
        <w:tabs>
          <w:tab w:val="clear" w:pos="2041"/>
        </w:tabs>
        <w:ind w:left="1701" w:hanging="567"/>
      </w:pPr>
      <w:r>
        <w:t>(ii)</w:t>
      </w:r>
      <w:r>
        <w:tab/>
        <w:t>in relation to the conduct of wagering by bookmakers — the stewards.</w:t>
      </w:r>
    </w:p>
    <w:p>
      <w:pPr>
        <w:pStyle w:val="yNumberedItem"/>
        <w:tabs>
          <w:tab w:val="left" w:pos="560"/>
        </w:tabs>
        <w:ind w:left="574" w:hanging="574"/>
      </w:pPr>
      <w:r>
        <w:t>5.</w:t>
      </w:r>
      <w:r>
        <w:tab/>
      </w:r>
      <w:r>
        <w:rPr>
          <w:szCs w:val="22"/>
        </w:rPr>
        <w:t>If</w:t>
      </w:r>
      <w:r>
        <w:t xml:space="preserve"> 2 or more withdrawals occur simultaneously during wagering, successful wagers made prior to the time of withdrawal </w:t>
      </w:r>
      <w:r>
        <w:rPr>
          <w:szCs w:val="22"/>
        </w:rPr>
        <w:t>must</w:t>
      </w:r>
      <w:r>
        <w:t xml:space="preserve">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r>
      <w:r>
        <w:rPr>
          <w:szCs w:val="22"/>
        </w:rPr>
        <w:t>If</w:t>
      </w:r>
      <w:r>
        <w:t xml:space="preserve"> withdrawals occur at different times during wagering on a race, successful wagers placed prior to the last withdrawal </w:t>
      </w:r>
      <w:r>
        <w:rPr>
          <w:szCs w:val="22"/>
        </w:rPr>
        <w:t>must</w:t>
      </w:r>
      <w:r>
        <w:t xml:space="preserve">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determined by the deduction applicable on the scale of deductions in the Scale of Deduction Table to the dividends of the second withdrawal.</w:t>
      </w:r>
    </w:p>
    <w:p>
      <w:pPr>
        <w:pStyle w:val="yNumberedItem"/>
        <w:keepNext/>
        <w:tabs>
          <w:tab w:val="left" w:pos="560"/>
        </w:tabs>
        <w:ind w:left="574" w:hanging="574"/>
      </w:pPr>
      <w:r>
        <w:t>7.</w:t>
      </w:r>
      <w:r>
        <w:tab/>
        <w:t>In relation to the conduct of wagering by bookmakers, if the dividend in relation to a runner ordered or permitted to be withdrawn, or declared a non</w:t>
      </w:r>
      <w:r>
        <w:noBreakHyphen/>
        <w:t xml:space="preserve">starter, is lower than $1.05, the stewards must — </w:t>
      </w:r>
    </w:p>
    <w:p>
      <w:pPr>
        <w:pStyle w:val="yNumberedItemPara"/>
        <w:tabs>
          <w:tab w:val="clear" w:pos="1332"/>
        </w:tabs>
        <w:ind w:left="1134" w:hanging="567"/>
      </w:pPr>
      <w:r>
        <w:t>(a)</w:t>
      </w:r>
      <w:r>
        <w:tab/>
        <w:t>if, in the opinion of the stewards, there is sufficient time to reopen wagering — declare all wagers made on the remaining runners to be void and order that wagering on the race be reopened; or</w:t>
      </w:r>
    </w:p>
    <w:p>
      <w:pPr>
        <w:pStyle w:val="yNumberedItemPara"/>
        <w:tabs>
          <w:tab w:val="clear" w:pos="1332"/>
        </w:tabs>
        <w:ind w:left="1134" w:hanging="567"/>
      </w:pPr>
      <w:r>
        <w:t>(b)</w:t>
      </w:r>
      <w:r>
        <w:tab/>
        <w:t>otherwise — apply a deduction in accordance with item 4.</w:t>
      </w:r>
    </w:p>
    <w:p>
      <w:pPr>
        <w:pStyle w:val="yTHeadingNAm"/>
        <w:rPr>
          <w:sz w:val="20"/>
        </w:rPr>
      </w:pPr>
      <w:r>
        <w:lastRenderedPageBreak/>
        <w:t>Table</w:t>
      </w:r>
    </w:p>
    <w:tbl>
      <w:tblPr>
        <w:tblW w:w="7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80"/>
        <w:gridCol w:w="1180"/>
        <w:gridCol w:w="1180"/>
        <w:gridCol w:w="1180"/>
        <w:gridCol w:w="1180"/>
        <w:gridCol w:w="1180"/>
      </w:tblGrid>
      <w:tr>
        <w:trPr>
          <w:tblHeader/>
        </w:trPr>
        <w:tc>
          <w:tcPr>
            <w:tcW w:w="1180" w:type="dxa"/>
          </w:tcPr>
          <w:p>
            <w:pPr>
              <w:pStyle w:val="yTableNAm"/>
              <w:keepNext/>
              <w:tabs>
                <w:tab w:val="clear" w:pos="567"/>
              </w:tabs>
              <w:ind w:right="-54"/>
              <w:rPr>
                <w:b/>
              </w:rPr>
            </w:pPr>
            <w:r>
              <w:rPr>
                <w:b/>
              </w:rPr>
              <w:t xml:space="preserve">Dividend of </w:t>
            </w:r>
            <w:r>
              <w:rPr>
                <w:rFonts w:ascii="Times New Roman Bold" w:hAnsi="Times New Roman Bold"/>
                <w:b/>
                <w:spacing w:val="-10"/>
              </w:rPr>
              <w:t>withdrawn</w:t>
            </w:r>
            <w:r>
              <w:rPr>
                <w:b/>
              </w:rPr>
              <w:t xml:space="preserve"> runner (for wager of $1)</w:t>
            </w:r>
          </w:p>
          <w:p>
            <w:pPr>
              <w:pStyle w:val="yTableNAm"/>
              <w:keepNext/>
              <w:jc w:val="center"/>
              <w:rPr>
                <w:b/>
              </w:rPr>
            </w:pPr>
            <w:r>
              <w:rPr>
                <w:b/>
              </w:rPr>
              <w:t>$</w:t>
            </w:r>
          </w:p>
        </w:tc>
        <w:tc>
          <w:tcPr>
            <w:tcW w:w="1180" w:type="dxa"/>
          </w:tcPr>
          <w:p>
            <w:pPr>
              <w:pStyle w:val="yTableNAm"/>
              <w:keepNext/>
              <w:rPr>
                <w:b/>
              </w:rPr>
            </w:pPr>
            <w:r>
              <w:rPr>
                <w:b/>
              </w:rPr>
              <w:t>Win, doubles, multiple doubles, favout deduction</w:t>
            </w:r>
          </w:p>
          <w:p>
            <w:pPr>
              <w:pStyle w:val="yTableNAm"/>
              <w:keepNext/>
              <w:jc w:val="center"/>
              <w:rPr>
                <w:b/>
              </w:rPr>
            </w:pPr>
            <w:r>
              <w:rPr>
                <w:b/>
              </w:rPr>
              <w:t>$</w:t>
            </w:r>
          </w:p>
        </w:tc>
        <w:tc>
          <w:tcPr>
            <w:tcW w:w="1180" w:type="dxa"/>
          </w:tcPr>
          <w:p>
            <w:pPr>
              <w:pStyle w:val="yTableNAm"/>
              <w:keepNext/>
              <w:rPr>
                <w:b/>
              </w:rPr>
            </w:pPr>
            <w:r>
              <w:rPr>
                <w:b/>
              </w:rPr>
              <w:t>Place deduction if 8 or more runners</w:t>
            </w:r>
          </w:p>
          <w:p>
            <w:pPr>
              <w:pStyle w:val="yTableNAm"/>
              <w:keepNext/>
              <w:jc w:val="center"/>
              <w:rPr>
                <w:b/>
              </w:rPr>
            </w:pPr>
            <w:r>
              <w:rPr>
                <w:b/>
              </w:rPr>
              <w:br/>
              <w:t>$</w:t>
            </w:r>
          </w:p>
        </w:tc>
        <w:tc>
          <w:tcPr>
            <w:tcW w:w="1180" w:type="dxa"/>
          </w:tcPr>
          <w:p>
            <w:pPr>
              <w:pStyle w:val="yTableNAm"/>
              <w:keepNext/>
              <w:rPr>
                <w:b/>
              </w:rPr>
            </w:pPr>
            <w:r>
              <w:rPr>
                <w:b/>
              </w:rPr>
              <w:t>Place deduction if less than 8 runners</w:t>
            </w:r>
          </w:p>
          <w:p>
            <w:pPr>
              <w:pStyle w:val="yTableNAm"/>
              <w:keepNext/>
              <w:jc w:val="center"/>
              <w:rPr>
                <w:b/>
              </w:rPr>
            </w:pPr>
            <w:r>
              <w:rPr>
                <w:b/>
              </w:rPr>
              <w:br/>
              <w:t>$</w:t>
            </w:r>
          </w:p>
        </w:tc>
        <w:tc>
          <w:tcPr>
            <w:tcW w:w="1180" w:type="dxa"/>
          </w:tcPr>
          <w:p>
            <w:pPr>
              <w:pStyle w:val="yTableNAm"/>
              <w:keepNext/>
              <w:tabs>
                <w:tab w:val="clear" w:pos="567"/>
              </w:tabs>
              <w:ind w:left="-20" w:right="-154"/>
              <w:rPr>
                <w:b/>
              </w:rPr>
            </w:pPr>
            <w:r>
              <w:rPr>
                <w:rFonts w:ascii="Times New Roman Bold" w:hAnsi="Times New Roman Bold"/>
                <w:b/>
                <w:spacing w:val="-6"/>
              </w:rPr>
              <w:t>Concession</w:t>
            </w:r>
            <w:r>
              <w:rPr>
                <w:b/>
              </w:rPr>
              <w:t>, insurance (2 places), insurance (3 places) deduction</w:t>
            </w:r>
          </w:p>
          <w:p>
            <w:pPr>
              <w:pStyle w:val="yTableNAm"/>
              <w:keepNext/>
              <w:tabs>
                <w:tab w:val="clear" w:pos="567"/>
              </w:tabs>
              <w:ind w:right="-154"/>
              <w:jc w:val="center"/>
              <w:rPr>
                <w:b/>
              </w:rPr>
            </w:pPr>
            <w:r>
              <w:rPr>
                <w:b/>
              </w:rPr>
              <w:t>$</w:t>
            </w:r>
          </w:p>
        </w:tc>
        <w:tc>
          <w:tcPr>
            <w:tcW w:w="1180" w:type="dxa"/>
          </w:tcPr>
          <w:p>
            <w:pPr>
              <w:pStyle w:val="yTableNAm"/>
              <w:keepNext/>
              <w:rPr>
                <w:b/>
              </w:rPr>
            </w:pPr>
            <w:r>
              <w:rPr>
                <w:b/>
              </w:rPr>
              <w:t>Quinella deduction</w:t>
            </w:r>
          </w:p>
          <w:p>
            <w:pPr>
              <w:pStyle w:val="yTableNAm"/>
              <w:keepNext/>
              <w:jc w:val="center"/>
              <w:rPr>
                <w:b/>
              </w:rPr>
            </w:pPr>
            <w:r>
              <w:rPr>
                <w:b/>
              </w:rPr>
              <w:br/>
            </w:r>
            <w:r>
              <w:rPr>
                <w:b/>
              </w:rPr>
              <w:br/>
            </w:r>
            <w:r>
              <w:rPr>
                <w:b/>
              </w:rPr>
              <w:br/>
            </w:r>
            <w:r>
              <w:rPr>
                <w:b/>
              </w:rPr>
              <w:br/>
              <w:t>$</w:t>
            </w:r>
          </w:p>
        </w:tc>
      </w:tr>
      <w:tr>
        <w:tc>
          <w:tcPr>
            <w:tcW w:w="1180" w:type="dxa"/>
          </w:tcPr>
          <w:p>
            <w:pPr>
              <w:pStyle w:val="yTableNAm"/>
              <w:keepNext/>
            </w:pPr>
            <w:r>
              <w:t>1.01</w:t>
            </w:r>
          </w:p>
        </w:tc>
        <w:tc>
          <w:tcPr>
            <w:tcW w:w="1180" w:type="dxa"/>
          </w:tcPr>
          <w:p>
            <w:pPr>
              <w:pStyle w:val="yTableNAm"/>
              <w:keepNext/>
            </w:pPr>
            <w:r>
              <w:t>0.80</w:t>
            </w:r>
          </w:p>
        </w:tc>
        <w:tc>
          <w:tcPr>
            <w:tcW w:w="1180" w:type="dxa"/>
          </w:tcPr>
          <w:p>
            <w:pPr>
              <w:pStyle w:val="yTableNAm"/>
              <w:keepNext/>
            </w:pPr>
            <w:r>
              <w:t>0.30</w:t>
            </w:r>
          </w:p>
        </w:tc>
        <w:tc>
          <w:tcPr>
            <w:tcW w:w="1180" w:type="dxa"/>
          </w:tcPr>
          <w:p>
            <w:pPr>
              <w:pStyle w:val="yTableNAm"/>
              <w:keepNext/>
            </w:pPr>
            <w:r>
              <w:t>0.44</w:t>
            </w:r>
          </w:p>
        </w:tc>
        <w:tc>
          <w:tcPr>
            <w:tcW w:w="1180" w:type="dxa"/>
          </w:tcPr>
          <w:p>
            <w:pPr>
              <w:pStyle w:val="yTableNAm"/>
              <w:keepNext/>
            </w:pPr>
            <w:r>
              <w:t>0.70</w:t>
            </w:r>
          </w:p>
        </w:tc>
        <w:tc>
          <w:tcPr>
            <w:tcW w:w="1180" w:type="dxa"/>
            <w:vMerge w:val="restart"/>
          </w:tcPr>
          <w:p>
            <w:pPr>
              <w:pStyle w:val="yTableNAm"/>
              <w:keepNext/>
            </w:pPr>
            <w:r>
              <w:t>All bets</w:t>
            </w:r>
            <w:r>
              <w:br/>
              <w:t>void and refunded</w:t>
            </w:r>
          </w:p>
          <w:p>
            <w:pPr>
              <w:pStyle w:val="yTableNAm"/>
              <w:keepNext/>
            </w:pPr>
          </w:p>
        </w:tc>
      </w:tr>
      <w:tr>
        <w:tc>
          <w:tcPr>
            <w:tcW w:w="1180" w:type="dxa"/>
          </w:tcPr>
          <w:p>
            <w:pPr>
              <w:pStyle w:val="yTableNAm"/>
            </w:pPr>
            <w:r>
              <w:t>1.02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1.03</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1.05</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1.07</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1.08</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1.09</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1.10</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1.18</w:t>
            </w:r>
          </w:p>
        </w:tc>
        <w:tc>
          <w:tcPr>
            <w:tcW w:w="1180" w:type="dxa"/>
          </w:tcPr>
          <w:p>
            <w:pPr>
              <w:pStyle w:val="yTableNAm"/>
            </w:pPr>
            <w:r>
              <w:t>0.79</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keepLines/>
            </w:pPr>
            <w:r>
              <w:t>1.20</w:t>
            </w:r>
          </w:p>
        </w:tc>
        <w:tc>
          <w:tcPr>
            <w:tcW w:w="1180" w:type="dxa"/>
          </w:tcPr>
          <w:p>
            <w:pPr>
              <w:pStyle w:val="yTableNAm"/>
              <w:keepLines/>
            </w:pPr>
            <w:r>
              <w:t>0.78</w:t>
            </w:r>
          </w:p>
        </w:tc>
        <w:tc>
          <w:tcPr>
            <w:tcW w:w="1180" w:type="dxa"/>
          </w:tcPr>
          <w:p>
            <w:pPr>
              <w:pStyle w:val="yTableNAm"/>
              <w:keepLines/>
            </w:pPr>
            <w:r>
              <w:t>0.30</w:t>
            </w:r>
          </w:p>
        </w:tc>
        <w:tc>
          <w:tcPr>
            <w:tcW w:w="1180" w:type="dxa"/>
          </w:tcPr>
          <w:p>
            <w:pPr>
              <w:pStyle w:val="yTableNAm"/>
              <w:keepLines/>
            </w:pPr>
            <w:r>
              <w:t>0.44</w:t>
            </w:r>
          </w:p>
        </w:tc>
        <w:tc>
          <w:tcPr>
            <w:tcW w:w="1180" w:type="dxa"/>
          </w:tcPr>
          <w:p>
            <w:pPr>
              <w:pStyle w:val="yTableNAm"/>
              <w:keepLines/>
            </w:pPr>
            <w:r>
              <w:t>0.70</w:t>
            </w:r>
          </w:p>
        </w:tc>
        <w:tc>
          <w:tcPr>
            <w:tcW w:w="1180" w:type="dxa"/>
            <w:vMerge/>
          </w:tcPr>
          <w:p>
            <w:pPr>
              <w:pStyle w:val="yTableNAm"/>
            </w:pPr>
          </w:p>
        </w:tc>
      </w:tr>
      <w:tr>
        <w:tc>
          <w:tcPr>
            <w:tcW w:w="1180" w:type="dxa"/>
          </w:tcPr>
          <w:p>
            <w:pPr>
              <w:pStyle w:val="yTableNAm"/>
            </w:pPr>
            <w:r>
              <w:t>1.22</w:t>
            </w:r>
          </w:p>
        </w:tc>
        <w:tc>
          <w:tcPr>
            <w:tcW w:w="1180" w:type="dxa"/>
          </w:tcPr>
          <w:p>
            <w:pPr>
              <w:pStyle w:val="yTableNAm"/>
            </w:pPr>
            <w:r>
              <w:t>0.77</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1.24</w:t>
            </w:r>
          </w:p>
        </w:tc>
        <w:tc>
          <w:tcPr>
            <w:tcW w:w="1180" w:type="dxa"/>
          </w:tcPr>
          <w:p>
            <w:pPr>
              <w:pStyle w:val="yTableNAm"/>
            </w:pPr>
            <w:r>
              <w:t>0.75</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1.26</w:t>
            </w:r>
          </w:p>
        </w:tc>
        <w:tc>
          <w:tcPr>
            <w:tcW w:w="1180" w:type="dxa"/>
          </w:tcPr>
          <w:p>
            <w:pPr>
              <w:pStyle w:val="yTableNAm"/>
            </w:pPr>
            <w:r>
              <w:t>0.74</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1.28</w:t>
            </w:r>
          </w:p>
        </w:tc>
        <w:tc>
          <w:tcPr>
            <w:tcW w:w="1180" w:type="dxa"/>
          </w:tcPr>
          <w:p>
            <w:pPr>
              <w:pStyle w:val="yTableNAm"/>
            </w:pPr>
            <w:r>
              <w:t>0.73</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1.30</w:t>
            </w:r>
          </w:p>
        </w:tc>
        <w:tc>
          <w:tcPr>
            <w:tcW w:w="1180" w:type="dxa"/>
          </w:tcPr>
          <w:p>
            <w:pPr>
              <w:pStyle w:val="yTableNAm"/>
            </w:pPr>
            <w:r>
              <w:t>0.72</w:t>
            </w:r>
          </w:p>
        </w:tc>
        <w:tc>
          <w:tcPr>
            <w:tcW w:w="1180" w:type="dxa"/>
          </w:tcPr>
          <w:p>
            <w:pPr>
              <w:pStyle w:val="yTableNAm"/>
            </w:pPr>
            <w:r>
              <w:t>0.29</w:t>
            </w:r>
          </w:p>
        </w:tc>
        <w:tc>
          <w:tcPr>
            <w:tcW w:w="1180" w:type="dxa"/>
          </w:tcPr>
          <w:p>
            <w:pPr>
              <w:pStyle w:val="yTableNAm"/>
            </w:pPr>
            <w:r>
              <w:t>0.42</w:t>
            </w:r>
          </w:p>
        </w:tc>
        <w:tc>
          <w:tcPr>
            <w:tcW w:w="1180" w:type="dxa"/>
          </w:tcPr>
          <w:p>
            <w:pPr>
              <w:pStyle w:val="yTableNAm"/>
            </w:pPr>
            <w:r>
              <w:t>0.67</w:t>
            </w:r>
          </w:p>
        </w:tc>
        <w:tc>
          <w:tcPr>
            <w:tcW w:w="1180" w:type="dxa"/>
            <w:vMerge/>
          </w:tcPr>
          <w:p>
            <w:pPr>
              <w:pStyle w:val="yTableNAm"/>
            </w:pPr>
          </w:p>
        </w:tc>
      </w:tr>
      <w:tr>
        <w:tc>
          <w:tcPr>
            <w:tcW w:w="1180" w:type="dxa"/>
          </w:tcPr>
          <w:p>
            <w:pPr>
              <w:pStyle w:val="yTableNAm"/>
            </w:pPr>
            <w:r>
              <w:lastRenderedPageBreak/>
              <w:t>1.35</w:t>
            </w:r>
          </w:p>
        </w:tc>
        <w:tc>
          <w:tcPr>
            <w:tcW w:w="1180" w:type="dxa"/>
          </w:tcPr>
          <w:p>
            <w:pPr>
              <w:pStyle w:val="yTableNAm"/>
            </w:pPr>
            <w:r>
              <w:t>0.69</w:t>
            </w:r>
          </w:p>
        </w:tc>
        <w:tc>
          <w:tcPr>
            <w:tcW w:w="1180" w:type="dxa"/>
          </w:tcPr>
          <w:p>
            <w:pPr>
              <w:pStyle w:val="yTableNAm"/>
            </w:pPr>
            <w:r>
              <w:t>0.29</w:t>
            </w:r>
          </w:p>
        </w:tc>
        <w:tc>
          <w:tcPr>
            <w:tcW w:w="1180" w:type="dxa"/>
          </w:tcPr>
          <w:p>
            <w:pPr>
              <w:pStyle w:val="yTableNAm"/>
            </w:pPr>
            <w:r>
              <w:t>0.42</w:t>
            </w:r>
          </w:p>
        </w:tc>
        <w:tc>
          <w:tcPr>
            <w:tcW w:w="1180" w:type="dxa"/>
          </w:tcPr>
          <w:p>
            <w:pPr>
              <w:pStyle w:val="yTableNAm"/>
            </w:pPr>
            <w:r>
              <w:t>0.64</w:t>
            </w:r>
          </w:p>
        </w:tc>
        <w:tc>
          <w:tcPr>
            <w:tcW w:w="1180" w:type="dxa"/>
            <w:vMerge/>
          </w:tcPr>
          <w:p>
            <w:pPr>
              <w:pStyle w:val="yTableNAm"/>
            </w:pPr>
          </w:p>
        </w:tc>
      </w:tr>
      <w:tr>
        <w:tc>
          <w:tcPr>
            <w:tcW w:w="1180" w:type="dxa"/>
          </w:tcPr>
          <w:p>
            <w:pPr>
              <w:pStyle w:val="yTableNAm"/>
            </w:pPr>
            <w:r>
              <w:t>1.40</w:t>
            </w:r>
          </w:p>
        </w:tc>
        <w:tc>
          <w:tcPr>
            <w:tcW w:w="1180" w:type="dxa"/>
          </w:tcPr>
          <w:p>
            <w:pPr>
              <w:pStyle w:val="yTableNAm"/>
            </w:pPr>
            <w:r>
              <w:t>0.67</w:t>
            </w:r>
          </w:p>
        </w:tc>
        <w:tc>
          <w:tcPr>
            <w:tcW w:w="1180" w:type="dxa"/>
          </w:tcPr>
          <w:p>
            <w:pPr>
              <w:pStyle w:val="yTableNAm"/>
            </w:pPr>
            <w:r>
              <w:t>0.28</w:t>
            </w:r>
          </w:p>
        </w:tc>
        <w:tc>
          <w:tcPr>
            <w:tcW w:w="1180" w:type="dxa"/>
          </w:tcPr>
          <w:p>
            <w:pPr>
              <w:pStyle w:val="yTableNAm"/>
            </w:pPr>
            <w:r>
              <w:t>0.41</w:t>
            </w:r>
          </w:p>
        </w:tc>
        <w:tc>
          <w:tcPr>
            <w:tcW w:w="1180" w:type="dxa"/>
          </w:tcPr>
          <w:p>
            <w:pPr>
              <w:pStyle w:val="yTableNAm"/>
            </w:pPr>
            <w:r>
              <w:t>0.62</w:t>
            </w:r>
          </w:p>
        </w:tc>
        <w:tc>
          <w:tcPr>
            <w:tcW w:w="1180" w:type="dxa"/>
            <w:vMerge/>
          </w:tcPr>
          <w:p>
            <w:pPr>
              <w:pStyle w:val="yTableNAm"/>
            </w:pPr>
          </w:p>
        </w:tc>
      </w:tr>
      <w:tr>
        <w:tc>
          <w:tcPr>
            <w:tcW w:w="1180" w:type="dxa"/>
          </w:tcPr>
          <w:p>
            <w:pPr>
              <w:pStyle w:val="yTableNAm"/>
            </w:pPr>
            <w:r>
              <w:t>1.45</w:t>
            </w:r>
          </w:p>
        </w:tc>
        <w:tc>
          <w:tcPr>
            <w:tcW w:w="1180" w:type="dxa"/>
          </w:tcPr>
          <w:p>
            <w:pPr>
              <w:pStyle w:val="yTableNAm"/>
            </w:pPr>
            <w:r>
              <w:t>0.64</w:t>
            </w:r>
          </w:p>
        </w:tc>
        <w:tc>
          <w:tcPr>
            <w:tcW w:w="1180" w:type="dxa"/>
          </w:tcPr>
          <w:p>
            <w:pPr>
              <w:pStyle w:val="yTableNAm"/>
            </w:pPr>
            <w:r>
              <w:t>0.28</w:t>
            </w:r>
          </w:p>
        </w:tc>
        <w:tc>
          <w:tcPr>
            <w:tcW w:w="1180" w:type="dxa"/>
          </w:tcPr>
          <w:p>
            <w:pPr>
              <w:pStyle w:val="yTableNAm"/>
            </w:pPr>
            <w:r>
              <w:t>0.41</w:t>
            </w:r>
          </w:p>
        </w:tc>
        <w:tc>
          <w:tcPr>
            <w:tcW w:w="1180" w:type="dxa"/>
          </w:tcPr>
          <w:p>
            <w:pPr>
              <w:pStyle w:val="yTableNAm"/>
            </w:pPr>
            <w:r>
              <w:t>0.59</w:t>
            </w:r>
          </w:p>
        </w:tc>
        <w:tc>
          <w:tcPr>
            <w:tcW w:w="1180" w:type="dxa"/>
            <w:vMerge/>
          </w:tcPr>
          <w:p>
            <w:pPr>
              <w:pStyle w:val="yTableNAm"/>
            </w:pPr>
          </w:p>
        </w:tc>
      </w:tr>
      <w:tr>
        <w:tc>
          <w:tcPr>
            <w:tcW w:w="1180" w:type="dxa"/>
          </w:tcPr>
          <w:p>
            <w:pPr>
              <w:pStyle w:val="yTableNAm"/>
            </w:pPr>
            <w:r>
              <w:t>1.50</w:t>
            </w:r>
          </w:p>
        </w:tc>
        <w:tc>
          <w:tcPr>
            <w:tcW w:w="1180" w:type="dxa"/>
          </w:tcPr>
          <w:p>
            <w:pPr>
              <w:pStyle w:val="yTableNAm"/>
            </w:pPr>
            <w:r>
              <w:t>0.62</w:t>
            </w:r>
          </w:p>
        </w:tc>
        <w:tc>
          <w:tcPr>
            <w:tcW w:w="1180" w:type="dxa"/>
          </w:tcPr>
          <w:p>
            <w:pPr>
              <w:pStyle w:val="yTableNAm"/>
            </w:pPr>
            <w:r>
              <w:t>0.28</w:t>
            </w:r>
          </w:p>
        </w:tc>
        <w:tc>
          <w:tcPr>
            <w:tcW w:w="1180" w:type="dxa"/>
          </w:tcPr>
          <w:p>
            <w:pPr>
              <w:pStyle w:val="yTableNAm"/>
            </w:pPr>
            <w:r>
              <w:t>0.40</w:t>
            </w:r>
          </w:p>
        </w:tc>
        <w:tc>
          <w:tcPr>
            <w:tcW w:w="1180" w:type="dxa"/>
          </w:tcPr>
          <w:p>
            <w:pPr>
              <w:pStyle w:val="yTableNAm"/>
            </w:pPr>
            <w:r>
              <w:t>0.57</w:t>
            </w:r>
          </w:p>
        </w:tc>
        <w:tc>
          <w:tcPr>
            <w:tcW w:w="1180" w:type="dxa"/>
            <w:vMerge/>
          </w:tcPr>
          <w:p>
            <w:pPr>
              <w:pStyle w:val="yTableNAm"/>
            </w:pPr>
          </w:p>
        </w:tc>
      </w:tr>
      <w:tr>
        <w:tc>
          <w:tcPr>
            <w:tcW w:w="1180" w:type="dxa"/>
          </w:tcPr>
          <w:p>
            <w:pPr>
              <w:pStyle w:val="yTableNAm"/>
            </w:pPr>
            <w:r>
              <w:t>1.55</w:t>
            </w:r>
          </w:p>
        </w:tc>
        <w:tc>
          <w:tcPr>
            <w:tcW w:w="1180" w:type="dxa"/>
          </w:tcPr>
          <w:p>
            <w:pPr>
              <w:pStyle w:val="yTableNAm"/>
            </w:pPr>
            <w:r>
              <w:t>0.60</w:t>
            </w:r>
          </w:p>
        </w:tc>
        <w:tc>
          <w:tcPr>
            <w:tcW w:w="1180" w:type="dxa"/>
          </w:tcPr>
          <w:p>
            <w:pPr>
              <w:pStyle w:val="yTableNAm"/>
            </w:pPr>
            <w:r>
              <w:t>0.27</w:t>
            </w:r>
          </w:p>
        </w:tc>
        <w:tc>
          <w:tcPr>
            <w:tcW w:w="1180" w:type="dxa"/>
          </w:tcPr>
          <w:p>
            <w:pPr>
              <w:pStyle w:val="yTableNAm"/>
            </w:pPr>
            <w:r>
              <w:t>0.39</w:t>
            </w:r>
          </w:p>
        </w:tc>
        <w:tc>
          <w:tcPr>
            <w:tcW w:w="1180" w:type="dxa"/>
          </w:tcPr>
          <w:p>
            <w:pPr>
              <w:pStyle w:val="yTableNAm"/>
            </w:pPr>
            <w:r>
              <w:t>0.55</w:t>
            </w:r>
          </w:p>
        </w:tc>
        <w:tc>
          <w:tcPr>
            <w:tcW w:w="1180" w:type="dxa"/>
            <w:vMerge/>
          </w:tcPr>
          <w:p>
            <w:pPr>
              <w:pStyle w:val="yTableNAm"/>
            </w:pPr>
          </w:p>
        </w:tc>
      </w:tr>
      <w:tr>
        <w:tc>
          <w:tcPr>
            <w:tcW w:w="1180" w:type="dxa"/>
          </w:tcPr>
          <w:p>
            <w:pPr>
              <w:pStyle w:val="yTableNAm"/>
            </w:pPr>
            <w:r>
              <w:t>1.60</w:t>
            </w:r>
          </w:p>
        </w:tc>
        <w:tc>
          <w:tcPr>
            <w:tcW w:w="1180" w:type="dxa"/>
          </w:tcPr>
          <w:p>
            <w:pPr>
              <w:pStyle w:val="yTableNAm"/>
            </w:pPr>
            <w:r>
              <w:t>0.58</w:t>
            </w:r>
          </w:p>
        </w:tc>
        <w:tc>
          <w:tcPr>
            <w:tcW w:w="1180" w:type="dxa"/>
          </w:tcPr>
          <w:p>
            <w:pPr>
              <w:pStyle w:val="yTableNAm"/>
            </w:pPr>
            <w:r>
              <w:t>0.27</w:t>
            </w:r>
          </w:p>
        </w:tc>
        <w:tc>
          <w:tcPr>
            <w:tcW w:w="1180" w:type="dxa"/>
          </w:tcPr>
          <w:p>
            <w:pPr>
              <w:pStyle w:val="yTableNAm"/>
            </w:pPr>
            <w:r>
              <w:t>0.39</w:t>
            </w:r>
          </w:p>
        </w:tc>
        <w:tc>
          <w:tcPr>
            <w:tcW w:w="1180" w:type="dxa"/>
          </w:tcPr>
          <w:p>
            <w:pPr>
              <w:pStyle w:val="yTableNAm"/>
            </w:pPr>
            <w:r>
              <w:t>0.53</w:t>
            </w:r>
          </w:p>
        </w:tc>
        <w:tc>
          <w:tcPr>
            <w:tcW w:w="1180" w:type="dxa"/>
            <w:vMerge/>
          </w:tcPr>
          <w:p>
            <w:pPr>
              <w:pStyle w:val="yTableNAm"/>
            </w:pPr>
          </w:p>
        </w:tc>
      </w:tr>
      <w:tr>
        <w:tc>
          <w:tcPr>
            <w:tcW w:w="1180" w:type="dxa"/>
          </w:tcPr>
          <w:p>
            <w:pPr>
              <w:pStyle w:val="yTableNAm"/>
            </w:pPr>
            <w:r>
              <w:t>1.65</w:t>
            </w:r>
          </w:p>
        </w:tc>
        <w:tc>
          <w:tcPr>
            <w:tcW w:w="1180" w:type="dxa"/>
          </w:tcPr>
          <w:p>
            <w:pPr>
              <w:pStyle w:val="yTableNAm"/>
            </w:pPr>
            <w:r>
              <w:t>0.57</w:t>
            </w:r>
          </w:p>
        </w:tc>
        <w:tc>
          <w:tcPr>
            <w:tcW w:w="1180" w:type="dxa"/>
          </w:tcPr>
          <w:p>
            <w:pPr>
              <w:pStyle w:val="yTableNAm"/>
            </w:pPr>
            <w:r>
              <w:t>0.27</w:t>
            </w:r>
          </w:p>
        </w:tc>
        <w:tc>
          <w:tcPr>
            <w:tcW w:w="1180" w:type="dxa"/>
          </w:tcPr>
          <w:p>
            <w:pPr>
              <w:pStyle w:val="yTableNAm"/>
            </w:pPr>
            <w:r>
              <w:t>0.38</w:t>
            </w:r>
          </w:p>
        </w:tc>
        <w:tc>
          <w:tcPr>
            <w:tcW w:w="1180" w:type="dxa"/>
          </w:tcPr>
          <w:p>
            <w:pPr>
              <w:pStyle w:val="yTableNAm"/>
            </w:pPr>
            <w:r>
              <w:t>0.53</w:t>
            </w:r>
          </w:p>
        </w:tc>
        <w:tc>
          <w:tcPr>
            <w:tcW w:w="1180" w:type="dxa"/>
            <w:vMerge/>
          </w:tcPr>
          <w:p>
            <w:pPr>
              <w:pStyle w:val="yTableNAm"/>
            </w:pPr>
          </w:p>
        </w:tc>
      </w:tr>
      <w:tr>
        <w:tc>
          <w:tcPr>
            <w:tcW w:w="1180" w:type="dxa"/>
          </w:tcPr>
          <w:p>
            <w:pPr>
              <w:pStyle w:val="yTableNAm"/>
            </w:pPr>
            <w:r>
              <w:t>1.70</w:t>
            </w:r>
          </w:p>
        </w:tc>
        <w:tc>
          <w:tcPr>
            <w:tcW w:w="1180" w:type="dxa"/>
          </w:tcPr>
          <w:p>
            <w:pPr>
              <w:pStyle w:val="yTableNAm"/>
            </w:pPr>
            <w:r>
              <w:t>0.55</w:t>
            </w:r>
          </w:p>
        </w:tc>
        <w:tc>
          <w:tcPr>
            <w:tcW w:w="1180" w:type="dxa"/>
          </w:tcPr>
          <w:p>
            <w:pPr>
              <w:pStyle w:val="yTableNAm"/>
            </w:pPr>
            <w:r>
              <w:t>0.27</w:t>
            </w:r>
          </w:p>
        </w:tc>
        <w:tc>
          <w:tcPr>
            <w:tcW w:w="1180" w:type="dxa"/>
          </w:tcPr>
          <w:p>
            <w:pPr>
              <w:pStyle w:val="yTableNAm"/>
            </w:pPr>
            <w:r>
              <w:t>0.38</w:t>
            </w:r>
          </w:p>
        </w:tc>
        <w:tc>
          <w:tcPr>
            <w:tcW w:w="1180" w:type="dxa"/>
          </w:tcPr>
          <w:p>
            <w:pPr>
              <w:pStyle w:val="yTableNAm"/>
            </w:pPr>
            <w:r>
              <w:t>0.51</w:t>
            </w:r>
          </w:p>
        </w:tc>
        <w:tc>
          <w:tcPr>
            <w:tcW w:w="1180" w:type="dxa"/>
            <w:vMerge/>
          </w:tcPr>
          <w:p>
            <w:pPr>
              <w:pStyle w:val="yTableNAm"/>
            </w:pPr>
          </w:p>
        </w:tc>
      </w:tr>
      <w:tr>
        <w:tc>
          <w:tcPr>
            <w:tcW w:w="1180" w:type="dxa"/>
          </w:tcPr>
          <w:p>
            <w:pPr>
              <w:pStyle w:val="yTableNAm"/>
            </w:pPr>
            <w:r>
              <w:t>1.75</w:t>
            </w:r>
          </w:p>
        </w:tc>
        <w:tc>
          <w:tcPr>
            <w:tcW w:w="1180" w:type="dxa"/>
          </w:tcPr>
          <w:p>
            <w:pPr>
              <w:pStyle w:val="yTableNAm"/>
            </w:pPr>
            <w:r>
              <w:t>0.53</w:t>
            </w:r>
          </w:p>
        </w:tc>
        <w:tc>
          <w:tcPr>
            <w:tcW w:w="1180" w:type="dxa"/>
          </w:tcPr>
          <w:p>
            <w:pPr>
              <w:pStyle w:val="yTableNAm"/>
            </w:pPr>
            <w:r>
              <w:t>0.26</w:t>
            </w:r>
          </w:p>
        </w:tc>
        <w:tc>
          <w:tcPr>
            <w:tcW w:w="1180" w:type="dxa"/>
          </w:tcPr>
          <w:p>
            <w:pPr>
              <w:pStyle w:val="yTableNAm"/>
            </w:pPr>
            <w:r>
              <w:t>0.37</w:t>
            </w:r>
          </w:p>
        </w:tc>
        <w:tc>
          <w:tcPr>
            <w:tcW w:w="1180" w:type="dxa"/>
          </w:tcPr>
          <w:p>
            <w:pPr>
              <w:pStyle w:val="yTableNAm"/>
            </w:pPr>
            <w:r>
              <w:t>0.49</w:t>
            </w:r>
          </w:p>
        </w:tc>
        <w:tc>
          <w:tcPr>
            <w:tcW w:w="1180" w:type="dxa"/>
            <w:vMerge/>
          </w:tcPr>
          <w:p>
            <w:pPr>
              <w:pStyle w:val="yTableNAm"/>
            </w:pPr>
          </w:p>
        </w:tc>
      </w:tr>
      <w:tr>
        <w:tc>
          <w:tcPr>
            <w:tcW w:w="1180" w:type="dxa"/>
          </w:tcPr>
          <w:p>
            <w:pPr>
              <w:pStyle w:val="yTableNAm"/>
            </w:pPr>
            <w:r>
              <w:t>1.80</w:t>
            </w:r>
          </w:p>
        </w:tc>
        <w:tc>
          <w:tcPr>
            <w:tcW w:w="1180" w:type="dxa"/>
          </w:tcPr>
          <w:p>
            <w:pPr>
              <w:pStyle w:val="yTableNAm"/>
            </w:pPr>
            <w:r>
              <w:t>0.52</w:t>
            </w:r>
          </w:p>
        </w:tc>
        <w:tc>
          <w:tcPr>
            <w:tcW w:w="1180" w:type="dxa"/>
          </w:tcPr>
          <w:p>
            <w:pPr>
              <w:pStyle w:val="yTableNAm"/>
            </w:pPr>
            <w:r>
              <w:t>0.26</w:t>
            </w:r>
          </w:p>
        </w:tc>
        <w:tc>
          <w:tcPr>
            <w:tcW w:w="1180" w:type="dxa"/>
          </w:tcPr>
          <w:p>
            <w:pPr>
              <w:pStyle w:val="yTableNAm"/>
            </w:pPr>
            <w:r>
              <w:t>0.37</w:t>
            </w:r>
          </w:p>
        </w:tc>
        <w:tc>
          <w:tcPr>
            <w:tcW w:w="1180" w:type="dxa"/>
          </w:tcPr>
          <w:p>
            <w:pPr>
              <w:pStyle w:val="yTableNAm"/>
            </w:pPr>
            <w:r>
              <w:t>0.48</w:t>
            </w:r>
          </w:p>
        </w:tc>
        <w:tc>
          <w:tcPr>
            <w:tcW w:w="1180" w:type="dxa"/>
            <w:vMerge/>
          </w:tcPr>
          <w:p>
            <w:pPr>
              <w:pStyle w:val="yTableNAm"/>
            </w:pPr>
          </w:p>
        </w:tc>
      </w:tr>
      <w:tr>
        <w:tc>
          <w:tcPr>
            <w:tcW w:w="1180" w:type="dxa"/>
          </w:tcPr>
          <w:p>
            <w:pPr>
              <w:pStyle w:val="yTableNAm"/>
            </w:pPr>
            <w:r>
              <w:t>1.85</w:t>
            </w:r>
          </w:p>
        </w:tc>
        <w:tc>
          <w:tcPr>
            <w:tcW w:w="1180" w:type="dxa"/>
          </w:tcPr>
          <w:p>
            <w:pPr>
              <w:pStyle w:val="yTableNAm"/>
            </w:pPr>
            <w:r>
              <w:t>0.51</w:t>
            </w:r>
          </w:p>
        </w:tc>
        <w:tc>
          <w:tcPr>
            <w:tcW w:w="1180" w:type="dxa"/>
          </w:tcPr>
          <w:p>
            <w:pPr>
              <w:pStyle w:val="yTableNAm"/>
            </w:pPr>
            <w:r>
              <w:t>0.26</w:t>
            </w:r>
          </w:p>
        </w:tc>
        <w:tc>
          <w:tcPr>
            <w:tcW w:w="1180" w:type="dxa"/>
          </w:tcPr>
          <w:p>
            <w:pPr>
              <w:pStyle w:val="yTableNAm"/>
            </w:pPr>
            <w:r>
              <w:t>0.36</w:t>
            </w:r>
          </w:p>
        </w:tc>
        <w:tc>
          <w:tcPr>
            <w:tcW w:w="1180" w:type="dxa"/>
          </w:tcPr>
          <w:p>
            <w:pPr>
              <w:pStyle w:val="yTableNAm"/>
            </w:pPr>
            <w:r>
              <w:t>0.47</w:t>
            </w:r>
          </w:p>
        </w:tc>
        <w:tc>
          <w:tcPr>
            <w:tcW w:w="1180" w:type="dxa"/>
            <w:vMerge/>
          </w:tcPr>
          <w:p>
            <w:pPr>
              <w:pStyle w:val="yTableNAm"/>
            </w:pPr>
          </w:p>
        </w:tc>
      </w:tr>
      <w:tr>
        <w:tc>
          <w:tcPr>
            <w:tcW w:w="1180" w:type="dxa"/>
          </w:tcPr>
          <w:p>
            <w:pPr>
              <w:pStyle w:val="yTableNAm"/>
            </w:pPr>
            <w:r>
              <w:t>1.90</w:t>
            </w:r>
          </w:p>
        </w:tc>
        <w:tc>
          <w:tcPr>
            <w:tcW w:w="1180" w:type="dxa"/>
          </w:tcPr>
          <w:p>
            <w:pPr>
              <w:pStyle w:val="yTableNAm"/>
            </w:pPr>
            <w:r>
              <w:t>0.49</w:t>
            </w:r>
          </w:p>
        </w:tc>
        <w:tc>
          <w:tcPr>
            <w:tcW w:w="1180" w:type="dxa"/>
          </w:tcPr>
          <w:p>
            <w:pPr>
              <w:pStyle w:val="yTableNAm"/>
            </w:pPr>
            <w:r>
              <w:t>0.25</w:t>
            </w:r>
          </w:p>
        </w:tc>
        <w:tc>
          <w:tcPr>
            <w:tcW w:w="1180" w:type="dxa"/>
          </w:tcPr>
          <w:p>
            <w:pPr>
              <w:pStyle w:val="yTableNAm"/>
            </w:pPr>
            <w:r>
              <w:t>0.36</w:t>
            </w:r>
          </w:p>
        </w:tc>
        <w:tc>
          <w:tcPr>
            <w:tcW w:w="1180" w:type="dxa"/>
          </w:tcPr>
          <w:p>
            <w:pPr>
              <w:pStyle w:val="yTableNAm"/>
            </w:pPr>
            <w:r>
              <w:t>0.45</w:t>
            </w:r>
          </w:p>
        </w:tc>
        <w:tc>
          <w:tcPr>
            <w:tcW w:w="1180" w:type="dxa"/>
            <w:vMerge/>
          </w:tcPr>
          <w:p>
            <w:pPr>
              <w:pStyle w:val="yTableNAm"/>
            </w:pPr>
          </w:p>
        </w:tc>
      </w:tr>
      <w:tr>
        <w:tc>
          <w:tcPr>
            <w:tcW w:w="1180" w:type="dxa"/>
          </w:tcPr>
          <w:p>
            <w:pPr>
              <w:pStyle w:val="yTableNAm"/>
            </w:pPr>
            <w:r>
              <w:t>1.95</w:t>
            </w:r>
          </w:p>
        </w:tc>
        <w:tc>
          <w:tcPr>
            <w:tcW w:w="1180" w:type="dxa"/>
          </w:tcPr>
          <w:p>
            <w:pPr>
              <w:pStyle w:val="yTableNAm"/>
            </w:pPr>
            <w:r>
              <w:t>0.48</w:t>
            </w:r>
          </w:p>
        </w:tc>
        <w:tc>
          <w:tcPr>
            <w:tcW w:w="1180" w:type="dxa"/>
          </w:tcPr>
          <w:p>
            <w:pPr>
              <w:pStyle w:val="yTableNAm"/>
            </w:pPr>
            <w:r>
              <w:t>0.25</w:t>
            </w:r>
          </w:p>
        </w:tc>
        <w:tc>
          <w:tcPr>
            <w:tcW w:w="1180" w:type="dxa"/>
          </w:tcPr>
          <w:p>
            <w:pPr>
              <w:pStyle w:val="yTableNAm"/>
            </w:pPr>
            <w:r>
              <w:t>0.35</w:t>
            </w:r>
          </w:p>
        </w:tc>
        <w:tc>
          <w:tcPr>
            <w:tcW w:w="1180" w:type="dxa"/>
          </w:tcPr>
          <w:p>
            <w:pPr>
              <w:pStyle w:val="yTableNAm"/>
            </w:pPr>
            <w:r>
              <w:t>0.44</w:t>
            </w:r>
          </w:p>
        </w:tc>
        <w:tc>
          <w:tcPr>
            <w:tcW w:w="1180" w:type="dxa"/>
            <w:vMerge/>
          </w:tcPr>
          <w:p>
            <w:pPr>
              <w:pStyle w:val="yTableNAm"/>
            </w:pPr>
          </w:p>
        </w:tc>
      </w:tr>
      <w:tr>
        <w:tc>
          <w:tcPr>
            <w:tcW w:w="1180" w:type="dxa"/>
          </w:tcPr>
          <w:p>
            <w:pPr>
              <w:pStyle w:val="yTableNAm"/>
            </w:pPr>
            <w:r>
              <w:t>2.00</w:t>
            </w:r>
          </w:p>
        </w:tc>
        <w:tc>
          <w:tcPr>
            <w:tcW w:w="1180" w:type="dxa"/>
          </w:tcPr>
          <w:p>
            <w:pPr>
              <w:pStyle w:val="yTableNAm"/>
            </w:pPr>
            <w:r>
              <w:t>0.47</w:t>
            </w:r>
          </w:p>
        </w:tc>
        <w:tc>
          <w:tcPr>
            <w:tcW w:w="1180" w:type="dxa"/>
          </w:tcPr>
          <w:p>
            <w:pPr>
              <w:pStyle w:val="yTableNAm"/>
            </w:pPr>
            <w:r>
              <w:t>0.25</w:t>
            </w:r>
          </w:p>
        </w:tc>
        <w:tc>
          <w:tcPr>
            <w:tcW w:w="1180" w:type="dxa"/>
          </w:tcPr>
          <w:p>
            <w:pPr>
              <w:pStyle w:val="yTableNAm"/>
            </w:pPr>
            <w:r>
              <w:t>0.35</w:t>
            </w:r>
          </w:p>
        </w:tc>
        <w:tc>
          <w:tcPr>
            <w:tcW w:w="1180" w:type="dxa"/>
          </w:tcPr>
          <w:p>
            <w:pPr>
              <w:pStyle w:val="yTableNAm"/>
            </w:pPr>
            <w:r>
              <w:t>0.43</w:t>
            </w:r>
          </w:p>
        </w:tc>
        <w:tc>
          <w:tcPr>
            <w:tcW w:w="1180" w:type="dxa"/>
          </w:tcPr>
          <w:p>
            <w:pPr>
              <w:pStyle w:val="yTableNAm"/>
            </w:pPr>
            <w:r>
              <w:t>0.70</w:t>
            </w:r>
          </w:p>
        </w:tc>
      </w:tr>
      <w:tr>
        <w:tc>
          <w:tcPr>
            <w:tcW w:w="1180" w:type="dxa"/>
          </w:tcPr>
          <w:p>
            <w:pPr>
              <w:pStyle w:val="yTableNAm"/>
            </w:pPr>
            <w:r>
              <w:t>2.05</w:t>
            </w:r>
          </w:p>
        </w:tc>
        <w:tc>
          <w:tcPr>
            <w:tcW w:w="1180" w:type="dxa"/>
          </w:tcPr>
          <w:p>
            <w:pPr>
              <w:pStyle w:val="yTableNAm"/>
            </w:pPr>
            <w:r>
              <w:t>0.46</w:t>
            </w:r>
          </w:p>
        </w:tc>
        <w:tc>
          <w:tcPr>
            <w:tcW w:w="1180" w:type="dxa"/>
          </w:tcPr>
          <w:p>
            <w:pPr>
              <w:pStyle w:val="yTableNAm"/>
            </w:pPr>
            <w:r>
              <w:t>0.25</w:t>
            </w:r>
          </w:p>
        </w:tc>
        <w:tc>
          <w:tcPr>
            <w:tcW w:w="1180" w:type="dxa"/>
          </w:tcPr>
          <w:p>
            <w:pPr>
              <w:pStyle w:val="yTableNAm"/>
            </w:pPr>
            <w:r>
              <w:t>0.35</w:t>
            </w:r>
          </w:p>
        </w:tc>
        <w:tc>
          <w:tcPr>
            <w:tcW w:w="1180" w:type="dxa"/>
          </w:tcPr>
          <w:p>
            <w:pPr>
              <w:pStyle w:val="yTableNAm"/>
            </w:pPr>
            <w:r>
              <w:t>0.42</w:t>
            </w:r>
          </w:p>
        </w:tc>
        <w:tc>
          <w:tcPr>
            <w:tcW w:w="1180" w:type="dxa"/>
          </w:tcPr>
          <w:p>
            <w:pPr>
              <w:pStyle w:val="yTableNAm"/>
            </w:pPr>
            <w:r>
              <w:t>0.70</w:t>
            </w:r>
          </w:p>
        </w:tc>
      </w:tr>
      <w:tr>
        <w:tc>
          <w:tcPr>
            <w:tcW w:w="1180" w:type="dxa"/>
          </w:tcPr>
          <w:p>
            <w:pPr>
              <w:pStyle w:val="yTableNAm"/>
            </w:pPr>
            <w:r>
              <w:t>2.10</w:t>
            </w:r>
          </w:p>
        </w:tc>
        <w:tc>
          <w:tcPr>
            <w:tcW w:w="1180" w:type="dxa"/>
          </w:tcPr>
          <w:p>
            <w:pPr>
              <w:pStyle w:val="yTableNAm"/>
            </w:pPr>
            <w:r>
              <w:t>0.45</w:t>
            </w:r>
          </w:p>
        </w:tc>
        <w:tc>
          <w:tcPr>
            <w:tcW w:w="1180" w:type="dxa"/>
          </w:tcPr>
          <w:p>
            <w:pPr>
              <w:pStyle w:val="yTableNAm"/>
            </w:pPr>
            <w:r>
              <w:t>0.24</w:t>
            </w:r>
          </w:p>
        </w:tc>
        <w:tc>
          <w:tcPr>
            <w:tcW w:w="1180" w:type="dxa"/>
          </w:tcPr>
          <w:p>
            <w:pPr>
              <w:pStyle w:val="yTableNAm"/>
            </w:pPr>
            <w:r>
              <w:t>0.34</w:t>
            </w:r>
          </w:p>
        </w:tc>
        <w:tc>
          <w:tcPr>
            <w:tcW w:w="1180" w:type="dxa"/>
          </w:tcPr>
          <w:p>
            <w:pPr>
              <w:pStyle w:val="yTableNAm"/>
            </w:pPr>
            <w:r>
              <w:t>0.41</w:t>
            </w:r>
          </w:p>
        </w:tc>
        <w:tc>
          <w:tcPr>
            <w:tcW w:w="1180" w:type="dxa"/>
          </w:tcPr>
          <w:p>
            <w:pPr>
              <w:pStyle w:val="yTableNAm"/>
            </w:pPr>
            <w:r>
              <w:t>0.70</w:t>
            </w:r>
          </w:p>
        </w:tc>
      </w:tr>
      <w:tr>
        <w:tc>
          <w:tcPr>
            <w:tcW w:w="1180" w:type="dxa"/>
          </w:tcPr>
          <w:p>
            <w:pPr>
              <w:pStyle w:val="yTableNAm"/>
            </w:pPr>
            <w:r>
              <w:t>2.15</w:t>
            </w:r>
          </w:p>
        </w:tc>
        <w:tc>
          <w:tcPr>
            <w:tcW w:w="1180" w:type="dxa"/>
          </w:tcPr>
          <w:p>
            <w:pPr>
              <w:pStyle w:val="yTableNAm"/>
            </w:pPr>
            <w:r>
              <w:t>0.43</w:t>
            </w:r>
          </w:p>
        </w:tc>
        <w:tc>
          <w:tcPr>
            <w:tcW w:w="1180" w:type="dxa"/>
          </w:tcPr>
          <w:p>
            <w:pPr>
              <w:pStyle w:val="yTableNAm"/>
            </w:pPr>
            <w:r>
              <w:t>0.24</w:t>
            </w:r>
          </w:p>
        </w:tc>
        <w:tc>
          <w:tcPr>
            <w:tcW w:w="1180" w:type="dxa"/>
          </w:tcPr>
          <w:p>
            <w:pPr>
              <w:pStyle w:val="yTableNAm"/>
            </w:pPr>
            <w:r>
              <w:t>0.34</w:t>
            </w:r>
          </w:p>
        </w:tc>
        <w:tc>
          <w:tcPr>
            <w:tcW w:w="1180" w:type="dxa"/>
          </w:tcPr>
          <w:p>
            <w:pPr>
              <w:pStyle w:val="yTableNAm"/>
            </w:pPr>
            <w:r>
              <w:t>0.40</w:t>
            </w:r>
          </w:p>
        </w:tc>
        <w:tc>
          <w:tcPr>
            <w:tcW w:w="1180" w:type="dxa"/>
          </w:tcPr>
          <w:p>
            <w:pPr>
              <w:pStyle w:val="yTableNAm"/>
            </w:pPr>
            <w:r>
              <w:t>0.70</w:t>
            </w:r>
          </w:p>
        </w:tc>
      </w:tr>
      <w:tr>
        <w:tc>
          <w:tcPr>
            <w:tcW w:w="1180" w:type="dxa"/>
          </w:tcPr>
          <w:p>
            <w:pPr>
              <w:pStyle w:val="yTableNAm"/>
            </w:pPr>
            <w:r>
              <w:t>2.20</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2.25</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2.30</w:t>
            </w:r>
          </w:p>
        </w:tc>
        <w:tc>
          <w:tcPr>
            <w:tcW w:w="1180" w:type="dxa"/>
          </w:tcPr>
          <w:p>
            <w:pPr>
              <w:pStyle w:val="yTableNAm"/>
            </w:pPr>
            <w:r>
              <w:t>0.41</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2.35</w:t>
            </w:r>
          </w:p>
        </w:tc>
        <w:tc>
          <w:tcPr>
            <w:tcW w:w="1180" w:type="dxa"/>
          </w:tcPr>
          <w:p>
            <w:pPr>
              <w:pStyle w:val="yTableNAm"/>
            </w:pPr>
            <w:r>
              <w:t>0.40</w:t>
            </w:r>
          </w:p>
        </w:tc>
        <w:tc>
          <w:tcPr>
            <w:tcW w:w="1180" w:type="dxa"/>
          </w:tcPr>
          <w:p>
            <w:pPr>
              <w:pStyle w:val="yTableNAm"/>
            </w:pPr>
            <w:r>
              <w:t>0.23</w:t>
            </w:r>
          </w:p>
        </w:tc>
        <w:tc>
          <w:tcPr>
            <w:tcW w:w="1180" w:type="dxa"/>
          </w:tcPr>
          <w:p>
            <w:pPr>
              <w:pStyle w:val="yTableNAm"/>
            </w:pPr>
            <w:r>
              <w:t>0.32</w:t>
            </w:r>
          </w:p>
        </w:tc>
        <w:tc>
          <w:tcPr>
            <w:tcW w:w="1180" w:type="dxa"/>
          </w:tcPr>
          <w:p>
            <w:pPr>
              <w:pStyle w:val="yTableNAm"/>
            </w:pPr>
            <w:r>
              <w:t>0.38</w:t>
            </w:r>
          </w:p>
        </w:tc>
        <w:tc>
          <w:tcPr>
            <w:tcW w:w="1180" w:type="dxa"/>
          </w:tcPr>
          <w:p>
            <w:pPr>
              <w:pStyle w:val="yTableNAm"/>
            </w:pPr>
            <w:r>
              <w:t>0.65</w:t>
            </w:r>
          </w:p>
        </w:tc>
      </w:tr>
      <w:tr>
        <w:tc>
          <w:tcPr>
            <w:tcW w:w="1180" w:type="dxa"/>
          </w:tcPr>
          <w:p>
            <w:pPr>
              <w:pStyle w:val="yTableNAm"/>
            </w:pPr>
            <w:r>
              <w:lastRenderedPageBreak/>
              <w:t>2.40</w:t>
            </w:r>
          </w:p>
        </w:tc>
        <w:tc>
          <w:tcPr>
            <w:tcW w:w="1180" w:type="dxa"/>
          </w:tcPr>
          <w:p>
            <w:pPr>
              <w:pStyle w:val="yTableNAm"/>
            </w:pPr>
            <w:r>
              <w:t>0.39</w:t>
            </w:r>
          </w:p>
        </w:tc>
        <w:tc>
          <w:tcPr>
            <w:tcW w:w="1180" w:type="dxa"/>
          </w:tcPr>
          <w:p>
            <w:pPr>
              <w:pStyle w:val="yTableNAm"/>
            </w:pPr>
            <w:r>
              <w:t>0.23</w:t>
            </w:r>
          </w:p>
        </w:tc>
        <w:tc>
          <w:tcPr>
            <w:tcW w:w="1180" w:type="dxa"/>
          </w:tcPr>
          <w:p>
            <w:pPr>
              <w:pStyle w:val="yTableNAm"/>
            </w:pPr>
            <w:r>
              <w:t>0.32</w:t>
            </w:r>
          </w:p>
        </w:tc>
        <w:tc>
          <w:tcPr>
            <w:tcW w:w="1180" w:type="dxa"/>
          </w:tcPr>
          <w:p>
            <w:pPr>
              <w:pStyle w:val="yTableNAm"/>
            </w:pPr>
            <w:r>
              <w:t>0.37</w:t>
            </w:r>
          </w:p>
        </w:tc>
        <w:tc>
          <w:tcPr>
            <w:tcW w:w="1180" w:type="dxa"/>
          </w:tcPr>
          <w:p>
            <w:pPr>
              <w:pStyle w:val="yTableNAm"/>
            </w:pPr>
            <w:r>
              <w:t>0.65</w:t>
            </w:r>
          </w:p>
        </w:tc>
      </w:tr>
      <w:tr>
        <w:tc>
          <w:tcPr>
            <w:tcW w:w="1180" w:type="dxa"/>
          </w:tcPr>
          <w:p>
            <w:pPr>
              <w:pStyle w:val="yTableNAm"/>
            </w:pPr>
            <w:r>
              <w:t>2.45</w:t>
            </w:r>
          </w:p>
        </w:tc>
        <w:tc>
          <w:tcPr>
            <w:tcW w:w="1180" w:type="dxa"/>
          </w:tcPr>
          <w:p>
            <w:pPr>
              <w:pStyle w:val="yTableNAm"/>
            </w:pPr>
            <w:r>
              <w:t>0.38</w:t>
            </w:r>
          </w:p>
        </w:tc>
        <w:tc>
          <w:tcPr>
            <w:tcW w:w="1180" w:type="dxa"/>
          </w:tcPr>
          <w:p>
            <w:pPr>
              <w:pStyle w:val="yTableNAm"/>
            </w:pPr>
            <w:r>
              <w:t>0.23</w:t>
            </w:r>
          </w:p>
        </w:tc>
        <w:tc>
          <w:tcPr>
            <w:tcW w:w="1180" w:type="dxa"/>
          </w:tcPr>
          <w:p>
            <w:pPr>
              <w:pStyle w:val="yTableNAm"/>
            </w:pPr>
            <w:r>
              <w:t>0.32</w:t>
            </w:r>
          </w:p>
        </w:tc>
        <w:tc>
          <w:tcPr>
            <w:tcW w:w="1180" w:type="dxa"/>
          </w:tcPr>
          <w:p>
            <w:pPr>
              <w:pStyle w:val="yTableNAm"/>
            </w:pPr>
            <w:r>
              <w:t>0.36</w:t>
            </w:r>
          </w:p>
        </w:tc>
        <w:tc>
          <w:tcPr>
            <w:tcW w:w="1180" w:type="dxa"/>
          </w:tcPr>
          <w:p>
            <w:pPr>
              <w:pStyle w:val="yTableNAm"/>
            </w:pPr>
            <w:r>
              <w:t>0.65</w:t>
            </w:r>
          </w:p>
        </w:tc>
      </w:tr>
      <w:tr>
        <w:tc>
          <w:tcPr>
            <w:tcW w:w="1180" w:type="dxa"/>
          </w:tcPr>
          <w:p>
            <w:pPr>
              <w:pStyle w:val="yTableNAm"/>
            </w:pPr>
            <w:r>
              <w:t>2.50</w:t>
            </w:r>
          </w:p>
        </w:tc>
        <w:tc>
          <w:tcPr>
            <w:tcW w:w="1180" w:type="dxa"/>
          </w:tcPr>
          <w:p>
            <w:pPr>
              <w:pStyle w:val="yTableNAm"/>
            </w:pPr>
            <w:r>
              <w:t>0.37</w:t>
            </w:r>
          </w:p>
        </w:tc>
        <w:tc>
          <w:tcPr>
            <w:tcW w:w="1180" w:type="dxa"/>
          </w:tcPr>
          <w:p>
            <w:pPr>
              <w:pStyle w:val="yTableNAm"/>
            </w:pPr>
            <w:r>
              <w:t>0.23</w:t>
            </w:r>
          </w:p>
        </w:tc>
        <w:tc>
          <w:tcPr>
            <w:tcW w:w="1180" w:type="dxa"/>
          </w:tcPr>
          <w:p>
            <w:pPr>
              <w:pStyle w:val="yTableNAm"/>
            </w:pPr>
            <w:r>
              <w:t>0.31</w:t>
            </w:r>
          </w:p>
        </w:tc>
        <w:tc>
          <w:tcPr>
            <w:tcW w:w="1180" w:type="dxa"/>
          </w:tcPr>
          <w:p>
            <w:pPr>
              <w:pStyle w:val="yTableNAm"/>
            </w:pPr>
            <w:r>
              <w:t>0.35</w:t>
            </w:r>
          </w:p>
        </w:tc>
        <w:tc>
          <w:tcPr>
            <w:tcW w:w="1180" w:type="dxa"/>
          </w:tcPr>
          <w:p>
            <w:pPr>
              <w:pStyle w:val="yTableNAm"/>
            </w:pPr>
            <w:r>
              <w:t>0.65</w:t>
            </w:r>
          </w:p>
        </w:tc>
      </w:tr>
      <w:tr>
        <w:tc>
          <w:tcPr>
            <w:tcW w:w="1180" w:type="dxa"/>
          </w:tcPr>
          <w:p>
            <w:pPr>
              <w:pStyle w:val="yTableNAm"/>
            </w:pPr>
            <w:r>
              <w:t>2.60</w:t>
            </w:r>
          </w:p>
        </w:tc>
        <w:tc>
          <w:tcPr>
            <w:tcW w:w="1180" w:type="dxa"/>
          </w:tcPr>
          <w:p>
            <w:pPr>
              <w:pStyle w:val="yTableNAm"/>
            </w:pPr>
            <w:r>
              <w:t>0.36</w:t>
            </w:r>
          </w:p>
        </w:tc>
        <w:tc>
          <w:tcPr>
            <w:tcW w:w="1180" w:type="dxa"/>
          </w:tcPr>
          <w:p>
            <w:pPr>
              <w:pStyle w:val="yTableNAm"/>
            </w:pPr>
            <w:r>
              <w:t>0.22</w:t>
            </w:r>
          </w:p>
        </w:tc>
        <w:tc>
          <w:tcPr>
            <w:tcW w:w="1180" w:type="dxa"/>
          </w:tcPr>
          <w:p>
            <w:pPr>
              <w:pStyle w:val="yTableNAm"/>
            </w:pPr>
            <w:r>
              <w:t>0.30</w:t>
            </w:r>
          </w:p>
        </w:tc>
        <w:tc>
          <w:tcPr>
            <w:tcW w:w="1180" w:type="dxa"/>
          </w:tcPr>
          <w:p>
            <w:pPr>
              <w:pStyle w:val="yTableNAm"/>
            </w:pPr>
            <w:r>
              <w:t>0.34</w:t>
            </w:r>
          </w:p>
        </w:tc>
        <w:tc>
          <w:tcPr>
            <w:tcW w:w="1180" w:type="dxa"/>
          </w:tcPr>
          <w:p>
            <w:pPr>
              <w:pStyle w:val="yTableNAm"/>
            </w:pPr>
            <w:r>
              <w:t>0.65</w:t>
            </w:r>
          </w:p>
        </w:tc>
      </w:tr>
      <w:tr>
        <w:tc>
          <w:tcPr>
            <w:tcW w:w="1180" w:type="dxa"/>
          </w:tcPr>
          <w:p>
            <w:pPr>
              <w:pStyle w:val="yTableNAm"/>
            </w:pPr>
            <w:r>
              <w:t>2.70</w:t>
            </w:r>
          </w:p>
        </w:tc>
        <w:tc>
          <w:tcPr>
            <w:tcW w:w="1180" w:type="dxa"/>
          </w:tcPr>
          <w:p>
            <w:pPr>
              <w:pStyle w:val="yTableNAm"/>
            </w:pPr>
            <w:r>
              <w:t>0.35</w:t>
            </w:r>
          </w:p>
        </w:tc>
        <w:tc>
          <w:tcPr>
            <w:tcW w:w="1180" w:type="dxa"/>
          </w:tcPr>
          <w:p>
            <w:pPr>
              <w:pStyle w:val="yTableNAm"/>
            </w:pPr>
            <w:r>
              <w:t>0.22</w:t>
            </w:r>
          </w:p>
        </w:tc>
        <w:tc>
          <w:tcPr>
            <w:tcW w:w="1180" w:type="dxa"/>
          </w:tcPr>
          <w:p>
            <w:pPr>
              <w:pStyle w:val="yTableNAm"/>
            </w:pPr>
            <w:r>
              <w:t>0.30</w:t>
            </w:r>
          </w:p>
        </w:tc>
        <w:tc>
          <w:tcPr>
            <w:tcW w:w="1180" w:type="dxa"/>
          </w:tcPr>
          <w:p>
            <w:pPr>
              <w:pStyle w:val="yTableNAm"/>
            </w:pPr>
            <w:r>
              <w:t>0.33</w:t>
            </w:r>
          </w:p>
        </w:tc>
        <w:tc>
          <w:tcPr>
            <w:tcW w:w="1180" w:type="dxa"/>
          </w:tcPr>
          <w:p>
            <w:pPr>
              <w:pStyle w:val="yTableNAm"/>
            </w:pPr>
            <w:r>
              <w:t>0.60</w:t>
            </w:r>
          </w:p>
        </w:tc>
      </w:tr>
      <w:tr>
        <w:tc>
          <w:tcPr>
            <w:tcW w:w="1180" w:type="dxa"/>
          </w:tcPr>
          <w:p>
            <w:pPr>
              <w:pStyle w:val="yTableNAm"/>
            </w:pPr>
            <w:r>
              <w:t>2.80</w:t>
            </w:r>
          </w:p>
        </w:tc>
        <w:tc>
          <w:tcPr>
            <w:tcW w:w="1180" w:type="dxa"/>
          </w:tcPr>
          <w:p>
            <w:pPr>
              <w:pStyle w:val="yTableNAm"/>
            </w:pPr>
            <w:r>
              <w:t>0.33</w:t>
            </w:r>
          </w:p>
        </w:tc>
        <w:tc>
          <w:tcPr>
            <w:tcW w:w="1180" w:type="dxa"/>
          </w:tcPr>
          <w:p>
            <w:pPr>
              <w:pStyle w:val="yTableNAm"/>
            </w:pPr>
            <w:r>
              <w:t>0.21</w:t>
            </w:r>
          </w:p>
        </w:tc>
        <w:tc>
          <w:tcPr>
            <w:tcW w:w="1180" w:type="dxa"/>
          </w:tcPr>
          <w:p>
            <w:pPr>
              <w:pStyle w:val="yTableNAm"/>
            </w:pPr>
            <w:r>
              <w:t>0.29</w:t>
            </w:r>
          </w:p>
        </w:tc>
        <w:tc>
          <w:tcPr>
            <w:tcW w:w="1180" w:type="dxa"/>
          </w:tcPr>
          <w:p>
            <w:pPr>
              <w:pStyle w:val="yTableNAm"/>
            </w:pPr>
            <w:r>
              <w:t>0.31</w:t>
            </w:r>
          </w:p>
        </w:tc>
        <w:tc>
          <w:tcPr>
            <w:tcW w:w="1180" w:type="dxa"/>
          </w:tcPr>
          <w:p>
            <w:pPr>
              <w:pStyle w:val="yTableNAm"/>
            </w:pPr>
            <w:r>
              <w:t>0.60</w:t>
            </w:r>
          </w:p>
        </w:tc>
      </w:tr>
      <w:tr>
        <w:tc>
          <w:tcPr>
            <w:tcW w:w="1180" w:type="dxa"/>
          </w:tcPr>
          <w:p>
            <w:pPr>
              <w:pStyle w:val="yTableNAm"/>
            </w:pPr>
            <w:r>
              <w:t>2.90</w:t>
            </w:r>
          </w:p>
        </w:tc>
        <w:tc>
          <w:tcPr>
            <w:tcW w:w="1180" w:type="dxa"/>
          </w:tcPr>
          <w:p>
            <w:pPr>
              <w:pStyle w:val="yTableNAm"/>
            </w:pPr>
            <w:r>
              <w:t>0.32</w:t>
            </w:r>
          </w:p>
        </w:tc>
        <w:tc>
          <w:tcPr>
            <w:tcW w:w="1180" w:type="dxa"/>
          </w:tcPr>
          <w:p>
            <w:pPr>
              <w:pStyle w:val="yTableNAm"/>
            </w:pPr>
            <w:r>
              <w:t>0.21</w:t>
            </w:r>
          </w:p>
        </w:tc>
        <w:tc>
          <w:tcPr>
            <w:tcW w:w="1180" w:type="dxa"/>
          </w:tcPr>
          <w:p>
            <w:pPr>
              <w:pStyle w:val="yTableNAm"/>
            </w:pPr>
            <w:r>
              <w:t>0.29</w:t>
            </w:r>
          </w:p>
        </w:tc>
        <w:tc>
          <w:tcPr>
            <w:tcW w:w="1180" w:type="dxa"/>
          </w:tcPr>
          <w:p>
            <w:pPr>
              <w:pStyle w:val="yTableNAm"/>
            </w:pPr>
            <w:r>
              <w:t>0.30</w:t>
            </w:r>
          </w:p>
        </w:tc>
        <w:tc>
          <w:tcPr>
            <w:tcW w:w="1180" w:type="dxa"/>
          </w:tcPr>
          <w:p>
            <w:pPr>
              <w:pStyle w:val="yTableNAm"/>
            </w:pPr>
            <w:r>
              <w:t>0.60</w:t>
            </w:r>
          </w:p>
        </w:tc>
      </w:tr>
      <w:tr>
        <w:tc>
          <w:tcPr>
            <w:tcW w:w="1180" w:type="dxa"/>
          </w:tcPr>
          <w:p>
            <w:pPr>
              <w:pStyle w:val="yTableNAm"/>
            </w:pPr>
            <w:r>
              <w:t>3.00</w:t>
            </w:r>
          </w:p>
        </w:tc>
        <w:tc>
          <w:tcPr>
            <w:tcW w:w="1180" w:type="dxa"/>
          </w:tcPr>
          <w:p>
            <w:pPr>
              <w:pStyle w:val="yTableNAm"/>
            </w:pPr>
            <w:r>
              <w:t>0.31</w:t>
            </w:r>
          </w:p>
        </w:tc>
        <w:tc>
          <w:tcPr>
            <w:tcW w:w="1180" w:type="dxa"/>
          </w:tcPr>
          <w:p>
            <w:pPr>
              <w:pStyle w:val="yTableNAm"/>
            </w:pPr>
            <w:r>
              <w:t>0.21</w:t>
            </w:r>
          </w:p>
        </w:tc>
        <w:tc>
          <w:tcPr>
            <w:tcW w:w="1180" w:type="dxa"/>
          </w:tcPr>
          <w:p>
            <w:pPr>
              <w:pStyle w:val="yTableNAm"/>
            </w:pPr>
            <w:r>
              <w:t>0.28</w:t>
            </w:r>
          </w:p>
        </w:tc>
        <w:tc>
          <w:tcPr>
            <w:tcW w:w="1180" w:type="dxa"/>
          </w:tcPr>
          <w:p>
            <w:pPr>
              <w:pStyle w:val="yTableNAm"/>
            </w:pPr>
            <w:r>
              <w:t>0.29</w:t>
            </w:r>
          </w:p>
        </w:tc>
        <w:tc>
          <w:tcPr>
            <w:tcW w:w="1180" w:type="dxa"/>
          </w:tcPr>
          <w:p>
            <w:pPr>
              <w:pStyle w:val="yTableNAm"/>
            </w:pPr>
            <w:r>
              <w:t>0.55</w:t>
            </w:r>
          </w:p>
        </w:tc>
      </w:tr>
      <w:tr>
        <w:tc>
          <w:tcPr>
            <w:tcW w:w="1180" w:type="dxa"/>
          </w:tcPr>
          <w:p>
            <w:pPr>
              <w:pStyle w:val="yTableNAm"/>
            </w:pPr>
            <w:r>
              <w:t>3.10</w:t>
            </w:r>
          </w:p>
        </w:tc>
        <w:tc>
          <w:tcPr>
            <w:tcW w:w="1180" w:type="dxa"/>
          </w:tcPr>
          <w:p>
            <w:pPr>
              <w:pStyle w:val="yTableNAm"/>
            </w:pPr>
            <w:r>
              <w:t>0.30</w:t>
            </w:r>
          </w:p>
        </w:tc>
        <w:tc>
          <w:tcPr>
            <w:tcW w:w="1180" w:type="dxa"/>
          </w:tcPr>
          <w:p>
            <w:pPr>
              <w:pStyle w:val="yTableNAm"/>
            </w:pPr>
            <w:r>
              <w:t>0.20</w:t>
            </w:r>
          </w:p>
        </w:tc>
        <w:tc>
          <w:tcPr>
            <w:tcW w:w="1180" w:type="dxa"/>
          </w:tcPr>
          <w:p>
            <w:pPr>
              <w:pStyle w:val="yTableNAm"/>
            </w:pPr>
            <w:r>
              <w:t>0.27</w:t>
            </w:r>
          </w:p>
        </w:tc>
        <w:tc>
          <w:tcPr>
            <w:tcW w:w="1180" w:type="dxa"/>
          </w:tcPr>
          <w:p>
            <w:pPr>
              <w:pStyle w:val="yTableNAm"/>
            </w:pPr>
            <w:r>
              <w:t>0.28</w:t>
            </w:r>
          </w:p>
        </w:tc>
        <w:tc>
          <w:tcPr>
            <w:tcW w:w="1180" w:type="dxa"/>
          </w:tcPr>
          <w:p>
            <w:pPr>
              <w:pStyle w:val="yTableNAm"/>
            </w:pPr>
            <w:r>
              <w:t>0.55</w:t>
            </w:r>
          </w:p>
        </w:tc>
      </w:tr>
      <w:tr>
        <w:tc>
          <w:tcPr>
            <w:tcW w:w="1180" w:type="dxa"/>
          </w:tcPr>
          <w:p>
            <w:pPr>
              <w:pStyle w:val="yTableNAm"/>
            </w:pPr>
            <w:r>
              <w:t>3.20</w:t>
            </w:r>
          </w:p>
        </w:tc>
        <w:tc>
          <w:tcPr>
            <w:tcW w:w="1180" w:type="dxa"/>
          </w:tcPr>
          <w:p>
            <w:pPr>
              <w:pStyle w:val="yTableNAm"/>
            </w:pPr>
            <w:r>
              <w:t>0.29</w:t>
            </w:r>
          </w:p>
        </w:tc>
        <w:tc>
          <w:tcPr>
            <w:tcW w:w="1180" w:type="dxa"/>
          </w:tcPr>
          <w:p>
            <w:pPr>
              <w:pStyle w:val="yTableNAm"/>
            </w:pPr>
            <w:r>
              <w:t>0.20</w:t>
            </w:r>
          </w:p>
        </w:tc>
        <w:tc>
          <w:tcPr>
            <w:tcW w:w="1180" w:type="dxa"/>
          </w:tcPr>
          <w:p>
            <w:pPr>
              <w:pStyle w:val="yTableNAm"/>
            </w:pPr>
            <w:r>
              <w:t>0.27</w:t>
            </w:r>
          </w:p>
        </w:tc>
        <w:tc>
          <w:tcPr>
            <w:tcW w:w="1180" w:type="dxa"/>
          </w:tcPr>
          <w:p>
            <w:pPr>
              <w:pStyle w:val="yTableNAm"/>
            </w:pPr>
            <w:r>
              <w:t>0.27</w:t>
            </w:r>
          </w:p>
        </w:tc>
        <w:tc>
          <w:tcPr>
            <w:tcW w:w="1180" w:type="dxa"/>
          </w:tcPr>
          <w:p>
            <w:pPr>
              <w:pStyle w:val="yTableNAm"/>
            </w:pPr>
            <w:r>
              <w:t>0.55</w:t>
            </w:r>
          </w:p>
        </w:tc>
      </w:tr>
      <w:tr>
        <w:tc>
          <w:tcPr>
            <w:tcW w:w="1180" w:type="dxa"/>
          </w:tcPr>
          <w:p>
            <w:pPr>
              <w:pStyle w:val="yTableNAm"/>
            </w:pPr>
            <w:r>
              <w:t>3.30</w:t>
            </w:r>
          </w:p>
        </w:tc>
        <w:tc>
          <w:tcPr>
            <w:tcW w:w="1180" w:type="dxa"/>
          </w:tcPr>
          <w:p>
            <w:pPr>
              <w:pStyle w:val="yTableNAm"/>
            </w:pPr>
            <w:r>
              <w:t>0.28</w:t>
            </w:r>
          </w:p>
        </w:tc>
        <w:tc>
          <w:tcPr>
            <w:tcW w:w="1180" w:type="dxa"/>
          </w:tcPr>
          <w:p>
            <w:pPr>
              <w:pStyle w:val="yTableNAm"/>
            </w:pPr>
            <w:r>
              <w:t>0.20</w:t>
            </w:r>
          </w:p>
        </w:tc>
        <w:tc>
          <w:tcPr>
            <w:tcW w:w="1180" w:type="dxa"/>
          </w:tcPr>
          <w:p>
            <w:pPr>
              <w:pStyle w:val="yTableNAm"/>
            </w:pPr>
            <w:r>
              <w:t>0.26</w:t>
            </w:r>
          </w:p>
        </w:tc>
        <w:tc>
          <w:tcPr>
            <w:tcW w:w="1180" w:type="dxa"/>
          </w:tcPr>
          <w:p>
            <w:pPr>
              <w:pStyle w:val="yTableNAm"/>
            </w:pPr>
            <w:r>
              <w:t>0.26</w:t>
            </w:r>
          </w:p>
        </w:tc>
        <w:tc>
          <w:tcPr>
            <w:tcW w:w="1180" w:type="dxa"/>
          </w:tcPr>
          <w:p>
            <w:pPr>
              <w:pStyle w:val="yTableNAm"/>
            </w:pPr>
            <w:r>
              <w:t>0.55</w:t>
            </w:r>
          </w:p>
        </w:tc>
      </w:tr>
      <w:tr>
        <w:tc>
          <w:tcPr>
            <w:tcW w:w="1180" w:type="dxa"/>
          </w:tcPr>
          <w:p>
            <w:pPr>
              <w:pStyle w:val="yTableNAm"/>
            </w:pPr>
            <w:r>
              <w:t>3.40</w:t>
            </w:r>
          </w:p>
        </w:tc>
        <w:tc>
          <w:tcPr>
            <w:tcW w:w="1180" w:type="dxa"/>
          </w:tcPr>
          <w:p>
            <w:pPr>
              <w:pStyle w:val="yTableNAm"/>
            </w:pPr>
            <w:r>
              <w:t>0.27</w:t>
            </w:r>
          </w:p>
        </w:tc>
        <w:tc>
          <w:tcPr>
            <w:tcW w:w="1180" w:type="dxa"/>
          </w:tcPr>
          <w:p>
            <w:pPr>
              <w:pStyle w:val="yTableNAm"/>
            </w:pPr>
            <w:r>
              <w:t>0.19</w:t>
            </w:r>
          </w:p>
        </w:tc>
        <w:tc>
          <w:tcPr>
            <w:tcW w:w="1180" w:type="dxa"/>
          </w:tcPr>
          <w:p>
            <w:pPr>
              <w:pStyle w:val="yTableNAm"/>
            </w:pPr>
            <w:r>
              <w:t>0.26</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3.50</w:t>
            </w:r>
          </w:p>
        </w:tc>
        <w:tc>
          <w:tcPr>
            <w:tcW w:w="1180" w:type="dxa"/>
          </w:tcPr>
          <w:p>
            <w:pPr>
              <w:pStyle w:val="yTableNAm"/>
            </w:pPr>
            <w:r>
              <w:t>0.27</w:t>
            </w:r>
          </w:p>
        </w:tc>
        <w:tc>
          <w:tcPr>
            <w:tcW w:w="1180" w:type="dxa"/>
          </w:tcPr>
          <w:p>
            <w:pPr>
              <w:pStyle w:val="yTableNAm"/>
            </w:pPr>
            <w:r>
              <w:t>0.19</w:t>
            </w:r>
          </w:p>
        </w:tc>
        <w:tc>
          <w:tcPr>
            <w:tcW w:w="1180" w:type="dxa"/>
          </w:tcPr>
          <w:p>
            <w:pPr>
              <w:pStyle w:val="yTableNAm"/>
            </w:pPr>
            <w:r>
              <w:t>0.25</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3.60</w:t>
            </w:r>
          </w:p>
        </w:tc>
        <w:tc>
          <w:tcPr>
            <w:tcW w:w="1180" w:type="dxa"/>
          </w:tcPr>
          <w:p>
            <w:pPr>
              <w:pStyle w:val="yTableNAm"/>
            </w:pPr>
            <w:r>
              <w:t>0.26</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3.70</w:t>
            </w:r>
          </w:p>
        </w:tc>
        <w:tc>
          <w:tcPr>
            <w:tcW w:w="1180" w:type="dxa"/>
          </w:tcPr>
          <w:p>
            <w:pPr>
              <w:pStyle w:val="yTableNAm"/>
            </w:pPr>
            <w:r>
              <w:t>0.25</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3.80</w:t>
            </w:r>
          </w:p>
        </w:tc>
        <w:tc>
          <w:tcPr>
            <w:tcW w:w="1180" w:type="dxa"/>
          </w:tcPr>
          <w:p>
            <w:pPr>
              <w:pStyle w:val="yTableNAm"/>
            </w:pPr>
            <w:r>
              <w:t>0.25</w:t>
            </w:r>
          </w:p>
        </w:tc>
        <w:tc>
          <w:tcPr>
            <w:tcW w:w="1180" w:type="dxa"/>
          </w:tcPr>
          <w:p>
            <w:pPr>
              <w:pStyle w:val="yTableNAm"/>
            </w:pPr>
            <w:r>
              <w:t>0.18</w:t>
            </w:r>
          </w:p>
        </w:tc>
        <w:tc>
          <w:tcPr>
            <w:tcW w:w="1180" w:type="dxa"/>
          </w:tcPr>
          <w:p>
            <w:pPr>
              <w:pStyle w:val="yTableNAm"/>
            </w:pPr>
            <w:r>
              <w:t>0.24</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3.90</w:t>
            </w:r>
          </w:p>
        </w:tc>
        <w:tc>
          <w:tcPr>
            <w:tcW w:w="1180" w:type="dxa"/>
          </w:tcPr>
          <w:p>
            <w:pPr>
              <w:pStyle w:val="yTableNAm"/>
            </w:pPr>
            <w:r>
              <w:t>0.24</w:t>
            </w:r>
          </w:p>
        </w:tc>
        <w:tc>
          <w:tcPr>
            <w:tcW w:w="1180" w:type="dxa"/>
          </w:tcPr>
          <w:p>
            <w:pPr>
              <w:pStyle w:val="yTableNAm"/>
            </w:pPr>
            <w:r>
              <w:t>0.18</w:t>
            </w:r>
          </w:p>
        </w:tc>
        <w:tc>
          <w:tcPr>
            <w:tcW w:w="1180" w:type="dxa"/>
          </w:tcPr>
          <w:p>
            <w:pPr>
              <w:pStyle w:val="yTableNAm"/>
            </w:pPr>
            <w:r>
              <w:t>0.24</w:t>
            </w:r>
          </w:p>
        </w:tc>
        <w:tc>
          <w:tcPr>
            <w:tcW w:w="1180" w:type="dxa"/>
          </w:tcPr>
          <w:p>
            <w:pPr>
              <w:pStyle w:val="yTableNAm"/>
            </w:pPr>
            <w:r>
              <w:t>0.23</w:t>
            </w:r>
          </w:p>
        </w:tc>
        <w:tc>
          <w:tcPr>
            <w:tcW w:w="1180" w:type="dxa"/>
          </w:tcPr>
          <w:p>
            <w:pPr>
              <w:pStyle w:val="yTableNAm"/>
            </w:pPr>
            <w:r>
              <w:t>0.45</w:t>
            </w:r>
          </w:p>
        </w:tc>
      </w:tr>
      <w:tr>
        <w:tc>
          <w:tcPr>
            <w:tcW w:w="1180" w:type="dxa"/>
          </w:tcPr>
          <w:p>
            <w:pPr>
              <w:pStyle w:val="yTableNAm"/>
            </w:pPr>
            <w:r>
              <w:t>4.00</w:t>
            </w:r>
          </w:p>
        </w:tc>
        <w:tc>
          <w:tcPr>
            <w:tcW w:w="1180" w:type="dxa"/>
          </w:tcPr>
          <w:p>
            <w:pPr>
              <w:pStyle w:val="yTableNAm"/>
            </w:pPr>
            <w:r>
              <w:t>0.23</w:t>
            </w:r>
          </w:p>
        </w:tc>
        <w:tc>
          <w:tcPr>
            <w:tcW w:w="1180" w:type="dxa"/>
          </w:tcPr>
          <w:p>
            <w:pPr>
              <w:pStyle w:val="yTableNAm"/>
            </w:pPr>
            <w:r>
              <w:t>0.18</w:t>
            </w:r>
          </w:p>
        </w:tc>
        <w:tc>
          <w:tcPr>
            <w:tcW w:w="1180" w:type="dxa"/>
          </w:tcPr>
          <w:p>
            <w:pPr>
              <w:pStyle w:val="yTableNAm"/>
            </w:pPr>
            <w:r>
              <w:t>0.23</w:t>
            </w:r>
          </w:p>
        </w:tc>
        <w:tc>
          <w:tcPr>
            <w:tcW w:w="1180" w:type="dxa"/>
          </w:tcPr>
          <w:p>
            <w:pPr>
              <w:pStyle w:val="yTableNAm"/>
            </w:pPr>
            <w:r>
              <w:t>0.22</w:t>
            </w:r>
          </w:p>
        </w:tc>
        <w:tc>
          <w:tcPr>
            <w:tcW w:w="1180" w:type="dxa"/>
          </w:tcPr>
          <w:p>
            <w:pPr>
              <w:pStyle w:val="yTableNAm"/>
            </w:pPr>
            <w:r>
              <w:t>0.45</w:t>
            </w:r>
          </w:p>
        </w:tc>
      </w:tr>
      <w:tr>
        <w:tc>
          <w:tcPr>
            <w:tcW w:w="1180" w:type="dxa"/>
          </w:tcPr>
          <w:p>
            <w:pPr>
              <w:pStyle w:val="yTableNAm"/>
            </w:pPr>
            <w:r>
              <w:t>4.20</w:t>
            </w:r>
          </w:p>
        </w:tc>
        <w:tc>
          <w:tcPr>
            <w:tcW w:w="1180" w:type="dxa"/>
          </w:tcPr>
          <w:p>
            <w:pPr>
              <w:pStyle w:val="yTableNAm"/>
            </w:pPr>
            <w:r>
              <w:t>0.22</w:t>
            </w:r>
          </w:p>
        </w:tc>
        <w:tc>
          <w:tcPr>
            <w:tcW w:w="1180" w:type="dxa"/>
          </w:tcPr>
          <w:p>
            <w:pPr>
              <w:pStyle w:val="yTableNAm"/>
            </w:pPr>
            <w:r>
              <w:t>0.17</w:t>
            </w:r>
          </w:p>
        </w:tc>
        <w:tc>
          <w:tcPr>
            <w:tcW w:w="1180" w:type="dxa"/>
          </w:tcPr>
          <w:p>
            <w:pPr>
              <w:pStyle w:val="yTableNAm"/>
            </w:pPr>
            <w:r>
              <w:t>0.23</w:t>
            </w:r>
          </w:p>
        </w:tc>
        <w:tc>
          <w:tcPr>
            <w:tcW w:w="1180" w:type="dxa"/>
          </w:tcPr>
          <w:p>
            <w:pPr>
              <w:pStyle w:val="yTableNAm"/>
            </w:pPr>
            <w:r>
              <w:t>0.21</w:t>
            </w:r>
          </w:p>
        </w:tc>
        <w:tc>
          <w:tcPr>
            <w:tcW w:w="1180" w:type="dxa"/>
          </w:tcPr>
          <w:p>
            <w:pPr>
              <w:pStyle w:val="yTableNAm"/>
            </w:pPr>
            <w:r>
              <w:t>0.45</w:t>
            </w:r>
          </w:p>
        </w:tc>
      </w:tr>
      <w:tr>
        <w:tc>
          <w:tcPr>
            <w:tcW w:w="1180" w:type="dxa"/>
          </w:tcPr>
          <w:p>
            <w:pPr>
              <w:pStyle w:val="yTableNAm"/>
            </w:pPr>
            <w:r>
              <w:t>4.40</w:t>
            </w:r>
          </w:p>
        </w:tc>
        <w:tc>
          <w:tcPr>
            <w:tcW w:w="1180" w:type="dxa"/>
          </w:tcPr>
          <w:p>
            <w:pPr>
              <w:pStyle w:val="yTableNAm"/>
            </w:pPr>
            <w:r>
              <w:t>0.21</w:t>
            </w:r>
          </w:p>
        </w:tc>
        <w:tc>
          <w:tcPr>
            <w:tcW w:w="1180" w:type="dxa"/>
          </w:tcPr>
          <w:p>
            <w:pPr>
              <w:pStyle w:val="yTableNAm"/>
            </w:pPr>
            <w:r>
              <w:t>0.17</w:t>
            </w:r>
          </w:p>
        </w:tc>
        <w:tc>
          <w:tcPr>
            <w:tcW w:w="1180" w:type="dxa"/>
          </w:tcPr>
          <w:p>
            <w:pPr>
              <w:pStyle w:val="yTableNAm"/>
            </w:pPr>
            <w:r>
              <w:t>0.22</w:t>
            </w:r>
          </w:p>
        </w:tc>
        <w:tc>
          <w:tcPr>
            <w:tcW w:w="1180" w:type="dxa"/>
          </w:tcPr>
          <w:p>
            <w:pPr>
              <w:pStyle w:val="yTableNAm"/>
            </w:pPr>
            <w:r>
              <w:t>0.20</w:t>
            </w:r>
          </w:p>
        </w:tc>
        <w:tc>
          <w:tcPr>
            <w:tcW w:w="1180" w:type="dxa"/>
          </w:tcPr>
          <w:p>
            <w:pPr>
              <w:pStyle w:val="yTableNAm"/>
            </w:pPr>
            <w:r>
              <w:t>0.40</w:t>
            </w:r>
          </w:p>
        </w:tc>
      </w:tr>
      <w:tr>
        <w:tc>
          <w:tcPr>
            <w:tcW w:w="1180" w:type="dxa"/>
          </w:tcPr>
          <w:p>
            <w:pPr>
              <w:pStyle w:val="yTableNAm"/>
            </w:pPr>
            <w:r>
              <w:t>4.60</w:t>
            </w:r>
          </w:p>
        </w:tc>
        <w:tc>
          <w:tcPr>
            <w:tcW w:w="1180" w:type="dxa"/>
          </w:tcPr>
          <w:p>
            <w:pPr>
              <w:pStyle w:val="yTableNAm"/>
            </w:pPr>
            <w:r>
              <w:t>0.20</w:t>
            </w:r>
          </w:p>
        </w:tc>
        <w:tc>
          <w:tcPr>
            <w:tcW w:w="1180" w:type="dxa"/>
          </w:tcPr>
          <w:p>
            <w:pPr>
              <w:pStyle w:val="yTableNAm"/>
            </w:pPr>
            <w:r>
              <w:t>0.16</w:t>
            </w:r>
          </w:p>
        </w:tc>
        <w:tc>
          <w:tcPr>
            <w:tcW w:w="1180" w:type="dxa"/>
          </w:tcPr>
          <w:p>
            <w:pPr>
              <w:pStyle w:val="yTableNAm"/>
            </w:pPr>
            <w:r>
              <w:t>0.21</w:t>
            </w:r>
          </w:p>
        </w:tc>
        <w:tc>
          <w:tcPr>
            <w:tcW w:w="1180" w:type="dxa"/>
          </w:tcPr>
          <w:p>
            <w:pPr>
              <w:pStyle w:val="yTableNAm"/>
            </w:pPr>
            <w:r>
              <w:t>0.19</w:t>
            </w:r>
          </w:p>
        </w:tc>
        <w:tc>
          <w:tcPr>
            <w:tcW w:w="1180" w:type="dxa"/>
          </w:tcPr>
          <w:p>
            <w:pPr>
              <w:pStyle w:val="yTableNAm"/>
            </w:pPr>
            <w:r>
              <w:t>0.40</w:t>
            </w:r>
          </w:p>
        </w:tc>
      </w:tr>
      <w:tr>
        <w:tc>
          <w:tcPr>
            <w:tcW w:w="1180" w:type="dxa"/>
          </w:tcPr>
          <w:p>
            <w:pPr>
              <w:pStyle w:val="yTableNAm"/>
            </w:pPr>
            <w:r>
              <w:lastRenderedPageBreak/>
              <w:t>4.80</w:t>
            </w:r>
          </w:p>
        </w:tc>
        <w:tc>
          <w:tcPr>
            <w:tcW w:w="1180" w:type="dxa"/>
          </w:tcPr>
          <w:p>
            <w:pPr>
              <w:pStyle w:val="yTableNAm"/>
            </w:pPr>
            <w:r>
              <w:t>0.19</w:t>
            </w:r>
          </w:p>
        </w:tc>
        <w:tc>
          <w:tcPr>
            <w:tcW w:w="1180" w:type="dxa"/>
          </w:tcPr>
          <w:p>
            <w:pPr>
              <w:pStyle w:val="yTableNAm"/>
            </w:pPr>
            <w:r>
              <w:t>0.16</w:t>
            </w:r>
          </w:p>
        </w:tc>
        <w:tc>
          <w:tcPr>
            <w:tcW w:w="1180" w:type="dxa"/>
          </w:tcPr>
          <w:p>
            <w:pPr>
              <w:pStyle w:val="yTableNAm"/>
            </w:pPr>
            <w:r>
              <w:t>0.21</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5.00</w:t>
            </w:r>
          </w:p>
        </w:tc>
        <w:tc>
          <w:tcPr>
            <w:tcW w:w="1180" w:type="dxa"/>
          </w:tcPr>
          <w:p>
            <w:pPr>
              <w:pStyle w:val="yTableNAm"/>
            </w:pPr>
            <w:r>
              <w:t>0.19</w:t>
            </w:r>
          </w:p>
        </w:tc>
        <w:tc>
          <w:tcPr>
            <w:tcW w:w="1180" w:type="dxa"/>
          </w:tcPr>
          <w:p>
            <w:pPr>
              <w:pStyle w:val="yTableNAm"/>
            </w:pPr>
            <w:r>
              <w:t>0.16</w:t>
            </w:r>
          </w:p>
        </w:tc>
        <w:tc>
          <w:tcPr>
            <w:tcW w:w="1180" w:type="dxa"/>
          </w:tcPr>
          <w:p>
            <w:pPr>
              <w:pStyle w:val="yTableNAm"/>
            </w:pPr>
            <w:r>
              <w:t>0.20</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5.50</w:t>
            </w:r>
          </w:p>
        </w:tc>
        <w:tc>
          <w:tcPr>
            <w:tcW w:w="1180" w:type="dxa"/>
          </w:tcPr>
          <w:p>
            <w:pPr>
              <w:pStyle w:val="yTableNAm"/>
            </w:pPr>
            <w:r>
              <w:t>0.17</w:t>
            </w:r>
          </w:p>
        </w:tc>
        <w:tc>
          <w:tcPr>
            <w:tcW w:w="1180" w:type="dxa"/>
          </w:tcPr>
          <w:p>
            <w:pPr>
              <w:pStyle w:val="yTableNAm"/>
            </w:pPr>
            <w:r>
              <w:t>0.15</w:t>
            </w:r>
          </w:p>
        </w:tc>
        <w:tc>
          <w:tcPr>
            <w:tcW w:w="1180" w:type="dxa"/>
          </w:tcPr>
          <w:p>
            <w:pPr>
              <w:pStyle w:val="yTableNAm"/>
            </w:pPr>
            <w:r>
              <w:t>0.19</w:t>
            </w:r>
          </w:p>
        </w:tc>
        <w:tc>
          <w:tcPr>
            <w:tcW w:w="1180" w:type="dxa"/>
          </w:tcPr>
          <w:p>
            <w:pPr>
              <w:pStyle w:val="yTableNAm"/>
            </w:pPr>
            <w:r>
              <w:t>0.17</w:t>
            </w:r>
          </w:p>
        </w:tc>
        <w:tc>
          <w:tcPr>
            <w:tcW w:w="1180" w:type="dxa"/>
          </w:tcPr>
          <w:p>
            <w:pPr>
              <w:pStyle w:val="yTableNAm"/>
            </w:pPr>
            <w:r>
              <w:t>0.35</w:t>
            </w:r>
          </w:p>
        </w:tc>
      </w:tr>
      <w:tr>
        <w:tc>
          <w:tcPr>
            <w:tcW w:w="1180" w:type="dxa"/>
          </w:tcPr>
          <w:p>
            <w:pPr>
              <w:pStyle w:val="yTableNAm"/>
            </w:pPr>
            <w:r>
              <w:t>6.00</w:t>
            </w:r>
          </w:p>
        </w:tc>
        <w:tc>
          <w:tcPr>
            <w:tcW w:w="1180" w:type="dxa"/>
          </w:tcPr>
          <w:p>
            <w:pPr>
              <w:pStyle w:val="yTableNAm"/>
            </w:pPr>
            <w:r>
              <w:t>0.16</w:t>
            </w:r>
          </w:p>
        </w:tc>
        <w:tc>
          <w:tcPr>
            <w:tcW w:w="1180" w:type="dxa"/>
          </w:tcPr>
          <w:p>
            <w:pPr>
              <w:pStyle w:val="yTableNAm"/>
            </w:pPr>
            <w:r>
              <w:t>0.14</w:t>
            </w:r>
          </w:p>
        </w:tc>
        <w:tc>
          <w:tcPr>
            <w:tcW w:w="1180" w:type="dxa"/>
          </w:tcPr>
          <w:p>
            <w:pPr>
              <w:pStyle w:val="yTableNAm"/>
            </w:pPr>
            <w:r>
              <w:t>0.18</w:t>
            </w:r>
          </w:p>
        </w:tc>
        <w:tc>
          <w:tcPr>
            <w:tcW w:w="1180" w:type="dxa"/>
          </w:tcPr>
          <w:p>
            <w:pPr>
              <w:pStyle w:val="yTableNAm"/>
            </w:pPr>
            <w:r>
              <w:t>0.16</w:t>
            </w:r>
          </w:p>
        </w:tc>
        <w:tc>
          <w:tcPr>
            <w:tcW w:w="1180" w:type="dxa"/>
          </w:tcPr>
          <w:p>
            <w:pPr>
              <w:pStyle w:val="yTableNAm"/>
            </w:pPr>
            <w:r>
              <w:t>0.35</w:t>
            </w:r>
          </w:p>
        </w:tc>
      </w:tr>
      <w:tr>
        <w:tc>
          <w:tcPr>
            <w:tcW w:w="1180" w:type="dxa"/>
          </w:tcPr>
          <w:p>
            <w:pPr>
              <w:pStyle w:val="yTableNAm"/>
            </w:pPr>
            <w:r>
              <w:t>6.50</w:t>
            </w:r>
          </w:p>
        </w:tc>
        <w:tc>
          <w:tcPr>
            <w:tcW w:w="1180" w:type="dxa"/>
          </w:tcPr>
          <w:p>
            <w:pPr>
              <w:pStyle w:val="yTableNAm"/>
            </w:pPr>
            <w:r>
              <w:t>0.14</w:t>
            </w:r>
          </w:p>
        </w:tc>
        <w:tc>
          <w:tcPr>
            <w:tcW w:w="1180" w:type="dxa"/>
          </w:tcPr>
          <w:p>
            <w:pPr>
              <w:pStyle w:val="yTableNAm"/>
            </w:pPr>
            <w:r>
              <w:t>0.13</w:t>
            </w:r>
          </w:p>
        </w:tc>
        <w:tc>
          <w:tcPr>
            <w:tcW w:w="1180" w:type="dxa"/>
          </w:tcPr>
          <w:p>
            <w:pPr>
              <w:pStyle w:val="yTableNAm"/>
            </w:pPr>
            <w:r>
              <w:t>0.16</w:t>
            </w:r>
          </w:p>
        </w:tc>
        <w:tc>
          <w:tcPr>
            <w:tcW w:w="1180" w:type="dxa"/>
          </w:tcPr>
          <w:p>
            <w:pPr>
              <w:pStyle w:val="yTableNAm"/>
            </w:pPr>
            <w:r>
              <w:t>0.14</w:t>
            </w:r>
          </w:p>
        </w:tc>
        <w:tc>
          <w:tcPr>
            <w:tcW w:w="1180" w:type="dxa"/>
          </w:tcPr>
          <w:p>
            <w:pPr>
              <w:pStyle w:val="yTableNAm"/>
            </w:pPr>
            <w:r>
              <w:t>0.30</w:t>
            </w:r>
          </w:p>
        </w:tc>
      </w:tr>
      <w:tr>
        <w:tc>
          <w:tcPr>
            <w:tcW w:w="1180" w:type="dxa"/>
          </w:tcPr>
          <w:p>
            <w:pPr>
              <w:pStyle w:val="yTableNAm"/>
            </w:pPr>
            <w:r>
              <w:t>7.00</w:t>
            </w:r>
          </w:p>
        </w:tc>
        <w:tc>
          <w:tcPr>
            <w:tcW w:w="1180" w:type="dxa"/>
          </w:tcPr>
          <w:p>
            <w:pPr>
              <w:pStyle w:val="yTableNAm"/>
            </w:pPr>
            <w:r>
              <w:t>0.13</w:t>
            </w:r>
          </w:p>
        </w:tc>
        <w:tc>
          <w:tcPr>
            <w:tcW w:w="1180" w:type="dxa"/>
          </w:tcPr>
          <w:p>
            <w:pPr>
              <w:pStyle w:val="yTableNAm"/>
            </w:pPr>
            <w:r>
              <w:t>0.12</w:t>
            </w:r>
          </w:p>
        </w:tc>
        <w:tc>
          <w:tcPr>
            <w:tcW w:w="1180" w:type="dxa"/>
          </w:tcPr>
          <w:p>
            <w:pPr>
              <w:pStyle w:val="yTableNAm"/>
            </w:pPr>
            <w:r>
              <w:t>0.16</w:t>
            </w:r>
          </w:p>
        </w:tc>
        <w:tc>
          <w:tcPr>
            <w:tcW w:w="1180" w:type="dxa"/>
          </w:tcPr>
          <w:p>
            <w:pPr>
              <w:pStyle w:val="yTableNAm"/>
            </w:pPr>
            <w:r>
              <w:t>0.13</w:t>
            </w:r>
          </w:p>
        </w:tc>
        <w:tc>
          <w:tcPr>
            <w:tcW w:w="1180" w:type="dxa"/>
          </w:tcPr>
          <w:p>
            <w:pPr>
              <w:pStyle w:val="yTableNAm"/>
            </w:pPr>
            <w:r>
              <w:t>0.30</w:t>
            </w:r>
          </w:p>
        </w:tc>
      </w:tr>
      <w:tr>
        <w:tc>
          <w:tcPr>
            <w:tcW w:w="1180" w:type="dxa"/>
          </w:tcPr>
          <w:p>
            <w:pPr>
              <w:pStyle w:val="yTableNAm"/>
            </w:pPr>
            <w:r>
              <w:t>7.50</w:t>
            </w:r>
          </w:p>
        </w:tc>
        <w:tc>
          <w:tcPr>
            <w:tcW w:w="1180" w:type="dxa"/>
          </w:tcPr>
          <w:p>
            <w:pPr>
              <w:pStyle w:val="yTableNAm"/>
            </w:pPr>
            <w:r>
              <w:t>0.12</w:t>
            </w:r>
          </w:p>
        </w:tc>
        <w:tc>
          <w:tcPr>
            <w:tcW w:w="1180" w:type="dxa"/>
          </w:tcPr>
          <w:p>
            <w:pPr>
              <w:pStyle w:val="yTableNAm"/>
            </w:pPr>
            <w:r>
              <w:t>0.12</w:t>
            </w:r>
          </w:p>
        </w:tc>
        <w:tc>
          <w:tcPr>
            <w:tcW w:w="1180" w:type="dxa"/>
          </w:tcPr>
          <w:p>
            <w:pPr>
              <w:pStyle w:val="yTableNAm"/>
            </w:pPr>
            <w:r>
              <w:t>0.15</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8.00</w:t>
            </w:r>
          </w:p>
        </w:tc>
        <w:tc>
          <w:tcPr>
            <w:tcW w:w="1180" w:type="dxa"/>
          </w:tcPr>
          <w:p>
            <w:pPr>
              <w:pStyle w:val="yTableNAm"/>
            </w:pPr>
            <w:r>
              <w:t>0.12</w:t>
            </w:r>
          </w:p>
        </w:tc>
        <w:tc>
          <w:tcPr>
            <w:tcW w:w="1180" w:type="dxa"/>
          </w:tcPr>
          <w:p>
            <w:pPr>
              <w:pStyle w:val="yTableNAm"/>
            </w:pPr>
            <w:r>
              <w:t>0.11</w:t>
            </w:r>
          </w:p>
        </w:tc>
        <w:tc>
          <w:tcPr>
            <w:tcW w:w="1180" w:type="dxa"/>
          </w:tcPr>
          <w:p>
            <w:pPr>
              <w:pStyle w:val="yTableNAm"/>
            </w:pPr>
            <w:r>
              <w:t>0.14</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8.50</w:t>
            </w:r>
          </w:p>
        </w:tc>
        <w:tc>
          <w:tcPr>
            <w:tcW w:w="1180" w:type="dxa"/>
          </w:tcPr>
          <w:p>
            <w:pPr>
              <w:pStyle w:val="yTableNAm"/>
            </w:pPr>
            <w:r>
              <w:t>0.11</w:t>
            </w:r>
          </w:p>
        </w:tc>
        <w:tc>
          <w:tcPr>
            <w:tcW w:w="1180" w:type="dxa"/>
          </w:tcPr>
          <w:p>
            <w:pPr>
              <w:pStyle w:val="yTableNAm"/>
            </w:pPr>
            <w:r>
              <w:t>0.11</w:t>
            </w:r>
          </w:p>
        </w:tc>
        <w:tc>
          <w:tcPr>
            <w:tcW w:w="1180" w:type="dxa"/>
          </w:tcPr>
          <w:p>
            <w:pPr>
              <w:pStyle w:val="yTableNAm"/>
            </w:pPr>
            <w:r>
              <w:t>0.13</w:t>
            </w:r>
          </w:p>
        </w:tc>
        <w:tc>
          <w:tcPr>
            <w:tcW w:w="1180" w:type="dxa"/>
          </w:tcPr>
          <w:p>
            <w:pPr>
              <w:pStyle w:val="yTableNAm"/>
            </w:pPr>
            <w:r>
              <w:t>0.11</w:t>
            </w:r>
          </w:p>
        </w:tc>
        <w:tc>
          <w:tcPr>
            <w:tcW w:w="1180" w:type="dxa"/>
          </w:tcPr>
          <w:p>
            <w:pPr>
              <w:pStyle w:val="yTableNAm"/>
            </w:pPr>
            <w:r>
              <w:t>0.25</w:t>
            </w:r>
          </w:p>
        </w:tc>
      </w:tr>
      <w:tr>
        <w:tc>
          <w:tcPr>
            <w:tcW w:w="1180" w:type="dxa"/>
          </w:tcPr>
          <w:p>
            <w:pPr>
              <w:pStyle w:val="yTableNAm"/>
            </w:pPr>
            <w:r>
              <w:t>9.00</w:t>
            </w:r>
          </w:p>
        </w:tc>
        <w:tc>
          <w:tcPr>
            <w:tcW w:w="1180" w:type="dxa"/>
          </w:tcPr>
          <w:p>
            <w:pPr>
              <w:pStyle w:val="yTableNAm"/>
            </w:pPr>
            <w:r>
              <w:t>0.10</w:t>
            </w:r>
          </w:p>
        </w:tc>
        <w:tc>
          <w:tcPr>
            <w:tcW w:w="1180" w:type="dxa"/>
          </w:tcPr>
          <w:p>
            <w:pPr>
              <w:pStyle w:val="yTableNAm"/>
            </w:pPr>
            <w:r>
              <w:t>0.10</w:t>
            </w:r>
          </w:p>
        </w:tc>
        <w:tc>
          <w:tcPr>
            <w:tcW w:w="1180" w:type="dxa"/>
          </w:tcPr>
          <w:p>
            <w:pPr>
              <w:pStyle w:val="yTableNAm"/>
            </w:pPr>
            <w:r>
              <w:t>0.13</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9.50</w:t>
            </w:r>
          </w:p>
        </w:tc>
        <w:tc>
          <w:tcPr>
            <w:tcW w:w="1180" w:type="dxa"/>
          </w:tcPr>
          <w:p>
            <w:pPr>
              <w:pStyle w:val="yTableNAm"/>
            </w:pPr>
            <w:r>
              <w:t>0.10</w:t>
            </w:r>
          </w:p>
        </w:tc>
        <w:tc>
          <w:tcPr>
            <w:tcW w:w="1180" w:type="dxa"/>
          </w:tcPr>
          <w:p>
            <w:pPr>
              <w:pStyle w:val="yTableNAm"/>
            </w:pPr>
            <w:r>
              <w:t>0.10</w:t>
            </w:r>
          </w:p>
        </w:tc>
        <w:tc>
          <w:tcPr>
            <w:tcW w:w="1180" w:type="dxa"/>
          </w:tcPr>
          <w:p>
            <w:pPr>
              <w:pStyle w:val="yTableNAm"/>
            </w:pPr>
            <w:r>
              <w:t>0.12</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10.00</w:t>
            </w:r>
          </w:p>
        </w:tc>
        <w:tc>
          <w:tcPr>
            <w:tcW w:w="1180" w:type="dxa"/>
          </w:tcPr>
          <w:p>
            <w:pPr>
              <w:pStyle w:val="yTableNAm"/>
            </w:pPr>
            <w:r>
              <w:t>0.09</w:t>
            </w:r>
          </w:p>
        </w:tc>
        <w:tc>
          <w:tcPr>
            <w:tcW w:w="1180" w:type="dxa"/>
          </w:tcPr>
          <w:p>
            <w:pPr>
              <w:pStyle w:val="yTableNAm"/>
            </w:pPr>
            <w:r>
              <w:t>0.10</w:t>
            </w:r>
          </w:p>
        </w:tc>
        <w:tc>
          <w:tcPr>
            <w:tcW w:w="1180" w:type="dxa"/>
          </w:tcPr>
          <w:p>
            <w:pPr>
              <w:pStyle w:val="yTableNAm"/>
            </w:pPr>
            <w:r>
              <w:t>0.12</w:t>
            </w:r>
          </w:p>
        </w:tc>
        <w:tc>
          <w:tcPr>
            <w:tcW w:w="1180" w:type="dxa"/>
          </w:tcPr>
          <w:p>
            <w:pPr>
              <w:pStyle w:val="yTableNAm"/>
            </w:pPr>
            <w:r>
              <w:t>0.09</w:t>
            </w:r>
          </w:p>
        </w:tc>
        <w:tc>
          <w:tcPr>
            <w:tcW w:w="1180" w:type="dxa"/>
          </w:tcPr>
          <w:p>
            <w:pPr>
              <w:pStyle w:val="yTableNAm"/>
            </w:pPr>
            <w:r>
              <w:t>0.20</w:t>
            </w:r>
          </w:p>
        </w:tc>
      </w:tr>
      <w:tr>
        <w:tc>
          <w:tcPr>
            <w:tcW w:w="1180" w:type="dxa"/>
          </w:tcPr>
          <w:p>
            <w:pPr>
              <w:pStyle w:val="yTableNAm"/>
            </w:pPr>
            <w:r>
              <w:t>11.00</w:t>
            </w:r>
          </w:p>
        </w:tc>
        <w:tc>
          <w:tcPr>
            <w:tcW w:w="1180" w:type="dxa"/>
          </w:tcPr>
          <w:p>
            <w:pPr>
              <w:pStyle w:val="yTableNAm"/>
            </w:pPr>
            <w:r>
              <w:t>0.08</w:t>
            </w:r>
          </w:p>
        </w:tc>
        <w:tc>
          <w:tcPr>
            <w:tcW w:w="1180" w:type="dxa"/>
          </w:tcPr>
          <w:p>
            <w:pPr>
              <w:pStyle w:val="yTableNAm"/>
            </w:pPr>
            <w:r>
              <w:t>0.09</w:t>
            </w:r>
          </w:p>
        </w:tc>
        <w:tc>
          <w:tcPr>
            <w:tcW w:w="1180" w:type="dxa"/>
          </w:tcPr>
          <w:p>
            <w:pPr>
              <w:pStyle w:val="yTableNAm"/>
            </w:pPr>
            <w:r>
              <w:t>0.11</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12.00</w:t>
            </w:r>
          </w:p>
        </w:tc>
        <w:tc>
          <w:tcPr>
            <w:tcW w:w="1180" w:type="dxa"/>
          </w:tcPr>
          <w:p>
            <w:pPr>
              <w:pStyle w:val="yTableNAm"/>
            </w:pPr>
            <w:r>
              <w:t>0.08</w:t>
            </w:r>
          </w:p>
        </w:tc>
        <w:tc>
          <w:tcPr>
            <w:tcW w:w="1180" w:type="dxa"/>
          </w:tcPr>
          <w:p>
            <w:pPr>
              <w:pStyle w:val="yTableNAm"/>
            </w:pPr>
            <w:r>
              <w:t>0.08</w:t>
            </w:r>
          </w:p>
        </w:tc>
        <w:tc>
          <w:tcPr>
            <w:tcW w:w="1180" w:type="dxa"/>
          </w:tcPr>
          <w:p>
            <w:pPr>
              <w:pStyle w:val="yTableNAm"/>
            </w:pPr>
            <w:r>
              <w:t>0.10</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13.00</w:t>
            </w:r>
          </w:p>
        </w:tc>
        <w:tc>
          <w:tcPr>
            <w:tcW w:w="1180" w:type="dxa"/>
          </w:tcPr>
          <w:p>
            <w:pPr>
              <w:pStyle w:val="yTableNAm"/>
            </w:pPr>
            <w:r>
              <w:t>0.07</w:t>
            </w:r>
          </w:p>
        </w:tc>
        <w:tc>
          <w:tcPr>
            <w:tcW w:w="1180" w:type="dxa"/>
          </w:tcPr>
          <w:p>
            <w:pPr>
              <w:pStyle w:val="yTableNAm"/>
            </w:pPr>
            <w:r>
              <w:t>0.08</w:t>
            </w:r>
          </w:p>
        </w:tc>
        <w:tc>
          <w:tcPr>
            <w:tcW w:w="1180" w:type="dxa"/>
          </w:tcPr>
          <w:p>
            <w:pPr>
              <w:pStyle w:val="yTableNAm"/>
            </w:pPr>
            <w:r>
              <w:t>0.09</w:t>
            </w:r>
          </w:p>
        </w:tc>
        <w:tc>
          <w:tcPr>
            <w:tcW w:w="1180" w:type="dxa"/>
          </w:tcPr>
          <w:p>
            <w:pPr>
              <w:pStyle w:val="yTableNAm"/>
            </w:pPr>
            <w:r>
              <w:t>0.07</w:t>
            </w:r>
          </w:p>
        </w:tc>
        <w:tc>
          <w:tcPr>
            <w:tcW w:w="1180" w:type="dxa"/>
          </w:tcPr>
          <w:p>
            <w:pPr>
              <w:pStyle w:val="yTableNAm"/>
            </w:pPr>
            <w:r>
              <w:t>0.16</w:t>
            </w:r>
          </w:p>
        </w:tc>
      </w:tr>
      <w:tr>
        <w:tc>
          <w:tcPr>
            <w:tcW w:w="1180" w:type="dxa"/>
          </w:tcPr>
          <w:p>
            <w:pPr>
              <w:pStyle w:val="yTableNAm"/>
            </w:pPr>
            <w:r>
              <w:t>14.00</w:t>
            </w:r>
          </w:p>
        </w:tc>
        <w:tc>
          <w:tcPr>
            <w:tcW w:w="1180" w:type="dxa"/>
          </w:tcPr>
          <w:p>
            <w:pPr>
              <w:pStyle w:val="yTableNAm"/>
            </w:pPr>
            <w:r>
              <w:t>0.07</w:t>
            </w:r>
          </w:p>
        </w:tc>
        <w:tc>
          <w:tcPr>
            <w:tcW w:w="1180" w:type="dxa"/>
          </w:tcPr>
          <w:p>
            <w:pPr>
              <w:pStyle w:val="yTableNAm"/>
            </w:pPr>
            <w:r>
              <w:t>0.07</w:t>
            </w:r>
          </w:p>
        </w:tc>
        <w:tc>
          <w:tcPr>
            <w:tcW w:w="1180" w:type="dxa"/>
          </w:tcPr>
          <w:p>
            <w:pPr>
              <w:pStyle w:val="yTableNAm"/>
            </w:pPr>
            <w:r>
              <w:t>0.09</w:t>
            </w:r>
          </w:p>
        </w:tc>
        <w:tc>
          <w:tcPr>
            <w:tcW w:w="1180" w:type="dxa"/>
          </w:tcPr>
          <w:p>
            <w:pPr>
              <w:pStyle w:val="yTableNAm"/>
            </w:pPr>
            <w:r>
              <w:t>0.07</w:t>
            </w:r>
          </w:p>
        </w:tc>
        <w:tc>
          <w:tcPr>
            <w:tcW w:w="1180" w:type="dxa"/>
          </w:tcPr>
          <w:p>
            <w:pPr>
              <w:pStyle w:val="yTableNAm"/>
            </w:pPr>
            <w:r>
              <w:t>0.14</w:t>
            </w:r>
          </w:p>
        </w:tc>
      </w:tr>
      <w:tr>
        <w:tc>
          <w:tcPr>
            <w:tcW w:w="1180" w:type="dxa"/>
          </w:tcPr>
          <w:p>
            <w:pPr>
              <w:pStyle w:val="yTableNAm"/>
            </w:pPr>
            <w:r>
              <w:t>15.00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16.00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17.00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18.00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19.00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lastRenderedPageBreak/>
              <w:t>20.00</w:t>
            </w:r>
          </w:p>
        </w:tc>
        <w:tc>
          <w:tcPr>
            <w:tcW w:w="1180" w:type="dxa"/>
          </w:tcPr>
          <w:p>
            <w:pPr>
              <w:pStyle w:val="yTableNAm"/>
            </w:pPr>
            <w:r>
              <w:t>0.05</w:t>
            </w:r>
          </w:p>
        </w:tc>
        <w:tc>
          <w:tcPr>
            <w:tcW w:w="1180" w:type="dxa"/>
          </w:tcPr>
          <w:p>
            <w:pPr>
              <w:pStyle w:val="yTableNAm"/>
            </w:pPr>
            <w:r>
              <w:t>0.05</w:t>
            </w:r>
          </w:p>
        </w:tc>
        <w:tc>
          <w:tcPr>
            <w:tcW w:w="1180" w:type="dxa"/>
          </w:tcPr>
          <w:p>
            <w:pPr>
              <w:pStyle w:val="yTableNAm"/>
            </w:pPr>
            <w:r>
              <w:t>0.06</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t>21.00</w:t>
            </w:r>
          </w:p>
        </w:tc>
        <w:tc>
          <w:tcPr>
            <w:tcW w:w="1180" w:type="dxa"/>
          </w:tcPr>
          <w:p>
            <w:pPr>
              <w:pStyle w:val="yTableNAm"/>
            </w:pPr>
            <w:r>
              <w:t>0.04</w:t>
            </w:r>
          </w:p>
        </w:tc>
        <w:tc>
          <w:tcPr>
            <w:tcW w:w="1180" w:type="dxa"/>
          </w:tcPr>
          <w:p>
            <w:pPr>
              <w:pStyle w:val="yTableNAm"/>
            </w:pPr>
            <w:r>
              <w:t>0.05</w:t>
            </w:r>
          </w:p>
        </w:tc>
        <w:tc>
          <w:tcPr>
            <w:tcW w:w="1180" w:type="dxa"/>
          </w:tcPr>
          <w:p>
            <w:pPr>
              <w:pStyle w:val="yTableNAm"/>
            </w:pPr>
            <w:r>
              <w:t>0.06</w:t>
            </w:r>
          </w:p>
        </w:tc>
        <w:tc>
          <w:tcPr>
            <w:tcW w:w="1180" w:type="dxa"/>
          </w:tcPr>
          <w:p>
            <w:pPr>
              <w:pStyle w:val="yTableNAm"/>
            </w:pPr>
            <w:r>
              <w:t>0.04</w:t>
            </w:r>
          </w:p>
        </w:tc>
        <w:tc>
          <w:tcPr>
            <w:tcW w:w="1180" w:type="dxa"/>
          </w:tcPr>
          <w:p>
            <w:pPr>
              <w:pStyle w:val="yTableNAm"/>
            </w:pPr>
            <w:r>
              <w:t>0.08</w:t>
            </w:r>
          </w:p>
        </w:tc>
      </w:tr>
      <w:tr>
        <w:tc>
          <w:tcPr>
            <w:tcW w:w="1180" w:type="dxa"/>
          </w:tcPr>
          <w:p>
            <w:pPr>
              <w:pStyle w:val="yTableNAm"/>
            </w:pPr>
            <w:r>
              <w:t>26.00</w:t>
            </w:r>
          </w:p>
        </w:tc>
        <w:tc>
          <w:tcPr>
            <w:tcW w:w="1180" w:type="dxa"/>
          </w:tcPr>
          <w:p>
            <w:pPr>
              <w:pStyle w:val="yTableNAm"/>
            </w:pPr>
            <w:r>
              <w:t>0.03</w:t>
            </w:r>
          </w:p>
        </w:tc>
        <w:tc>
          <w:tcPr>
            <w:tcW w:w="1180" w:type="dxa"/>
          </w:tcPr>
          <w:p>
            <w:pPr>
              <w:pStyle w:val="yTableNAm"/>
            </w:pPr>
            <w:r>
              <w:t>0.04</w:t>
            </w:r>
          </w:p>
        </w:tc>
        <w:tc>
          <w:tcPr>
            <w:tcW w:w="1180" w:type="dxa"/>
          </w:tcPr>
          <w:p>
            <w:pPr>
              <w:pStyle w:val="yTableNAm"/>
            </w:pPr>
            <w:r>
              <w:t>0.05</w:t>
            </w:r>
          </w:p>
        </w:tc>
        <w:tc>
          <w:tcPr>
            <w:tcW w:w="1180" w:type="dxa"/>
          </w:tcPr>
          <w:p>
            <w:pPr>
              <w:pStyle w:val="yTableNAm"/>
            </w:pPr>
            <w:r>
              <w:t>0.03</w:t>
            </w:r>
          </w:p>
        </w:tc>
        <w:tc>
          <w:tcPr>
            <w:tcW w:w="1180" w:type="dxa"/>
          </w:tcPr>
          <w:p>
            <w:pPr>
              <w:pStyle w:val="yTableNAm"/>
            </w:pPr>
            <w:r>
              <w:t>0.08</w:t>
            </w:r>
          </w:p>
        </w:tc>
      </w:tr>
      <w:tr>
        <w:tc>
          <w:tcPr>
            <w:tcW w:w="1180" w:type="dxa"/>
          </w:tcPr>
          <w:p>
            <w:pPr>
              <w:pStyle w:val="yTableNAm"/>
            </w:pPr>
            <w:r>
              <w:t>31.00</w:t>
            </w:r>
          </w:p>
        </w:tc>
        <w:tc>
          <w:tcPr>
            <w:tcW w:w="1180" w:type="dxa"/>
          </w:tcPr>
          <w:p>
            <w:pPr>
              <w:pStyle w:val="yTableNAm"/>
            </w:pPr>
            <w:r>
              <w:t>0.03</w:t>
            </w:r>
          </w:p>
        </w:tc>
        <w:tc>
          <w:tcPr>
            <w:tcW w:w="1180" w:type="dxa"/>
          </w:tcPr>
          <w:p>
            <w:pPr>
              <w:pStyle w:val="yTableNAm"/>
            </w:pPr>
            <w:r>
              <w:t>0.03</w:t>
            </w:r>
          </w:p>
        </w:tc>
        <w:tc>
          <w:tcPr>
            <w:tcW w:w="1180" w:type="dxa"/>
          </w:tcPr>
          <w:p>
            <w:pPr>
              <w:pStyle w:val="yTableNAm"/>
            </w:pPr>
            <w:r>
              <w:t>0.04</w:t>
            </w:r>
          </w:p>
        </w:tc>
        <w:tc>
          <w:tcPr>
            <w:tcW w:w="1180" w:type="dxa"/>
          </w:tcPr>
          <w:p>
            <w:pPr>
              <w:pStyle w:val="yTableNAm"/>
            </w:pPr>
            <w:r>
              <w:t>0.03</w:t>
            </w:r>
          </w:p>
        </w:tc>
        <w:tc>
          <w:tcPr>
            <w:tcW w:w="1180" w:type="dxa"/>
          </w:tcPr>
          <w:p>
            <w:pPr>
              <w:pStyle w:val="yTableNAm"/>
            </w:pPr>
            <w:r>
              <w:t>0.06</w:t>
            </w:r>
          </w:p>
        </w:tc>
      </w:tr>
      <w:tr>
        <w:tc>
          <w:tcPr>
            <w:tcW w:w="1180" w:type="dxa"/>
          </w:tcPr>
          <w:p>
            <w:pPr>
              <w:pStyle w:val="yTableNAm"/>
            </w:pPr>
            <w:r>
              <w:t>41.00</w:t>
            </w:r>
          </w:p>
        </w:tc>
        <w:tc>
          <w:tcPr>
            <w:tcW w:w="1180" w:type="dxa"/>
          </w:tcPr>
          <w:p>
            <w:pPr>
              <w:pStyle w:val="yTableNAm"/>
            </w:pPr>
            <w:r>
              <w:t>0.02</w:t>
            </w:r>
          </w:p>
        </w:tc>
        <w:tc>
          <w:tcPr>
            <w:tcW w:w="1180" w:type="dxa"/>
          </w:tcPr>
          <w:p>
            <w:pPr>
              <w:pStyle w:val="yTableNAm"/>
            </w:pPr>
            <w:r>
              <w:t>0.03</w:t>
            </w:r>
          </w:p>
        </w:tc>
        <w:tc>
          <w:tcPr>
            <w:tcW w:w="1180" w:type="dxa"/>
          </w:tcPr>
          <w:p>
            <w:pPr>
              <w:pStyle w:val="yTableNAm"/>
            </w:pPr>
            <w:r>
              <w:t>0.03</w:t>
            </w:r>
          </w:p>
        </w:tc>
        <w:tc>
          <w:tcPr>
            <w:tcW w:w="1180" w:type="dxa"/>
          </w:tcPr>
          <w:p>
            <w:pPr>
              <w:pStyle w:val="yTableNAm"/>
            </w:pPr>
            <w:r>
              <w:t>0.02</w:t>
            </w:r>
          </w:p>
        </w:tc>
        <w:tc>
          <w:tcPr>
            <w:tcW w:w="1180" w:type="dxa"/>
          </w:tcPr>
          <w:p>
            <w:pPr>
              <w:pStyle w:val="yTableNAm"/>
            </w:pPr>
            <w:r>
              <w:t>0.04</w:t>
            </w:r>
          </w:p>
        </w:tc>
      </w:tr>
      <w:tr>
        <w:tc>
          <w:tcPr>
            <w:tcW w:w="1180" w:type="dxa"/>
          </w:tcPr>
          <w:p>
            <w:pPr>
              <w:pStyle w:val="yTableNAm"/>
            </w:pPr>
            <w:r>
              <w:t>51.00</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0.04</w:t>
            </w:r>
          </w:p>
        </w:tc>
      </w:tr>
    </w:tbl>
    <w:p>
      <w:pPr>
        <w:pStyle w:val="yFootnotesection"/>
      </w:pPr>
      <w:r>
        <w:tab/>
        <w:t>[Schedule 1 amended: Gazette 4 Jan 2013 p. 18</w:t>
      </w:r>
      <w:r>
        <w:noBreakHyphen/>
        <w:t>19; SL 2021/188 r. 12; Gazette 15 Jul 2022 p. 4177-8.]</w:t>
      </w:r>
    </w:p>
    <w:p>
      <w:pPr>
        <w:pStyle w:val="yScheduleHeading"/>
      </w:pPr>
      <w:bookmarkStart w:id="133" w:name="_Toc210382691"/>
      <w:bookmarkStart w:id="134" w:name="_Toc210383700"/>
      <w:bookmarkStart w:id="135" w:name="_Toc210395220"/>
      <w:bookmarkStart w:id="136" w:name="_Toc210395327"/>
      <w:r>
        <w:rPr>
          <w:rStyle w:val="CharSchNo"/>
        </w:rPr>
        <w:lastRenderedPageBreak/>
        <w:t>Schedule 2</w:t>
      </w:r>
      <w:r>
        <w:rPr>
          <w:rStyle w:val="CharSDivNo"/>
        </w:rPr>
        <w:t> </w:t>
      </w:r>
      <w:r>
        <w:t>—</w:t>
      </w:r>
      <w:r>
        <w:rPr>
          <w:rStyle w:val="CharSDivText"/>
        </w:rPr>
        <w:t> </w:t>
      </w:r>
      <w:r>
        <w:rPr>
          <w:rStyle w:val="CharSchText"/>
        </w:rPr>
        <w:t>Permitted wagers on races</w:t>
      </w:r>
      <w:bookmarkEnd w:id="133"/>
      <w:bookmarkEnd w:id="134"/>
      <w:bookmarkEnd w:id="135"/>
      <w:bookmarkEnd w:id="136"/>
    </w:p>
    <w:p>
      <w:pPr>
        <w:pStyle w:val="yShoulderClause"/>
      </w:pPr>
      <w:r>
        <w:t>[r. 62D]</w:t>
      </w:r>
    </w:p>
    <w:p>
      <w:pPr>
        <w:pStyle w:val="yFootnoteheading"/>
      </w:pPr>
      <w:r>
        <w:tab/>
        <w:t>[Heading inserted: SL 2021/188 r. 13.]</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551"/>
        <w:gridCol w:w="3544"/>
      </w:tblGrid>
      <w:tr>
        <w:trPr>
          <w:tblHeader/>
        </w:trPr>
        <w:tc>
          <w:tcPr>
            <w:tcW w:w="738" w:type="dxa"/>
            <w:tcBorders>
              <w:bottom w:val="single" w:sz="4" w:space="0" w:color="auto"/>
            </w:tcBorders>
          </w:tcPr>
          <w:p>
            <w:pPr>
              <w:pStyle w:val="yTableNAm"/>
              <w:jc w:val="center"/>
              <w:rPr>
                <w:b/>
              </w:rPr>
            </w:pPr>
            <w:r>
              <w:rPr>
                <w:b/>
              </w:rPr>
              <w:t>Item</w:t>
            </w:r>
          </w:p>
        </w:tc>
        <w:tc>
          <w:tcPr>
            <w:tcW w:w="2551" w:type="dxa"/>
            <w:tcBorders>
              <w:bottom w:val="single" w:sz="4" w:space="0" w:color="auto"/>
            </w:tcBorders>
          </w:tcPr>
          <w:p>
            <w:pPr>
              <w:pStyle w:val="yTableNAm"/>
              <w:jc w:val="center"/>
              <w:rPr>
                <w:b/>
              </w:rPr>
            </w:pPr>
            <w:r>
              <w:rPr>
                <w:b/>
              </w:rPr>
              <w:t>Wager</w:t>
            </w:r>
          </w:p>
        </w:tc>
        <w:tc>
          <w:tcPr>
            <w:tcW w:w="3544" w:type="dxa"/>
            <w:tcBorders>
              <w:bottom w:val="single" w:sz="4" w:space="0" w:color="auto"/>
            </w:tcBorders>
          </w:tcPr>
          <w:p>
            <w:pPr>
              <w:pStyle w:val="yTableNAm"/>
              <w:jc w:val="center"/>
              <w:rPr>
                <w:b/>
              </w:rPr>
            </w:pPr>
            <w:r>
              <w:rPr>
                <w:b/>
              </w:rPr>
              <w:t>Contingency</w:t>
            </w:r>
          </w:p>
        </w:tc>
      </w:tr>
      <w:tr>
        <w:tc>
          <w:tcPr>
            <w:tcW w:w="738" w:type="dxa"/>
            <w:tcBorders>
              <w:bottom w:val="single" w:sz="4" w:space="0" w:color="auto"/>
            </w:tcBorders>
          </w:tcPr>
          <w:p>
            <w:pPr>
              <w:pStyle w:val="yTableNAm"/>
            </w:pPr>
            <w:r>
              <w:t>1.</w:t>
            </w:r>
          </w:p>
        </w:tc>
        <w:tc>
          <w:tcPr>
            <w:tcW w:w="2551" w:type="dxa"/>
            <w:tcBorders>
              <w:bottom w:val="single" w:sz="4" w:space="0" w:color="auto"/>
            </w:tcBorders>
          </w:tcPr>
          <w:p>
            <w:pPr>
              <w:pStyle w:val="yTableNAm"/>
            </w:pPr>
            <w:r>
              <w:t>Driver challenge</w:t>
            </w:r>
          </w:p>
        </w:tc>
        <w:tc>
          <w:tcPr>
            <w:tcW w:w="3544" w:type="dxa"/>
            <w:tcBorders>
              <w:bottom w:val="single" w:sz="4" w:space="0" w:color="auto"/>
            </w:tcBorders>
          </w:tcPr>
          <w:p>
            <w:pPr>
              <w:pStyle w:val="yTableNAm"/>
            </w:pPr>
            <w:r>
              <w:t>RWWA offers odds against a harness driver accumulating the most points across an entire harness race meeting, which will be decided by the following points system for each race: the first</w:t>
            </w:r>
            <w:r>
              <w:noBreakHyphen/>
              <w:t>placed driver in a race receives 3 points, the second</w:t>
            </w:r>
            <w:r>
              <w:noBreakHyphen/>
              <w:t>placed driver receives 2 points and the third</w:t>
            </w:r>
            <w:r>
              <w:noBreakHyphen/>
              <w:t>placed driver receives 1 point. The driver who accumulates the most points throughout the entire race meeting is considered the winner.</w:t>
            </w:r>
          </w:p>
        </w:tc>
      </w:tr>
      <w:tr>
        <w:tc>
          <w:tcPr>
            <w:tcW w:w="738" w:type="dxa"/>
          </w:tcPr>
          <w:p>
            <w:pPr>
              <w:pStyle w:val="yTableNAm"/>
            </w:pPr>
            <w:r>
              <w:t>2.</w:t>
            </w:r>
          </w:p>
        </w:tc>
        <w:tc>
          <w:tcPr>
            <w:tcW w:w="2551" w:type="dxa"/>
          </w:tcPr>
          <w:p>
            <w:pPr>
              <w:pStyle w:val="yTableNAm"/>
            </w:pPr>
            <w:r>
              <w:t>Favourites challenge</w:t>
            </w:r>
          </w:p>
        </w:tc>
        <w:tc>
          <w:tcPr>
            <w:tcW w:w="3544" w:type="dxa"/>
          </w:tcPr>
          <w:p>
            <w:pPr>
              <w:pStyle w:val="yTableNAm"/>
            </w:pPr>
            <w:r>
              <w:rPr>
                <w:rFonts w:cs="Arial"/>
                <w:szCs w:val="22"/>
              </w:rPr>
              <w:t>RWWA offers odds against the number of favourites that will win a race at a nominated race meeting or a series of races. The favourite for each applicable race is the runner that has the lowest starting price (as determined by the pricing information body or, if the pricing information body does not determine the pricing information for a runner immediately prior to the commencement of the race, by RWWA).</w:t>
            </w:r>
          </w:p>
        </w:tc>
      </w:tr>
      <w:tr>
        <w:trPr>
          <w:cantSplit/>
        </w:trPr>
        <w:tc>
          <w:tcPr>
            <w:tcW w:w="738" w:type="dxa"/>
          </w:tcPr>
          <w:p>
            <w:pPr>
              <w:pStyle w:val="yTableNAm"/>
            </w:pPr>
            <w:r>
              <w:lastRenderedPageBreak/>
              <w:t>3.</w:t>
            </w:r>
          </w:p>
        </w:tc>
        <w:tc>
          <w:tcPr>
            <w:tcW w:w="2551" w:type="dxa"/>
          </w:tcPr>
          <w:p>
            <w:pPr>
              <w:pStyle w:val="yTableNAm"/>
            </w:pPr>
            <w:r>
              <w:t>Favout</w:t>
            </w:r>
          </w:p>
        </w:tc>
        <w:tc>
          <w:tcPr>
            <w:tcW w:w="3544" w:type="dxa"/>
          </w:tcPr>
          <w:p>
            <w:pPr>
              <w:pStyle w:val="yTableNAm"/>
            </w:pPr>
            <w:r>
              <w:rPr>
                <w:szCs w:val="22"/>
              </w:rPr>
              <w:t>RWWA offers odds against a runner winning a particular race without a designated runner being included. The finishing position of the designated runner has no bearing on the wagering outcome.</w:t>
            </w:r>
          </w:p>
        </w:tc>
      </w:tr>
      <w:tr>
        <w:tc>
          <w:tcPr>
            <w:tcW w:w="738" w:type="dxa"/>
          </w:tcPr>
          <w:p>
            <w:pPr>
              <w:pStyle w:val="yTableNAm"/>
            </w:pPr>
            <w:r>
              <w:t>4.</w:t>
            </w:r>
          </w:p>
        </w:tc>
        <w:tc>
          <w:tcPr>
            <w:tcW w:w="2551" w:type="dxa"/>
          </w:tcPr>
          <w:p>
            <w:pPr>
              <w:pStyle w:val="yTableNAm"/>
            </w:pPr>
            <w:r>
              <w:t>First past the post</w:t>
            </w:r>
          </w:p>
        </w:tc>
        <w:tc>
          <w:tcPr>
            <w:tcW w:w="3544" w:type="dxa"/>
          </w:tcPr>
          <w:p>
            <w:pPr>
              <w:pStyle w:val="yTableNAm"/>
            </w:pPr>
            <w:r>
              <w:rPr>
                <w:rFonts w:cs="Arial"/>
                <w:szCs w:val="22"/>
              </w:rPr>
              <w:t>RWWA offers odds against a runner winning a particular race or achieving a place in a particular race, with investors being paid out as if the runner retains its first position or place position regardless of the outcome of any protest or objection lodged.</w:t>
            </w:r>
          </w:p>
        </w:tc>
      </w:tr>
      <w:tr>
        <w:tc>
          <w:tcPr>
            <w:tcW w:w="738" w:type="dxa"/>
          </w:tcPr>
          <w:p>
            <w:pPr>
              <w:pStyle w:val="yTableNAm"/>
            </w:pPr>
            <w:r>
              <w:t>5.</w:t>
            </w:r>
          </w:p>
        </w:tc>
        <w:tc>
          <w:tcPr>
            <w:tcW w:w="2551" w:type="dxa"/>
          </w:tcPr>
          <w:p>
            <w:pPr>
              <w:pStyle w:val="yTableNAm"/>
            </w:pPr>
            <w:r>
              <w:t>Greyhound box number challenge</w:t>
            </w:r>
          </w:p>
        </w:tc>
        <w:tc>
          <w:tcPr>
            <w:tcW w:w="3544" w:type="dxa"/>
          </w:tcPr>
          <w:p>
            <w:pPr>
              <w:pStyle w:val="yTableNAm"/>
            </w:pPr>
            <w:r>
              <w:rPr>
                <w:rFonts w:cs="Arial"/>
                <w:szCs w:val="22"/>
              </w:rPr>
              <w:t>RWWA offers odds against a greyhound box number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box number that accumulates the most points throughout the entire race meeting is considered the winner.</w:t>
            </w:r>
          </w:p>
        </w:tc>
      </w:tr>
      <w:tr>
        <w:tc>
          <w:tcPr>
            <w:tcW w:w="738" w:type="dxa"/>
          </w:tcPr>
          <w:p>
            <w:pPr>
              <w:pStyle w:val="yTableNAm"/>
            </w:pPr>
            <w:r>
              <w:lastRenderedPageBreak/>
              <w:t>6.</w:t>
            </w:r>
          </w:p>
        </w:tc>
        <w:tc>
          <w:tcPr>
            <w:tcW w:w="2551" w:type="dxa"/>
          </w:tcPr>
          <w:p>
            <w:pPr>
              <w:pStyle w:val="yTableNAm"/>
            </w:pPr>
            <w:r>
              <w:t>Greyhound box number challenge quinella</w:t>
            </w:r>
          </w:p>
        </w:tc>
        <w:tc>
          <w:tcPr>
            <w:tcW w:w="3544" w:type="dxa"/>
          </w:tcPr>
          <w:p>
            <w:pPr>
              <w:pStyle w:val="yTableNAm"/>
              <w:keepLines/>
              <w:rPr>
                <w:rFonts w:cs="Arial"/>
                <w:szCs w:val="22"/>
              </w:rPr>
            </w:pPr>
            <w:r>
              <w:rPr>
                <w:rFonts w:cs="Arial"/>
                <w:szCs w:val="22"/>
              </w:rPr>
              <w:t>RWWA offers odds against a combination of 2 greyhound box numbers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combination of 2 greyhound box numbers that accumulates the most points throughout the entire race meeting is considered the winner.</w:t>
            </w:r>
          </w:p>
        </w:tc>
      </w:tr>
      <w:tr>
        <w:tc>
          <w:tcPr>
            <w:tcW w:w="738" w:type="dxa"/>
          </w:tcPr>
          <w:p>
            <w:pPr>
              <w:pStyle w:val="yTableNAm"/>
            </w:pPr>
            <w:r>
              <w:t>7.</w:t>
            </w:r>
          </w:p>
        </w:tc>
        <w:tc>
          <w:tcPr>
            <w:tcW w:w="2551" w:type="dxa"/>
          </w:tcPr>
          <w:p>
            <w:pPr>
              <w:pStyle w:val="yTableNAm"/>
            </w:pPr>
            <w:r>
              <w:t>Head to head</w:t>
            </w:r>
          </w:p>
        </w:tc>
        <w:tc>
          <w:tcPr>
            <w:tcW w:w="3544" w:type="dxa"/>
          </w:tcPr>
          <w:p>
            <w:pPr>
              <w:pStyle w:val="yTableNAm"/>
            </w:pPr>
            <w:r>
              <w:rPr>
                <w:rFonts w:cs="Arial"/>
                <w:szCs w:val="22"/>
              </w:rPr>
              <w:t>RWWA offers odds against which of 2 selected runners will achieve the highest finishing position in a particular race, subject to the requirement that at least 1 of the runners must finish in the top 4 placings. If that is not the case, all wagers will be declared void and refunded.</w:t>
            </w:r>
          </w:p>
        </w:tc>
      </w:tr>
      <w:tr>
        <w:tc>
          <w:tcPr>
            <w:tcW w:w="738" w:type="dxa"/>
          </w:tcPr>
          <w:p>
            <w:pPr>
              <w:pStyle w:val="yTableNAm"/>
            </w:pPr>
            <w:r>
              <w:t>8.</w:t>
            </w:r>
          </w:p>
        </w:tc>
        <w:tc>
          <w:tcPr>
            <w:tcW w:w="2551" w:type="dxa"/>
          </w:tcPr>
          <w:p>
            <w:pPr>
              <w:pStyle w:val="yTableNAm"/>
            </w:pPr>
            <w:r>
              <w:t>Hot wings</w:t>
            </w:r>
          </w:p>
        </w:tc>
        <w:tc>
          <w:tcPr>
            <w:tcW w:w="3544" w:type="dxa"/>
          </w:tcPr>
          <w:p>
            <w:pPr>
              <w:pStyle w:val="yTableNAm"/>
            </w:pPr>
            <w:r>
              <w:rPr>
                <w:rFonts w:cs="Arial"/>
                <w:szCs w:val="22"/>
              </w:rPr>
              <w:t>RWWA offers odds against the winner of a particular greyhound race starting from box number 1 or 8. The rug number of a runner is not taken into consideration in this wager type.</w:t>
            </w:r>
          </w:p>
        </w:tc>
      </w:tr>
      <w:tr>
        <w:tc>
          <w:tcPr>
            <w:tcW w:w="738" w:type="dxa"/>
          </w:tcPr>
          <w:p>
            <w:pPr>
              <w:pStyle w:val="yTableNAm"/>
            </w:pPr>
            <w:r>
              <w:lastRenderedPageBreak/>
              <w:t>9.</w:t>
            </w:r>
          </w:p>
        </w:tc>
        <w:tc>
          <w:tcPr>
            <w:tcW w:w="2551" w:type="dxa"/>
          </w:tcPr>
          <w:p>
            <w:pPr>
              <w:pStyle w:val="yTableNAm"/>
            </w:pPr>
            <w:r>
              <w:t>Inside versus outside</w:t>
            </w:r>
          </w:p>
        </w:tc>
        <w:tc>
          <w:tcPr>
            <w:tcW w:w="3544" w:type="dxa"/>
          </w:tcPr>
          <w:p>
            <w:pPr>
              <w:pStyle w:val="yTableNAm"/>
              <w:keepLines/>
            </w:pPr>
            <w:r>
              <w:rPr>
                <w:rFonts w:cs="Arial"/>
                <w:szCs w:val="22"/>
              </w:rPr>
              <w:t>RWWA offers odds against the winner of a particular greyhound race starting from an inside draw (boxes 1 to 4) or an outside draw (boxes 5 to 8). The rug number of a runner is not taken into consideration in this wager type.</w:t>
            </w:r>
          </w:p>
        </w:tc>
      </w:tr>
      <w:tr>
        <w:tc>
          <w:tcPr>
            <w:tcW w:w="738" w:type="dxa"/>
          </w:tcPr>
          <w:p>
            <w:pPr>
              <w:pStyle w:val="yTableNAm"/>
            </w:pPr>
            <w:r>
              <w:t>10.</w:t>
            </w:r>
          </w:p>
        </w:tc>
        <w:tc>
          <w:tcPr>
            <w:tcW w:w="2551" w:type="dxa"/>
          </w:tcPr>
          <w:p>
            <w:pPr>
              <w:pStyle w:val="yTableNAm"/>
            </w:pPr>
            <w:r>
              <w:t>Insurance wager (2 places)</w:t>
            </w:r>
          </w:p>
        </w:tc>
        <w:tc>
          <w:tcPr>
            <w:tcW w:w="3544" w:type="dxa"/>
          </w:tcPr>
          <w:p>
            <w:pPr>
              <w:pStyle w:val="yTableNAm"/>
            </w:pPr>
            <w:r>
              <w:t>RWWA offers odds against a runner winning a particular race on the basis that the investor’s stake is returned if the runner achieves 2</w:t>
            </w:r>
            <w:r>
              <w:rPr>
                <w:vertAlign w:val="superscript"/>
              </w:rPr>
              <w:t>nd</w:t>
            </w:r>
            <w:r>
              <w:t> place.</w:t>
            </w:r>
          </w:p>
        </w:tc>
      </w:tr>
      <w:tr>
        <w:tc>
          <w:tcPr>
            <w:tcW w:w="738" w:type="dxa"/>
          </w:tcPr>
          <w:p>
            <w:pPr>
              <w:pStyle w:val="yTableNAm"/>
            </w:pPr>
            <w:r>
              <w:t>11.</w:t>
            </w:r>
          </w:p>
        </w:tc>
        <w:tc>
          <w:tcPr>
            <w:tcW w:w="2551" w:type="dxa"/>
          </w:tcPr>
          <w:p>
            <w:pPr>
              <w:pStyle w:val="yTableNAm"/>
            </w:pPr>
            <w:r>
              <w:t>Insurance wager (3 places)</w:t>
            </w:r>
          </w:p>
        </w:tc>
        <w:tc>
          <w:tcPr>
            <w:tcW w:w="3544" w:type="dxa"/>
          </w:tcPr>
          <w:p>
            <w:pPr>
              <w:pStyle w:val="yTableNAm"/>
            </w:pPr>
            <w:r>
              <w:rPr>
                <w:rFonts w:cs="Arial"/>
                <w:szCs w:val="22"/>
              </w:rPr>
              <w:t>RWWA offers odds against a runner winning a particular race on the basis that the investor’s stake is returned if the runner achieves 2</w:t>
            </w:r>
            <w:r>
              <w:rPr>
                <w:rFonts w:cs="Arial"/>
                <w:szCs w:val="22"/>
                <w:vertAlign w:val="superscript"/>
              </w:rPr>
              <w:t>nd</w:t>
            </w:r>
            <w:r>
              <w:rPr>
                <w:rFonts w:cs="Arial"/>
                <w:szCs w:val="22"/>
              </w:rPr>
              <w:t> or 3</w:t>
            </w:r>
            <w:r>
              <w:rPr>
                <w:rFonts w:cs="Arial"/>
                <w:szCs w:val="22"/>
                <w:vertAlign w:val="superscript"/>
              </w:rPr>
              <w:t>rd</w:t>
            </w:r>
            <w:r>
              <w:rPr>
                <w:rFonts w:cs="Arial"/>
                <w:szCs w:val="22"/>
              </w:rPr>
              <w:t> place.</w:t>
            </w:r>
          </w:p>
        </w:tc>
      </w:tr>
      <w:tr>
        <w:tc>
          <w:tcPr>
            <w:tcW w:w="738" w:type="dxa"/>
          </w:tcPr>
          <w:p>
            <w:pPr>
              <w:pStyle w:val="yTableNAm"/>
            </w:pPr>
            <w:r>
              <w:t>12.</w:t>
            </w:r>
          </w:p>
        </w:tc>
        <w:tc>
          <w:tcPr>
            <w:tcW w:w="2551" w:type="dxa"/>
          </w:tcPr>
          <w:p>
            <w:pPr>
              <w:pStyle w:val="yTableNAm"/>
            </w:pPr>
            <w:r>
              <w:t>Jockey challenge</w:t>
            </w:r>
          </w:p>
        </w:tc>
        <w:tc>
          <w:tcPr>
            <w:tcW w:w="3544" w:type="dxa"/>
          </w:tcPr>
          <w:p>
            <w:pPr>
              <w:pStyle w:val="yTableNAm"/>
            </w:pPr>
            <w:r>
              <w:t>RWWA offers odds against a jockey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placed jockey receives 1 point. The jockey who accumulates the most points throughout the entire race meeting is considered the winner.</w:t>
            </w:r>
          </w:p>
        </w:tc>
      </w:tr>
      <w:tr>
        <w:tc>
          <w:tcPr>
            <w:tcW w:w="738" w:type="dxa"/>
          </w:tcPr>
          <w:p>
            <w:pPr>
              <w:pStyle w:val="yTableNAm"/>
            </w:pPr>
            <w:r>
              <w:lastRenderedPageBreak/>
              <w:t>13.</w:t>
            </w:r>
          </w:p>
        </w:tc>
        <w:tc>
          <w:tcPr>
            <w:tcW w:w="2551" w:type="dxa"/>
          </w:tcPr>
          <w:p>
            <w:pPr>
              <w:pStyle w:val="yTableNAm"/>
            </w:pPr>
            <w:r>
              <w:t>Jockey challenge quinella</w:t>
            </w:r>
          </w:p>
        </w:tc>
        <w:tc>
          <w:tcPr>
            <w:tcW w:w="3544" w:type="dxa"/>
          </w:tcPr>
          <w:p>
            <w:pPr>
              <w:pStyle w:val="yTableNAm"/>
              <w:keepLines/>
            </w:pPr>
            <w:r>
              <w:t>RWWA offers odds against a combination of 2 jockeys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 xml:space="preserve">placed jockey receives 1 point. The combination of 2 jockeys that accumulates the most points throughout the entire race meeting is considered the winner. </w:t>
            </w:r>
          </w:p>
        </w:tc>
      </w:tr>
      <w:tr>
        <w:tc>
          <w:tcPr>
            <w:tcW w:w="738" w:type="dxa"/>
          </w:tcPr>
          <w:p>
            <w:pPr>
              <w:pStyle w:val="yTableNAm"/>
            </w:pPr>
            <w:r>
              <w:t>14.</w:t>
            </w:r>
          </w:p>
        </w:tc>
        <w:tc>
          <w:tcPr>
            <w:tcW w:w="2551" w:type="dxa"/>
          </w:tcPr>
          <w:p>
            <w:pPr>
              <w:pStyle w:val="yTableNAm"/>
            </w:pPr>
            <w:r>
              <w:t>Leading trainer</w:t>
            </w:r>
          </w:p>
        </w:tc>
        <w:tc>
          <w:tcPr>
            <w:tcW w:w="3544" w:type="dxa"/>
          </w:tcPr>
          <w:p>
            <w:pPr>
              <w:pStyle w:val="yTableNAm"/>
              <w:keepLines/>
            </w:pPr>
            <w:r>
              <w:rPr>
                <w:rFonts w:cs="Arial"/>
                <w:szCs w:val="22"/>
              </w:rPr>
              <w:t>RWWA offers odds against a horse or greyhound trainer accumulating the most points across a race meeting or a series of races specified by RWWA, which will be decided by the following points system for each race: the first</w:t>
            </w:r>
            <w:r>
              <w:rPr>
                <w:rFonts w:cs="Arial"/>
                <w:szCs w:val="22"/>
              </w:rPr>
              <w:noBreakHyphen/>
              <w:t>placed trainer in a race receives 3 points, the second</w:t>
            </w:r>
            <w:r>
              <w:rPr>
                <w:rFonts w:cs="Arial"/>
                <w:szCs w:val="22"/>
              </w:rPr>
              <w:noBreakHyphen/>
              <w:t>placed trainer receives 2 points and the third</w:t>
            </w:r>
            <w:r>
              <w:rPr>
                <w:rFonts w:cs="Arial"/>
                <w:szCs w:val="22"/>
              </w:rPr>
              <w:noBreakHyphen/>
              <w:t>placed trainer receives 1 point. The trainer who accumulates the most points throughout the entire race meeting, or series of races, is considered the winner.</w:t>
            </w:r>
          </w:p>
        </w:tc>
      </w:tr>
      <w:tr>
        <w:tc>
          <w:tcPr>
            <w:tcW w:w="738" w:type="dxa"/>
          </w:tcPr>
          <w:p>
            <w:pPr>
              <w:pStyle w:val="yTableNAm"/>
            </w:pPr>
            <w:r>
              <w:t>15.</w:t>
            </w:r>
          </w:p>
        </w:tc>
        <w:tc>
          <w:tcPr>
            <w:tcW w:w="2551" w:type="dxa"/>
          </w:tcPr>
          <w:p>
            <w:pPr>
              <w:pStyle w:val="yTableNAm"/>
            </w:pPr>
            <w:r>
              <w:t>Margin</w:t>
            </w:r>
          </w:p>
        </w:tc>
        <w:tc>
          <w:tcPr>
            <w:tcW w:w="3544" w:type="dxa"/>
          </w:tcPr>
          <w:p>
            <w:pPr>
              <w:pStyle w:val="yTableNAm"/>
            </w:pPr>
            <w:r>
              <w:rPr>
                <w:rFonts w:cs="Arial"/>
                <w:szCs w:val="22"/>
              </w:rPr>
              <w:t>RWWA offers odds against the official margin between the first</w:t>
            </w:r>
            <w:r>
              <w:rPr>
                <w:rFonts w:cs="Arial"/>
                <w:szCs w:val="22"/>
              </w:rPr>
              <w:noBreakHyphen/>
              <w:t xml:space="preserve"> and second</w:t>
            </w:r>
            <w:r>
              <w:rPr>
                <w:rFonts w:cs="Arial"/>
                <w:szCs w:val="22"/>
              </w:rPr>
              <w:noBreakHyphen/>
              <w:t>placed runners in a particular race.</w:t>
            </w:r>
          </w:p>
        </w:tc>
      </w:tr>
      <w:tr>
        <w:tc>
          <w:tcPr>
            <w:tcW w:w="738" w:type="dxa"/>
            <w:tcBorders>
              <w:bottom w:val="single" w:sz="4" w:space="0" w:color="auto"/>
            </w:tcBorders>
          </w:tcPr>
          <w:p>
            <w:pPr>
              <w:pStyle w:val="yTableNAm"/>
            </w:pPr>
            <w:r>
              <w:lastRenderedPageBreak/>
              <w:t>16.</w:t>
            </w:r>
          </w:p>
        </w:tc>
        <w:tc>
          <w:tcPr>
            <w:tcW w:w="2551" w:type="dxa"/>
            <w:tcBorders>
              <w:bottom w:val="single" w:sz="4" w:space="0" w:color="auto"/>
            </w:tcBorders>
          </w:tcPr>
          <w:p>
            <w:pPr>
              <w:pStyle w:val="yTableNAm"/>
            </w:pPr>
            <w:r>
              <w:t>Odds versus evens</w:t>
            </w:r>
          </w:p>
        </w:tc>
        <w:tc>
          <w:tcPr>
            <w:tcW w:w="3544" w:type="dxa"/>
            <w:tcBorders>
              <w:bottom w:val="single" w:sz="4" w:space="0" w:color="auto"/>
            </w:tcBorders>
          </w:tcPr>
          <w:p>
            <w:pPr>
              <w:pStyle w:val="yTableNAm"/>
              <w:keepLines/>
            </w:pPr>
            <w:r>
              <w:rPr>
                <w:rFonts w:cs="Arial"/>
                <w:szCs w:val="22"/>
              </w:rPr>
              <w:t>RWWA offers odds against the winner of a particular race having an odd or even saddlecloth or rug number.</w:t>
            </w:r>
          </w:p>
        </w:tc>
      </w:tr>
      <w:tr>
        <w:tc>
          <w:tcPr>
            <w:tcW w:w="738" w:type="dxa"/>
          </w:tcPr>
          <w:p>
            <w:pPr>
              <w:pStyle w:val="yTableNAm"/>
            </w:pPr>
            <w:r>
              <w:t>17.</w:t>
            </w:r>
          </w:p>
        </w:tc>
        <w:tc>
          <w:tcPr>
            <w:tcW w:w="2551" w:type="dxa"/>
          </w:tcPr>
          <w:p>
            <w:pPr>
              <w:pStyle w:val="yTableNAm"/>
            </w:pPr>
            <w:r>
              <w:t>Place card</w:t>
            </w:r>
          </w:p>
        </w:tc>
        <w:tc>
          <w:tcPr>
            <w:tcW w:w="3544" w:type="dxa"/>
          </w:tcPr>
          <w:p>
            <w:pPr>
              <w:pStyle w:val="yTableNAm"/>
            </w:pPr>
            <w:r>
              <w:rPr>
                <w:rFonts w:cs="Arial"/>
                <w:szCs w:val="22"/>
              </w:rPr>
              <w:t>RWWA offer odds against any 3 runners achieving a place in 4 particular races. The place odds for each runner are added together to establish the place card odds.</w:t>
            </w:r>
          </w:p>
        </w:tc>
      </w:tr>
      <w:tr>
        <w:tc>
          <w:tcPr>
            <w:tcW w:w="738" w:type="dxa"/>
          </w:tcPr>
          <w:p>
            <w:pPr>
              <w:pStyle w:val="yTableNAm"/>
            </w:pPr>
            <w:r>
              <w:t>18.</w:t>
            </w:r>
          </w:p>
        </w:tc>
        <w:tc>
          <w:tcPr>
            <w:tcW w:w="2551" w:type="dxa"/>
          </w:tcPr>
          <w:p>
            <w:pPr>
              <w:pStyle w:val="yTableNAm"/>
            </w:pPr>
            <w:r>
              <w:t>Quinella</w:t>
            </w:r>
          </w:p>
        </w:tc>
        <w:tc>
          <w:tcPr>
            <w:tcW w:w="3544" w:type="dxa"/>
          </w:tcPr>
          <w:p>
            <w:pPr>
              <w:pStyle w:val="yTableNAm"/>
            </w:pPr>
            <w:r>
              <w:rPr>
                <w:rFonts w:cs="Arial"/>
                <w:szCs w:val="22"/>
              </w:rPr>
              <w:t>RWWA offer odds against any 2 of 2 or more selected runners finishing 1</w:t>
            </w:r>
            <w:r>
              <w:rPr>
                <w:rFonts w:cs="Arial"/>
                <w:szCs w:val="22"/>
                <w:vertAlign w:val="superscript"/>
              </w:rPr>
              <w:t>st</w:t>
            </w:r>
            <w:r>
              <w:rPr>
                <w:rFonts w:cs="Arial"/>
                <w:szCs w:val="22"/>
              </w:rPr>
              <w:t xml:space="preserve"> and 2</w:t>
            </w:r>
            <w:r>
              <w:rPr>
                <w:rFonts w:cs="Arial"/>
                <w:szCs w:val="22"/>
                <w:vertAlign w:val="superscript"/>
              </w:rPr>
              <w:t>nd</w:t>
            </w:r>
            <w:r>
              <w:rPr>
                <w:rFonts w:cs="Arial"/>
                <w:szCs w:val="22"/>
              </w:rPr>
              <w:t>, in any order, in a particular race.</w:t>
            </w:r>
          </w:p>
        </w:tc>
      </w:tr>
      <w:tr>
        <w:tc>
          <w:tcPr>
            <w:tcW w:w="738" w:type="dxa"/>
          </w:tcPr>
          <w:p>
            <w:pPr>
              <w:pStyle w:val="yTableNAm"/>
            </w:pPr>
            <w:r>
              <w:t>19.</w:t>
            </w:r>
          </w:p>
        </w:tc>
        <w:tc>
          <w:tcPr>
            <w:tcW w:w="2551" w:type="dxa"/>
          </w:tcPr>
          <w:p>
            <w:pPr>
              <w:pStyle w:val="yTableNAm"/>
            </w:pPr>
            <w:r>
              <w:t>Rags to riches</w:t>
            </w:r>
          </w:p>
        </w:tc>
        <w:tc>
          <w:tcPr>
            <w:tcW w:w="3544" w:type="dxa"/>
          </w:tcPr>
          <w:p>
            <w:pPr>
              <w:pStyle w:val="yTableNAm"/>
            </w:pPr>
            <w:r>
              <w:rPr>
                <w:rFonts w:cs="Arial"/>
                <w:szCs w:val="22"/>
              </w:rPr>
              <w:t>RWWA offers odds against 1 of 4 runners nominated by RWWA winning a particular race.</w:t>
            </w:r>
          </w:p>
        </w:tc>
      </w:tr>
      <w:tr>
        <w:tc>
          <w:tcPr>
            <w:tcW w:w="738" w:type="dxa"/>
          </w:tcPr>
          <w:p>
            <w:pPr>
              <w:pStyle w:val="yTableNAm"/>
            </w:pPr>
            <w:r>
              <w:t>20.</w:t>
            </w:r>
          </w:p>
        </w:tc>
        <w:tc>
          <w:tcPr>
            <w:tcW w:w="2551" w:type="dxa"/>
          </w:tcPr>
          <w:p>
            <w:pPr>
              <w:pStyle w:val="yTableNAm"/>
            </w:pPr>
            <w:r>
              <w:t>Runner versus the field</w:t>
            </w:r>
          </w:p>
        </w:tc>
        <w:tc>
          <w:tcPr>
            <w:tcW w:w="3544" w:type="dxa"/>
          </w:tcPr>
          <w:p>
            <w:pPr>
              <w:pStyle w:val="yTableNAm"/>
            </w:pPr>
            <w:r>
              <w:rPr>
                <w:rFonts w:cs="Arial"/>
                <w:szCs w:val="22"/>
              </w:rPr>
              <w:t>RWWA offers odds against a designated runner of a particular race being the winner of the race or any other runner of the race being the winner of the race.</w:t>
            </w:r>
          </w:p>
        </w:tc>
      </w:tr>
      <w:tr>
        <w:tc>
          <w:tcPr>
            <w:tcW w:w="738" w:type="dxa"/>
          </w:tcPr>
          <w:p>
            <w:pPr>
              <w:pStyle w:val="yTableNAm"/>
            </w:pPr>
            <w:r>
              <w:t>21.</w:t>
            </w:r>
          </w:p>
        </w:tc>
        <w:tc>
          <w:tcPr>
            <w:tcW w:w="2551" w:type="dxa"/>
          </w:tcPr>
          <w:p>
            <w:pPr>
              <w:pStyle w:val="yTableNAm"/>
            </w:pPr>
            <w:r>
              <w:t>Same race combo</w:t>
            </w:r>
          </w:p>
        </w:tc>
        <w:tc>
          <w:tcPr>
            <w:tcW w:w="3544" w:type="dxa"/>
          </w:tcPr>
          <w:p>
            <w:pPr>
              <w:pStyle w:val="yTableNAm"/>
            </w:pPr>
            <w:r>
              <w:rPr>
                <w:rFonts w:cs="Arial"/>
                <w:szCs w:val="22"/>
              </w:rPr>
              <w:t>RWWA offers odds against a pre</w:t>
            </w:r>
            <w:r>
              <w:rPr>
                <w:rFonts w:cs="Arial"/>
                <w:szCs w:val="22"/>
              </w:rPr>
              <w:noBreakHyphen/>
              <w:t>determined series of outcomes occurring from within the same race (for example, runner A must win, runner B must finish 2</w:t>
            </w:r>
            <w:r>
              <w:rPr>
                <w:rFonts w:cs="Arial"/>
                <w:szCs w:val="22"/>
                <w:vertAlign w:val="superscript"/>
              </w:rPr>
              <w:t>nd</w:t>
            </w:r>
            <w:r>
              <w:rPr>
                <w:rFonts w:cs="Arial"/>
                <w:szCs w:val="22"/>
              </w:rPr>
              <w:t xml:space="preserve"> or 3</w:t>
            </w:r>
            <w:r>
              <w:rPr>
                <w:rFonts w:cs="Arial"/>
                <w:szCs w:val="22"/>
                <w:vertAlign w:val="superscript"/>
              </w:rPr>
              <w:t>rd</w:t>
            </w:r>
            <w:r>
              <w:rPr>
                <w:rFonts w:cs="Arial"/>
                <w:szCs w:val="22"/>
              </w:rPr>
              <w:t xml:space="preserve"> and runner C must finish 2</w:t>
            </w:r>
            <w:r>
              <w:rPr>
                <w:rFonts w:cs="Arial"/>
                <w:szCs w:val="22"/>
                <w:vertAlign w:val="superscript"/>
              </w:rPr>
              <w:t>nd</w:t>
            </w:r>
            <w:r>
              <w:rPr>
                <w:rFonts w:cs="Arial"/>
                <w:szCs w:val="22"/>
              </w:rPr>
              <w:t>, 3</w:t>
            </w:r>
            <w:r>
              <w:rPr>
                <w:rFonts w:cs="Arial"/>
                <w:szCs w:val="22"/>
                <w:vertAlign w:val="superscript"/>
              </w:rPr>
              <w:t>rd</w:t>
            </w:r>
            <w:r>
              <w:rPr>
                <w:rFonts w:cs="Arial"/>
                <w:szCs w:val="22"/>
              </w:rPr>
              <w:t xml:space="preserve"> or 4</w:t>
            </w:r>
            <w:r>
              <w:rPr>
                <w:rFonts w:cs="Arial"/>
                <w:szCs w:val="22"/>
                <w:vertAlign w:val="superscript"/>
              </w:rPr>
              <w:t>th</w:t>
            </w:r>
            <w:r>
              <w:rPr>
                <w:rFonts w:cs="Arial"/>
                <w:szCs w:val="22"/>
              </w:rPr>
              <w:t>). All outcomes must occur for the wager to be successful. In a same race combo wager, the odds are determined before the wager is placed.</w:t>
            </w:r>
          </w:p>
        </w:tc>
      </w:tr>
      <w:tr>
        <w:tc>
          <w:tcPr>
            <w:tcW w:w="738" w:type="dxa"/>
            <w:tcBorders>
              <w:bottom w:val="single" w:sz="4" w:space="0" w:color="auto"/>
            </w:tcBorders>
          </w:tcPr>
          <w:p>
            <w:pPr>
              <w:pStyle w:val="yTableNAm"/>
            </w:pPr>
            <w:r>
              <w:lastRenderedPageBreak/>
              <w:t>22.</w:t>
            </w:r>
          </w:p>
        </w:tc>
        <w:tc>
          <w:tcPr>
            <w:tcW w:w="2551" w:type="dxa"/>
            <w:tcBorders>
              <w:bottom w:val="single" w:sz="4" w:space="0" w:color="auto"/>
            </w:tcBorders>
          </w:tcPr>
          <w:p>
            <w:pPr>
              <w:pStyle w:val="yTableNAm"/>
            </w:pPr>
            <w:r>
              <w:t>Same race multi</w:t>
            </w:r>
          </w:p>
        </w:tc>
        <w:tc>
          <w:tcPr>
            <w:tcW w:w="3544" w:type="dxa"/>
            <w:tcBorders>
              <w:bottom w:val="single" w:sz="4" w:space="0" w:color="auto"/>
            </w:tcBorders>
          </w:tcPr>
          <w:p>
            <w:pPr>
              <w:pStyle w:val="yTableNAm"/>
            </w:pPr>
            <w:r>
              <w:rPr>
                <w:rFonts w:cs="Arial"/>
                <w:szCs w:val="22"/>
              </w:rPr>
              <w:t>RWWA offers odds against a runner winning or multiple runners finishing in the top two, three or four placings in the same race. It is similar to same race combos except an investor can select their own combinations from the particular race rather than from a set of outcomes pre</w:t>
            </w:r>
            <w:r>
              <w:rPr>
                <w:rFonts w:cs="Arial"/>
                <w:szCs w:val="22"/>
              </w:rPr>
              <w:noBreakHyphen/>
              <w:t>determined by RWWA. In same race multi wagering, the odds are determined at the time the wager is placed.</w:t>
            </w:r>
          </w:p>
        </w:tc>
      </w:tr>
      <w:tr>
        <w:tc>
          <w:tcPr>
            <w:tcW w:w="738" w:type="dxa"/>
          </w:tcPr>
          <w:p>
            <w:pPr>
              <w:pStyle w:val="yTableNAm"/>
            </w:pPr>
            <w:r>
              <w:t>23.</w:t>
            </w:r>
          </w:p>
        </w:tc>
        <w:tc>
          <w:tcPr>
            <w:tcW w:w="2551" w:type="dxa"/>
            <w:shd w:val="clear" w:color="auto" w:fill="auto"/>
          </w:tcPr>
          <w:p>
            <w:pPr>
              <w:pStyle w:val="yTableNAm"/>
            </w:pPr>
            <w:r>
              <w:t>Starting price</w:t>
            </w:r>
          </w:p>
        </w:tc>
        <w:tc>
          <w:tcPr>
            <w:tcW w:w="3544" w:type="dxa"/>
            <w:shd w:val="clear" w:color="auto" w:fill="auto"/>
          </w:tcPr>
          <w:p>
            <w:pPr>
              <w:pStyle w:val="yTableNAm"/>
              <w:keepLines/>
            </w:pPr>
            <w:r>
              <w:t>RWWA offers odds against a runner winning a particular race, being the final odds for that runner offered by on</w:t>
            </w:r>
            <w:r>
              <w:noBreakHyphen/>
              <w:t>course bookmakers as determined by the pricing information body.</w:t>
            </w:r>
          </w:p>
        </w:tc>
      </w:tr>
      <w:tr>
        <w:tc>
          <w:tcPr>
            <w:tcW w:w="738" w:type="dxa"/>
          </w:tcPr>
          <w:p>
            <w:pPr>
              <w:pStyle w:val="yTableNAm"/>
            </w:pPr>
            <w:r>
              <w:t>24.</w:t>
            </w:r>
          </w:p>
        </w:tc>
        <w:tc>
          <w:tcPr>
            <w:tcW w:w="2551" w:type="dxa"/>
          </w:tcPr>
          <w:p>
            <w:pPr>
              <w:pStyle w:val="yTableNAm"/>
            </w:pPr>
            <w:r>
              <w:t>Tight squeeze</w:t>
            </w:r>
          </w:p>
        </w:tc>
        <w:tc>
          <w:tcPr>
            <w:tcW w:w="3544" w:type="dxa"/>
          </w:tcPr>
          <w:p>
            <w:pPr>
              <w:pStyle w:val="yTableNAm"/>
            </w:pPr>
            <w:r>
              <w:rPr>
                <w:rFonts w:cs="Arial"/>
                <w:szCs w:val="22"/>
              </w:rPr>
              <w:t>RWWA offers odds against the winner of a particular greyhound race starting from box number 4 or 5. The rug number of the runner is not taken into consideration in this wager type.</w:t>
            </w:r>
          </w:p>
        </w:tc>
      </w:tr>
      <w:tr>
        <w:tc>
          <w:tcPr>
            <w:tcW w:w="738" w:type="dxa"/>
            <w:tcBorders>
              <w:bottom w:val="single" w:sz="4" w:space="0" w:color="auto"/>
            </w:tcBorders>
          </w:tcPr>
          <w:p>
            <w:pPr>
              <w:pStyle w:val="yTableNAm"/>
            </w:pPr>
            <w:r>
              <w:t>25.</w:t>
            </w:r>
          </w:p>
        </w:tc>
        <w:tc>
          <w:tcPr>
            <w:tcW w:w="2551" w:type="dxa"/>
            <w:tcBorders>
              <w:bottom w:val="single" w:sz="4" w:space="0" w:color="auto"/>
            </w:tcBorders>
          </w:tcPr>
          <w:p>
            <w:pPr>
              <w:pStyle w:val="yTableNAm"/>
            </w:pPr>
            <w:r>
              <w:t>Top half versus bottom half</w:t>
            </w:r>
          </w:p>
        </w:tc>
        <w:tc>
          <w:tcPr>
            <w:tcW w:w="3544" w:type="dxa"/>
            <w:tcBorders>
              <w:bottom w:val="single" w:sz="4" w:space="0" w:color="auto"/>
            </w:tcBorders>
          </w:tcPr>
          <w:p>
            <w:pPr>
              <w:pStyle w:val="yTableNAm"/>
            </w:pPr>
            <w:r>
              <w:rPr>
                <w:rFonts w:cs="Arial"/>
                <w:szCs w:val="22"/>
              </w:rPr>
              <w:t>RWWA offers odds against the winner of a particular thoroughbred race or harness race coming from the top half or the bottom half of the race field according to the runner number order. If the race field contains an odd number of runners, the top half is allocated the extra runner.</w:t>
            </w:r>
          </w:p>
        </w:tc>
      </w:tr>
      <w:tr>
        <w:tc>
          <w:tcPr>
            <w:tcW w:w="738" w:type="dxa"/>
          </w:tcPr>
          <w:p>
            <w:pPr>
              <w:pStyle w:val="yTableNAm"/>
              <w:keepNext/>
            </w:pPr>
            <w:r>
              <w:lastRenderedPageBreak/>
              <w:t>26.</w:t>
            </w:r>
          </w:p>
        </w:tc>
        <w:tc>
          <w:tcPr>
            <w:tcW w:w="2551" w:type="dxa"/>
          </w:tcPr>
          <w:p>
            <w:pPr>
              <w:pStyle w:val="yTableNAm"/>
              <w:keepNext/>
              <w:keepLines/>
            </w:pPr>
            <w:r>
              <w:t>Top x</w:t>
            </w:r>
          </w:p>
        </w:tc>
        <w:tc>
          <w:tcPr>
            <w:tcW w:w="3544" w:type="dxa"/>
          </w:tcPr>
          <w:p>
            <w:pPr>
              <w:pStyle w:val="yTableNAm"/>
              <w:keepNext/>
            </w:pPr>
            <w:r>
              <w:rPr>
                <w:rFonts w:cs="Arial"/>
                <w:szCs w:val="22"/>
              </w:rPr>
              <w:t>RWWA offers odds against a runner or participant finishing within the placings specified by RWWA. (For example, in a top 2 wager, the runner or participant must finish 1</w:t>
            </w:r>
            <w:r>
              <w:rPr>
                <w:rFonts w:cs="Arial"/>
                <w:szCs w:val="22"/>
                <w:vertAlign w:val="superscript"/>
              </w:rPr>
              <w:t>st</w:t>
            </w:r>
            <w:r>
              <w:rPr>
                <w:rFonts w:cs="Arial"/>
                <w:szCs w:val="22"/>
              </w:rPr>
              <w:t xml:space="preserve"> or 2</w:t>
            </w:r>
            <w:r>
              <w:rPr>
                <w:rFonts w:cs="Arial"/>
                <w:szCs w:val="22"/>
                <w:vertAlign w:val="superscript"/>
              </w:rPr>
              <w:t>nd</w:t>
            </w:r>
            <w:r>
              <w:rPr>
                <w:rFonts w:cs="Arial"/>
                <w:szCs w:val="22"/>
              </w:rPr>
              <w:t>; in a top 5 wager, the runner or participant must finish 1</w:t>
            </w:r>
            <w:r>
              <w:rPr>
                <w:rFonts w:cs="Arial"/>
                <w:szCs w:val="22"/>
                <w:vertAlign w:val="superscript"/>
              </w:rPr>
              <w:t>st</w:t>
            </w:r>
            <w:r>
              <w:rPr>
                <w:rFonts w:cs="Arial"/>
                <w:szCs w:val="22"/>
              </w:rPr>
              <w:t>, 2</w:t>
            </w:r>
            <w:r>
              <w:rPr>
                <w:rFonts w:cs="Arial"/>
                <w:szCs w:val="22"/>
                <w:vertAlign w:val="superscript"/>
              </w:rPr>
              <w:t>nd</w:t>
            </w:r>
            <w:r>
              <w:rPr>
                <w:rFonts w:cs="Arial"/>
                <w:szCs w:val="22"/>
              </w:rPr>
              <w:t>, 3</w:t>
            </w:r>
            <w:r>
              <w:rPr>
                <w:rFonts w:cs="Arial"/>
                <w:szCs w:val="22"/>
                <w:vertAlign w:val="superscript"/>
              </w:rPr>
              <w:t>rd</w:t>
            </w:r>
            <w:r>
              <w:rPr>
                <w:rFonts w:cs="Arial"/>
                <w:szCs w:val="22"/>
              </w:rPr>
              <w:t>, 4</w:t>
            </w:r>
            <w:r>
              <w:rPr>
                <w:rFonts w:cs="Arial"/>
                <w:szCs w:val="22"/>
                <w:vertAlign w:val="superscript"/>
              </w:rPr>
              <w:t>th</w:t>
            </w:r>
            <w:r>
              <w:rPr>
                <w:rFonts w:cs="Arial"/>
                <w:szCs w:val="22"/>
              </w:rPr>
              <w:t xml:space="preserve"> or 5</w:t>
            </w:r>
            <w:r>
              <w:rPr>
                <w:rFonts w:cs="Arial"/>
                <w:szCs w:val="22"/>
                <w:vertAlign w:val="superscript"/>
              </w:rPr>
              <w:t>th</w:t>
            </w:r>
            <w:r>
              <w:rPr>
                <w:rFonts w:cs="Arial"/>
                <w:szCs w:val="22"/>
              </w:rPr>
              <w:t>).</w:t>
            </w:r>
          </w:p>
        </w:tc>
      </w:tr>
      <w:tr>
        <w:tc>
          <w:tcPr>
            <w:tcW w:w="738" w:type="dxa"/>
          </w:tcPr>
          <w:p>
            <w:pPr>
              <w:pStyle w:val="yTableNAm"/>
            </w:pPr>
            <w:r>
              <w:t>27.</w:t>
            </w:r>
          </w:p>
        </w:tc>
        <w:tc>
          <w:tcPr>
            <w:tcW w:w="2551" w:type="dxa"/>
          </w:tcPr>
          <w:p>
            <w:pPr>
              <w:pStyle w:val="yTableNAm"/>
            </w:pPr>
            <w:r>
              <w:t>Total winning saddlecloth numbers</w:t>
            </w:r>
          </w:p>
        </w:tc>
        <w:tc>
          <w:tcPr>
            <w:tcW w:w="3544" w:type="dxa"/>
          </w:tcPr>
          <w:p>
            <w:pPr>
              <w:pStyle w:val="yTableNAm"/>
              <w:keepLines/>
            </w:pPr>
            <w:r>
              <w:rPr>
                <w:rFonts w:cs="Arial"/>
                <w:szCs w:val="22"/>
              </w:rPr>
              <w:t>RWWA offers odds against the collective total of the official winning saddlecloth or rug numbers for each race of a particular race meeting or series of races nominated by RWWA. The winning saddlecloth or rug numbers from each applicable race are added together to determine the total winning number.</w:t>
            </w:r>
          </w:p>
        </w:tc>
      </w:tr>
      <w:tr>
        <w:tc>
          <w:tcPr>
            <w:tcW w:w="738" w:type="dxa"/>
          </w:tcPr>
          <w:p>
            <w:pPr>
              <w:pStyle w:val="yTableNAm"/>
            </w:pPr>
            <w:r>
              <w:t>28.</w:t>
            </w:r>
          </w:p>
        </w:tc>
        <w:tc>
          <w:tcPr>
            <w:tcW w:w="2551" w:type="dxa"/>
          </w:tcPr>
          <w:p>
            <w:pPr>
              <w:pStyle w:val="yTableNAm"/>
            </w:pPr>
            <w:r>
              <w:t>Number of winners</w:t>
            </w:r>
          </w:p>
        </w:tc>
        <w:tc>
          <w:tcPr>
            <w:tcW w:w="3544" w:type="dxa"/>
          </w:tcPr>
          <w:p>
            <w:pPr>
              <w:pStyle w:val="yTableNAm"/>
              <w:keepLines/>
              <w:rPr>
                <w:rFonts w:cs="Arial"/>
                <w:szCs w:val="22"/>
              </w:rPr>
            </w:pPr>
            <w:r>
              <w:t>RWWA offers odds against the number of winning rides/drives a nominated jockey/driver will amass at a race meeting or series of races or the number of winning runners that will be trained by a nominated trainer at a race meeting or series of races.</w:t>
            </w:r>
          </w:p>
        </w:tc>
      </w:tr>
      <w:tr>
        <w:tc>
          <w:tcPr>
            <w:tcW w:w="738" w:type="dxa"/>
          </w:tcPr>
          <w:p>
            <w:pPr>
              <w:pStyle w:val="yTableNAm"/>
            </w:pPr>
            <w:r>
              <w:t>29.</w:t>
            </w:r>
          </w:p>
        </w:tc>
        <w:tc>
          <w:tcPr>
            <w:tcW w:w="2551" w:type="dxa"/>
          </w:tcPr>
          <w:p>
            <w:pPr>
              <w:pStyle w:val="yTableNAm"/>
            </w:pPr>
            <w:r>
              <w:t>Jockey premiership</w:t>
            </w:r>
          </w:p>
        </w:tc>
        <w:tc>
          <w:tcPr>
            <w:tcW w:w="3544" w:type="dxa"/>
          </w:tcPr>
          <w:p>
            <w:pPr>
              <w:pStyle w:val="yTableNAm"/>
              <w:keepLines/>
              <w:rPr>
                <w:rFonts w:cs="Arial"/>
                <w:szCs w:val="22"/>
              </w:rPr>
            </w:pPr>
            <w:r>
              <w:t>RWWA offers odds against the jockey to win the premiership, as awarded by the relevant Principal Racing Authority, in a nominated country, state, territory or jurisdiction.</w:t>
            </w:r>
            <w:r>
              <w:rPr>
                <w:spacing w:val="-4"/>
                <w:sz w:val="24"/>
                <w:szCs w:val="24"/>
              </w:rPr>
              <w:t xml:space="preserve"> </w:t>
            </w:r>
          </w:p>
        </w:tc>
      </w:tr>
      <w:tr>
        <w:tc>
          <w:tcPr>
            <w:tcW w:w="738" w:type="dxa"/>
          </w:tcPr>
          <w:p>
            <w:pPr>
              <w:pStyle w:val="yTableNAm"/>
            </w:pPr>
            <w:r>
              <w:lastRenderedPageBreak/>
              <w:t>30.</w:t>
            </w:r>
          </w:p>
        </w:tc>
        <w:tc>
          <w:tcPr>
            <w:tcW w:w="2551" w:type="dxa"/>
          </w:tcPr>
          <w:p>
            <w:pPr>
              <w:pStyle w:val="yTableNAm"/>
            </w:pPr>
            <w:r>
              <w:t>Driver premiership</w:t>
            </w:r>
          </w:p>
        </w:tc>
        <w:tc>
          <w:tcPr>
            <w:tcW w:w="3544" w:type="dxa"/>
          </w:tcPr>
          <w:p>
            <w:pPr>
              <w:pStyle w:val="yTableNAm"/>
              <w:keepLines/>
            </w:pPr>
            <w:r>
              <w:t>RWWA offers odds against the driver to win the premiership, as awarded by the relevant Principal Racing Authority, in a nominated country, state, territory or jurisdiction.</w:t>
            </w:r>
          </w:p>
        </w:tc>
      </w:tr>
      <w:tr>
        <w:tc>
          <w:tcPr>
            <w:tcW w:w="738" w:type="dxa"/>
            <w:tcBorders>
              <w:bottom w:val="single" w:sz="4" w:space="0" w:color="auto"/>
            </w:tcBorders>
          </w:tcPr>
          <w:p>
            <w:pPr>
              <w:pStyle w:val="yTableNAm"/>
            </w:pPr>
            <w:r>
              <w:t>31.</w:t>
            </w:r>
          </w:p>
        </w:tc>
        <w:tc>
          <w:tcPr>
            <w:tcW w:w="2551" w:type="dxa"/>
            <w:tcBorders>
              <w:bottom w:val="single" w:sz="4" w:space="0" w:color="auto"/>
            </w:tcBorders>
          </w:tcPr>
          <w:p>
            <w:pPr>
              <w:pStyle w:val="yTableNAm"/>
            </w:pPr>
            <w:r>
              <w:t>Trainer premiership</w:t>
            </w:r>
          </w:p>
        </w:tc>
        <w:tc>
          <w:tcPr>
            <w:tcW w:w="3544" w:type="dxa"/>
            <w:tcBorders>
              <w:bottom w:val="single" w:sz="4" w:space="0" w:color="auto"/>
            </w:tcBorders>
          </w:tcPr>
          <w:p>
            <w:pPr>
              <w:pStyle w:val="yTableNAm"/>
              <w:keepLines/>
            </w:pPr>
            <w:r>
              <w:t>RWWA offers odds against the trainer to win the premiership, as awarded by the relevant Principal Racing Authority, in a nominated country, state, territory or jurisdiction.</w:t>
            </w:r>
          </w:p>
        </w:tc>
      </w:tr>
    </w:tbl>
    <w:p>
      <w:pPr>
        <w:pStyle w:val="yFootnotesection"/>
      </w:pPr>
      <w:r>
        <w:tab/>
        <w:t>[Schedule 2 inserted: SL 2021/188 r. 13; amended: Gazette 15 Jul 2022 p. 4178.]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38" w:name="_Toc210382692"/>
      <w:bookmarkStart w:id="139" w:name="_Toc210383701"/>
      <w:bookmarkStart w:id="140" w:name="_Toc210395221"/>
      <w:bookmarkStart w:id="141" w:name="_Toc210395328"/>
      <w:r>
        <w:lastRenderedPageBreak/>
        <w:t>Notes</w:t>
      </w:r>
      <w:bookmarkEnd w:id="138"/>
      <w:bookmarkEnd w:id="139"/>
      <w:bookmarkEnd w:id="140"/>
      <w:bookmarkEnd w:id="141"/>
    </w:p>
    <w:p>
      <w:pPr>
        <w:pStyle w:val="nStatement"/>
      </w:pPr>
      <w:r>
        <w:t xml:space="preserve">This is a compilation of the </w:t>
      </w:r>
      <w:r>
        <w:rPr>
          <w:i/>
          <w:noProof/>
        </w:rPr>
        <w:t>Rules of Wagering 2005</w:t>
      </w:r>
      <w:r>
        <w:t xml:space="preserve"> and includes amendments made by other written laws. For provisions that have come into operation, and for information about any reprints, see the compilation table.</w:t>
      </w:r>
    </w:p>
    <w:p>
      <w:pPr>
        <w:pStyle w:val="nHeading3"/>
      </w:pPr>
      <w:bookmarkStart w:id="142" w:name="_Toc210395329"/>
      <w:r>
        <w:t>Compilation table</w:t>
      </w:r>
      <w:bookmarkEnd w:id="1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lastRenderedPageBreak/>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bCs/>
                <w:snapToGrid w:val="0"/>
                <w:spacing w:val="-2"/>
              </w:rPr>
              <w:t>r. 1 and 2: 16 Dec 2014 (see r. 2(a));</w:t>
            </w:r>
            <w:r>
              <w:rPr>
                <w:bCs/>
                <w:snapToGrid w:val="0"/>
                <w:spacing w:val="-2"/>
              </w:rPr>
              <w:br/>
              <w:t>Rules other than r. 1 and 2: 17 Dec 2014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bCs/>
                <w:snapToGrid w:val="0"/>
                <w:spacing w:val="-2"/>
              </w:rPr>
            </w:pPr>
            <w:r>
              <w:rPr>
                <w:bCs/>
                <w:snapToGrid w:val="0"/>
                <w:spacing w:val="-2"/>
              </w:rPr>
              <w:t>r. 1 and 2: 22 Mar 2016 (see r. 2(a));</w:t>
            </w:r>
            <w:r>
              <w:rPr>
                <w:bCs/>
                <w:snapToGrid w:val="0"/>
                <w:spacing w:val="-2"/>
              </w:rPr>
              <w:br/>
              <w:t>Rules other than r. 1 and 2: 23 Mar 2016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rPr>
              <w:t>Rules of Wagering Amendment Rules 2017</w:t>
            </w:r>
          </w:p>
        </w:tc>
        <w:tc>
          <w:tcPr>
            <w:tcW w:w="1276" w:type="dxa"/>
          </w:tcPr>
          <w:p>
            <w:pPr>
              <w:pStyle w:val="nTable"/>
              <w:keepNext/>
              <w:spacing w:after="40"/>
            </w:pPr>
            <w:r>
              <w:t>11 Aug 2017 p. 4354</w:t>
            </w:r>
            <w:r>
              <w:noBreakHyphen/>
              <w:t>5</w:t>
            </w:r>
          </w:p>
        </w:tc>
        <w:tc>
          <w:tcPr>
            <w:tcW w:w="2693" w:type="dxa"/>
          </w:tcPr>
          <w:p>
            <w:pPr>
              <w:pStyle w:val="nTable"/>
              <w:keepNext/>
              <w:spacing w:after="40"/>
              <w:rPr>
                <w:bCs/>
                <w:snapToGrid w:val="0"/>
                <w:spacing w:val="-2"/>
              </w:rPr>
            </w:pPr>
            <w:r>
              <w:rPr>
                <w:bCs/>
                <w:snapToGrid w:val="0"/>
                <w:spacing w:val="-2"/>
              </w:rPr>
              <w:t>r. 1 and 2: 11 Aug 2017 (see r. 2(a));</w:t>
            </w:r>
            <w:r>
              <w:rPr>
                <w:bCs/>
                <w:snapToGrid w:val="0"/>
                <w:spacing w:val="-2"/>
              </w:rPr>
              <w:br/>
              <w:t>Rules other than r. 1 and 2: 12 Aug 2017 (see r. 2(b))</w:t>
            </w:r>
          </w:p>
        </w:tc>
      </w:tr>
      <w:tr>
        <w:tc>
          <w:tcPr>
            <w:tcW w:w="3118" w:type="dxa"/>
            <w:tcBorders>
              <w:top w:val="nil"/>
              <w:bottom w:val="nil"/>
            </w:tcBorders>
          </w:tcPr>
          <w:p>
            <w:pPr>
              <w:pStyle w:val="nTable"/>
              <w:keepNext/>
              <w:spacing w:after="40"/>
              <w:rPr>
                <w:i/>
              </w:rPr>
            </w:pPr>
            <w:r>
              <w:rPr>
                <w:i/>
              </w:rPr>
              <w:t>Rules of Wagering Amendment Rules 2019</w:t>
            </w:r>
          </w:p>
        </w:tc>
        <w:tc>
          <w:tcPr>
            <w:tcW w:w="1276" w:type="dxa"/>
            <w:tcBorders>
              <w:top w:val="nil"/>
              <w:bottom w:val="nil"/>
            </w:tcBorders>
          </w:tcPr>
          <w:p>
            <w:pPr>
              <w:pStyle w:val="nTable"/>
              <w:keepNext/>
              <w:spacing w:after="40"/>
            </w:pPr>
            <w:r>
              <w:t>15 Mar 2019 p. 797-801</w:t>
            </w:r>
          </w:p>
        </w:tc>
        <w:tc>
          <w:tcPr>
            <w:tcW w:w="2693" w:type="dxa"/>
            <w:tcBorders>
              <w:top w:val="nil"/>
              <w:bottom w:val="nil"/>
            </w:tcBorders>
          </w:tcPr>
          <w:p>
            <w:pPr>
              <w:pStyle w:val="nTable"/>
              <w:keepNext/>
              <w:spacing w:after="40"/>
              <w:rPr>
                <w:bCs/>
                <w:snapToGrid w:val="0"/>
                <w:spacing w:val="-2"/>
              </w:rPr>
            </w:pPr>
            <w:r>
              <w:rPr>
                <w:bCs/>
                <w:snapToGrid w:val="0"/>
                <w:spacing w:val="-2"/>
              </w:rPr>
              <w:t>r. 1 and 2: 15 Mar 2019 (see r. 2(a));</w:t>
            </w:r>
            <w:r>
              <w:rPr>
                <w:bCs/>
                <w:snapToGrid w:val="0"/>
                <w:spacing w:val="-2"/>
              </w:rPr>
              <w:br/>
              <w:t>Rules other than r. 1 and 2: 16 Mar 2019 (see r. 2(b))</w:t>
            </w:r>
          </w:p>
        </w:tc>
      </w:tr>
      <w:tr>
        <w:tc>
          <w:tcPr>
            <w:tcW w:w="3118" w:type="dxa"/>
            <w:tcBorders>
              <w:top w:val="nil"/>
              <w:bottom w:val="nil"/>
            </w:tcBorders>
          </w:tcPr>
          <w:p>
            <w:pPr>
              <w:pStyle w:val="nTable"/>
              <w:keepNext/>
              <w:spacing w:after="40"/>
              <w:rPr>
                <w:i/>
              </w:rPr>
            </w:pPr>
            <w:r>
              <w:rPr>
                <w:i/>
              </w:rPr>
              <w:t>Rules of Wagering Amendment Rules 2021</w:t>
            </w:r>
          </w:p>
        </w:tc>
        <w:tc>
          <w:tcPr>
            <w:tcW w:w="1276" w:type="dxa"/>
            <w:tcBorders>
              <w:top w:val="nil"/>
              <w:bottom w:val="nil"/>
            </w:tcBorders>
          </w:tcPr>
          <w:p>
            <w:pPr>
              <w:pStyle w:val="nTable"/>
              <w:keepNext/>
              <w:spacing w:after="40"/>
            </w:pPr>
            <w:r>
              <w:t>SL 2021/188 8 Nov 2021</w:t>
            </w:r>
          </w:p>
        </w:tc>
        <w:tc>
          <w:tcPr>
            <w:tcW w:w="2693" w:type="dxa"/>
            <w:tcBorders>
              <w:top w:val="nil"/>
              <w:bottom w:val="nil"/>
            </w:tcBorders>
          </w:tcPr>
          <w:p>
            <w:pPr>
              <w:pStyle w:val="nTable"/>
              <w:keepNext/>
              <w:spacing w:after="40"/>
              <w:rPr>
                <w:bCs/>
                <w:snapToGrid w:val="0"/>
                <w:spacing w:val="-2"/>
              </w:rPr>
            </w:pPr>
            <w:r>
              <w:rPr>
                <w:bCs/>
                <w:snapToGrid w:val="0"/>
                <w:spacing w:val="-2"/>
              </w:rPr>
              <w:t>r. 1 and 2: 8 Nov 2021 (see r. 2(a));</w:t>
            </w:r>
            <w:r>
              <w:rPr>
                <w:bCs/>
                <w:snapToGrid w:val="0"/>
                <w:spacing w:val="-2"/>
              </w:rPr>
              <w:br/>
              <w:t>Rules other than r. 1 and 2: 9 Nov 2021 (see r. 2(b))</w:t>
            </w:r>
          </w:p>
        </w:tc>
      </w:tr>
      <w:tr>
        <w:tc>
          <w:tcPr>
            <w:tcW w:w="3118" w:type="dxa"/>
            <w:tcBorders>
              <w:top w:val="nil"/>
              <w:bottom w:val="nil"/>
            </w:tcBorders>
          </w:tcPr>
          <w:p>
            <w:pPr>
              <w:pStyle w:val="nTable"/>
              <w:keepNext/>
              <w:spacing w:after="40"/>
              <w:rPr>
                <w:i/>
              </w:rPr>
            </w:pPr>
            <w:r>
              <w:rPr>
                <w:i/>
                <w:noProof/>
                <w:snapToGrid w:val="0"/>
              </w:rPr>
              <w:t>Rules of Wagering Amendment Rules (No. 2) 2021</w:t>
            </w:r>
          </w:p>
        </w:tc>
        <w:tc>
          <w:tcPr>
            <w:tcW w:w="1276" w:type="dxa"/>
            <w:tcBorders>
              <w:top w:val="nil"/>
              <w:bottom w:val="nil"/>
            </w:tcBorders>
          </w:tcPr>
          <w:p>
            <w:pPr>
              <w:pStyle w:val="nTable"/>
              <w:keepNext/>
              <w:spacing w:after="40"/>
            </w:pPr>
            <w:r>
              <w:t>19 Nov 2021 p. 5144</w:t>
            </w:r>
          </w:p>
        </w:tc>
        <w:tc>
          <w:tcPr>
            <w:tcW w:w="2693" w:type="dxa"/>
            <w:tcBorders>
              <w:top w:val="nil"/>
              <w:bottom w:val="nil"/>
            </w:tcBorders>
          </w:tcPr>
          <w:p>
            <w:pPr>
              <w:pStyle w:val="nTable"/>
              <w:keepNext/>
              <w:spacing w:after="40"/>
              <w:rPr>
                <w:bCs/>
                <w:snapToGrid w:val="0"/>
                <w:spacing w:val="-2"/>
              </w:rPr>
            </w:pPr>
            <w:r>
              <w:rPr>
                <w:bCs/>
                <w:snapToGrid w:val="0"/>
              </w:rPr>
              <w:t xml:space="preserve">r. 1 and 2: </w:t>
            </w:r>
            <w:r>
              <w:t>19 Nov 2021</w:t>
            </w:r>
            <w:r>
              <w:rPr>
                <w:bCs/>
                <w:snapToGrid w:val="0"/>
              </w:rPr>
              <w:t xml:space="preserve"> (see r. 2(a));</w:t>
            </w:r>
            <w:r>
              <w:rPr>
                <w:bCs/>
                <w:snapToGrid w:val="0"/>
              </w:rPr>
              <w:br/>
              <w:t xml:space="preserve">Rules other than r. 1 and 2: </w:t>
            </w:r>
            <w:r>
              <w:t>20 Nov 2021</w:t>
            </w:r>
            <w:r>
              <w:rPr>
                <w:bCs/>
                <w:snapToGrid w:val="0"/>
              </w:rPr>
              <w:t xml:space="preserve"> (see r. 2(b))</w:t>
            </w:r>
          </w:p>
        </w:tc>
      </w:tr>
      <w:tr>
        <w:tc>
          <w:tcPr>
            <w:tcW w:w="3118" w:type="dxa"/>
            <w:tcBorders>
              <w:top w:val="nil"/>
              <w:bottom w:val="nil"/>
            </w:tcBorders>
          </w:tcPr>
          <w:p>
            <w:pPr>
              <w:pStyle w:val="nTable"/>
              <w:keepNext/>
              <w:spacing w:after="40"/>
              <w:rPr>
                <w:i/>
                <w:noProof/>
                <w:snapToGrid w:val="0"/>
              </w:rPr>
            </w:pPr>
            <w:r>
              <w:rPr>
                <w:i/>
                <w:spacing w:val="-4"/>
              </w:rPr>
              <w:t>Rules of Wagering Amendment Rules 2022</w:t>
            </w:r>
          </w:p>
        </w:tc>
        <w:tc>
          <w:tcPr>
            <w:tcW w:w="1276" w:type="dxa"/>
            <w:tcBorders>
              <w:top w:val="nil"/>
              <w:bottom w:val="nil"/>
            </w:tcBorders>
          </w:tcPr>
          <w:p>
            <w:pPr>
              <w:pStyle w:val="nTable"/>
              <w:keepNext/>
              <w:spacing w:after="40"/>
            </w:pPr>
            <w:r>
              <w:t>15 Jul 2022 p. 4177-8</w:t>
            </w:r>
          </w:p>
        </w:tc>
        <w:tc>
          <w:tcPr>
            <w:tcW w:w="2693" w:type="dxa"/>
            <w:tcBorders>
              <w:top w:val="nil"/>
              <w:bottom w:val="nil"/>
            </w:tcBorders>
          </w:tcPr>
          <w:p>
            <w:pPr>
              <w:pStyle w:val="nTable"/>
              <w:keepNext/>
              <w:spacing w:after="40"/>
              <w:rPr>
                <w:bCs/>
                <w:snapToGrid w:val="0"/>
              </w:rPr>
            </w:pPr>
            <w:r>
              <w:rPr>
                <w:bCs/>
                <w:snapToGrid w:val="0"/>
              </w:rPr>
              <w:t xml:space="preserve">r. 1 and 2: </w:t>
            </w:r>
            <w:r>
              <w:t>15 Jul 2022</w:t>
            </w:r>
            <w:r>
              <w:rPr>
                <w:bCs/>
                <w:snapToGrid w:val="0"/>
              </w:rPr>
              <w:t xml:space="preserve"> (see r. 2(a));</w:t>
            </w:r>
            <w:r>
              <w:rPr>
                <w:bCs/>
                <w:snapToGrid w:val="0"/>
              </w:rPr>
              <w:br/>
              <w:t xml:space="preserve">Rules other than r. 1 and 2: </w:t>
            </w:r>
            <w:r>
              <w:t>16 Jul 2022</w:t>
            </w:r>
            <w:r>
              <w:rPr>
                <w:bCs/>
                <w:snapToGrid w:val="0"/>
              </w:rPr>
              <w:t xml:space="preserve">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keepNext/>
              <w:spacing w:after="40"/>
              <w:rPr>
                <w:i/>
                <w:spacing w:val="-4"/>
              </w:rPr>
            </w:pPr>
            <w:r>
              <w:rPr>
                <w:i/>
                <w:spacing w:val="-4"/>
              </w:rPr>
              <w:t>Rules of Wagering Amendment Rules 2025</w:t>
            </w:r>
          </w:p>
        </w:tc>
        <w:tc>
          <w:tcPr>
            <w:tcW w:w="1276" w:type="dxa"/>
            <w:tcBorders>
              <w:bottom w:val="single" w:sz="4" w:space="0" w:color="auto"/>
            </w:tcBorders>
          </w:tcPr>
          <w:p>
            <w:pPr>
              <w:pStyle w:val="nTable"/>
              <w:keepNext/>
              <w:spacing w:after="40"/>
            </w:pPr>
            <w:r>
              <w:t>SL 2025/175 6 Oct 2025</w:t>
            </w:r>
          </w:p>
        </w:tc>
        <w:tc>
          <w:tcPr>
            <w:tcW w:w="2693" w:type="dxa"/>
            <w:tcBorders>
              <w:bottom w:val="single" w:sz="4" w:space="0" w:color="auto"/>
            </w:tcBorders>
          </w:tcPr>
          <w:p>
            <w:pPr>
              <w:pStyle w:val="nTable"/>
              <w:keepNext/>
              <w:spacing w:after="40"/>
              <w:rPr>
                <w:bCs/>
                <w:snapToGrid w:val="0"/>
              </w:rPr>
            </w:pPr>
            <w:r>
              <w:rPr>
                <w:bCs/>
                <w:snapToGrid w:val="0"/>
              </w:rPr>
              <w:t xml:space="preserve">r. 1 and 2: </w:t>
            </w:r>
            <w:r>
              <w:t>6 Oct 2025</w:t>
            </w:r>
            <w:r>
              <w:rPr>
                <w:bCs/>
                <w:snapToGrid w:val="0"/>
              </w:rPr>
              <w:t xml:space="preserve"> (see r. 2(a));</w:t>
            </w:r>
            <w:r>
              <w:rPr>
                <w:bCs/>
                <w:snapToGrid w:val="0"/>
              </w:rPr>
              <w:br/>
              <w:t xml:space="preserve">Rules other than r. 1 and 2: </w:t>
            </w:r>
            <w:r>
              <w:t>7 Oct 2025</w:t>
            </w:r>
            <w:r>
              <w:rPr>
                <w:bCs/>
                <w:snapToGrid w:val="0"/>
              </w:rPr>
              <w:t xml:space="preserve">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44" w:name="_Toc210395223"/>
      <w:bookmarkStart w:id="145" w:name="_Toc210395330"/>
      <w:r>
        <w:rPr>
          <w:sz w:val="28"/>
        </w:rPr>
        <w:lastRenderedPageBreak/>
        <w:t>Defined terms</w:t>
      </w:r>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 manual</w:t>
      </w:r>
      <w:r>
        <w:tab/>
        <w:t>63</w:t>
      </w:r>
    </w:p>
    <w:p>
      <w:pPr>
        <w:pStyle w:val="DefinedTerms"/>
      </w:pPr>
      <w:r>
        <w:t>agency settlement</w:t>
      </w:r>
      <w:r>
        <w:tab/>
        <w:t>63</w:t>
      </w:r>
    </w:p>
    <w:p>
      <w:pPr>
        <w:pStyle w:val="DefinedTerms"/>
      </w:pPr>
      <w:r>
        <w:t>approved event</w:t>
      </w:r>
      <w:r>
        <w:tab/>
        <w:t>3(1)</w:t>
      </w:r>
    </w:p>
    <w:p>
      <w:pPr>
        <w:pStyle w:val="DefinedTerms"/>
      </w:pPr>
      <w:r>
        <w:t>Australian totalisator</w:t>
      </w:r>
      <w:r>
        <w:tab/>
        <w:t>3(1)</w:t>
      </w:r>
    </w:p>
    <w:p>
      <w:pPr>
        <w:pStyle w:val="DefinedTerms"/>
      </w:pPr>
      <w:r>
        <w:t>before noms wager</w:t>
      </w:r>
      <w:r>
        <w:tab/>
        <w:t>62A</w:t>
      </w:r>
    </w:p>
    <w:p>
      <w:pPr>
        <w:pStyle w:val="DefinedTerms"/>
      </w:pPr>
      <w:r>
        <w:t>bet</w:t>
      </w:r>
      <w:r>
        <w:tab/>
        <w:t>3(2)</w:t>
      </w:r>
    </w:p>
    <w:p>
      <w:pPr>
        <w:pStyle w:val="DefinedTerms"/>
      </w:pPr>
      <w:r>
        <w:t>bet back</w:t>
      </w:r>
      <w:r>
        <w:tab/>
        <w:t>3(1)</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box (trap) number</w:t>
      </w:r>
      <w:r>
        <w:tab/>
        <w:t>3(1)</w:t>
      </w:r>
    </w:p>
    <w:p>
      <w:pPr>
        <w:pStyle w:val="DefinedTerms"/>
      </w:pPr>
      <w:r>
        <w:t>cash</w:t>
      </w:r>
      <w:r>
        <w:tab/>
        <w:t>3(1)</w:t>
      </w:r>
    </w:p>
    <w:p>
      <w:pPr>
        <w:pStyle w:val="DefinedTerms"/>
      </w:pPr>
      <w:r>
        <w:t>cash out amount</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correct cash out amount</w:t>
      </w:r>
      <w:r>
        <w:tab/>
        <w:t>62U(1)</w:t>
      </w:r>
    </w:p>
    <w:p>
      <w:pPr>
        <w:pStyle w:val="DefinedTerms"/>
      </w:pPr>
      <w:r>
        <w:t>dead heat</w:t>
      </w:r>
      <w:r>
        <w:tab/>
        <w:t>62S(1)</w:t>
      </w:r>
    </w:p>
    <w:p>
      <w:pPr>
        <w:pStyle w:val="DefinedTerms"/>
      </w:pPr>
      <w:r>
        <w:t>depositor</w:t>
      </w:r>
      <w:r>
        <w:tab/>
        <w:t>3(1)</w:t>
      </w:r>
    </w:p>
    <w:p>
      <w:pPr>
        <w:pStyle w:val="DefinedTerms"/>
      </w:pPr>
      <w:r>
        <w:t>dividend</w:t>
      </w:r>
      <w:r>
        <w:tab/>
        <w:t>3(1)</w:t>
      </w:r>
    </w:p>
    <w:p>
      <w:pPr>
        <w:pStyle w:val="DefinedTerms"/>
      </w:pPr>
      <w:r>
        <w:t>domestic betting operator</w:t>
      </w:r>
      <w:r>
        <w:tab/>
        <w:t>44(1A)</w:t>
      </w:r>
    </w:p>
    <w:p>
      <w:pPr>
        <w:pStyle w:val="DefinedTerms"/>
      </w:pPr>
      <w:r>
        <w:t>doubles wager</w:t>
      </w:r>
      <w:r>
        <w:tab/>
        <w:t>3(1)</w:t>
      </w:r>
    </w:p>
    <w:p>
      <w:pPr>
        <w:pStyle w:val="DefinedTerms"/>
      </w:pPr>
      <w:r>
        <w:t>draw</w:t>
      </w:r>
      <w:r>
        <w:tab/>
        <w:t>28(2)</w:t>
      </w:r>
    </w:p>
    <w:p>
      <w:pPr>
        <w:pStyle w:val="DefinedTerms"/>
      </w:pPr>
      <w:r>
        <w:t>each way wager</w:t>
      </w:r>
      <w:r>
        <w:tab/>
        <w:t>3(1)</w:t>
      </w:r>
    </w:p>
    <w:p>
      <w:pPr>
        <w:pStyle w:val="DefinedTerms"/>
      </w:pPr>
      <w:r>
        <w:t>error</w:t>
      </w:r>
      <w:r>
        <w:tab/>
        <w:t>62U(1)</w:t>
      </w:r>
    </w:p>
    <w:p>
      <w:pPr>
        <w:pStyle w:val="DefinedTerms"/>
      </w:pPr>
      <w:r>
        <w:t>final field</w:t>
      </w:r>
      <w:r>
        <w:tab/>
        <w:t>62A</w:t>
      </w:r>
    </w:p>
    <w:p>
      <w:pPr>
        <w:pStyle w:val="DefinedTerms"/>
      </w:pPr>
      <w:r>
        <w:t>fixed odds wager</w:t>
      </w:r>
      <w:r>
        <w:tab/>
        <w:t>3(1)</w:t>
      </w:r>
    </w:p>
    <w:p>
      <w:pPr>
        <w:pStyle w:val="DefinedTerms"/>
      </w:pPr>
      <w:r>
        <w:t>flat commission method</w:t>
      </w:r>
      <w:r>
        <w:tab/>
        <w:t>16(2)</w:t>
      </w:r>
    </w:p>
    <w:p>
      <w:pPr>
        <w:pStyle w:val="DefinedTerms"/>
      </w:pPr>
      <w:r>
        <w:t>Flexi Bet</w:t>
      </w:r>
      <w:r>
        <w:tab/>
        <w:t>3(1)</w:t>
      </w:r>
    </w:p>
    <w:p>
      <w:pPr>
        <w:pStyle w:val="DefinedTerms"/>
      </w:pPr>
      <w:r>
        <w:t>footo</w:t>
      </w:r>
      <w:r>
        <w:tab/>
        <w:t>23(2)</w:t>
      </w:r>
    </w:p>
    <w:p>
      <w:pPr>
        <w:pStyle w:val="DefinedTerms"/>
      </w:pPr>
      <w:r>
        <w:t>futures wager</w:t>
      </w:r>
      <w:r>
        <w:tab/>
        <w:t>62A</w:t>
      </w:r>
    </w:p>
    <w:p>
      <w:pPr>
        <w:pStyle w:val="DefinedTerms"/>
      </w:pPr>
      <w:r>
        <w:t>game pool</w:t>
      </w:r>
      <w:r>
        <w:tab/>
        <w:t>25(2)</w:t>
      </w:r>
    </w:p>
    <w:p>
      <w:pPr>
        <w:pStyle w:val="DefinedTerms"/>
      </w:pPr>
      <w:r>
        <w:t>internet wagering</w:t>
      </w:r>
      <w:r>
        <w:tab/>
        <w:t>3(1)</w:t>
      </w:r>
    </w:p>
    <w:p>
      <w:pPr>
        <w:pStyle w:val="DefinedTerms"/>
      </w:pPr>
      <w:r>
        <w:t>in the run wager</w:t>
      </w:r>
      <w:r>
        <w:tab/>
        <w:t>62A</w:t>
      </w:r>
    </w:p>
    <w:p>
      <w:pPr>
        <w:pStyle w:val="DefinedTerms"/>
      </w:pPr>
      <w:r>
        <w:t>investor</w:t>
      </w:r>
      <w:r>
        <w:tab/>
        <w:t>3(1)</w:t>
      </w:r>
    </w:p>
    <w:p>
      <w:pPr>
        <w:pStyle w:val="DefinedTerms"/>
      </w:pPr>
      <w:r>
        <w:t>judge</w:t>
      </w:r>
      <w:r>
        <w:tab/>
        <w:t>3(1)</w:t>
      </w:r>
    </w:p>
    <w:p>
      <w:pPr>
        <w:pStyle w:val="DefinedTerms"/>
      </w:pPr>
      <w:r>
        <w:t>late scratched runner</w:t>
      </w:r>
      <w:r>
        <w:tab/>
        <w:t>56(1), 62A</w:t>
      </w:r>
    </w:p>
    <w:p>
      <w:pPr>
        <w:pStyle w:val="DefinedTerms"/>
      </w:pPr>
      <w:r>
        <w:t>losing wagers method</w:t>
      </w:r>
      <w:r>
        <w:tab/>
        <w:t>16(2)</w:t>
      </w:r>
    </w:p>
    <w:p>
      <w:pPr>
        <w:pStyle w:val="DefinedTerms"/>
      </w:pPr>
      <w:r>
        <w:t>middle dividend</w:t>
      </w:r>
      <w:r>
        <w:tab/>
        <w:t>3(1)</w:t>
      </w:r>
    </w:p>
    <w:p>
      <w:pPr>
        <w:pStyle w:val="DefinedTerms"/>
      </w:pPr>
      <w:r>
        <w:lastRenderedPageBreak/>
        <w:t>mistaken acceptance</w:t>
      </w:r>
      <w:r>
        <w:tab/>
        <w:t>62U(1)</w:t>
      </w:r>
    </w:p>
    <w:p>
      <w:pPr>
        <w:pStyle w:val="DefinedTerms"/>
      </w:pPr>
      <w:r>
        <w:t>mistaken cash out amount</w:t>
      </w:r>
      <w:r>
        <w:tab/>
        <w:t>62U(1)</w:t>
      </w:r>
    </w:p>
    <w:p>
      <w:pPr>
        <w:pStyle w:val="DefinedTerms"/>
      </w:pPr>
      <w:r>
        <w:t>multiple doubles wager</w:t>
      </w:r>
      <w:r>
        <w:tab/>
        <w:t>3(1)</w:t>
      </w:r>
    </w:p>
    <w:p>
      <w:pPr>
        <w:pStyle w:val="DefinedTerms"/>
      </w:pPr>
      <w:r>
        <w:t>multi wager</w:t>
      </w:r>
      <w:r>
        <w:tab/>
        <w:t>3(1)</w:t>
      </w:r>
    </w:p>
    <w:p>
      <w:pPr>
        <w:pStyle w:val="DefinedTerms"/>
      </w:pPr>
      <w:r>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 62A</w:t>
      </w:r>
    </w:p>
    <w:p>
      <w:pPr>
        <w:pStyle w:val="DefinedTerms"/>
      </w:pPr>
      <w:r>
        <w:t>odds portion</w:t>
      </w:r>
      <w:r>
        <w:tab/>
        <w:t>49(1), 62A</w:t>
      </w:r>
    </w:p>
    <w:p>
      <w:pPr>
        <w:pStyle w:val="DefinedTerms"/>
      </w:pPr>
      <w:r>
        <w:t>official result</w:t>
      </w:r>
      <w:r>
        <w:tab/>
        <w:t>3(1)</w:t>
      </w:r>
    </w:p>
    <w:p>
      <w:pPr>
        <w:pStyle w:val="DefinedTerms"/>
      </w:pPr>
      <w:r>
        <w:t>on-course totalisator</w:t>
      </w:r>
      <w:r>
        <w:tab/>
        <w:t>3(1)</w:t>
      </w:r>
    </w:p>
    <w:p>
      <w:pPr>
        <w:pStyle w:val="DefinedTerms"/>
      </w:pPr>
      <w:r>
        <w:t>on-course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prescribed commission</w:t>
      </w:r>
      <w:r>
        <w:tab/>
        <w:t>3(1)</w:t>
      </w:r>
    </w:p>
    <w:p>
      <w:pPr>
        <w:pStyle w:val="DefinedTerms"/>
      </w:pPr>
      <w:r>
        <w:t>pricing information body</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rules of racing</w:t>
      </w:r>
      <w:r>
        <w:tab/>
        <w:t>3(1)</w:t>
      </w:r>
    </w:p>
    <w:p>
      <w:pPr>
        <w:pStyle w:val="DefinedTerms"/>
      </w:pPr>
      <w:r>
        <w:t>runner</w:t>
      </w:r>
      <w:r>
        <w:tab/>
        <w:t>3(1)</w:t>
      </w:r>
    </w:p>
    <w:p>
      <w:pPr>
        <w:pStyle w:val="DefinedTerms"/>
      </w:pPr>
      <w:r>
        <w:t>runs</w:t>
      </w:r>
      <w:r>
        <w:tab/>
        <w:t>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 xml:space="preserve">starting price guarantee wager </w:t>
      </w:r>
      <w:r>
        <w:tab/>
        <w:t>3(1)</w:t>
      </w:r>
    </w:p>
    <w:p>
      <w:pPr>
        <w:pStyle w:val="DefinedTerms"/>
      </w:pPr>
      <w:r>
        <w:t>starting price wager</w:t>
      </w:r>
      <w:r>
        <w:tab/>
        <w:t>3(1)</w:t>
      </w:r>
    </w:p>
    <w:p>
      <w:pPr>
        <w:pStyle w:val="DefinedTerms"/>
      </w:pPr>
      <w:r>
        <w:t>successful numbers</w:t>
      </w:r>
      <w:r>
        <w:tab/>
        <w:t>17(2)</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top fluc wager</w:t>
      </w:r>
      <w:r>
        <w:tab/>
        <w:t>3(1)</w:t>
      </w:r>
    </w:p>
    <w:p>
      <w:pPr>
        <w:pStyle w:val="DefinedTerms"/>
      </w:pPr>
      <w:r>
        <w:t>totalisator</w:t>
      </w:r>
      <w:r>
        <w:tab/>
        <w:t>3(1), 44(1A)</w:t>
      </w:r>
    </w:p>
    <w:p>
      <w:pPr>
        <w:pStyle w:val="DefinedTerms"/>
      </w:pPr>
      <w:r>
        <w:t>totalisator agency</w:t>
      </w:r>
      <w:r>
        <w:tab/>
        <w:t>3(1)</w:t>
      </w:r>
    </w:p>
    <w:p>
      <w:pPr>
        <w:pStyle w:val="DefinedTerms"/>
      </w:pPr>
      <w:r>
        <w:t>totalisator operator</w:t>
      </w:r>
      <w:r>
        <w:tab/>
        <w:t>3(1), 16(1)</w:t>
      </w:r>
    </w:p>
    <w:p>
      <w:pPr>
        <w:pStyle w:val="DefinedTerms"/>
      </w:pPr>
      <w:r>
        <w:lastRenderedPageBreak/>
        <w:t>tote bet wager</w:t>
      </w:r>
      <w:r>
        <w:tab/>
        <w:t>3(1)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t>walk-over</w:t>
      </w:r>
      <w:r>
        <w:tab/>
        <w:t>3(1)</w:t>
      </w:r>
    </w:p>
    <w:p>
      <w:pPr>
        <w:pStyle w:val="DefinedTerms"/>
      </w:pPr>
      <w:r>
        <w:t>winning combinations</w:t>
      </w:r>
      <w:r>
        <w:tab/>
        <w:t>18(2)</w:t>
      </w:r>
    </w:p>
    <w:p>
      <w:pPr>
        <w:pStyle w:val="DefinedTerms"/>
      </w:pPr>
      <w:r>
        <w:t>winning relevant novelty wager combination</w:t>
      </w:r>
      <w:r>
        <w:tab/>
        <w:t>18A</w:t>
      </w:r>
    </w:p>
    <w:p>
      <w:pPr>
        <w:pStyle w:val="DefinedTerms"/>
      </w:pPr>
      <w:r>
        <w:t>winning wager</w:t>
      </w:r>
      <w:r>
        <w:tab/>
        <w:t>25(2)</w:t>
      </w:r>
    </w:p>
    <w:p>
      <w:pPr>
        <w:pStyle w:val="DefinedTerms"/>
      </w:pPr>
      <w:r>
        <w:t>win wager</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03111434"/>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 w:name="WAFER_20190314125009" w:val="RemoveTocBookmarks,RemoveUnusedBookmarks,RemoveLanguageTags,ResetPageSize,RunningHeaders,UpdateStyles,UsedStyles"/>
    <w:docVar w:name="WAFER_20190314125009_GUID" w:val="62db3fb7-aca3-4a0d-ab35-fd17d561419d"/>
    <w:docVar w:name="WAFER_20211104093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4093111_GUID" w:val="4f6d7084-3cec-4dda-9b9b-dcef2b818d0e"/>
    <w:docVar w:name="WAFER_20211118112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8112419_GUID" w:val="130c7137-2b60-49ef-8765-7609c2be8475"/>
    <w:docVar w:name="WAFER_20220714133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4133203_GUID" w:val="a73825da-6bc3-47b6-9208-d99985d26519"/>
    <w:docVar w:name="WAFER_20251003111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003111434_GUID" w:val="63ef0709-e5d1-425c-8053-0ab1dfaa5d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9D269D13-1D1D-46DD-B2A4-AE94FD93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70957-4598-4118-A4BB-C1E629938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28901</Words>
  <Characters>133238</Characters>
  <Application>Microsoft Office Word</Application>
  <DocSecurity>0</DocSecurity>
  <Lines>4298</Lines>
  <Paragraphs>2533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2005 - 01-k0-00</dc:title>
  <dc:subject/>
  <dc:creator/>
  <cp:keywords/>
  <dc:description/>
  <cp:lastModifiedBy>Master Repository Process</cp:lastModifiedBy>
  <cp:revision>4</cp:revision>
  <cp:lastPrinted>2014-11-19T03:51:00Z</cp:lastPrinted>
  <dcterms:created xsi:type="dcterms:W3CDTF">2025-10-03T06:56:00Z</dcterms:created>
  <dcterms:modified xsi:type="dcterms:W3CDTF">2025-10-03T06:56:00Z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CommencementDate">
    <vt:lpwstr>20251007</vt:lpwstr>
  </property>
  <property fmtid="{D5CDD505-2E9C-101B-9397-08002B2CF9AE}" pid="8" name="CommencementAsAt">
    <vt:filetime>2025-10-06T16:00:00Z</vt:filetime>
  </property>
  <property fmtid="{D5CDD505-2E9C-101B-9397-08002B2CF9AE}" pid="9" name="CommencementYear">
    <vt:lpwstr>2025</vt:lpwstr>
  </property>
  <property fmtid="{D5CDD505-2E9C-101B-9397-08002B2CF9AE}" pid="10" name="AsAtDate">
    <vt:lpwstr>07 Oct 2025</vt:lpwstr>
  </property>
  <property fmtid="{D5CDD505-2E9C-101B-9397-08002B2CF9AE}" pid="11" name="Suffix">
    <vt:lpwstr>01-k0-00</vt:lpwstr>
  </property>
  <property fmtid="{D5CDD505-2E9C-101B-9397-08002B2CF9AE}" pid="12" name="Official">
    <vt:lpwstr/>
  </property>
</Properties>
</file>