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_Toc210992223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_Toc210992224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Documents in substantially same terms are counterparts (Act s. 4(1CB)(e))</w:t>
      </w:r>
      <w:r>
        <w:tab/>
      </w:r>
      <w:r>
        <w:fldChar w:fldCharType="begin"/>
      </w:r>
      <w:r>
        <w:instrText xml:space="preserve"> PAGEREF _Toc210992226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_Toc210992227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_Toc210992228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_Toc210992229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_Toc210992230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_Toc210992233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_Toc210992234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_Toc210992235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_Toc210992236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_Toc210992237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_Toc210992238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_Toc210992239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_Toc210992241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service</w:t>
      </w:r>
    </w:p>
    <w:p>
      <w:pPr>
        <w:pStyle w:val="TOC8"/>
        <w:rPr>
          <w:rFonts w:asciiTheme="minorHAnsi" w:eastAsiaTheme="minorEastAsia" w:hAnsiTheme="minorHAnsi" w:cstheme="minorBidi"/>
          <w:szCs w:val="22"/>
        </w:rPr>
      </w:pPr>
      <w:r>
        <w:t>9AC.</w:t>
      </w:r>
      <w:r>
        <w:tab/>
        <w:t>Service of notices</w:t>
      </w:r>
      <w:r>
        <w:tab/>
      </w:r>
      <w:r>
        <w:fldChar w:fldCharType="begin"/>
      </w:r>
      <w:r>
        <w:instrText xml:space="preserve"> PAGEREF _Toc210992243 \h </w:instrText>
      </w:r>
      <w:r>
        <w:fldChar w:fldCharType="separate"/>
      </w:r>
      <w:r>
        <w:t>11</w:t>
      </w:r>
      <w:r>
        <w:fldChar w:fldCharType="end"/>
      </w:r>
    </w:p>
    <w:p>
      <w:pPr>
        <w:pStyle w:val="TOC8"/>
        <w:rPr>
          <w:rFonts w:asciiTheme="minorHAnsi" w:eastAsiaTheme="minorEastAsia" w:hAnsiTheme="minorHAnsi" w:cstheme="minorBidi"/>
          <w:szCs w:val="22"/>
        </w:rPr>
      </w:pPr>
      <w:r>
        <w:t>9AD.</w:t>
      </w:r>
      <w:r>
        <w:tab/>
        <w:t>Application of r. 9AC(1) to service of notices on Commissioner or Registrar</w:t>
      </w:r>
      <w:r>
        <w:tab/>
      </w:r>
      <w:r>
        <w:fldChar w:fldCharType="begin"/>
      </w:r>
      <w:r>
        <w:instrText xml:space="preserve"> PAGEREF _Toc210992244 \h </w:instrText>
      </w:r>
      <w:r>
        <w:fldChar w:fldCharType="separate"/>
      </w:r>
      <w:r>
        <w:t>12</w:t>
      </w:r>
      <w:r>
        <w:fldChar w:fldCharType="end"/>
      </w:r>
    </w:p>
    <w:p>
      <w:pPr>
        <w:pStyle w:val="TOC8"/>
        <w:rPr>
          <w:rFonts w:asciiTheme="minorHAnsi" w:eastAsiaTheme="minorEastAsia" w:hAnsiTheme="minorHAnsi" w:cstheme="minorBidi"/>
          <w:szCs w:val="22"/>
        </w:rPr>
      </w:pPr>
      <w:r>
        <w:t>9AE.</w:t>
      </w:r>
      <w:r>
        <w:tab/>
        <w:t>Term used: address</w:t>
      </w:r>
      <w:r>
        <w:tab/>
      </w:r>
      <w:r>
        <w:fldChar w:fldCharType="begin"/>
      </w:r>
      <w:r>
        <w:instrText xml:space="preserve"> PAGEREF _Toc210992245 \h </w:instrText>
      </w:r>
      <w:r>
        <w:fldChar w:fldCharType="separate"/>
      </w:r>
      <w:r>
        <w:t>13</w:t>
      </w:r>
      <w:r>
        <w:fldChar w:fldCharType="end"/>
      </w:r>
    </w:p>
    <w:p>
      <w:pPr>
        <w:pStyle w:val="TOC8"/>
        <w:rPr>
          <w:rFonts w:asciiTheme="minorHAnsi" w:eastAsiaTheme="minorEastAsia" w:hAnsiTheme="minorHAnsi" w:cstheme="minorBidi"/>
          <w:szCs w:val="22"/>
        </w:rPr>
      </w:pPr>
      <w:r>
        <w:t>9AF.</w:t>
      </w:r>
      <w:r>
        <w:tab/>
        <w:t>Service of notices by means of email</w:t>
      </w:r>
      <w:r>
        <w:tab/>
      </w:r>
      <w:r>
        <w:fldChar w:fldCharType="begin"/>
      </w:r>
      <w:r>
        <w:instrText xml:space="preserve"> PAGEREF _Toc210992246 \h </w:instrText>
      </w:r>
      <w:r>
        <w:fldChar w:fldCharType="separate"/>
      </w:r>
      <w:r>
        <w:t>14</w:t>
      </w:r>
      <w:r>
        <w:fldChar w:fldCharType="end"/>
      </w:r>
    </w:p>
    <w:p>
      <w:pPr>
        <w:pStyle w:val="TOC8"/>
        <w:rPr>
          <w:rFonts w:asciiTheme="minorHAnsi" w:eastAsiaTheme="minorEastAsia" w:hAnsiTheme="minorHAnsi" w:cstheme="minorBidi"/>
          <w:szCs w:val="22"/>
        </w:rPr>
      </w:pPr>
      <w:r>
        <w:t>9AG.</w:t>
      </w:r>
      <w:r>
        <w:tab/>
        <w:t>When service is taken to be effected</w:t>
      </w:r>
      <w:r>
        <w:tab/>
      </w:r>
      <w:r>
        <w:fldChar w:fldCharType="begin"/>
      </w:r>
      <w:r>
        <w:instrText xml:space="preserve"> PAGEREF _Toc210992247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_Toc210992249 \h </w:instrText>
      </w:r>
      <w:r>
        <w:fldChar w:fldCharType="separate"/>
      </w:r>
      <w:r>
        <w:t>17</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_Toc210992250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_Toc210992253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_Toc210992255 \h </w:instrText>
      </w:r>
      <w:r>
        <w:fldChar w:fldCharType="separate"/>
      </w:r>
      <w:r>
        <w:t>20</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_Toc210992256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_Toc210992257 \h </w:instrText>
      </w:r>
      <w:r>
        <w:fldChar w:fldCharType="separate"/>
      </w:r>
      <w:r>
        <w:t>22</w:t>
      </w:r>
      <w:r>
        <w:fldChar w:fldCharType="end"/>
      </w:r>
    </w:p>
    <w:p>
      <w:pPr>
        <w:pStyle w:val="TOC8"/>
        <w:rPr>
          <w:rFonts w:asciiTheme="minorHAnsi" w:eastAsiaTheme="minorEastAsia" w:hAnsiTheme="minorHAnsi" w:cstheme="minorBidi"/>
          <w:szCs w:val="22"/>
        </w:rPr>
      </w:pPr>
      <w:r>
        <w:t>14.</w:t>
      </w:r>
      <w:r>
        <w:tab/>
        <w:t>Provision of suppressed information to government organisations</w:t>
      </w:r>
      <w:r>
        <w:tab/>
      </w:r>
      <w:r>
        <w:fldChar w:fldCharType="begin"/>
      </w:r>
      <w:r>
        <w:instrText xml:space="preserve"> PAGEREF _Toc210992258 \h </w:instrText>
      </w:r>
      <w:r>
        <w:fldChar w:fldCharType="separate"/>
      </w:r>
      <w:r>
        <w:t>23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_Toc210992259 \h </w:instrText>
      </w:r>
      <w:r>
        <w:fldChar w:fldCharType="separate"/>
      </w:r>
      <w:r>
        <w:t>23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Registrations and recordings</w:t>
      </w:r>
    </w:p>
    <w:p>
      <w:pPr>
        <w:pStyle w:val="TOC4"/>
        <w:keepNext w:val="0"/>
        <w:tabs>
          <w:tab w:val="right" w:leader="dot" w:pos="7077"/>
        </w:tabs>
        <w:rPr>
          <w:rFonts w:asciiTheme="minorHAnsi" w:eastAsiaTheme="minorEastAsia" w:hAnsiTheme="minorHAnsi" w:cstheme="minorBidi"/>
          <w:b w:val="0"/>
          <w:szCs w:val="22"/>
        </w:rPr>
      </w:pPr>
      <w:r>
        <w:t>Division 2 — Lodgments</w:t>
      </w:r>
    </w:p>
    <w:p>
      <w:pPr>
        <w:pStyle w:val="TOC4"/>
        <w:keepNext w:val="0"/>
        <w:tabs>
          <w:tab w:val="right" w:leader="dot" w:pos="7077"/>
        </w:tabs>
        <w:rPr>
          <w:rFonts w:asciiTheme="minorHAnsi" w:eastAsiaTheme="minorEastAsia" w:hAnsiTheme="minorHAnsi" w:cstheme="minorBidi"/>
          <w:b w:val="0"/>
          <w:szCs w:val="22"/>
        </w:rPr>
      </w:pPr>
      <w:r>
        <w:t>Division 3 — Withdrawals</w:t>
      </w:r>
    </w:p>
    <w:p>
      <w:pPr>
        <w:pStyle w:val="TOC4"/>
        <w:keepNext w:val="0"/>
        <w:tabs>
          <w:tab w:val="right" w:leader="dot" w:pos="7077"/>
        </w:tabs>
        <w:rPr>
          <w:rFonts w:asciiTheme="minorHAnsi" w:eastAsiaTheme="minorEastAsia" w:hAnsiTheme="minorHAnsi" w:cstheme="minorBidi"/>
          <w:b w:val="0"/>
          <w:szCs w:val="22"/>
        </w:rPr>
      </w:pPr>
      <w:r>
        <w:t>Division 4 — Applications</w:t>
      </w:r>
    </w:p>
    <w:p>
      <w:pPr>
        <w:pStyle w:val="TOC4"/>
        <w:keepNext w:val="0"/>
        <w:tabs>
          <w:tab w:val="right" w:leader="dot" w:pos="7077"/>
        </w:tabs>
        <w:rPr>
          <w:rFonts w:asciiTheme="minorHAnsi" w:eastAsiaTheme="minorEastAsia" w:hAnsiTheme="minorHAnsi" w:cstheme="minorBidi"/>
          <w:b w:val="0"/>
          <w:szCs w:val="22"/>
        </w:rPr>
      </w:pPr>
      <w:r>
        <w:t>Division 5 — Certificates</w:t>
      </w:r>
    </w:p>
    <w:p>
      <w:pPr>
        <w:pStyle w:val="TOC4"/>
        <w:keepNext w:val="0"/>
        <w:tabs>
          <w:tab w:val="right" w:leader="dot" w:pos="7077"/>
        </w:tabs>
        <w:rPr>
          <w:rFonts w:asciiTheme="minorHAnsi" w:eastAsiaTheme="minorEastAsia" w:hAnsiTheme="minorHAnsi" w:cstheme="minorBidi"/>
          <w:b w:val="0"/>
          <w:szCs w:val="22"/>
        </w:rPr>
      </w:pPr>
      <w:r>
        <w:lastRenderedPageBreak/>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_Toc210992270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_Toc210992271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2" w:name="_Toc210985335"/>
      <w:bookmarkStart w:id="3" w:name="_Toc210985904"/>
      <w:bookmarkStart w:id="4" w:name="_Toc210992222"/>
      <w:r>
        <w:rPr>
          <w:rStyle w:val="CharPartNo"/>
        </w:rPr>
        <w:t>Part 1</w:t>
      </w:r>
      <w:r>
        <w:rPr>
          <w:b w:val="0"/>
        </w:rPr>
        <w:t> </w:t>
      </w:r>
      <w:r>
        <w:t>—</w:t>
      </w:r>
      <w:r>
        <w:rPr>
          <w:b w:val="0"/>
        </w:rPr>
        <w:t> </w:t>
      </w:r>
      <w:r>
        <w:rPr>
          <w:rStyle w:val="CharPartText"/>
        </w:rPr>
        <w:t>Preliminary</w:t>
      </w:r>
      <w:bookmarkEnd w:id="2"/>
      <w:bookmarkEnd w:id="3"/>
      <w:bookmarkEnd w:id="4"/>
    </w:p>
    <w:p>
      <w:pPr>
        <w:pStyle w:val="Footnoteheading"/>
      </w:pPr>
      <w:r>
        <w:tab/>
        <w:t>[Heading inserted: Gazette 22 May 2009 p. 1700.]</w:t>
      </w:r>
    </w:p>
    <w:p>
      <w:pPr>
        <w:pStyle w:val="Heading5"/>
      </w:pPr>
      <w:bookmarkStart w:id="5" w:name="_Toc210992223"/>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6" w:name="_Toc210992224"/>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6 September 2004.</w:t>
      </w:r>
    </w:p>
    <w:p>
      <w:pPr>
        <w:pStyle w:val="Heading2"/>
      </w:pPr>
      <w:bookmarkStart w:id="7" w:name="_Toc210985338"/>
      <w:bookmarkStart w:id="8" w:name="_Toc210985907"/>
      <w:bookmarkStart w:id="9" w:name="_Toc210992225"/>
      <w:r>
        <w:rPr>
          <w:rStyle w:val="CharPartNo"/>
        </w:rPr>
        <w:lastRenderedPageBreak/>
        <w:t>Part 2</w:t>
      </w:r>
      <w:r>
        <w:rPr>
          <w:b w:val="0"/>
        </w:rPr>
        <w:t> </w:t>
      </w:r>
      <w:r>
        <w:t>—</w:t>
      </w:r>
      <w:r>
        <w:rPr>
          <w:b w:val="0"/>
        </w:rPr>
        <w:t> </w:t>
      </w:r>
      <w:r>
        <w:rPr>
          <w:rStyle w:val="CharPartText"/>
        </w:rPr>
        <w:t>General</w:t>
      </w:r>
      <w:bookmarkEnd w:id="7"/>
      <w:bookmarkEnd w:id="8"/>
      <w:bookmarkEnd w:id="9"/>
    </w:p>
    <w:p>
      <w:pPr>
        <w:pStyle w:val="Footnoteheading"/>
      </w:pPr>
      <w:r>
        <w:tab/>
        <w:t>[Heading inserted: Gazette 22 May 2009 p. 1701.]</w:t>
      </w:r>
    </w:p>
    <w:p>
      <w:pPr>
        <w:pStyle w:val="Heading5"/>
      </w:pPr>
      <w:bookmarkStart w:id="10" w:name="_Toc210992226"/>
      <w:r>
        <w:rPr>
          <w:rStyle w:val="CharSectno"/>
        </w:rPr>
        <w:t>3A</w:t>
      </w:r>
      <w:r>
        <w:t>.</w:t>
      </w:r>
      <w:r>
        <w:tab/>
        <w:t>Documents in substantially same terms are counterparts (Act s. 4(1CB)(e))</w:t>
      </w:r>
      <w:bookmarkEnd w:id="10"/>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11" w:name="_Toc210992227"/>
      <w:r>
        <w:rPr>
          <w:rStyle w:val="CharSectno"/>
        </w:rPr>
        <w:t>3</w:t>
      </w:r>
      <w:r>
        <w:t>.</w:t>
      </w:r>
      <w:r>
        <w:tab/>
        <w:t>Paper documents for lodgment, requirements for</w:t>
      </w:r>
      <w:bookmarkEnd w:id="11"/>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2" w:name="_Toc210992228"/>
      <w:r>
        <w:rPr>
          <w:rStyle w:val="CharSectno"/>
        </w:rPr>
        <w:t>4</w:t>
      </w:r>
      <w:r>
        <w:t>.</w:t>
      </w:r>
      <w:r>
        <w:tab/>
      </w:r>
      <w:r>
        <w:rPr>
          <w:snapToGrid w:val="0"/>
        </w:rPr>
        <w:t>Certificates of title for land in existing certificate</w:t>
      </w:r>
      <w:bookmarkEnd w:id="12"/>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w:t>
      </w:r>
      <w:r>
        <w:rPr>
          <w:snapToGrid w:val="0"/>
        </w:rPr>
        <w:lastRenderedPageBreak/>
        <w:t>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3" w:name="_Toc210992229"/>
      <w:r>
        <w:rPr>
          <w:rStyle w:val="CharSectno"/>
        </w:rPr>
        <w:t>5</w:t>
      </w:r>
      <w:r>
        <w:t>.</w:t>
      </w:r>
      <w:r>
        <w:tab/>
      </w:r>
      <w:r>
        <w:rPr>
          <w:snapToGrid w:val="0"/>
        </w:rPr>
        <w:t>New certificate of title if old one too full for further endorsement</w:t>
      </w:r>
      <w:bookmarkEnd w:id="13"/>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4" w:name="_Toc210992230"/>
      <w:r>
        <w:rPr>
          <w:rStyle w:val="CharSectno"/>
        </w:rPr>
        <w:t>8</w:t>
      </w:r>
      <w:r>
        <w:t>.</w:t>
      </w:r>
      <w:r>
        <w:tab/>
      </w:r>
      <w:r>
        <w:rPr>
          <w:snapToGrid w:val="0"/>
        </w:rPr>
        <w:t>Area prescribed (Act s. 129C(1a))</w:t>
      </w:r>
      <w:bookmarkEnd w:id="14"/>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lastRenderedPageBreak/>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5" w:name="_Toc210985344"/>
      <w:bookmarkStart w:id="16" w:name="_Toc210985913"/>
      <w:bookmarkStart w:id="17" w:name="_Toc210992231"/>
      <w:r>
        <w:rPr>
          <w:rStyle w:val="CharPartNo"/>
        </w:rPr>
        <w:lastRenderedPageBreak/>
        <w:t>Part 3A</w:t>
      </w:r>
      <w:r>
        <w:t> — </w:t>
      </w:r>
      <w:r>
        <w:rPr>
          <w:rStyle w:val="CharPartText"/>
        </w:rPr>
        <w:t xml:space="preserve">Provisions relating to </w:t>
      </w:r>
      <w:r>
        <w:rPr>
          <w:rStyle w:val="CharPartText"/>
          <w:i/>
        </w:rPr>
        <w:t>Electronic Conveyancing Act 2014</w:t>
      </w:r>
      <w:bookmarkEnd w:id="15"/>
      <w:bookmarkEnd w:id="16"/>
      <w:bookmarkEnd w:id="17"/>
    </w:p>
    <w:p>
      <w:pPr>
        <w:pStyle w:val="Footnoteheading"/>
      </w:pPr>
      <w:r>
        <w:tab/>
        <w:t>[Heading inserted: Gazette 30 May 2014 p. 1685.]</w:t>
      </w:r>
    </w:p>
    <w:p>
      <w:pPr>
        <w:pStyle w:val="Heading3"/>
      </w:pPr>
      <w:bookmarkStart w:id="18" w:name="_Toc210985345"/>
      <w:bookmarkStart w:id="19" w:name="_Toc210985914"/>
      <w:bookmarkStart w:id="20" w:name="_Toc210992232"/>
      <w:r>
        <w:rPr>
          <w:rStyle w:val="CharDivNo"/>
        </w:rPr>
        <w:t>Division 1</w:t>
      </w:r>
      <w:r>
        <w:t> — </w:t>
      </w:r>
      <w:r>
        <w:rPr>
          <w:rStyle w:val="CharDivText"/>
        </w:rPr>
        <w:t>Certain registry instruments must be lodged by means of an ELN</w:t>
      </w:r>
      <w:bookmarkEnd w:id="18"/>
      <w:bookmarkEnd w:id="19"/>
      <w:bookmarkEnd w:id="20"/>
    </w:p>
    <w:p>
      <w:pPr>
        <w:pStyle w:val="Footnoteheading"/>
      </w:pPr>
      <w:r>
        <w:tab/>
        <w:t>[Heading inserted: Gazette 24 Nov 2017 p. 5680.]</w:t>
      </w:r>
    </w:p>
    <w:p>
      <w:pPr>
        <w:pStyle w:val="Heading5"/>
      </w:pPr>
      <w:bookmarkStart w:id="21" w:name="_Toc210992233"/>
      <w:r>
        <w:rPr>
          <w:rStyle w:val="CharSectno"/>
        </w:rPr>
        <w:t>8A</w:t>
      </w:r>
      <w:r>
        <w:t>.</w:t>
      </w:r>
      <w:r>
        <w:tab/>
        <w:t>Terms used</w:t>
      </w:r>
      <w:bookmarkEnd w:id="21"/>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2" w:name="_Toc210992234"/>
      <w:r>
        <w:rPr>
          <w:rStyle w:val="CharSectno"/>
        </w:rPr>
        <w:t>8B</w:t>
      </w:r>
      <w:r>
        <w:t>.</w:t>
      </w:r>
      <w:r>
        <w:tab/>
        <w:t>Registry instruments to which this Division applies</w:t>
      </w:r>
      <w:bookmarkEnd w:id="22"/>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3" w:name="_Toc210992235"/>
      <w:r>
        <w:rPr>
          <w:rStyle w:val="CharSectno"/>
        </w:rPr>
        <w:t>8C</w:t>
      </w:r>
      <w:r>
        <w:t>.</w:t>
      </w:r>
      <w:r>
        <w:tab/>
        <w:t>Certain registry instruments must be lodged by means of an ELN</w:t>
      </w:r>
      <w:bookmarkEnd w:id="23"/>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4" w:name="_Toc210992236"/>
      <w:r>
        <w:rPr>
          <w:rStyle w:val="CharSectno"/>
        </w:rPr>
        <w:t>8D</w:t>
      </w:r>
      <w:r>
        <w:t>.</w:t>
      </w:r>
      <w:r>
        <w:tab/>
        <w:t>Where party to transaction is self</w:t>
      </w:r>
      <w:r>
        <w:noBreakHyphen/>
        <w:t>represented</w:t>
      </w:r>
      <w:bookmarkEnd w:id="24"/>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25" w:name="_Toc210992237"/>
      <w:r>
        <w:rPr>
          <w:rStyle w:val="CharSectno"/>
        </w:rPr>
        <w:t>8E</w:t>
      </w:r>
      <w:r>
        <w:t>.</w:t>
      </w:r>
      <w:r>
        <w:tab/>
        <w:t>Where 2 or more registry instruments lodged simultaneously</w:t>
      </w:r>
      <w:bookmarkEnd w:id="25"/>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26" w:name="_Toc210992238"/>
      <w:r>
        <w:rPr>
          <w:rStyle w:val="CharSectno"/>
        </w:rPr>
        <w:t>8F</w:t>
      </w:r>
      <w:r>
        <w:t>.</w:t>
      </w:r>
      <w:r>
        <w:tab/>
        <w:t>Registrar’s power to exempt</w:t>
      </w:r>
      <w:bookmarkEnd w:id="26"/>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27" w:name="_Toc210992239"/>
      <w:r>
        <w:rPr>
          <w:rStyle w:val="CharSectno"/>
        </w:rPr>
        <w:lastRenderedPageBreak/>
        <w:t>8G</w:t>
      </w:r>
      <w:r>
        <w:t>.</w:t>
      </w:r>
      <w:r>
        <w:tab/>
        <w:t>When r. 8C(1) commences to apply to lodging certain registry instruments</w:t>
      </w:r>
      <w:bookmarkEnd w:id="27"/>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8" w:name="_Toc210985353"/>
      <w:bookmarkStart w:id="29" w:name="_Toc210985922"/>
      <w:bookmarkStart w:id="30" w:name="_Toc210992240"/>
      <w:r>
        <w:rPr>
          <w:rStyle w:val="CharDivNo"/>
        </w:rPr>
        <w:t>Division 2</w:t>
      </w:r>
      <w:r>
        <w:t> — </w:t>
      </w:r>
      <w:r>
        <w:rPr>
          <w:rStyle w:val="CharDivText"/>
        </w:rPr>
        <w:t>General requirements</w:t>
      </w:r>
      <w:bookmarkEnd w:id="28"/>
      <w:bookmarkEnd w:id="29"/>
      <w:bookmarkEnd w:id="30"/>
    </w:p>
    <w:p>
      <w:pPr>
        <w:pStyle w:val="Footnoteheading"/>
      </w:pPr>
      <w:r>
        <w:tab/>
        <w:t>[Heading inserted: Gazette 24 Nov 2017 p. 5682.]</w:t>
      </w:r>
    </w:p>
    <w:p>
      <w:pPr>
        <w:pStyle w:val="Heading5"/>
      </w:pPr>
      <w:bookmarkStart w:id="31" w:name="_Toc210992241"/>
      <w:r>
        <w:rPr>
          <w:rStyle w:val="CharSectno"/>
        </w:rPr>
        <w:t>9AA</w:t>
      </w:r>
      <w:r>
        <w:t>.</w:t>
      </w:r>
      <w:r>
        <w:tab/>
        <w:t>Requirements relating to electronic lodgment of mortgages</w:t>
      </w:r>
      <w:bookmarkEnd w:id="3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lastRenderedPageBreak/>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32" w:name="_Toc210985355"/>
      <w:bookmarkStart w:id="33" w:name="_Toc210985924"/>
      <w:bookmarkStart w:id="34" w:name="_Toc210992242"/>
      <w:r>
        <w:rPr>
          <w:rStyle w:val="CharPartNo"/>
        </w:rPr>
        <w:lastRenderedPageBreak/>
        <w:t>Part 3B</w:t>
      </w:r>
      <w:r>
        <w:rPr>
          <w:rStyle w:val="CharDivNo"/>
        </w:rPr>
        <w:t> </w:t>
      </w:r>
      <w:r>
        <w:t>—</w:t>
      </w:r>
      <w:r>
        <w:rPr>
          <w:rStyle w:val="CharDivText"/>
        </w:rPr>
        <w:t> </w:t>
      </w:r>
      <w:r>
        <w:rPr>
          <w:rStyle w:val="CharPartText"/>
        </w:rPr>
        <w:t>Provisions relating to service</w:t>
      </w:r>
      <w:bookmarkEnd w:id="32"/>
      <w:bookmarkEnd w:id="33"/>
      <w:bookmarkEnd w:id="34"/>
    </w:p>
    <w:p>
      <w:pPr>
        <w:pStyle w:val="Footnoteheading"/>
      </w:pPr>
      <w:r>
        <w:tab/>
        <w:t>[Heading inserted: SL 2023/117 r. 6.]</w:t>
      </w:r>
    </w:p>
    <w:p>
      <w:pPr>
        <w:pStyle w:val="Heading5"/>
      </w:pPr>
      <w:bookmarkStart w:id="35" w:name="_Toc210992243"/>
      <w:r>
        <w:rPr>
          <w:rStyle w:val="CharSectno"/>
        </w:rPr>
        <w:t>9AC</w:t>
      </w:r>
      <w:r>
        <w:t>.</w:t>
      </w:r>
      <w:r>
        <w:tab/>
        <w:t>Service of notices</w:t>
      </w:r>
      <w:bookmarkEnd w:id="35"/>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lastRenderedPageBreak/>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36" w:name="_Toc210992244"/>
      <w:r>
        <w:rPr>
          <w:rStyle w:val="CharSectno"/>
        </w:rPr>
        <w:t>9AD</w:t>
      </w:r>
      <w:r>
        <w:t>.</w:t>
      </w:r>
      <w:r>
        <w:tab/>
        <w:t>Application of r. 9AC(1) to service of notices on Commissioner or Registrar</w:t>
      </w:r>
      <w:bookmarkEnd w:id="36"/>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lastRenderedPageBreak/>
        <w:tab/>
        <w:t>(ii)</w:t>
      </w:r>
      <w:r>
        <w:tab/>
        <w:t>in a notice served under the Act by the Commissioner or Registrar.</w:t>
      </w:r>
    </w:p>
    <w:p>
      <w:pPr>
        <w:pStyle w:val="Footnotesection"/>
      </w:pPr>
      <w:r>
        <w:tab/>
        <w:t>[Regulation 9AD inserted: SL 2023/117 r. 6.]</w:t>
      </w:r>
    </w:p>
    <w:p>
      <w:pPr>
        <w:pStyle w:val="Heading5"/>
      </w:pPr>
      <w:bookmarkStart w:id="37" w:name="_Toc210992245"/>
      <w:r>
        <w:rPr>
          <w:rStyle w:val="CharSectno"/>
        </w:rPr>
        <w:t>9AE</w:t>
      </w:r>
      <w:r>
        <w:t>.</w:t>
      </w:r>
      <w:r>
        <w:tab/>
        <w:t>Term used: address</w:t>
      </w:r>
      <w:bookmarkEnd w:id="37"/>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w:t>
      </w:r>
      <w:r>
        <w:lastRenderedPageBreak/>
        <w:t>Securities and Investments Commission for the administrator, manager, receiver or liquidator.</w:t>
      </w:r>
    </w:p>
    <w:p>
      <w:pPr>
        <w:pStyle w:val="Footnotesection"/>
      </w:pPr>
      <w:r>
        <w:tab/>
        <w:t>[Regulation 9AE inserted: SL 2023/117 r. 6.]</w:t>
      </w:r>
    </w:p>
    <w:p>
      <w:pPr>
        <w:pStyle w:val="Heading5"/>
      </w:pPr>
      <w:bookmarkStart w:id="38" w:name="_Toc210992246"/>
      <w:r>
        <w:rPr>
          <w:rStyle w:val="CharSectno"/>
        </w:rPr>
        <w:t>9AF</w:t>
      </w:r>
      <w:r>
        <w:t>.</w:t>
      </w:r>
      <w:r>
        <w:tab/>
        <w:t>Service of notices by means of email</w:t>
      </w:r>
      <w:bookmarkEnd w:id="38"/>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lastRenderedPageBreak/>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39" w:name="_Toc210992247"/>
      <w:r>
        <w:rPr>
          <w:rStyle w:val="CharSectno"/>
        </w:rPr>
        <w:t>9AG</w:t>
      </w:r>
      <w:r>
        <w:t>.</w:t>
      </w:r>
      <w:r>
        <w:tab/>
        <w:t>When service is taken to be effected</w:t>
      </w:r>
      <w:bookmarkEnd w:id="39"/>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lastRenderedPageBreak/>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40" w:name="_Toc210985361"/>
      <w:bookmarkStart w:id="41" w:name="_Toc210985930"/>
      <w:bookmarkStart w:id="42" w:name="_Toc210992248"/>
      <w:r>
        <w:rPr>
          <w:rStyle w:val="CharPartNo"/>
        </w:rPr>
        <w:lastRenderedPageBreak/>
        <w:t>Part 3</w:t>
      </w:r>
      <w:r>
        <w:t> — </w:t>
      </w:r>
      <w:r>
        <w:rPr>
          <w:rStyle w:val="CharPartText"/>
        </w:rPr>
        <w:t>Fees</w:t>
      </w:r>
      <w:bookmarkEnd w:id="40"/>
      <w:bookmarkEnd w:id="41"/>
      <w:bookmarkEnd w:id="42"/>
    </w:p>
    <w:p>
      <w:pPr>
        <w:pStyle w:val="Footnoteheading"/>
      </w:pPr>
      <w:r>
        <w:tab/>
        <w:t>[Heading inserted: Gazette 22 May 2009 p. 1701; amended: SL 2021/151 r. 12.]</w:t>
      </w:r>
    </w:p>
    <w:p>
      <w:pPr>
        <w:pStyle w:val="Heading5"/>
      </w:pPr>
      <w:bookmarkStart w:id="43" w:name="_Toc210992249"/>
      <w:r>
        <w:rPr>
          <w:rStyle w:val="CharSectno"/>
        </w:rPr>
        <w:t>9A</w:t>
      </w:r>
      <w:r>
        <w:t>.</w:t>
      </w:r>
      <w:r>
        <w:tab/>
        <w:t>Fees (Sch. 1)</w:t>
      </w:r>
      <w:bookmarkEnd w:id="43"/>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6 if the matter relates to an application to bring land under the Act;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 SL 2023/117 r. 7; SL 2025/178 r. 8.]</w:t>
      </w:r>
    </w:p>
    <w:p>
      <w:pPr>
        <w:pStyle w:val="Heading5"/>
      </w:pPr>
      <w:bookmarkStart w:id="44" w:name="_Toc210992250"/>
      <w:r>
        <w:rPr>
          <w:rStyle w:val="CharSectno"/>
        </w:rPr>
        <w:t>9B</w:t>
      </w:r>
      <w:r>
        <w:t>.</w:t>
      </w:r>
      <w:r>
        <w:tab/>
        <w:t>Supplementary provisions relating to fees</w:t>
      </w:r>
      <w:bookmarkEnd w:id="44"/>
    </w:p>
    <w:p>
      <w:pPr>
        <w:pStyle w:val="Subsection"/>
      </w:pPr>
      <w:r>
        <w:tab/>
        <w:t>(1)</w:t>
      </w:r>
      <w:r>
        <w:tab/>
        <w:t>If a single approved form is used for 2 or more surrenders, Schedule 1 Division 1 item 3 applies separately in respect of each surrender.</w:t>
      </w:r>
    </w:p>
    <w:p>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45" w:name="_Toc210985364"/>
      <w:bookmarkStart w:id="46" w:name="_Toc210985933"/>
      <w:bookmarkStart w:id="47" w:name="_Toc210992251"/>
      <w:r>
        <w:rPr>
          <w:rStyle w:val="CharPartNo"/>
        </w:rPr>
        <w:lastRenderedPageBreak/>
        <w:t>Part 4</w:t>
      </w:r>
      <w:r>
        <w:rPr>
          <w:b w:val="0"/>
        </w:rPr>
        <w:t> </w:t>
      </w:r>
      <w:r>
        <w:t>—</w:t>
      </w:r>
      <w:r>
        <w:rPr>
          <w:b w:val="0"/>
        </w:rPr>
        <w:t> </w:t>
      </w:r>
      <w:r>
        <w:rPr>
          <w:rStyle w:val="CharPartText"/>
        </w:rPr>
        <w:t>Inspection of Register</w:t>
      </w:r>
      <w:bookmarkEnd w:id="45"/>
      <w:bookmarkEnd w:id="46"/>
      <w:bookmarkEnd w:id="47"/>
    </w:p>
    <w:p>
      <w:pPr>
        <w:pStyle w:val="Footnoteheading"/>
      </w:pPr>
      <w:r>
        <w:tab/>
        <w:t>[Heading inserted: Gazette 22 May 2009 p. 1702.]</w:t>
      </w:r>
    </w:p>
    <w:p>
      <w:pPr>
        <w:pStyle w:val="Heading3"/>
      </w:pPr>
      <w:bookmarkStart w:id="48" w:name="_Toc210985365"/>
      <w:bookmarkStart w:id="49" w:name="_Toc210985934"/>
      <w:bookmarkStart w:id="50" w:name="_Toc210992252"/>
      <w:r>
        <w:rPr>
          <w:rStyle w:val="CharDivNo"/>
        </w:rPr>
        <w:t>Division 1</w:t>
      </w:r>
      <w:r>
        <w:t> — </w:t>
      </w:r>
      <w:r>
        <w:rPr>
          <w:rStyle w:val="CharDivText"/>
        </w:rPr>
        <w:t>Times for inspection of Register and related documents</w:t>
      </w:r>
      <w:bookmarkEnd w:id="48"/>
      <w:bookmarkEnd w:id="49"/>
      <w:bookmarkEnd w:id="50"/>
    </w:p>
    <w:p>
      <w:pPr>
        <w:pStyle w:val="Footnoteheading"/>
      </w:pPr>
      <w:r>
        <w:tab/>
        <w:t>[Heading inserted: Gazette 22 May 2009 p. 1702.]</w:t>
      </w:r>
    </w:p>
    <w:p>
      <w:pPr>
        <w:pStyle w:val="Heading5"/>
        <w:rPr>
          <w:snapToGrid w:val="0"/>
        </w:rPr>
      </w:pPr>
      <w:bookmarkStart w:id="51" w:name="_Toc210992253"/>
      <w:r>
        <w:rPr>
          <w:rStyle w:val="CharSectno"/>
        </w:rPr>
        <w:t>10</w:t>
      </w:r>
      <w:r>
        <w:rPr>
          <w:snapToGrid w:val="0"/>
        </w:rPr>
        <w:t>.</w:t>
      </w:r>
      <w:r>
        <w:rPr>
          <w:snapToGrid w:val="0"/>
        </w:rPr>
        <w:tab/>
        <w:t>Times for inspection prescribed (Act s. 239(1))</w:t>
      </w:r>
      <w:bookmarkEnd w:id="51"/>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52" w:name="_Toc210985367"/>
      <w:bookmarkStart w:id="53" w:name="_Toc210985936"/>
      <w:bookmarkStart w:id="54" w:name="_Toc210992254"/>
      <w:r>
        <w:rPr>
          <w:rStyle w:val="CharDivNo"/>
        </w:rPr>
        <w:t>Division 2</w:t>
      </w:r>
      <w:r>
        <w:t> — </w:t>
      </w:r>
      <w:r>
        <w:rPr>
          <w:rStyle w:val="CharDivText"/>
        </w:rPr>
        <w:t>Names index</w:t>
      </w:r>
      <w:bookmarkEnd w:id="52"/>
      <w:bookmarkEnd w:id="53"/>
      <w:bookmarkEnd w:id="54"/>
    </w:p>
    <w:p>
      <w:pPr>
        <w:pStyle w:val="Footnoteheading"/>
      </w:pPr>
      <w:r>
        <w:tab/>
        <w:t>[Heading inserted: Gazette 22 May 2009 p. 1703.]</w:t>
      </w:r>
    </w:p>
    <w:p>
      <w:pPr>
        <w:pStyle w:val="Heading5"/>
      </w:pPr>
      <w:bookmarkStart w:id="55" w:name="_Toc210992255"/>
      <w:r>
        <w:rPr>
          <w:rStyle w:val="CharSectno"/>
        </w:rPr>
        <w:t>11</w:t>
      </w:r>
      <w:r>
        <w:t>.</w:t>
      </w:r>
      <w:r>
        <w:tab/>
        <w:t>Terms used</w:t>
      </w:r>
      <w:bookmarkEnd w:id="5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lastRenderedPageBreak/>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56" w:name="_Toc210992256"/>
      <w:r>
        <w:rPr>
          <w:rStyle w:val="CharSectno"/>
        </w:rPr>
        <w:t>12</w:t>
      </w:r>
      <w:r>
        <w:t>.</w:t>
      </w:r>
      <w:r>
        <w:tab/>
        <w:t>Names index prescribed (Act s. 239(1)(k))</w:t>
      </w:r>
      <w:bookmarkEnd w:id="56"/>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57" w:name="_Toc210992257"/>
      <w:r>
        <w:rPr>
          <w:rStyle w:val="CharSectno"/>
        </w:rPr>
        <w:lastRenderedPageBreak/>
        <w:t>13</w:t>
      </w:r>
      <w:r>
        <w:t>.</w:t>
      </w:r>
      <w:r>
        <w:tab/>
      </w:r>
      <w:r>
        <w:rPr>
          <w:snapToGrid w:val="0"/>
        </w:rPr>
        <w:t>Application for information in names index to be excluded from inspections</w:t>
      </w:r>
      <w:bookmarkEnd w:id="5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lastRenderedPageBreak/>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58" w:name="_Toc210992258"/>
      <w:r>
        <w:rPr>
          <w:rStyle w:val="CharSectno"/>
        </w:rPr>
        <w:t>14</w:t>
      </w:r>
      <w:r>
        <w:t>.</w:t>
      </w:r>
      <w:r>
        <w:tab/>
        <w:t>Provision of suppressed information to government organisations</w:t>
      </w:r>
      <w:bookmarkEnd w:id="58"/>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59" w:name="_Toc210992259"/>
      <w:r>
        <w:rPr>
          <w:rStyle w:val="CharSectno"/>
        </w:rPr>
        <w:t>15</w:t>
      </w:r>
      <w:r>
        <w:t>.</w:t>
      </w:r>
      <w:r>
        <w:tab/>
        <w:t>Suppressed information, provision of to others</w:t>
      </w:r>
      <w:bookmarkEnd w:id="59"/>
    </w:p>
    <w:p>
      <w:pPr>
        <w:pStyle w:val="Subsection"/>
      </w:pPr>
      <w:r>
        <w:tab/>
        <w:t>(1)</w:t>
      </w:r>
      <w:r>
        <w:tab/>
        <w:t>The Registrar may, on the request of a person, provide suppressed information to the person for a purpose approved by the Registrar.</w:t>
      </w:r>
    </w:p>
    <w:p>
      <w:pPr>
        <w:pStyle w:val="Subsection"/>
        <w:keepNext/>
      </w:pPr>
      <w:r>
        <w:lastRenderedPageBreak/>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0" w:name="_Toc210985373"/>
      <w:bookmarkStart w:id="61" w:name="_Toc210985942"/>
      <w:bookmarkStart w:id="62" w:name="_Toc210992260"/>
      <w:r>
        <w:rPr>
          <w:rStyle w:val="CharSchNo"/>
        </w:rPr>
        <w:lastRenderedPageBreak/>
        <w:t>Schedule 1</w:t>
      </w:r>
      <w:r>
        <w:t xml:space="preserve"> — </w:t>
      </w:r>
      <w:r>
        <w:rPr>
          <w:rStyle w:val="CharSchText"/>
        </w:rPr>
        <w:t>Fees</w:t>
      </w:r>
      <w:bookmarkEnd w:id="60"/>
      <w:bookmarkEnd w:id="61"/>
      <w:bookmarkEnd w:id="62"/>
    </w:p>
    <w:p>
      <w:pPr>
        <w:pStyle w:val="yShoulderClause"/>
      </w:pPr>
      <w:r>
        <w:t>[r. 9A, 9B]</w:t>
      </w:r>
    </w:p>
    <w:p>
      <w:pPr>
        <w:pStyle w:val="yFootnoteheading"/>
      </w:pPr>
      <w:r>
        <w:tab/>
        <w:t>[Heading inserted: Gazette 21 May 2019 p. 1476.]</w:t>
      </w:r>
    </w:p>
    <w:p>
      <w:pPr>
        <w:pStyle w:val="yHeading3"/>
      </w:pPr>
      <w:bookmarkStart w:id="63" w:name="_Toc210985374"/>
      <w:bookmarkStart w:id="64" w:name="_Toc210985943"/>
      <w:bookmarkStart w:id="65" w:name="_Toc210992261"/>
      <w:r>
        <w:rPr>
          <w:rStyle w:val="CharSDivNo"/>
        </w:rPr>
        <w:t>Division 1</w:t>
      </w:r>
      <w:r>
        <w:t> — </w:t>
      </w:r>
      <w:r>
        <w:rPr>
          <w:rStyle w:val="CharSDivText"/>
        </w:rPr>
        <w:t>Registrations and recordings</w:t>
      </w:r>
      <w:bookmarkEnd w:id="63"/>
      <w:bookmarkEnd w:id="64"/>
      <w:bookmarkEnd w:id="65"/>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$216.60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$16.90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$216.60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$226.60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$246.60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lastRenderedPageBreak/>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$216.60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$216.60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$216.60</w:t>
            </w:r>
          </w:p>
        </w:tc>
      </w:tr>
    </w:tbl>
    <w:p>
      <w:pPr>
        <w:pStyle w:val="yFootnotesection"/>
      </w:pPr>
      <w:r>
        <w:tab/>
        <w:t>[Division 1 inserted: Gazette 21 May 2019 p. 1476</w:t>
      </w:r>
      <w:r>
        <w:noBreakHyphen/>
        <w:t>7; amended: SL 2020/76 r. 8; SL 2021/88 r. 10(4); SL 2022/62 r. 11; SL 2023/44 r. 10; SL 2024/83 r. 10; SL 2025/85 r. 10.]</w:t>
      </w:r>
    </w:p>
    <w:p>
      <w:pPr>
        <w:pStyle w:val="yHeading3"/>
      </w:pPr>
      <w:bookmarkStart w:id="66" w:name="_Toc210985375"/>
      <w:bookmarkStart w:id="67" w:name="_Toc210985944"/>
      <w:bookmarkStart w:id="68" w:name="_Toc210992262"/>
      <w:r>
        <w:rPr>
          <w:rStyle w:val="CharSDivNo"/>
        </w:rPr>
        <w:t>Division 2</w:t>
      </w:r>
      <w:r>
        <w:t> — </w:t>
      </w:r>
      <w:r>
        <w:rPr>
          <w:rStyle w:val="CharSDivText"/>
        </w:rPr>
        <w:t>Lodgments</w:t>
      </w:r>
      <w:bookmarkEnd w:id="66"/>
      <w:bookmarkEnd w:id="67"/>
      <w:bookmarkEnd w:id="68"/>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lastRenderedPageBreak/>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$350.00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$350.00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$350.00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$93.00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$350.00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$108.30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$7.90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keepNext/>
              <w:rPr>
                <w:snapToGrid w:val="0"/>
              </w:rPr>
            </w:pPr>
            <w:r>
              <w:rPr>
                <w:snapToGrid w:val="0"/>
              </w:rPr>
              <w:lastRenderedPageBreak/>
              <w:t>10.</w:t>
            </w:r>
          </w:p>
        </w:tc>
        <w:tc>
          <w:tcPr>
            <w:tcW w:w="4902" w:type="dxa"/>
          </w:tcPr>
          <w:p>
            <w:pPr>
              <w:pStyle w:val="yTableNAm"/>
              <w:keepNext/>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keepNext/>
              <w:rPr>
                <w:snapToGrid w:val="0"/>
              </w:rPr>
            </w:pPr>
            <w:r>
              <w:rPr>
                <w:snapToGrid w:val="0"/>
              </w:rPr>
              <w:br/>
            </w:r>
            <w:r>
              <w:rPr>
                <w:snapToGrid w:val="0"/>
              </w:rPr>
              <w:br/>
            </w:r>
            <w:r>
              <w:rPr>
                <w:szCs w:val="22"/>
              </w:rPr>
              <w:t>$216.60</w:t>
            </w:r>
          </w:p>
        </w:tc>
      </w:tr>
    </w:tbl>
    <w:p>
      <w:pPr>
        <w:pStyle w:val="yFootnotesection"/>
      </w:pPr>
      <w:r>
        <w:tab/>
        <w:t>[Division 2 inserted: Gazette 21 May 2019 p. 1477; amended: SL 2020/76 r. 8; SL 2021/88 r. 10(4); SL 2022/62 r. 11; SL 2023/44 r. 10; SL 2023/117 r. 12(1); SL 2024/83 r. 10; SL 2025/85 r. 10.]</w:t>
      </w:r>
    </w:p>
    <w:p>
      <w:pPr>
        <w:pStyle w:val="yHeading3"/>
      </w:pPr>
      <w:bookmarkStart w:id="69" w:name="_Toc210985376"/>
      <w:bookmarkStart w:id="70" w:name="_Toc210985945"/>
      <w:bookmarkStart w:id="71" w:name="_Toc210992263"/>
      <w:r>
        <w:rPr>
          <w:rStyle w:val="CharSDivNo"/>
        </w:rPr>
        <w:t>Division 3</w:t>
      </w:r>
      <w:r>
        <w:t> — </w:t>
      </w:r>
      <w:r>
        <w:rPr>
          <w:rStyle w:val="CharSDivText"/>
        </w:rPr>
        <w:t>Withdrawals</w:t>
      </w:r>
      <w:bookmarkEnd w:id="69"/>
      <w:bookmarkEnd w:id="70"/>
      <w:bookmarkEnd w:id="71"/>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$216.60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$216.60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$108.30</w:t>
            </w:r>
          </w:p>
        </w:tc>
      </w:tr>
    </w:tbl>
    <w:p>
      <w:pPr>
        <w:pStyle w:val="yFootnotesection"/>
      </w:pPr>
      <w:r>
        <w:tab/>
        <w:t>[Division 3 inserted: Gazette 21 May 2019 p. 1478; amended: SL 2020/76 r. 8; SL 2021/88 r. 10(4); SL 2022/62 r. 11; SL 2023/44 r. 10; SL 2024/83 r. 10; SL 2025/85 r. 10.]</w:t>
      </w:r>
    </w:p>
    <w:p>
      <w:pPr>
        <w:pStyle w:val="yHeading3"/>
      </w:pPr>
      <w:bookmarkStart w:id="72" w:name="_Toc210985377"/>
      <w:bookmarkStart w:id="73" w:name="_Toc210985946"/>
      <w:bookmarkStart w:id="74" w:name="_Toc210992264"/>
      <w:r>
        <w:rPr>
          <w:rStyle w:val="CharSDivNo"/>
        </w:rPr>
        <w:t>Division 4</w:t>
      </w:r>
      <w:r>
        <w:t> — </w:t>
      </w:r>
      <w:r>
        <w:rPr>
          <w:rStyle w:val="CharSDivText"/>
        </w:rPr>
        <w:t>Applications</w:t>
      </w:r>
      <w:bookmarkEnd w:id="72"/>
      <w:bookmarkEnd w:id="73"/>
      <w:bookmarkEnd w:id="74"/>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$216.60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$7.90</w:t>
            </w:r>
          </w:p>
        </w:tc>
      </w:tr>
      <w:tr>
        <w:trPr>
          <w:cantSplit/>
        </w:trPr>
        <w:tc>
          <w:tcPr>
            <w:tcW w:w="624" w:type="dxa"/>
          </w:tcPr>
          <w:p>
            <w:pPr>
              <w:pStyle w:val="yTableNAm"/>
              <w:keepNext/>
              <w:rPr>
                <w:snapToGrid w:val="0"/>
              </w:rPr>
            </w:pPr>
            <w:r>
              <w:rPr>
                <w:snapToGrid w:val="0"/>
              </w:rPr>
              <w:lastRenderedPageBreak/>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$216.60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$7.90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$216.60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$216.60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$405.20</w:t>
            </w:r>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$216.60</w:t>
            </w:r>
          </w:p>
        </w:tc>
      </w:tr>
    </w:tbl>
    <w:p>
      <w:pPr>
        <w:pStyle w:val="yFootnotesection"/>
      </w:pPr>
      <w:r>
        <w:tab/>
        <w:t>[Division 4 inserted: Gazette 21 May 2019 p. 1478; amended: SL 2020/76 r. 8; SL 2021/88 r. 10(4); SL 2022/62 r. 11; SL 2023/44 r. 10; SL 2023/117 r. 12(2); SL 2024/83 r. 10; SL 2025/85 r. 10.]</w:t>
      </w:r>
    </w:p>
    <w:p>
      <w:pPr>
        <w:pStyle w:val="yHeading3"/>
      </w:pPr>
      <w:bookmarkStart w:id="75" w:name="_Toc210985378"/>
      <w:bookmarkStart w:id="76" w:name="_Toc210985947"/>
      <w:bookmarkStart w:id="77" w:name="_Toc210992265"/>
      <w:r>
        <w:rPr>
          <w:rStyle w:val="CharSDivNo"/>
        </w:rPr>
        <w:t>Division 5</w:t>
      </w:r>
      <w:r>
        <w:t> — </w:t>
      </w:r>
      <w:r>
        <w:rPr>
          <w:rStyle w:val="CharSDivText"/>
        </w:rPr>
        <w:t>Certificates</w:t>
      </w:r>
      <w:bookmarkEnd w:id="75"/>
      <w:bookmarkEnd w:id="76"/>
      <w:bookmarkEnd w:id="77"/>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$77.00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$77.00</w:t>
            </w:r>
          </w:p>
        </w:tc>
      </w:tr>
      <w:tr>
        <w:trPr>
          <w:cantSplit/>
        </w:trPr>
        <w:tc>
          <w:tcPr>
            <w:tcW w:w="623" w:type="dxa"/>
          </w:tcPr>
          <w:p>
            <w:pPr>
              <w:pStyle w:val="yTableNAm"/>
              <w:rPr>
                <w:snapToGrid w:val="0"/>
              </w:rPr>
            </w:pPr>
            <w:r>
              <w:rPr>
                <w:snapToGrid w:val="0"/>
              </w:rPr>
              <w:lastRenderedPageBreak/>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 SL 2024/83 r. 10; SL 2025/85 r. 10.]</w:t>
      </w:r>
    </w:p>
    <w:p>
      <w:pPr>
        <w:pStyle w:val="yHeading3"/>
      </w:pPr>
      <w:bookmarkStart w:id="78" w:name="_Toc210985379"/>
      <w:bookmarkStart w:id="79" w:name="_Toc210985948"/>
      <w:bookmarkStart w:id="80" w:name="_Toc210992266"/>
      <w:r>
        <w:rPr>
          <w:rStyle w:val="CharSDivNo"/>
        </w:rPr>
        <w:t>Division 6</w:t>
      </w:r>
      <w:r>
        <w:t> — </w:t>
      </w:r>
      <w:r>
        <w:rPr>
          <w:rStyle w:val="CharSDivText"/>
        </w:rPr>
        <w:t>Inspection and/or copies of documents</w:t>
      </w:r>
      <w:bookmarkEnd w:id="78"/>
      <w:bookmarkEnd w:id="79"/>
      <w:bookmarkEnd w:id="80"/>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$32.60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$32.60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$32.60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$16.30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$16.30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$32.60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lastRenderedPageBreak/>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$16.30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$32.60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$32.60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$16.30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$16.30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$32.60</w:t>
            </w:r>
          </w:p>
        </w:tc>
      </w:tr>
      <w:tr>
        <w:trPr>
          <w:cantSplit/>
        </w:trPr>
        <w:tc>
          <w:tcPr>
            <w:tcW w:w="621" w:type="dxa"/>
          </w:tcPr>
          <w:p>
            <w:pPr>
              <w:pStyle w:val="yTableNAm"/>
              <w:keepNext/>
              <w:rPr>
                <w:snapToGrid w:val="0"/>
              </w:rPr>
            </w:pPr>
            <w:r>
              <w:rPr>
                <w:snapToGrid w:val="0"/>
              </w:rPr>
              <w:lastRenderedPageBreak/>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$32.60</w:t>
            </w:r>
          </w:p>
        </w:tc>
      </w:tr>
    </w:tbl>
    <w:p>
      <w:pPr>
        <w:pStyle w:val="yFootnotesection"/>
      </w:pPr>
      <w:r>
        <w:tab/>
        <w:t>[Division 6 inserted: Gazette 21 May 2019 p. 1479</w:t>
      </w:r>
      <w:r>
        <w:noBreakHyphen/>
        <w:t>80; amended: SL 2020/76 r. 8; SL 2021/88 r. 10(2) and (4); SL 2022/62 r. 11; SL 2023/44 r. 10; SL 2024/83 r. 10; SL 2025/85 r. 10.]</w:t>
      </w:r>
    </w:p>
    <w:p>
      <w:pPr>
        <w:pStyle w:val="yHeading3"/>
      </w:pPr>
      <w:bookmarkStart w:id="81" w:name="_Toc210985380"/>
      <w:bookmarkStart w:id="82" w:name="_Toc210985949"/>
      <w:bookmarkStart w:id="83" w:name="_Toc210992267"/>
      <w:r>
        <w:rPr>
          <w:rStyle w:val="CharSDivNo"/>
        </w:rPr>
        <w:t>Division 7</w:t>
      </w:r>
      <w:r>
        <w:t> — </w:t>
      </w:r>
      <w:r>
        <w:rPr>
          <w:rStyle w:val="CharSDivText"/>
        </w:rPr>
        <w:t>Miscellaneous</w:t>
      </w:r>
      <w:bookmarkEnd w:id="81"/>
      <w:bookmarkEnd w:id="82"/>
      <w:bookmarkEnd w:id="8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$216.60</w:t>
            </w:r>
            <w:r>
              <w:br/>
              <w:t xml:space="preserve">plus actual cost above </w:t>
            </w:r>
            <w:r>
              <w:rPr>
                <w:szCs w:val="22"/>
              </w:rPr>
              <w:t>$216.60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$188.60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$188.60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$188.60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$141.10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$108.30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$188.60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$269.00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$7.90</w:t>
            </w:r>
          </w:p>
        </w:tc>
      </w:tr>
    </w:tbl>
    <w:p>
      <w:pPr>
        <w:pStyle w:val="yFootnotesection"/>
      </w:pPr>
      <w:r>
        <w:tab/>
        <w:t>[Division 7 inserted: Gazette 21 May 2019 p. 1480</w:t>
      </w:r>
      <w:r>
        <w:noBreakHyphen/>
        <w:t>81; amended: SL 2020/76 r. 8; SL 2021/88 r. 10(3) and (4); SL 2022/62 r. 11; SL 2023/44 r. 10; SL 2023/117 r. 12(3); SL 2024/83 r. 10; SL 2025/85 r. 10.]</w:t>
      </w:r>
    </w:p>
    <w:p>
      <w:pPr>
        <w:pStyle w:val="yScheduleHeading"/>
      </w:pPr>
      <w:bookmarkStart w:id="84" w:name="_Toc210985381"/>
      <w:bookmarkStart w:id="85" w:name="_Toc210985950"/>
      <w:bookmarkStart w:id="86" w:name="_Toc210992268"/>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84"/>
      <w:bookmarkEnd w:id="85"/>
      <w:bookmarkEnd w:id="86"/>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pPr>
        <w:pStyle w:val="yNumberedItem"/>
        <w:rPr>
          <w:snapToGrid w:val="0"/>
        </w:rPr>
      </w:pPr>
      <w:r>
        <w:rPr>
          <w:snapToGrid w:val="0"/>
        </w:rPr>
        <w:t>4A.</w:t>
      </w:r>
      <w:r>
        <w:rPr>
          <w:snapToGrid w:val="0"/>
        </w:rPr>
        <w:tab/>
        <w:t>To make an application to the Registrar under section 240A(2) of the Act.</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lastRenderedPageBreak/>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NumberedItem"/>
      </w:pPr>
      <w:r>
        <w:t>11.</w:t>
      </w:r>
      <w:r>
        <w:tab/>
        <w:t>An application to bring land under the Act.</w:t>
      </w:r>
    </w:p>
    <w:p>
      <w:pPr>
        <w:pStyle w:val="yNumberedItem"/>
      </w:pPr>
      <w:r>
        <w:t>12.</w:t>
      </w:r>
      <w:r>
        <w:tab/>
        <w:t>Lodgment of a plan that relates to an application to bring land under the Act.</w:t>
      </w:r>
    </w:p>
    <w:p>
      <w:pPr>
        <w:pStyle w:val="yNumberedItem"/>
      </w:pPr>
      <w:r>
        <w:t>13.</w:t>
      </w:r>
      <w:r>
        <w:tab/>
        <w:t>Withdrawal of a document that relates to an application to bring land under the Act from registration or recording.</w:t>
      </w:r>
    </w:p>
    <w:p>
      <w:pPr>
        <w:pStyle w:val="yFootnotesection"/>
      </w:pPr>
      <w:r>
        <w:tab/>
        <w:t>[Schedule 2 amended: Gazette 25 Jun 2007 p. 2978; 20 Jun 2008 p. 2717; 13 Apr 2012 p. 1659; 26 Jul 2013 p. 3349; 23 Jun 2017 p. 3185; SL 2023/117 r. 13; SL 2024/83 r. 11; SL 2025/178 r. 9.]</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88" w:name="_Toc210985382"/>
      <w:bookmarkStart w:id="89" w:name="_Toc210985951"/>
      <w:bookmarkStart w:id="90" w:name="_Toc210992269"/>
      <w:r>
        <w:lastRenderedPageBreak/>
        <w:t>Notes</w:t>
      </w:r>
      <w:bookmarkEnd w:id="88"/>
      <w:bookmarkEnd w:id="89"/>
      <w:bookmarkEnd w:id="90"/>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p>
    <w:p>
      <w:pPr>
        <w:pStyle w:val="nHeading3"/>
      </w:pPr>
      <w:bookmarkStart w:id="91" w:name="_Toc210992270"/>
      <w:r>
        <w:t>Compilation table</w:t>
      </w:r>
      <w:bookmarkEnd w:id="9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lastRenderedPageBreak/>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Transfer of Land Amendment Regulations 2023</w:t>
            </w:r>
          </w:p>
        </w:tc>
        <w:tc>
          <w:tcPr>
            <w:tcW w:w="1276" w:type="dxa"/>
            <w:gridSpan w:val="2"/>
            <w:tcBorders>
              <w:top w:val="nil"/>
              <w:bottom w:val="nil"/>
            </w:tcBorders>
          </w:tcPr>
          <w:p>
            <w:pPr>
              <w:pStyle w:val="nTable"/>
              <w:spacing w:after="40"/>
            </w:pPr>
            <w:r>
              <w:t>SL 2023/117 26 Jul 2023</w:t>
            </w:r>
          </w:p>
        </w:tc>
        <w:tc>
          <w:tcPr>
            <w:tcW w:w="2693" w:type="dxa"/>
            <w:gridSpan w:val="2"/>
            <w:tcBorders>
              <w:top w:val="nil"/>
              <w:bottom w:val="nil"/>
            </w:tcBorders>
          </w:tcPr>
          <w:p>
            <w:pPr>
              <w:pStyle w:val="nTable"/>
              <w:spacing w:after="40"/>
            </w:pPr>
            <w:r>
              <w:t>r. 1 and 2: 26 Jul 2023 (see r. 2(a));</w:t>
            </w:r>
            <w:r>
              <w:br/>
              <w:t>r. 3 and 9</w:t>
            </w:r>
            <w:r>
              <w:noBreakHyphen/>
              <w:t>11: 27 Jul 2023 (see r. 2(b));</w:t>
            </w:r>
            <w:r>
              <w:br/>
              <w:t>Regulations other than r. 1-3 and 9-11: 7 Aug 2023 (see r. 2(c))</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2024</w:t>
            </w:r>
            <w:r>
              <w:rPr>
                <w:iCs/>
              </w:rPr>
              <w:t xml:space="preserve"> Pt. 5</w:t>
            </w:r>
          </w:p>
        </w:tc>
        <w:tc>
          <w:tcPr>
            <w:tcW w:w="1276" w:type="dxa"/>
            <w:gridSpan w:val="2"/>
            <w:tcBorders>
              <w:top w:val="nil"/>
              <w:bottom w:val="nil"/>
            </w:tcBorders>
          </w:tcPr>
          <w:p>
            <w:pPr>
              <w:pStyle w:val="nTable"/>
              <w:spacing w:after="40"/>
            </w:pPr>
            <w:r>
              <w:t>SL 2024/83 29 May 2024</w:t>
            </w:r>
          </w:p>
        </w:tc>
        <w:tc>
          <w:tcPr>
            <w:tcW w:w="2693" w:type="dxa"/>
            <w:gridSpan w:val="2"/>
            <w:tcBorders>
              <w:top w:val="nil"/>
              <w:bottom w:val="nil"/>
            </w:tcBorders>
          </w:tcPr>
          <w:p>
            <w:pPr>
              <w:pStyle w:val="nTable"/>
              <w:spacing w:after="40"/>
            </w:pPr>
            <w:r>
              <w:t>1 Jul 2024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bCs/>
                <w:i/>
                <w:noProof/>
              </w:rPr>
              <w:t>Lands Regulations Amendment (Fees and Charges) Regulations 2025</w:t>
            </w:r>
            <w:r>
              <w:rPr>
                <w:bCs/>
                <w:iCs/>
              </w:rPr>
              <w:t xml:space="preserve"> </w:t>
            </w:r>
            <w:r>
              <w:rPr>
                <w:iCs/>
              </w:rPr>
              <w:t>Pt. 5</w:t>
            </w:r>
          </w:p>
        </w:tc>
        <w:tc>
          <w:tcPr>
            <w:tcW w:w="1276" w:type="dxa"/>
            <w:gridSpan w:val="2"/>
            <w:tcBorders>
              <w:top w:val="nil"/>
              <w:bottom w:val="nil"/>
            </w:tcBorders>
          </w:tcPr>
          <w:p>
            <w:pPr>
              <w:pStyle w:val="nTable"/>
              <w:spacing w:after="40"/>
            </w:pPr>
            <w:r>
              <w:t>SL 2025/85 11 Jun 2025</w:t>
            </w:r>
          </w:p>
        </w:tc>
        <w:tc>
          <w:tcPr>
            <w:tcW w:w="2693" w:type="dxa"/>
            <w:gridSpan w:val="2"/>
            <w:tcBorders>
              <w:top w:val="nil"/>
              <w:bottom w:val="nil"/>
            </w:tcBorders>
          </w:tcPr>
          <w:p>
            <w:pPr>
              <w:pStyle w:val="nTable"/>
              <w:spacing w:after="40"/>
            </w:pPr>
            <w:r>
              <w:t>1 Jul 2025 (see r. 2(b))</w:t>
            </w:r>
          </w:p>
        </w:tc>
      </w:tr>
      <w:tr>
        <w:trPr>
          <w:gridBefore w:val="1"/>
          <w:wBefore w:w="8" w:type="dxa"/>
          <w:cantSplit/>
        </w:trPr>
        <w:tc>
          <w:tcPr>
            <w:tcW w:w="3119" w:type="dxa"/>
            <w:gridSpan w:val="2"/>
            <w:tcBorders>
              <w:top w:val="nil"/>
              <w:bottom w:val="single" w:sz="4" w:space="0" w:color="auto"/>
            </w:tcBorders>
          </w:tcPr>
          <w:p>
            <w:pPr>
              <w:rPr>
                <w:bCs/>
                <w:iCs/>
                <w:noProof/>
              </w:rPr>
            </w:pPr>
            <w:r>
              <w:rPr>
                <w:bCs/>
                <w:i/>
                <w:noProof/>
                <w:sz w:val="19"/>
              </w:rPr>
              <w:lastRenderedPageBreak/>
              <w:t xml:space="preserve">Planning and Lands Regulations Amendment Regulations 2025 </w:t>
            </w:r>
            <w:r>
              <w:rPr>
                <w:bCs/>
                <w:iCs/>
                <w:noProof/>
                <w:sz w:val="19"/>
              </w:rPr>
              <w:t>Pt. 3</w:t>
            </w:r>
          </w:p>
        </w:tc>
        <w:tc>
          <w:tcPr>
            <w:tcW w:w="1276" w:type="dxa"/>
            <w:gridSpan w:val="2"/>
            <w:tcBorders>
              <w:top w:val="nil"/>
              <w:bottom w:val="single" w:sz="4" w:space="0" w:color="auto"/>
            </w:tcBorders>
          </w:tcPr>
          <w:p>
            <w:pPr>
              <w:pStyle w:val="nTable"/>
              <w:spacing w:after="40"/>
            </w:pPr>
            <w:r>
              <w:t>SL 2025/178 15 Oct 2025</w:t>
            </w:r>
          </w:p>
        </w:tc>
        <w:tc>
          <w:tcPr>
            <w:tcW w:w="2693" w:type="dxa"/>
            <w:gridSpan w:val="2"/>
            <w:tcBorders>
              <w:top w:val="nil"/>
              <w:bottom w:val="single" w:sz="4" w:space="0" w:color="auto"/>
            </w:tcBorders>
          </w:tcPr>
          <w:p>
            <w:pPr>
              <w:pStyle w:val="nTable"/>
              <w:spacing w:after="40"/>
            </w:pPr>
            <w:r>
              <w:t>16 Oct 2025 (see r. 2(b))</w:t>
            </w:r>
          </w:p>
        </w:tc>
      </w:tr>
    </w:tbl>
    <w:p>
      <w:pPr>
        <w:pStyle w:val="nHeading3"/>
      </w:pPr>
      <w:bookmarkStart w:id="92" w:name="_Toc210992271"/>
      <w:r>
        <w:t>Other notes</w:t>
      </w:r>
      <w:bookmarkEnd w:id="92"/>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94" w:name="_Toc210985385"/>
      <w:bookmarkStart w:id="95" w:name="_Toc210985954"/>
      <w:bookmarkStart w:id="96" w:name="_Toc210992272"/>
      <w:r>
        <w:rPr>
          <w:sz w:val="28"/>
        </w:rPr>
        <w:lastRenderedPageBreak/>
        <w:t>Defined terms</w:t>
      </w:r>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9AE(1), (2)</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electronic communication</w:t>
      </w:r>
      <w:r>
        <w:tab/>
        <w:t>9AG(1)</w:t>
      </w:r>
    </w:p>
    <w:p>
      <w:pPr>
        <w:pStyle w:val="DefinedTerms"/>
      </w:pPr>
      <w:r>
        <w:t>ELN</w:t>
      </w:r>
      <w:r>
        <w:tab/>
        <w:t>8(1)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relevant entity</w:t>
      </w:r>
      <w:r>
        <w:tab/>
        <w:t>11</w:t>
      </w:r>
    </w:p>
    <w:p>
      <w:pPr>
        <w:pStyle w:val="DefinedTerms"/>
      </w:pPr>
      <w:r>
        <w:t>sender</w:t>
      </w:r>
      <w:r>
        <w:tab/>
        <w:t>9AF(1), (2)</w:t>
      </w:r>
    </w:p>
    <w:p>
      <w:pPr>
        <w:pStyle w:val="DefinedTerms"/>
      </w:pPr>
      <w:r>
        <w:t>single dwelling covenant</w:t>
      </w:r>
      <w:r>
        <w:tab/>
        <w:t>8(1)</w:t>
      </w:r>
    </w:p>
    <w:p>
      <w:pPr>
        <w:pStyle w:val="DefinedTerms"/>
      </w:pPr>
      <w:r>
        <w:t>suppressed information</w:t>
      </w:r>
      <w:r>
        <w:tab/>
        <w:t>10(2)</w:t>
      </w:r>
    </w:p>
    <w:p>
      <w:pPr>
        <w:pStyle w:val="DefinedTerms"/>
      </w:pPr>
      <w:r>
        <w:t>working day</w:t>
      </w:r>
      <w:r>
        <w:tab/>
        <w:t>9AG(1)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9F166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BCEF11B" w14:textId="6419016D" w:rsidR="00DF57C8" w:rsidRDefault="00D255E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D3B8B">
                        <w:rPr>
                          <w:sz w:val="16"/>
                        </w:rPr>
                        <w:t>2025</w:t>
                      </w:r>
                      <w:r>
                        <w:rPr>
                          <w:sz w:val="16"/>
                        </w:rPr>
                        <w:fldChar w:fldCharType="end"/>
                      </w:r>
                      <w:r>
                        <w:rPr>
                          <w:sz w:val="16"/>
                        </w:rPr>
                        <w:t>.</w:t>
                      </w:r>
                    </w:p>
                    <w:p w14:paraId="3D04628A" w14:textId="77777777" w:rsidR="00DF57C8" w:rsidRDefault="00D255E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4517C7" w14:textId="013B7250" w:rsidR="00DF57C8" w:rsidRDefault="00D255E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D3B8B">
                        <w:rPr>
                          <w:sz w:val="16"/>
                        </w:rPr>
                        <w:t>2025</w:t>
                      </w:r>
                      <w:r>
                        <w:rPr>
                          <w:sz w:val="16"/>
                        </w:rPr>
                        <w:fldChar w:fldCharType="end"/>
                      </w:r>
                      <w:r>
                        <w:rPr>
                          <w:sz w:val="16"/>
                        </w:rPr>
                        <w:t>.</w:t>
                      </w:r>
                    </w:p>
                    <w:p w14:paraId="31AE30B8" w14:textId="77777777" w:rsidR="00DF57C8" w:rsidRDefault="00D255E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7" w:name="DefinedTerms"/>
    <w:bookmarkEnd w:id="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58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10104045"/>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 w:name="WAFER_2025060608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205_GUID" w:val="0272ad51-e645-4b0b-9f86-6c0b25bdb2d6"/>
    <w:docVar w:name="WAFER_20250624162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413_GUID" w:val="cb8215c9-9b85-47ec-9ce3-162f73817f20"/>
    <w:docVar w:name="WAFER_20251010104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104045_GUID" w:val="61c95784-0905-4f77-bf87-fed41e1a66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9352</Words>
  <Characters>43679</Characters>
  <Application>Microsoft Office Word</Application>
  <DocSecurity>0</DocSecurity>
  <Lines>1679</Lines>
  <Paragraphs>1000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2004 - 05-u0-00</dc:title>
  <dc:subject/>
  <dc:creator/>
  <cp:keywords/>
  <dc:description/>
  <cp:lastModifiedBy>Master Repository Process</cp:lastModifiedBy>
  <cp:revision>4</cp:revision>
  <cp:lastPrinted>2019-06-20T02:42:00Z</cp:lastPrinted>
  <dcterms:created xsi:type="dcterms:W3CDTF">2025-10-14T05:04:00Z</dcterms:created>
  <dcterms:modified xsi:type="dcterms:W3CDTF">2025-10-14T05:04:00Z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20251016</vt:lpwstr>
  </property>
  <property fmtid="{D5CDD505-2E9C-101B-9397-08002B2CF9AE}" pid="8" name="CommencementAsAt">
    <vt:filetime>2025-10-15T16:00:00Z</vt:filetime>
  </property>
  <property fmtid="{D5CDD505-2E9C-101B-9397-08002B2CF9AE}" pid="9" name="CommencementYear">
    <vt:lpwstr>2025</vt:lpwstr>
  </property>
  <property fmtid="{D5CDD505-2E9C-101B-9397-08002B2CF9AE}" pid="10" name="AsAtDate">
    <vt:lpwstr>16 Oct 2025</vt:lpwstr>
  </property>
  <property fmtid="{D5CDD505-2E9C-101B-9397-08002B2CF9AE}" pid="11" name="Suffix">
    <vt:lpwstr>05-u0-00</vt:lpwstr>
  </property>
  <property fmtid="{D5CDD505-2E9C-101B-9397-08002B2CF9AE}" pid="12" name="Official">
    <vt:lpwstr/>
  </property>
</Properties>
</file>