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66" name="Picture 66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>
        <w:rPr>
          <w:noProof/>
        </w:rPr>
        <w:t>Electricity Industry Act 2004</w:t>
      </w:r>
      <w:r>
        <w:rPr>
          <w:noProof/>
        </w:rPr>
        <w:br/>
        <w:t>Gas Services Information Act 2012</w:t>
      </w:r>
      <w:r>
        <w:fldChar w:fldCharType="end"/>
      </w:r>
    </w:p>
    <w:p>
      <w:pPr>
        <w:pStyle w:val="NameofActRegPage1"/>
        <w:spacing w:before="1800" w:after="20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Energy Regulations Amendment Regulations 2025</w:t>
      </w:r>
      <w:r>
        <w:fldChar w:fldCharType="end"/>
      </w:r>
    </w:p>
    <w:p/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Energy Regulations Amendment Regulations 2025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Part 1 — Preliminary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_Toc212123631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_Toc212123632 \h </w:instrText>
      </w:r>
      <w:r>
        <w:fldChar w:fldCharType="separate"/>
      </w:r>
      <w:r>
        <w:t>1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Part 2 — </w:t>
      </w:r>
      <w:r>
        <w:rPr>
          <w:i/>
          <w:iCs/>
        </w:rPr>
        <w:t>Electricity Industry (Electricity System and Market) Regulations 2004</w:t>
      </w:r>
      <w:r>
        <w:t xml:space="preserve"> amended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</w:t>
      </w:r>
      <w:r>
        <w:rPr>
          <w:snapToGrid w:val="0"/>
        </w:rPr>
        <w:t>.</w:t>
      </w:r>
      <w:r>
        <w:rPr>
          <w:snapToGrid w:val="0"/>
        </w:rPr>
        <w:tab/>
        <w:t>Regulations amended</w:t>
      </w:r>
      <w:r>
        <w:tab/>
      </w:r>
      <w:r>
        <w:fldChar w:fldCharType="begin"/>
      </w:r>
      <w:r>
        <w:instrText xml:space="preserve"> PAGEREF _Toc212123634 \h </w:instrText>
      </w:r>
      <w:r>
        <w:fldChar w:fldCharType="separate"/>
      </w:r>
      <w:r>
        <w:t>2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4.</w:t>
      </w:r>
      <w:r>
        <w:tab/>
        <w:t>Regulation 4A amended</w:t>
      </w:r>
      <w:r>
        <w:tab/>
      </w:r>
      <w:r>
        <w:fldChar w:fldCharType="begin"/>
      </w:r>
      <w:r>
        <w:instrText xml:space="preserve"> PAGEREF _Toc212123635 \h </w:instrText>
      </w:r>
      <w:r>
        <w:fldChar w:fldCharType="separate"/>
      </w:r>
      <w:r>
        <w:t>2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5.</w:t>
      </w:r>
      <w:r>
        <w:tab/>
        <w:t>Regulation 57 inserted</w:t>
      </w:r>
      <w:r>
        <w:tab/>
      </w:r>
      <w:r>
        <w:fldChar w:fldCharType="begin"/>
      </w:r>
      <w:r>
        <w:instrText xml:space="preserve"> PAGEREF _Toc212123636 \h </w:instrText>
      </w:r>
      <w:r>
        <w:fldChar w:fldCharType="separate"/>
      </w:r>
      <w:r>
        <w:t>2</w:t>
      </w:r>
      <w:r>
        <w:fldChar w:fldCharType="end"/>
      </w:r>
    </w:p>
    <w:p>
      <w:pPr>
        <w:pStyle w:val="TOC9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57.</w:t>
      </w:r>
      <w:r>
        <w:rPr>
          <w:noProof/>
        </w:rPr>
        <w:tab/>
        <w:t xml:space="preserve">Saving and transitional provision for </w:t>
      </w:r>
      <w:r>
        <w:rPr>
          <w:i/>
          <w:noProof/>
        </w:rPr>
        <w:t>Energy Regulations Amendment Regulations 2025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_Toc212123637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6.</w:t>
      </w:r>
      <w:r>
        <w:tab/>
        <w:t>Schedule 1 amended</w:t>
      </w:r>
      <w:r>
        <w:tab/>
      </w:r>
      <w:r>
        <w:fldChar w:fldCharType="begin"/>
      </w:r>
      <w:r>
        <w:instrText xml:space="preserve"> PAGEREF _Toc212123638 \h </w:instrText>
      </w:r>
      <w:r>
        <w:fldChar w:fldCharType="separate"/>
      </w:r>
      <w:r>
        <w:t>3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Part 3 — </w:t>
      </w:r>
      <w:r>
        <w:rPr>
          <w:i/>
        </w:rPr>
        <w:t>Electricity Industry (Pilbara Networks) Regulations 2021</w:t>
      </w:r>
      <w:r>
        <w:t xml:space="preserve"> amended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7</w:t>
      </w:r>
      <w:r>
        <w:rPr>
          <w:snapToGrid w:val="0"/>
        </w:rPr>
        <w:t>.</w:t>
      </w:r>
      <w:r>
        <w:rPr>
          <w:snapToGrid w:val="0"/>
        </w:rPr>
        <w:tab/>
        <w:t>Regulations amended</w:t>
      </w:r>
      <w:r>
        <w:tab/>
      </w:r>
      <w:r>
        <w:fldChar w:fldCharType="begin"/>
      </w:r>
      <w:r>
        <w:instrText xml:space="preserve"> PAGEREF _Toc212123640 \h </w:instrText>
      </w:r>
      <w:r>
        <w:fldChar w:fldCharType="separate"/>
      </w:r>
      <w:r>
        <w:t>8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8.</w:t>
      </w:r>
      <w:r>
        <w:tab/>
        <w:t>Regulation 9 amended</w:t>
      </w:r>
      <w:r>
        <w:tab/>
      </w:r>
      <w:r>
        <w:fldChar w:fldCharType="begin"/>
      </w:r>
      <w:r>
        <w:instrText xml:space="preserve"> PAGEREF _Toc212123641 \h </w:instrText>
      </w:r>
      <w:r>
        <w:fldChar w:fldCharType="separate"/>
      </w:r>
      <w:r>
        <w:t>8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Part 4 — </w:t>
      </w:r>
      <w:r>
        <w:rPr>
          <w:i/>
          <w:iCs/>
        </w:rPr>
        <w:t>Gas Services Information Regulations 2012</w:t>
      </w:r>
      <w:r>
        <w:t xml:space="preserve"> amended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9</w:t>
      </w:r>
      <w:r>
        <w:rPr>
          <w:snapToGrid w:val="0"/>
        </w:rPr>
        <w:t>.</w:t>
      </w:r>
      <w:r>
        <w:rPr>
          <w:snapToGrid w:val="0"/>
        </w:rPr>
        <w:tab/>
        <w:t>Regulations amended</w:t>
      </w:r>
      <w:r>
        <w:tab/>
      </w:r>
      <w:r>
        <w:fldChar w:fldCharType="begin"/>
      </w:r>
      <w:r>
        <w:instrText xml:space="preserve"> PAGEREF _Toc212123643 \h </w:instrText>
      </w:r>
      <w:r>
        <w:fldChar w:fldCharType="separate"/>
      </w:r>
      <w:r>
        <w:t>9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10.</w:t>
      </w:r>
      <w:r>
        <w:tab/>
        <w:t>Regulation 7 amended</w:t>
      </w:r>
      <w:r>
        <w:tab/>
      </w:r>
      <w:r>
        <w:fldChar w:fldCharType="begin"/>
      </w:r>
      <w:r>
        <w:instrText xml:space="preserve"> PAGEREF _Toc212123644 \h </w:instrText>
      </w:r>
      <w:r>
        <w:fldChar w:fldCharType="separate"/>
      </w:r>
      <w:r>
        <w:t>9</w:t>
      </w:r>
      <w:r>
        <w:fldChar w:fldCharType="end"/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PrincipalActReg"/>
        <w:rPr>
          <w:iCs/>
        </w:rPr>
      </w:pPr>
      <w:r>
        <w:lastRenderedPageBreak/>
        <w:t>Electricity Industry Act 2004</w:t>
      </w:r>
      <w:r>
        <w:br/>
      </w:r>
      <w:r>
        <w:rPr>
          <w:iCs/>
        </w:rPr>
        <w:t>Gas Services Information Act 2012</w:t>
      </w:r>
    </w:p>
    <w:p>
      <w:pPr>
        <w:pStyle w:val="NameofActReg"/>
      </w:pPr>
      <w:r>
        <w:t>Energy Regulations Amendment Regulations 2025</w:t>
      </w:r>
    </w:p>
    <w:p>
      <w:pPr>
        <w:pStyle w:val="MadeBy"/>
      </w:pPr>
      <w:r>
        <w:t>Made by the deputy of the Governor in Executive Council.</w:t>
      </w:r>
    </w:p>
    <w:p>
      <w:pPr>
        <w:pStyle w:val="Heading2"/>
        <w:pageBreakBefore w:val="0"/>
        <w:spacing w:before="360"/>
      </w:pPr>
      <w:bookmarkStart w:id="2" w:name="_Toc212122056"/>
      <w:bookmarkStart w:id="3" w:name="_Toc212123630"/>
      <w:r>
        <w:rPr>
          <w:rStyle w:val="CharPartNo"/>
        </w:rPr>
        <w:t>Part 1</w:t>
      </w:r>
      <w:r>
        <w:rPr>
          <w:rStyle w:val="CharDivNo"/>
        </w:rPr>
        <w:t> </w:t>
      </w:r>
      <w:r>
        <w:t>—</w:t>
      </w:r>
      <w:r>
        <w:rPr>
          <w:rStyle w:val="CharDivText"/>
        </w:rPr>
        <w:t> </w:t>
      </w:r>
      <w:r>
        <w:rPr>
          <w:rStyle w:val="CharPartText"/>
        </w:rPr>
        <w:t>Preliminary</w:t>
      </w:r>
      <w:bookmarkEnd w:id="2"/>
      <w:bookmarkEnd w:id="3"/>
    </w:p>
    <w:p>
      <w:pPr>
        <w:pStyle w:val="Heading5"/>
      </w:pPr>
      <w:bookmarkStart w:id="4" w:name="_Toc212123631"/>
      <w:r>
        <w:rPr>
          <w:rStyle w:val="CharSectno"/>
        </w:rPr>
        <w:t>1</w:t>
      </w:r>
      <w:r>
        <w:t>.</w:t>
      </w:r>
      <w:r>
        <w:tab/>
        <w:t>Citation</w:t>
      </w:r>
      <w:bookmarkEnd w:id="4"/>
    </w:p>
    <w:p>
      <w:pPr>
        <w:pStyle w:val="Subsection"/>
      </w:pPr>
      <w:r>
        <w:tab/>
      </w:r>
      <w:r>
        <w:tab/>
      </w:r>
      <w:bookmarkStart w:id="5" w:name="Start_Cursor"/>
      <w:bookmarkEnd w:id="5"/>
      <w:r>
        <w:t xml:space="preserve">These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Energy Regulations Amendment Regulations 2025</w:t>
      </w:r>
      <w:r>
        <w:t>.</w:t>
      </w:r>
    </w:p>
    <w:p>
      <w:pPr>
        <w:pStyle w:val="Heading5"/>
        <w:rPr>
          <w:spacing w:val="-2"/>
        </w:rPr>
      </w:pPr>
      <w:bookmarkStart w:id="6" w:name="_Toc212123632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6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t xml:space="preserve">These </w:t>
      </w:r>
      <w:r>
        <w:rPr>
          <w:spacing w:val="-2"/>
        </w:rPr>
        <w:t>regulations come into operation as follows</w:t>
      </w:r>
      <w:r>
        <w:t> —</w:t>
      </w:r>
    </w:p>
    <w:p>
      <w:pPr>
        <w:pStyle w:val="Indenta"/>
      </w:pPr>
      <w:r>
        <w:tab/>
        <w:t>(a)</w:t>
      </w:r>
      <w:r>
        <w:tab/>
      </w:r>
      <w:r>
        <w:rPr>
          <w:spacing w:val="-2"/>
        </w:rPr>
        <w:t>Part 1</w:t>
      </w:r>
      <w:r>
        <w:t xml:space="preserve"> — on the day on which these </w:t>
      </w:r>
      <w:r>
        <w:rPr>
          <w:spacing w:val="-2"/>
        </w:rPr>
        <w:t>regulations</w:t>
      </w:r>
      <w:r>
        <w:t xml:space="preserve"> are published on the WA legislation website (</w:t>
      </w:r>
      <w:r>
        <w:rPr>
          <w:rStyle w:val="CharDefText"/>
        </w:rPr>
        <w:t>publication day</w:t>
      </w:r>
      <w:r>
        <w:t>);</w:t>
      </w:r>
    </w:p>
    <w:p>
      <w:pPr>
        <w:pStyle w:val="Indenta"/>
      </w:pPr>
      <w:r>
        <w:tab/>
        <w:t>(b)</w:t>
      </w:r>
      <w:r>
        <w:tab/>
        <w:t>Part 2 — on 1 January 2026;</w:t>
      </w:r>
    </w:p>
    <w:p>
      <w:pPr>
        <w:pStyle w:val="Indenta"/>
      </w:pPr>
      <w:r>
        <w:tab/>
        <w:t>(c)</w:t>
      </w:r>
      <w:r>
        <w:tab/>
        <w:t xml:space="preserve">the rest of the </w:t>
      </w:r>
      <w:r>
        <w:rPr>
          <w:spacing w:val="-2"/>
        </w:rPr>
        <w:t>regulations</w:t>
      </w:r>
      <w:r>
        <w:t> — on the day after publication day.</w:t>
      </w:r>
    </w:p>
    <w:p>
      <w:pPr>
        <w:pStyle w:val="Heading2"/>
      </w:pPr>
      <w:bookmarkStart w:id="7" w:name="_Toc212122059"/>
      <w:bookmarkStart w:id="8" w:name="_Toc212123633"/>
      <w:r>
        <w:rPr>
          <w:rStyle w:val="CharPartNo"/>
        </w:rPr>
        <w:lastRenderedPageBreak/>
        <w:t>Part 2</w:t>
      </w:r>
      <w:r>
        <w:rPr>
          <w:rStyle w:val="CharDivNo"/>
        </w:rPr>
        <w:t> </w:t>
      </w:r>
      <w:r>
        <w:t>—</w:t>
      </w:r>
      <w:r>
        <w:rPr>
          <w:rStyle w:val="CharPartText"/>
        </w:rPr>
        <w:t> </w:t>
      </w:r>
      <w:r>
        <w:rPr>
          <w:rStyle w:val="CharPartText"/>
          <w:i/>
          <w:iCs/>
        </w:rPr>
        <w:t>Electricity Industry (Electricity System and Market) Regulations 2004</w:t>
      </w:r>
      <w:r>
        <w:rPr>
          <w:rStyle w:val="CharPartText"/>
        </w:rPr>
        <w:t xml:space="preserve"> amended</w:t>
      </w:r>
      <w:bookmarkEnd w:id="7"/>
      <w:bookmarkEnd w:id="8"/>
    </w:p>
    <w:p>
      <w:pPr>
        <w:pStyle w:val="Heading5"/>
        <w:rPr>
          <w:snapToGrid w:val="0"/>
        </w:rPr>
      </w:pPr>
      <w:bookmarkStart w:id="9" w:name="_Toc212123634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Regulations amended</w:t>
      </w:r>
      <w:bookmarkEnd w:id="9"/>
    </w:p>
    <w:p>
      <w:pPr>
        <w:pStyle w:val="Subsection"/>
      </w:pPr>
      <w:r>
        <w:tab/>
      </w:r>
      <w:r>
        <w:tab/>
        <w:t>This Part</w:t>
      </w:r>
      <w:r>
        <w:rPr>
          <w:spacing w:val="-2"/>
        </w:rPr>
        <w:t xml:space="preserve"> amends</w:t>
      </w:r>
      <w:r>
        <w:t xml:space="preserve"> the </w:t>
      </w:r>
      <w:r>
        <w:rPr>
          <w:i/>
        </w:rPr>
        <w:t>Electricity Industry (Electricity System and Market) Regulations 2004</w:t>
      </w:r>
      <w:r>
        <w:t>.</w:t>
      </w:r>
    </w:p>
    <w:p>
      <w:pPr>
        <w:pStyle w:val="Heading5"/>
      </w:pPr>
      <w:bookmarkStart w:id="10" w:name="_Toc212123635"/>
      <w:r>
        <w:rPr>
          <w:rStyle w:val="CharSectno"/>
        </w:rPr>
        <w:t>4</w:t>
      </w:r>
      <w:r>
        <w:t>.</w:t>
      </w:r>
      <w:r>
        <w:tab/>
        <w:t>Regulation 4A amended</w:t>
      </w:r>
      <w:bookmarkEnd w:id="10"/>
    </w:p>
    <w:p>
      <w:pPr>
        <w:pStyle w:val="Subsection"/>
      </w:pPr>
      <w:r>
        <w:tab/>
      </w:r>
      <w:r>
        <w:tab/>
        <w:t>In regulation 4A delete “20 November 2024.” and insert:</w:t>
      </w:r>
    </w:p>
    <w:p>
      <w:pPr>
        <w:pStyle w:val="BlankOpen"/>
      </w:pPr>
    </w:p>
    <w:p>
      <w:pPr>
        <w:pStyle w:val="Subsection"/>
      </w:pPr>
      <w:r>
        <w:tab/>
      </w:r>
      <w:r>
        <w:tab/>
        <w:t>4 June 2025.</w:t>
      </w:r>
    </w:p>
    <w:p>
      <w:pPr>
        <w:pStyle w:val="BlankClose"/>
      </w:pPr>
    </w:p>
    <w:p>
      <w:pPr>
        <w:pStyle w:val="Heading5"/>
      </w:pPr>
      <w:bookmarkStart w:id="11" w:name="_Toc212123636"/>
      <w:r>
        <w:rPr>
          <w:rStyle w:val="CharSectno"/>
        </w:rPr>
        <w:t>5</w:t>
      </w:r>
      <w:r>
        <w:t>.</w:t>
      </w:r>
      <w:r>
        <w:tab/>
        <w:t>Regulation 57 inserted</w:t>
      </w:r>
      <w:bookmarkEnd w:id="11"/>
    </w:p>
    <w:p>
      <w:pPr>
        <w:pStyle w:val="Subsection"/>
      </w:pPr>
      <w:r>
        <w:tab/>
      </w:r>
      <w:r>
        <w:tab/>
        <w:t>At the end of Part 11 insert:</w:t>
      </w:r>
    </w:p>
    <w:p>
      <w:pPr>
        <w:pStyle w:val="BlankOpen"/>
      </w:pPr>
    </w:p>
    <w:p>
      <w:pPr>
        <w:pStyle w:val="zHeading5"/>
      </w:pPr>
      <w:bookmarkStart w:id="12" w:name="_Toc212123637"/>
      <w:r>
        <w:t>57.</w:t>
      </w:r>
      <w:r>
        <w:tab/>
        <w:t xml:space="preserve">Saving and transitional provision for </w:t>
      </w:r>
      <w:r>
        <w:rPr>
          <w:i/>
        </w:rPr>
        <w:t>Energy Regulations Amendment Regulations 2025</w:t>
      </w:r>
      <w:bookmarkEnd w:id="12"/>
    </w:p>
    <w:p>
      <w:pPr>
        <w:pStyle w:val="zSubsection"/>
      </w:pPr>
      <w:r>
        <w:tab/>
        <w:t>(1)</w:t>
      </w:r>
      <w:r>
        <w:tab/>
        <w:t xml:space="preserve">In this regulation — </w:t>
      </w:r>
    </w:p>
    <w:p>
      <w:pPr>
        <w:pStyle w:val="zDefstart"/>
        <w:rPr>
          <w:rStyle w:val="DraftersNotes"/>
          <w:b w:val="0"/>
          <w:i w:val="0"/>
          <w:sz w:val="24"/>
        </w:rPr>
      </w:pPr>
      <w:r>
        <w:tab/>
      </w:r>
      <w:r>
        <w:rPr>
          <w:rStyle w:val="CharDefText"/>
        </w:rPr>
        <w:t>commencement day</w:t>
      </w:r>
      <w:r>
        <w:t xml:space="preserve"> means the day on which the </w:t>
      </w:r>
      <w:r>
        <w:rPr>
          <w:i/>
        </w:rPr>
        <w:t>Energy Regulations Amendment Regulations 2025</w:t>
      </w:r>
      <w:r>
        <w:t xml:space="preserve"> regulation 4 comes into operation. </w:t>
      </w:r>
    </w:p>
    <w:p>
      <w:pPr>
        <w:pStyle w:val="zSubsection"/>
      </w:pPr>
      <w:r>
        <w:tab/>
        <w:t>(2)</w:t>
      </w:r>
      <w:r>
        <w:tab/>
        <w:t xml:space="preserve">Regulation 4A and Schedules 1 and 2 (as if regulation 4A and Schedule 1 had not been amended by the </w:t>
      </w:r>
      <w:r>
        <w:rPr>
          <w:i/>
        </w:rPr>
        <w:t>Energy Regulations Amendment Regulations 2025</w:t>
      </w:r>
      <w:r>
        <w:t xml:space="preserve">) continue to apply in relation to a contravention, and a continuation of a contravention, of the market rules that occurs, or a decision made under the market rules, during the period — </w:t>
      </w:r>
    </w:p>
    <w:p>
      <w:pPr>
        <w:pStyle w:val="zIndenta"/>
      </w:pPr>
      <w:r>
        <w:tab/>
        <w:t>(a)</w:t>
      </w:r>
      <w:r>
        <w:tab/>
        <w:t xml:space="preserve">beginning on the day on which the </w:t>
      </w:r>
      <w:r>
        <w:rPr>
          <w:i/>
          <w:iCs/>
        </w:rPr>
        <w:t xml:space="preserve">Electricity Industry Regulations Amendment (Distributed </w:t>
      </w:r>
      <w:r>
        <w:rPr>
          <w:i/>
          <w:iCs/>
        </w:rPr>
        <w:lastRenderedPageBreak/>
        <w:t>Energy Resources) Regulations 2025</w:t>
      </w:r>
      <w:r>
        <w:t xml:space="preserve"> regulation 9 came into operation; and </w:t>
      </w:r>
    </w:p>
    <w:p>
      <w:pPr>
        <w:pStyle w:val="zIndenta"/>
      </w:pPr>
      <w:r>
        <w:tab/>
        <w:t>(b)</w:t>
      </w:r>
      <w:r>
        <w:tab/>
        <w:t>ending immediately before commencement day.</w:t>
      </w:r>
    </w:p>
    <w:p>
      <w:pPr>
        <w:pStyle w:val="BlankClose"/>
      </w:pPr>
    </w:p>
    <w:p>
      <w:pPr>
        <w:pStyle w:val="Heading5"/>
      </w:pPr>
      <w:bookmarkStart w:id="13" w:name="_Toc212123638"/>
      <w:r>
        <w:rPr>
          <w:rStyle w:val="CharSectno"/>
        </w:rPr>
        <w:t>6</w:t>
      </w:r>
      <w:r>
        <w:t>.</w:t>
      </w:r>
      <w:r>
        <w:tab/>
        <w:t>Schedule 1 amended</w:t>
      </w:r>
      <w:bookmarkEnd w:id="13"/>
    </w:p>
    <w:p>
      <w:pPr>
        <w:pStyle w:val="Subsection"/>
      </w:pPr>
      <w:r>
        <w:tab/>
        <w:t>(1)</w:t>
      </w:r>
      <w:r>
        <w:tab/>
        <w:t xml:space="preserve">In Schedule 1 after the item for </w:t>
      </w:r>
      <w:r>
        <w:rPr>
          <w:szCs w:val="22"/>
        </w:rPr>
        <w:t>cl. 2.27A.1</w:t>
      </w:r>
      <w:r>
        <w:t xml:space="preserve"> insert:</w:t>
      </w:r>
    </w:p>
    <w:p>
      <w:pPr>
        <w:pStyle w:val="BlankOpen"/>
      </w:pPr>
    </w:p>
    <w:tbl>
      <w:tblPr>
        <w:tblW w:w="708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1276"/>
        <w:gridCol w:w="4111"/>
      </w:tblGrid>
      <w:tr>
        <w:trPr>
          <w:cantSplit/>
        </w:trPr>
        <w:tc>
          <w:tcPr>
            <w:tcW w:w="1701" w:type="dxa"/>
            <w:noWrap/>
          </w:tcPr>
          <w:p>
            <w:pPr>
              <w:pStyle w:val="zyTableNAm"/>
            </w:pPr>
            <w:r>
              <w:t>cl. 2.28.7</w:t>
            </w:r>
          </w:p>
        </w:tc>
        <w:tc>
          <w:tcPr>
            <w:tcW w:w="1276" w:type="dxa"/>
            <w:noWrap/>
          </w:tcPr>
          <w:p>
            <w:pPr>
              <w:pStyle w:val="zyTableNAm"/>
            </w:pPr>
            <w:r>
              <w:t>B</w:t>
            </w:r>
          </w:p>
        </w:tc>
        <w:tc>
          <w:tcPr>
            <w:tcW w:w="4111" w:type="dxa"/>
            <w:noWrap/>
          </w:tcPr>
          <w:p>
            <w:pPr>
              <w:pStyle w:val="zyTableNAm"/>
            </w:pPr>
            <w:r>
              <w:t>first contravention: $50 000 plus a daily amount of $10 000</w:t>
            </w:r>
            <w:r>
              <w:br/>
              <w:t>subsequent contraventions: $75 000 plus a daily amount of $10 000</w:t>
            </w:r>
          </w:p>
        </w:tc>
      </w:tr>
    </w:tbl>
    <w:p>
      <w:pPr>
        <w:pStyle w:val="BlankClose"/>
      </w:pPr>
    </w:p>
    <w:p>
      <w:pPr>
        <w:pStyle w:val="Subsection"/>
      </w:pPr>
      <w:r>
        <w:tab/>
        <w:t>(2)</w:t>
      </w:r>
      <w:r>
        <w:tab/>
        <w:t>In Schedule 1 after the item for cl. 2.29.3 insert:</w:t>
      </w:r>
    </w:p>
    <w:p>
      <w:pPr>
        <w:pStyle w:val="BlankOpen"/>
      </w:pPr>
    </w:p>
    <w:tbl>
      <w:tblPr>
        <w:tblW w:w="708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1276"/>
        <w:gridCol w:w="4111"/>
      </w:tblGrid>
      <w:tr>
        <w:trPr>
          <w:cantSplit/>
          <w:trHeight w:val="1123"/>
        </w:trPr>
        <w:tc>
          <w:tcPr>
            <w:tcW w:w="1701" w:type="dxa"/>
            <w:noWrap/>
          </w:tcPr>
          <w:p>
            <w:pPr>
              <w:pStyle w:val="zyTableNAm"/>
            </w:pPr>
            <w:r>
              <w:t>cl. 2.29.4</w:t>
            </w:r>
          </w:p>
        </w:tc>
        <w:tc>
          <w:tcPr>
            <w:tcW w:w="1276" w:type="dxa"/>
            <w:noWrap/>
          </w:tcPr>
          <w:p>
            <w:pPr>
              <w:pStyle w:val="zyTableNAm"/>
            </w:pPr>
            <w:r>
              <w:t>C</w:t>
            </w:r>
          </w:p>
        </w:tc>
        <w:tc>
          <w:tcPr>
            <w:tcW w:w="4111" w:type="dxa"/>
            <w:noWrap/>
          </w:tcPr>
          <w:p>
            <w:pPr>
              <w:pStyle w:val="zyTableNAm"/>
            </w:pPr>
            <w:r>
              <w:t>first contravention: $100 000 plus a daily amount of $20 000</w:t>
            </w:r>
            <w:r>
              <w:br/>
              <w:t>subsequent contraventions: $100 000 plus a daily amount of $20 000</w:t>
            </w:r>
          </w:p>
        </w:tc>
      </w:tr>
    </w:tbl>
    <w:p>
      <w:pPr>
        <w:pStyle w:val="BlankClose"/>
      </w:pPr>
    </w:p>
    <w:p>
      <w:pPr>
        <w:pStyle w:val="Subsection"/>
      </w:pPr>
      <w:r>
        <w:tab/>
        <w:t>(3)</w:t>
      </w:r>
      <w:r>
        <w:tab/>
        <w:t>In Schedule 1 after the item for cl. 2.29.6 insert:</w:t>
      </w:r>
    </w:p>
    <w:p>
      <w:pPr>
        <w:pStyle w:val="BlankOpen"/>
      </w:pPr>
    </w:p>
    <w:tbl>
      <w:tblPr>
        <w:tblW w:w="708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1276"/>
        <w:gridCol w:w="4111"/>
      </w:tblGrid>
      <w:tr>
        <w:trPr>
          <w:cantSplit/>
        </w:trPr>
        <w:tc>
          <w:tcPr>
            <w:tcW w:w="1701" w:type="dxa"/>
            <w:noWrap/>
          </w:tcPr>
          <w:p>
            <w:pPr>
              <w:pStyle w:val="zyTableNAm"/>
            </w:pPr>
            <w:r>
              <w:t>cl. 2.30.5A</w:t>
            </w:r>
          </w:p>
        </w:tc>
        <w:tc>
          <w:tcPr>
            <w:tcW w:w="1276" w:type="dxa"/>
            <w:noWrap/>
          </w:tcPr>
          <w:p>
            <w:pPr>
              <w:pStyle w:val="zyTableNAm"/>
            </w:pPr>
            <w:r>
              <w:t>B</w:t>
            </w:r>
          </w:p>
        </w:tc>
        <w:tc>
          <w:tcPr>
            <w:tcW w:w="4111" w:type="dxa"/>
            <w:noWrap/>
          </w:tcPr>
          <w:p>
            <w:pPr>
              <w:pStyle w:val="zyTableNAm"/>
            </w:pPr>
            <w:r>
              <w:t>first contravention: $50 000 plus a daily amount of $10 000</w:t>
            </w:r>
            <w:r>
              <w:br/>
              <w:t>subsequent contraventions: $75 000 plus a daily amount of $10 000</w:t>
            </w:r>
          </w:p>
        </w:tc>
      </w:tr>
    </w:tbl>
    <w:p>
      <w:pPr>
        <w:pStyle w:val="BlankClose"/>
      </w:pPr>
    </w:p>
    <w:p>
      <w:pPr>
        <w:pStyle w:val="Subsection"/>
        <w:keepNext/>
      </w:pPr>
      <w:r>
        <w:lastRenderedPageBreak/>
        <w:tab/>
        <w:t>(4)</w:t>
      </w:r>
      <w:r>
        <w:tab/>
        <w:t>In Schedule 1 after the item for cl. 2.31.9 insert:</w:t>
      </w:r>
    </w:p>
    <w:p>
      <w:pPr>
        <w:pStyle w:val="BlankOpen"/>
      </w:pPr>
    </w:p>
    <w:tbl>
      <w:tblPr>
        <w:tblW w:w="708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1276"/>
        <w:gridCol w:w="4111"/>
      </w:tblGrid>
      <w:tr>
        <w:trPr>
          <w:cantSplit/>
        </w:trPr>
        <w:tc>
          <w:tcPr>
            <w:tcW w:w="1701" w:type="dxa"/>
            <w:noWrap/>
          </w:tcPr>
          <w:p>
            <w:pPr>
              <w:pStyle w:val="zyTableNAm"/>
              <w:keepNext/>
            </w:pPr>
            <w:r>
              <w:t>cl. 2.31.15</w:t>
            </w:r>
          </w:p>
        </w:tc>
        <w:tc>
          <w:tcPr>
            <w:tcW w:w="1276" w:type="dxa"/>
            <w:noWrap/>
          </w:tcPr>
          <w:p>
            <w:pPr>
              <w:pStyle w:val="zyTableNAm"/>
              <w:keepNext/>
            </w:pPr>
            <w:r>
              <w:t>B</w:t>
            </w:r>
          </w:p>
        </w:tc>
        <w:tc>
          <w:tcPr>
            <w:tcW w:w="4111" w:type="dxa"/>
            <w:noWrap/>
          </w:tcPr>
          <w:p>
            <w:pPr>
              <w:pStyle w:val="zyTableNAm"/>
              <w:keepNext/>
            </w:pPr>
            <w:r>
              <w:t>first contravention: $50 000 plus a daily amount of $10 000</w:t>
            </w:r>
            <w:r>
              <w:br/>
              <w:t>subsequent contraventions: $75 000 plus a daily amount of $10 000</w:t>
            </w:r>
          </w:p>
        </w:tc>
      </w:tr>
    </w:tbl>
    <w:p>
      <w:pPr>
        <w:pStyle w:val="BlankClose"/>
      </w:pPr>
    </w:p>
    <w:p>
      <w:pPr>
        <w:pStyle w:val="Subsection"/>
      </w:pPr>
      <w:r>
        <w:tab/>
        <w:t>(5)</w:t>
      </w:r>
      <w:r>
        <w:tab/>
        <w:t>In Schedule 1 after the item for cl. 2.36.4 insert:</w:t>
      </w:r>
    </w:p>
    <w:p>
      <w:pPr>
        <w:pStyle w:val="BlankOpen"/>
      </w:pPr>
    </w:p>
    <w:tbl>
      <w:tblPr>
        <w:tblW w:w="708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1276"/>
        <w:gridCol w:w="4111"/>
      </w:tblGrid>
      <w:tr>
        <w:trPr>
          <w:cantSplit/>
        </w:trPr>
        <w:tc>
          <w:tcPr>
            <w:tcW w:w="1701" w:type="dxa"/>
            <w:noWrap/>
          </w:tcPr>
          <w:p>
            <w:pPr>
              <w:pStyle w:val="zyTableNAm"/>
            </w:pPr>
            <w:r>
              <w:t>cl. 2.36A.4</w:t>
            </w:r>
          </w:p>
        </w:tc>
        <w:tc>
          <w:tcPr>
            <w:tcW w:w="1276" w:type="dxa"/>
            <w:noWrap/>
          </w:tcPr>
          <w:p>
            <w:pPr>
              <w:pStyle w:val="zyTableNAm"/>
            </w:pPr>
            <w:r>
              <w:t>C</w:t>
            </w:r>
          </w:p>
        </w:tc>
        <w:tc>
          <w:tcPr>
            <w:tcW w:w="4111" w:type="dxa"/>
            <w:noWrap/>
          </w:tcPr>
          <w:p>
            <w:pPr>
              <w:pStyle w:val="zyTableNAm"/>
            </w:pPr>
            <w:r>
              <w:t>first contravention: $100 000 plus a daily amount of $20 000</w:t>
            </w:r>
            <w:r>
              <w:br/>
              <w:t>subsequent contraventions: $100 000 plus a daily amount of $20 000</w:t>
            </w:r>
          </w:p>
        </w:tc>
      </w:tr>
    </w:tbl>
    <w:p>
      <w:pPr>
        <w:pStyle w:val="BlankClose"/>
      </w:pPr>
    </w:p>
    <w:p>
      <w:pPr>
        <w:pStyle w:val="Subsection"/>
      </w:pPr>
      <w:r>
        <w:tab/>
        <w:t>(6)</w:t>
      </w:r>
      <w:r>
        <w:tab/>
        <w:t>In Schedule 1 after the item for cl. 3A.14.1 insert:</w:t>
      </w:r>
    </w:p>
    <w:p>
      <w:pPr>
        <w:pStyle w:val="BlankOpen"/>
      </w:pPr>
    </w:p>
    <w:tbl>
      <w:tblPr>
        <w:tblW w:w="708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1276"/>
        <w:gridCol w:w="4111"/>
      </w:tblGrid>
      <w:tr>
        <w:trPr>
          <w:cantSplit/>
        </w:trPr>
        <w:tc>
          <w:tcPr>
            <w:tcW w:w="1701" w:type="dxa"/>
            <w:noWrap/>
          </w:tcPr>
          <w:p>
            <w:pPr>
              <w:pStyle w:val="zyTableNAm"/>
            </w:pPr>
            <w:r>
              <w:t>cl. 4.4B.1</w:t>
            </w:r>
          </w:p>
        </w:tc>
        <w:tc>
          <w:tcPr>
            <w:tcW w:w="1276" w:type="dxa"/>
            <w:noWrap/>
          </w:tcPr>
          <w:p>
            <w:pPr>
              <w:pStyle w:val="zyTableNAm"/>
            </w:pPr>
            <w:r>
              <w:t>C</w:t>
            </w:r>
          </w:p>
        </w:tc>
        <w:tc>
          <w:tcPr>
            <w:tcW w:w="4111" w:type="dxa"/>
            <w:noWrap/>
          </w:tcPr>
          <w:p>
            <w:pPr>
              <w:pStyle w:val="zyTableNAm"/>
            </w:pPr>
            <w:r>
              <w:t>first contravention: $100 000 plus a daily amount of $20 000</w:t>
            </w:r>
            <w:r>
              <w:br/>
              <w:t>subsequent contraventions: $100 000 plus a daily amount of $20 000</w:t>
            </w:r>
          </w:p>
        </w:tc>
      </w:tr>
    </w:tbl>
    <w:p>
      <w:pPr>
        <w:pStyle w:val="BlankClose"/>
      </w:pPr>
    </w:p>
    <w:p>
      <w:pPr>
        <w:pStyle w:val="Subsection"/>
      </w:pPr>
      <w:r>
        <w:tab/>
        <w:t>(7)</w:t>
      </w:r>
      <w:r>
        <w:tab/>
        <w:t>In Schedule 1 after the item for cl. 4.13.4 insert:</w:t>
      </w:r>
    </w:p>
    <w:p>
      <w:pPr>
        <w:pStyle w:val="BlankOpen"/>
      </w:pPr>
    </w:p>
    <w:tbl>
      <w:tblPr>
        <w:tblW w:w="708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1276"/>
        <w:gridCol w:w="4111"/>
      </w:tblGrid>
      <w:tr>
        <w:trPr>
          <w:cantSplit/>
        </w:trPr>
        <w:tc>
          <w:tcPr>
            <w:tcW w:w="1701" w:type="dxa"/>
            <w:noWrap/>
          </w:tcPr>
          <w:p>
            <w:pPr>
              <w:pStyle w:val="zyTableNAm"/>
            </w:pPr>
            <w:r>
              <w:t>cl. 4.14.3</w:t>
            </w:r>
          </w:p>
        </w:tc>
        <w:tc>
          <w:tcPr>
            <w:tcW w:w="1276" w:type="dxa"/>
            <w:noWrap/>
          </w:tcPr>
          <w:p>
            <w:pPr>
              <w:pStyle w:val="zyTableNAm"/>
            </w:pPr>
            <w:r>
              <w:t>C</w:t>
            </w:r>
          </w:p>
        </w:tc>
        <w:tc>
          <w:tcPr>
            <w:tcW w:w="4111" w:type="dxa"/>
            <w:noWrap/>
          </w:tcPr>
          <w:p>
            <w:pPr>
              <w:pStyle w:val="zyTableNAm"/>
            </w:pPr>
            <w:r>
              <w:t>first contravention: $100 000 plus a daily amount of $20 000</w:t>
            </w:r>
            <w:r>
              <w:br/>
              <w:t>subsequent contraventions: $100 000 plus a daily amount of $20 000</w:t>
            </w:r>
          </w:p>
        </w:tc>
      </w:tr>
    </w:tbl>
    <w:p>
      <w:pPr>
        <w:pStyle w:val="BlankClose"/>
      </w:pPr>
    </w:p>
    <w:p>
      <w:pPr>
        <w:pStyle w:val="Subsection"/>
        <w:keepNext/>
      </w:pPr>
      <w:r>
        <w:lastRenderedPageBreak/>
        <w:tab/>
        <w:t>(8)</w:t>
      </w:r>
      <w:r>
        <w:tab/>
        <w:t>In Schedule 1 after the item for cl. 4.27.5 insert:</w:t>
      </w:r>
    </w:p>
    <w:p>
      <w:pPr>
        <w:pStyle w:val="BlankOpen"/>
      </w:pPr>
    </w:p>
    <w:tbl>
      <w:tblPr>
        <w:tblW w:w="708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1276"/>
        <w:gridCol w:w="4111"/>
      </w:tblGrid>
      <w:tr>
        <w:trPr>
          <w:cantSplit/>
        </w:trPr>
        <w:tc>
          <w:tcPr>
            <w:tcW w:w="1701" w:type="dxa"/>
            <w:noWrap/>
          </w:tcPr>
          <w:p>
            <w:pPr>
              <w:pStyle w:val="zyTableNAm"/>
              <w:keepNext/>
            </w:pPr>
            <w:r>
              <w:t xml:space="preserve">cl. 4.28C.12(a) </w:t>
            </w:r>
          </w:p>
        </w:tc>
        <w:tc>
          <w:tcPr>
            <w:tcW w:w="1276" w:type="dxa"/>
            <w:noWrap/>
          </w:tcPr>
          <w:p>
            <w:pPr>
              <w:pStyle w:val="zyTableNAm"/>
              <w:keepNext/>
            </w:pPr>
            <w:r>
              <w:t>C</w:t>
            </w:r>
          </w:p>
        </w:tc>
        <w:tc>
          <w:tcPr>
            <w:tcW w:w="4111" w:type="dxa"/>
            <w:noWrap/>
          </w:tcPr>
          <w:p>
            <w:pPr>
              <w:pStyle w:val="zyTableNAm"/>
              <w:keepNext/>
            </w:pPr>
            <w:r>
              <w:t>first contravention: $100 000 plus a daily amount of $20 000</w:t>
            </w:r>
            <w:r>
              <w:br/>
              <w:t>subsequent contraventions: $100 000 plus a daily amount of $20 000</w:t>
            </w:r>
          </w:p>
        </w:tc>
      </w:tr>
    </w:tbl>
    <w:p>
      <w:pPr>
        <w:pStyle w:val="BlankClose"/>
      </w:pPr>
    </w:p>
    <w:p>
      <w:pPr>
        <w:pStyle w:val="Subsection"/>
      </w:pPr>
      <w:r>
        <w:tab/>
        <w:t>(9)</w:t>
      </w:r>
      <w:r>
        <w:tab/>
        <w:t>In Schedule 1 after the item for cl. 4.12.1 insert:</w:t>
      </w:r>
    </w:p>
    <w:p>
      <w:pPr>
        <w:pStyle w:val="BlankOpen"/>
      </w:pPr>
    </w:p>
    <w:tbl>
      <w:tblPr>
        <w:tblW w:w="708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1276"/>
        <w:gridCol w:w="4111"/>
      </w:tblGrid>
      <w:tr>
        <w:trPr>
          <w:cantSplit/>
        </w:trPr>
        <w:tc>
          <w:tcPr>
            <w:tcW w:w="1701" w:type="dxa"/>
            <w:noWrap/>
          </w:tcPr>
          <w:p>
            <w:pPr>
              <w:pStyle w:val="zyTableNAm"/>
            </w:pPr>
            <w:r>
              <w:t>cl. 5.2A.2</w:t>
            </w:r>
          </w:p>
        </w:tc>
        <w:tc>
          <w:tcPr>
            <w:tcW w:w="1276" w:type="dxa"/>
            <w:noWrap/>
          </w:tcPr>
          <w:p>
            <w:pPr>
              <w:pStyle w:val="zyTableNAm"/>
            </w:pPr>
            <w:r>
              <w:t>C</w:t>
            </w:r>
          </w:p>
        </w:tc>
        <w:tc>
          <w:tcPr>
            <w:tcW w:w="4111" w:type="dxa"/>
            <w:noWrap/>
          </w:tcPr>
          <w:p>
            <w:pPr>
              <w:pStyle w:val="zyTableNAm"/>
              <w:rPr>
                <w:b/>
                <w:i/>
              </w:rPr>
            </w:pPr>
            <w:r>
              <w:t>first contravention: $100 000 plus a daily amount of $20 000</w:t>
            </w:r>
            <w:r>
              <w:br/>
              <w:t>subsequent contraventions: $100 000 plus a daily amount of $20 000</w:t>
            </w:r>
          </w:p>
        </w:tc>
      </w:tr>
      <w:tr>
        <w:trPr>
          <w:cantSplit/>
        </w:trPr>
        <w:tc>
          <w:tcPr>
            <w:tcW w:w="1701" w:type="dxa"/>
            <w:noWrap/>
          </w:tcPr>
          <w:p>
            <w:pPr>
              <w:pStyle w:val="zyTableNAm"/>
            </w:pPr>
            <w:r>
              <w:t>cl. 6.3C.9</w:t>
            </w:r>
          </w:p>
        </w:tc>
        <w:tc>
          <w:tcPr>
            <w:tcW w:w="1276" w:type="dxa"/>
            <w:noWrap/>
          </w:tcPr>
          <w:p>
            <w:pPr>
              <w:pStyle w:val="zyTableNAm"/>
            </w:pPr>
            <w:r>
              <w:t>B</w:t>
            </w:r>
          </w:p>
        </w:tc>
        <w:tc>
          <w:tcPr>
            <w:tcW w:w="4111" w:type="dxa"/>
            <w:noWrap/>
          </w:tcPr>
          <w:p>
            <w:pPr>
              <w:pStyle w:val="zyTableNAm"/>
            </w:pPr>
            <w:r>
              <w:t>first contravention: $50 000 plus a daily amount of $10 000</w:t>
            </w:r>
            <w:r>
              <w:br/>
              <w:t>subsequent contraventions: $75 000 plus a daily amount of $10 000</w:t>
            </w:r>
          </w:p>
        </w:tc>
      </w:tr>
    </w:tbl>
    <w:p>
      <w:pPr>
        <w:pStyle w:val="BlankClose"/>
      </w:pPr>
    </w:p>
    <w:p>
      <w:pPr>
        <w:pStyle w:val="Subsection"/>
      </w:pPr>
      <w:r>
        <w:tab/>
        <w:t>(10)</w:t>
      </w:r>
      <w:r>
        <w:tab/>
        <w:t>In Schedule 1 delete the item for cl. 6.6.3.</w:t>
      </w:r>
    </w:p>
    <w:p>
      <w:pPr>
        <w:pStyle w:val="Subsection"/>
      </w:pPr>
      <w:r>
        <w:tab/>
        <w:t>(11)</w:t>
      </w:r>
      <w:r>
        <w:tab/>
        <w:t>In Schedule 1 in the item for cl. 7.4.2(c) delete “</w:t>
      </w:r>
      <w:r>
        <w:rPr>
          <w:sz w:val="22"/>
          <w:szCs w:val="22"/>
        </w:rPr>
        <w:t>cl. 7.4.2(c)</w:t>
      </w:r>
      <w:r>
        <w:t>” and insert:</w:t>
      </w:r>
    </w:p>
    <w:p>
      <w:pPr>
        <w:pStyle w:val="BlankOpen"/>
      </w:pPr>
    </w:p>
    <w:p>
      <w:pPr>
        <w:pStyle w:val="Subsection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cl. 7.4.2</w:t>
      </w:r>
    </w:p>
    <w:p>
      <w:pPr>
        <w:pStyle w:val="BlankClose"/>
      </w:pPr>
    </w:p>
    <w:p>
      <w:pPr>
        <w:pStyle w:val="Subsection"/>
      </w:pPr>
      <w:r>
        <w:tab/>
        <w:t>(12)</w:t>
      </w:r>
      <w:r>
        <w:tab/>
        <w:t>In Schedule 1 after the item for cl. 7.4.4 insert:</w:t>
      </w:r>
    </w:p>
    <w:p>
      <w:pPr>
        <w:pStyle w:val="BlankOpen"/>
      </w:pPr>
    </w:p>
    <w:tbl>
      <w:tblPr>
        <w:tblW w:w="708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1276"/>
        <w:gridCol w:w="4111"/>
      </w:tblGrid>
      <w:tr>
        <w:trPr>
          <w:cantSplit/>
        </w:trPr>
        <w:tc>
          <w:tcPr>
            <w:tcW w:w="1701" w:type="dxa"/>
            <w:noWrap/>
          </w:tcPr>
          <w:p>
            <w:pPr>
              <w:pStyle w:val="zyTableNAm"/>
            </w:pPr>
            <w:r>
              <w:t>cl. 7.4.5</w:t>
            </w:r>
          </w:p>
        </w:tc>
        <w:tc>
          <w:tcPr>
            <w:tcW w:w="1276" w:type="dxa"/>
            <w:noWrap/>
          </w:tcPr>
          <w:p>
            <w:pPr>
              <w:pStyle w:val="zyTableNAm"/>
            </w:pPr>
            <w:r>
              <w:t>C</w:t>
            </w:r>
          </w:p>
        </w:tc>
        <w:tc>
          <w:tcPr>
            <w:tcW w:w="4111" w:type="dxa"/>
            <w:noWrap/>
          </w:tcPr>
          <w:p>
            <w:pPr>
              <w:pStyle w:val="zyTableNAm"/>
            </w:pPr>
            <w:r>
              <w:t>first contravention: $100 000 plus a daily amount of $20 000</w:t>
            </w:r>
            <w:r>
              <w:br/>
              <w:t>subsequent contraventions: $100 000 plus a daily amount of $20 000</w:t>
            </w:r>
          </w:p>
        </w:tc>
      </w:tr>
    </w:tbl>
    <w:p>
      <w:pPr>
        <w:pStyle w:val="BlankClose"/>
      </w:pPr>
    </w:p>
    <w:p>
      <w:pPr>
        <w:pStyle w:val="Subsection"/>
      </w:pPr>
      <w:r>
        <w:tab/>
        <w:t>(13)</w:t>
      </w:r>
      <w:r>
        <w:tab/>
        <w:t>In Schedule 1 delete the item for cl. 7.4.5A.</w:t>
      </w:r>
    </w:p>
    <w:p>
      <w:pPr>
        <w:pStyle w:val="Subsection"/>
      </w:pPr>
      <w:r>
        <w:lastRenderedPageBreak/>
        <w:tab/>
        <w:t>(14)</w:t>
      </w:r>
      <w:r>
        <w:tab/>
        <w:t>In Schedule 1 after the item for cl. 7.6.31 insert:</w:t>
      </w:r>
    </w:p>
    <w:p>
      <w:pPr>
        <w:pStyle w:val="BlankOpen"/>
      </w:pPr>
    </w:p>
    <w:tbl>
      <w:tblPr>
        <w:tblW w:w="708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1276"/>
        <w:gridCol w:w="4111"/>
      </w:tblGrid>
      <w:tr>
        <w:trPr>
          <w:cantSplit/>
        </w:trPr>
        <w:tc>
          <w:tcPr>
            <w:tcW w:w="1701" w:type="dxa"/>
            <w:noWrap/>
          </w:tcPr>
          <w:p>
            <w:pPr>
              <w:pStyle w:val="zyTableNAm"/>
            </w:pPr>
            <w:r>
              <w:t>cl. 7.7.11</w:t>
            </w:r>
          </w:p>
        </w:tc>
        <w:tc>
          <w:tcPr>
            <w:tcW w:w="1276" w:type="dxa"/>
            <w:noWrap/>
          </w:tcPr>
          <w:p>
            <w:pPr>
              <w:pStyle w:val="zyTableNAm"/>
            </w:pPr>
            <w:r>
              <w:t>C</w:t>
            </w:r>
          </w:p>
        </w:tc>
        <w:tc>
          <w:tcPr>
            <w:tcW w:w="4111" w:type="dxa"/>
            <w:noWrap/>
          </w:tcPr>
          <w:p>
            <w:pPr>
              <w:pStyle w:val="zyTableNAm"/>
            </w:pPr>
            <w:r>
              <w:t>first contravention: $100 000 plus a daily amount of $20 000</w:t>
            </w:r>
            <w:r>
              <w:br/>
              <w:t>subsequent contraventions: $100 000 plus a daily amount of $20 000</w:t>
            </w:r>
          </w:p>
        </w:tc>
      </w:tr>
    </w:tbl>
    <w:p>
      <w:pPr>
        <w:pStyle w:val="BlankClose"/>
      </w:pPr>
    </w:p>
    <w:p>
      <w:pPr>
        <w:pStyle w:val="Subsection"/>
      </w:pPr>
      <w:r>
        <w:tab/>
        <w:t>(15)</w:t>
      </w:r>
      <w:r>
        <w:tab/>
        <w:t>In Schedule 1 after the item for cl. 7.9.1 insert:</w:t>
      </w:r>
    </w:p>
    <w:p>
      <w:pPr>
        <w:pStyle w:val="BlankOpen"/>
      </w:pPr>
    </w:p>
    <w:tbl>
      <w:tblPr>
        <w:tblW w:w="708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1276"/>
        <w:gridCol w:w="4111"/>
      </w:tblGrid>
      <w:tr>
        <w:trPr>
          <w:cantSplit/>
        </w:trPr>
        <w:tc>
          <w:tcPr>
            <w:tcW w:w="1701" w:type="dxa"/>
            <w:noWrap/>
          </w:tcPr>
          <w:p>
            <w:pPr>
              <w:pStyle w:val="zyTableNAm"/>
            </w:pPr>
            <w:r>
              <w:t>cl. 7.9.2</w:t>
            </w:r>
          </w:p>
        </w:tc>
        <w:tc>
          <w:tcPr>
            <w:tcW w:w="1276" w:type="dxa"/>
            <w:noWrap/>
          </w:tcPr>
          <w:p>
            <w:pPr>
              <w:pStyle w:val="zyTableNAm"/>
            </w:pPr>
            <w:r>
              <w:t>B</w:t>
            </w:r>
          </w:p>
        </w:tc>
        <w:tc>
          <w:tcPr>
            <w:tcW w:w="4111" w:type="dxa"/>
            <w:noWrap/>
          </w:tcPr>
          <w:p>
            <w:pPr>
              <w:pStyle w:val="zyTableNAm"/>
            </w:pPr>
            <w:r>
              <w:t>first contravention: $50 000 plus a daily amount of $10 000</w:t>
            </w:r>
            <w:r>
              <w:br/>
              <w:t>subsequent contraventions: $75 000 plus a daily amount of $10 000</w:t>
            </w:r>
          </w:p>
        </w:tc>
      </w:tr>
      <w:tr>
        <w:trPr>
          <w:cantSplit/>
        </w:trPr>
        <w:tc>
          <w:tcPr>
            <w:tcW w:w="1701" w:type="dxa"/>
            <w:noWrap/>
          </w:tcPr>
          <w:p>
            <w:pPr>
              <w:pStyle w:val="zyTableNAm"/>
            </w:pPr>
            <w:r>
              <w:t>cl. 7.9.3</w:t>
            </w:r>
          </w:p>
        </w:tc>
        <w:tc>
          <w:tcPr>
            <w:tcW w:w="1276" w:type="dxa"/>
            <w:noWrap/>
          </w:tcPr>
          <w:p>
            <w:pPr>
              <w:pStyle w:val="zyTableNAm"/>
            </w:pPr>
            <w:r>
              <w:t>B</w:t>
            </w:r>
          </w:p>
        </w:tc>
        <w:tc>
          <w:tcPr>
            <w:tcW w:w="4111" w:type="dxa"/>
            <w:noWrap/>
          </w:tcPr>
          <w:p>
            <w:pPr>
              <w:pStyle w:val="zyTableNAm"/>
            </w:pPr>
            <w:r>
              <w:t>first contravention: $50 000 plus a daily amount of $10 000</w:t>
            </w:r>
            <w:r>
              <w:br/>
              <w:t>subsequent contraventions: $75 000 plus a daily amount of $10 000</w:t>
            </w:r>
          </w:p>
        </w:tc>
      </w:tr>
    </w:tbl>
    <w:p>
      <w:pPr>
        <w:pStyle w:val="BlankClose"/>
      </w:pPr>
    </w:p>
    <w:p>
      <w:pPr>
        <w:pStyle w:val="Subsection"/>
      </w:pPr>
      <w:r>
        <w:tab/>
        <w:t>(16)</w:t>
      </w:r>
      <w:r>
        <w:tab/>
        <w:t>In Schedule 1 after the item for cl. 7.10.3 insert:</w:t>
      </w:r>
    </w:p>
    <w:p>
      <w:pPr>
        <w:pStyle w:val="BlankOpen"/>
      </w:pPr>
    </w:p>
    <w:tbl>
      <w:tblPr>
        <w:tblW w:w="708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1276"/>
        <w:gridCol w:w="4111"/>
      </w:tblGrid>
      <w:tr>
        <w:trPr>
          <w:cantSplit/>
        </w:trPr>
        <w:tc>
          <w:tcPr>
            <w:tcW w:w="1701" w:type="dxa"/>
            <w:noWrap/>
          </w:tcPr>
          <w:p>
            <w:pPr>
              <w:pStyle w:val="zyTableNAm"/>
            </w:pPr>
            <w:r>
              <w:t>cl. 7.10.4</w:t>
            </w:r>
          </w:p>
        </w:tc>
        <w:tc>
          <w:tcPr>
            <w:tcW w:w="1276" w:type="dxa"/>
            <w:noWrap/>
          </w:tcPr>
          <w:p>
            <w:pPr>
              <w:pStyle w:val="zyTableNAm"/>
            </w:pPr>
            <w:r>
              <w:t>C</w:t>
            </w:r>
          </w:p>
        </w:tc>
        <w:tc>
          <w:tcPr>
            <w:tcW w:w="4111" w:type="dxa"/>
            <w:noWrap/>
          </w:tcPr>
          <w:p>
            <w:pPr>
              <w:pStyle w:val="zyTableNAm"/>
            </w:pPr>
            <w:r>
              <w:t>first contravention: $100 000 plus a daily amount of $20 000</w:t>
            </w:r>
            <w:r>
              <w:br/>
              <w:t>subsequent contraventions: $100 000 plus a daily amount of $20 000</w:t>
            </w:r>
          </w:p>
        </w:tc>
      </w:tr>
      <w:tr>
        <w:trPr>
          <w:cantSplit/>
        </w:trPr>
        <w:tc>
          <w:tcPr>
            <w:tcW w:w="1701" w:type="dxa"/>
            <w:noWrap/>
          </w:tcPr>
          <w:p>
            <w:pPr>
              <w:pStyle w:val="zyTableNAm"/>
            </w:pPr>
            <w:r>
              <w:t>cl. 7.10.6</w:t>
            </w:r>
          </w:p>
        </w:tc>
        <w:tc>
          <w:tcPr>
            <w:tcW w:w="1276" w:type="dxa"/>
            <w:noWrap/>
          </w:tcPr>
          <w:p>
            <w:pPr>
              <w:pStyle w:val="zyTableNAm"/>
            </w:pPr>
            <w:r>
              <w:t>C</w:t>
            </w:r>
          </w:p>
        </w:tc>
        <w:tc>
          <w:tcPr>
            <w:tcW w:w="4111" w:type="dxa"/>
            <w:noWrap/>
          </w:tcPr>
          <w:p>
            <w:pPr>
              <w:pStyle w:val="zyTableNAm"/>
            </w:pPr>
            <w:r>
              <w:t>first contravention: $100 000 plus a daily amount of $20 000</w:t>
            </w:r>
            <w:r>
              <w:br/>
              <w:t>subsequent contraventions: $100 000 plus a daily amount of $20 000</w:t>
            </w:r>
          </w:p>
        </w:tc>
      </w:tr>
    </w:tbl>
    <w:p>
      <w:pPr>
        <w:pStyle w:val="BlankClose"/>
      </w:pPr>
    </w:p>
    <w:p>
      <w:pPr>
        <w:pStyle w:val="Subsection"/>
        <w:keepNext/>
      </w:pPr>
      <w:r>
        <w:lastRenderedPageBreak/>
        <w:tab/>
        <w:t>(17)</w:t>
      </w:r>
      <w:r>
        <w:tab/>
        <w:t>In Schedule 1 after the item for cl. 7.10.8 insert:</w:t>
      </w:r>
    </w:p>
    <w:p>
      <w:pPr>
        <w:pStyle w:val="BlankOpen"/>
      </w:pPr>
    </w:p>
    <w:tbl>
      <w:tblPr>
        <w:tblW w:w="708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1276"/>
        <w:gridCol w:w="4111"/>
      </w:tblGrid>
      <w:tr>
        <w:trPr>
          <w:cantSplit/>
        </w:trPr>
        <w:tc>
          <w:tcPr>
            <w:tcW w:w="1701" w:type="dxa"/>
            <w:noWrap/>
          </w:tcPr>
          <w:p>
            <w:pPr>
              <w:pStyle w:val="zyTableNAm"/>
            </w:pPr>
            <w:r>
              <w:t>cl. 7.10.19</w:t>
            </w:r>
          </w:p>
        </w:tc>
        <w:tc>
          <w:tcPr>
            <w:tcW w:w="1276" w:type="dxa"/>
            <w:noWrap/>
          </w:tcPr>
          <w:p>
            <w:pPr>
              <w:pStyle w:val="zyTableNAm"/>
            </w:pPr>
            <w:r>
              <w:t>C</w:t>
            </w:r>
          </w:p>
        </w:tc>
        <w:tc>
          <w:tcPr>
            <w:tcW w:w="4111" w:type="dxa"/>
            <w:noWrap/>
          </w:tcPr>
          <w:p>
            <w:pPr>
              <w:pStyle w:val="zyTableNAm"/>
            </w:pPr>
            <w:r>
              <w:t>first contravention: $100 000 plus a daily amount of $20 000</w:t>
            </w:r>
            <w:r>
              <w:br/>
              <w:t>subsequent contraventions: $100 000 plus a daily amount of $20 000</w:t>
            </w:r>
          </w:p>
        </w:tc>
      </w:tr>
    </w:tbl>
    <w:p>
      <w:pPr>
        <w:pStyle w:val="BlankClose"/>
      </w:pPr>
    </w:p>
    <w:p>
      <w:pPr>
        <w:pStyle w:val="Heading2"/>
      </w:pPr>
      <w:bookmarkStart w:id="14" w:name="_Toc212122065"/>
      <w:bookmarkStart w:id="15" w:name="_Toc212123639"/>
      <w:r>
        <w:rPr>
          <w:rStyle w:val="CharPartNo"/>
        </w:rPr>
        <w:lastRenderedPageBreak/>
        <w:t>Part 3</w:t>
      </w:r>
      <w:r>
        <w:rPr>
          <w:rStyle w:val="CharDivNo"/>
        </w:rPr>
        <w:t> </w:t>
      </w:r>
      <w:r>
        <w:t>—</w:t>
      </w:r>
      <w:r>
        <w:rPr>
          <w:rStyle w:val="CharDivText"/>
        </w:rPr>
        <w:t> </w:t>
      </w:r>
      <w:r>
        <w:rPr>
          <w:rStyle w:val="CharPartText"/>
          <w:i/>
        </w:rPr>
        <w:t>Electricity Industry (Pilbara Networks) Regulations 2021</w:t>
      </w:r>
      <w:r>
        <w:rPr>
          <w:rStyle w:val="CharPartText"/>
        </w:rPr>
        <w:t xml:space="preserve"> amended</w:t>
      </w:r>
      <w:bookmarkEnd w:id="14"/>
      <w:bookmarkEnd w:id="15"/>
    </w:p>
    <w:p>
      <w:pPr>
        <w:pStyle w:val="Heading5"/>
        <w:rPr>
          <w:snapToGrid w:val="0"/>
        </w:rPr>
      </w:pPr>
      <w:bookmarkStart w:id="16" w:name="_Toc212123640"/>
      <w:r>
        <w:rPr>
          <w:rStyle w:val="CharSectno"/>
        </w:rPr>
        <w:t>7</w:t>
      </w:r>
      <w:r>
        <w:rPr>
          <w:snapToGrid w:val="0"/>
        </w:rPr>
        <w:t>.</w:t>
      </w:r>
      <w:r>
        <w:rPr>
          <w:snapToGrid w:val="0"/>
        </w:rPr>
        <w:tab/>
        <w:t>Regulations amended</w:t>
      </w:r>
      <w:bookmarkEnd w:id="16"/>
    </w:p>
    <w:p>
      <w:pPr>
        <w:pStyle w:val="Subsection"/>
      </w:pPr>
      <w:r>
        <w:tab/>
      </w:r>
      <w:r>
        <w:tab/>
        <w:t xml:space="preserve">This Part </w:t>
      </w:r>
      <w:r>
        <w:rPr>
          <w:spacing w:val="-2"/>
        </w:rPr>
        <w:t>amends</w:t>
      </w:r>
      <w:r>
        <w:t xml:space="preserve"> the </w:t>
      </w:r>
      <w:r>
        <w:rPr>
          <w:i/>
        </w:rPr>
        <w:t>Electricity Industry (Pilbara Networks) Regulations 2021</w:t>
      </w:r>
      <w:r>
        <w:t>.</w:t>
      </w:r>
    </w:p>
    <w:p>
      <w:pPr>
        <w:pStyle w:val="Heading5"/>
      </w:pPr>
      <w:bookmarkStart w:id="17" w:name="_Toc212123641"/>
      <w:r>
        <w:rPr>
          <w:rStyle w:val="CharSectno"/>
        </w:rPr>
        <w:t>8</w:t>
      </w:r>
      <w:r>
        <w:t>.</w:t>
      </w:r>
      <w:r>
        <w:tab/>
        <w:t>Regulation 9 amended</w:t>
      </w:r>
      <w:bookmarkEnd w:id="17"/>
    </w:p>
    <w:p>
      <w:pPr>
        <w:pStyle w:val="Subsection"/>
      </w:pPr>
      <w:r>
        <w:tab/>
      </w:r>
      <w:r>
        <w:tab/>
        <w:t xml:space="preserve">After regulation 9(6) insert: </w:t>
      </w:r>
    </w:p>
    <w:p>
      <w:pPr>
        <w:pStyle w:val="BlankOpen"/>
      </w:pPr>
    </w:p>
    <w:p>
      <w:pPr>
        <w:pStyle w:val="zSubsection"/>
      </w:pPr>
      <w:r>
        <w:tab/>
        <w:t>(7)</w:t>
      </w:r>
      <w:r>
        <w:tab/>
        <w:t xml:space="preserve">Despite anything in this regulation or the Pilbara network rules, the Minister may make amending rules during the period — </w:t>
      </w:r>
    </w:p>
    <w:p>
      <w:pPr>
        <w:pStyle w:val="zIndenta"/>
      </w:pPr>
      <w:r>
        <w:tab/>
        <w:t>(a)</w:t>
      </w:r>
      <w:r>
        <w:tab/>
        <w:t xml:space="preserve">beginning on the day on which the </w:t>
      </w:r>
      <w:r>
        <w:rPr>
          <w:i/>
        </w:rPr>
        <w:t>Energy Regulations Amendment Regulations 2025</w:t>
      </w:r>
      <w:r>
        <w:t xml:space="preserve"> regulation 8 comes into operation; and </w:t>
      </w:r>
    </w:p>
    <w:p>
      <w:pPr>
        <w:pStyle w:val="zIndenta"/>
      </w:pPr>
      <w:r>
        <w:tab/>
        <w:t>(b)</w:t>
      </w:r>
      <w:r>
        <w:tab/>
        <w:t>ending on 31 October 2027.</w:t>
      </w:r>
    </w:p>
    <w:p>
      <w:pPr>
        <w:pStyle w:val="BlankClose"/>
      </w:pPr>
    </w:p>
    <w:p>
      <w:pPr>
        <w:pStyle w:val="Heading2"/>
      </w:pPr>
      <w:bookmarkStart w:id="18" w:name="_Toc212122068"/>
      <w:bookmarkStart w:id="19" w:name="_Toc212123642"/>
      <w:r>
        <w:rPr>
          <w:rStyle w:val="CharPartNo"/>
        </w:rPr>
        <w:lastRenderedPageBreak/>
        <w:t>Part 4</w:t>
      </w:r>
      <w:r>
        <w:rPr>
          <w:rStyle w:val="CharDivNo"/>
        </w:rPr>
        <w:t> </w:t>
      </w:r>
      <w:r>
        <w:t>—</w:t>
      </w:r>
      <w:r>
        <w:rPr>
          <w:rStyle w:val="CharPartText"/>
        </w:rPr>
        <w:t> </w:t>
      </w:r>
      <w:r>
        <w:rPr>
          <w:rStyle w:val="CharPartText"/>
          <w:i/>
          <w:iCs/>
        </w:rPr>
        <w:t>Gas Services Information Regulations 2012</w:t>
      </w:r>
      <w:r>
        <w:rPr>
          <w:rStyle w:val="CharPartText"/>
        </w:rPr>
        <w:t xml:space="preserve"> amended</w:t>
      </w:r>
      <w:bookmarkEnd w:id="18"/>
      <w:bookmarkEnd w:id="19"/>
    </w:p>
    <w:p>
      <w:pPr>
        <w:pStyle w:val="Heading5"/>
        <w:rPr>
          <w:snapToGrid w:val="0"/>
        </w:rPr>
      </w:pPr>
      <w:bookmarkStart w:id="20" w:name="_Toc212123643"/>
      <w:r>
        <w:rPr>
          <w:rStyle w:val="CharSectno"/>
        </w:rPr>
        <w:t>9</w:t>
      </w:r>
      <w:r>
        <w:rPr>
          <w:snapToGrid w:val="0"/>
        </w:rPr>
        <w:t>.</w:t>
      </w:r>
      <w:r>
        <w:rPr>
          <w:snapToGrid w:val="0"/>
        </w:rPr>
        <w:tab/>
        <w:t>Regulations amended</w:t>
      </w:r>
      <w:bookmarkEnd w:id="20"/>
    </w:p>
    <w:p>
      <w:pPr>
        <w:pStyle w:val="Subsection"/>
      </w:pPr>
      <w:r>
        <w:tab/>
      </w:r>
      <w:r>
        <w:tab/>
        <w:t>This Part</w:t>
      </w:r>
      <w:r>
        <w:rPr>
          <w:spacing w:val="-2"/>
        </w:rPr>
        <w:t xml:space="preserve"> amends</w:t>
      </w:r>
      <w:r>
        <w:t xml:space="preserve"> the </w:t>
      </w:r>
      <w:r>
        <w:rPr>
          <w:i/>
        </w:rPr>
        <w:t>Gas Services Information Regulations 2012</w:t>
      </w:r>
      <w:r>
        <w:t>.</w:t>
      </w:r>
    </w:p>
    <w:p>
      <w:pPr>
        <w:pStyle w:val="Heading5"/>
      </w:pPr>
      <w:bookmarkStart w:id="21" w:name="_Toc212123644"/>
      <w:r>
        <w:rPr>
          <w:rStyle w:val="CharSectno"/>
        </w:rPr>
        <w:t>10</w:t>
      </w:r>
      <w:r>
        <w:t>.</w:t>
      </w:r>
      <w:r>
        <w:tab/>
        <w:t>Regulation 7 amended</w:t>
      </w:r>
      <w:bookmarkEnd w:id="21"/>
    </w:p>
    <w:p>
      <w:pPr>
        <w:pStyle w:val="Subsection"/>
      </w:pPr>
      <w:r>
        <w:tab/>
      </w:r>
      <w:r>
        <w:tab/>
        <w:t>After regulation 7(6) insert:</w:t>
      </w:r>
    </w:p>
    <w:p>
      <w:pPr>
        <w:pStyle w:val="BlankOpen"/>
      </w:pPr>
    </w:p>
    <w:p>
      <w:pPr>
        <w:pStyle w:val="zSubsection"/>
      </w:pPr>
      <w:r>
        <w:tab/>
        <w:t>(7)</w:t>
      </w:r>
      <w:r>
        <w:tab/>
        <w:t xml:space="preserve">Despite anything in this regulation or the GSI rules, the Minister may make amending rules during the period beginning on the day on which the </w:t>
      </w:r>
      <w:r>
        <w:rPr>
          <w:i/>
        </w:rPr>
        <w:t>Energy Regulations Amendment Regulations 2025</w:t>
      </w:r>
      <w:r>
        <w:t xml:space="preserve"> regulation 10 comes into operation and ending on 31 October 2027.</w:t>
      </w:r>
    </w:p>
    <w:p>
      <w:pPr>
        <w:pStyle w:val="BlankClose"/>
      </w:pPr>
    </w:p>
    <w:p>
      <w:pPr>
        <w:pStyle w:val="ByCommand"/>
        <w:sectPr>
          <w:headerReference w:type="even" r:id="rId21"/>
          <w:headerReference w:type="default" r:id="rId22"/>
          <w:headerReference w:type="first" r:id="rId23"/>
          <w:endnotePr>
            <w:numFmt w:val="decimal"/>
          </w:endnotePr>
          <w:pgSz w:w="11907" w:h="16840" w:code="9"/>
          <w:pgMar w:top="2381" w:right="2410" w:bottom="3544" w:left="2410" w:header="720" w:footer="3544" w:gutter="0"/>
          <w:pgNumType w:start="1"/>
          <w:cols w:space="720"/>
          <w:noEndnote/>
          <w:titlePg/>
        </w:sectPr>
      </w:pPr>
      <w:r>
        <w:t>K. COLLERAN, Clerk of the Executive Council</w:t>
      </w:r>
    </w:p>
    <w:p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1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2025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2025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GEOFF O. LAWN,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FB43B8"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" stroked="f" strokeweight=".5pt">
                <v:textbox>
                  <w:txbxContent>
                    <w:p w14:paraId="52C12CC5" w14:textId="2CF6D03B" w:rsidR="004B66B9" w:rsidRDefault="004B66B9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>
                        <w:rPr>
                          <w:sz w:val="16"/>
                        </w:rPr>
                        <w:t>2025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57DF5316" w14:textId="77777777" w:rsidR="004B66B9" w:rsidRDefault="004B66B9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2D8364CF" w14:textId="29377AC7" w:rsidR="004B66B9" w:rsidRDefault="004B66B9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>
                        <w:rPr>
                          <w:sz w:val="16"/>
                        </w:rPr>
                        <w:t>2025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24BF2FAB" w14:textId="77777777" w:rsidR="004B66B9" w:rsidRDefault="004B66B9"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GEOFF O. LAWN,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endnotePr>
        <w:numFmt w:val="decimal"/>
      </w:endnotePr>
      <w:type w:val="continuous"/>
      <w:pgSz w:w="11907" w:h="16840" w:code="9"/>
      <w:pgMar w:top="567" w:right="1701" w:bottom="567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2025/179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29 Oct 2025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2025/179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29 Oct 2025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2025/179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29 Oct 2025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2025/179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29 Oct 2025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2025/179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29 Oct 2025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2025/179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29 Oct 2025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22" w:name="Coversheet"/>
    <w:bookmarkEnd w:id="22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Energy Regulations Amendment Regulations 2025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Energy Regulations Amendment Regulations 2025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1" w:name="TOC"/>
    <w:bookmarkEnd w:id="1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Energy Regulations Amendment Regulations 2025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Energy Regulations Amendment Regulations 2025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BBA1437"/>
    <w:multiLevelType w:val="singleLevel"/>
    <w:tmpl w:val="0C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7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8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rPr>
        <w:rFonts w:ascii="Symbol" w:hAnsi="Symbol" w:hint="default"/>
      </w:rPr>
    </w:lvl>
  </w:abstractNum>
  <w:abstractNum w:abstractNumId="19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4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1"/>
  </w:num>
  <w:num w:numId="2">
    <w:abstractNumId w:val="12"/>
  </w:num>
  <w:num w:numId="3">
    <w:abstractNumId w:val="13"/>
  </w:num>
  <w:num w:numId="4">
    <w:abstractNumId w:val="14"/>
  </w:num>
  <w:num w:numId="5">
    <w:abstractNumId w:val="18"/>
  </w:num>
  <w:num w:numId="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8065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/AllLaws&gt;"/>
    <w:docVar w:name="WAFER" w:val="20251023140001"/>
    <w:docVar w:name="WAFER_20150206084300" w:val="b265764f-9cc9-4051-b597-28966bcc0033"/>
    <w:docVar w:name="WAFER_20150206084300_GUID" w:val="UsedStyles"/>
    <w:docVar w:name="WAFER_20151016170500" w:val="65b8bf31-20ff-4e33-a7f5-3e8a982d38e1"/>
    <w:docVar w:name="WAFER_20151016170500_GUID" w:val="UpdateStyles"/>
    <w:docVar w:name="WAFER_20151016171156" w:val="6c2db7ef-daac-4b3e-9dc6-438f5d0ef0de"/>
    <w:docVar w:name="WAFER_20151016171156_GUID" w:val="UpdateStyles,UsedStyles"/>
    <w:docVar w:name="WAFER_20151016171216" w:val="94d94bff-48d8-4137-a72c-5fd727eea17c"/>
    <w:docVar w:name="WAFER_20151016171216_GUID" w:val="UpdateStyles,UsedStyles"/>
    <w:docVar w:name="WAFER_20151019113755" w:val="2391df09-cb41-4aa3-adeb-85763481adf4"/>
    <w:docVar w:name="WAFER_20151019113755_GUID" w:val="UpdateStyles"/>
    <w:docVar w:name="WAFER_20151102150240" w:val="b5d22a23-aebe-4a72-ade9-c7eb5fe3ff91"/>
    <w:docVar w:name="WAFER_20151102150240_GUID" w:val="UpdateStyles"/>
    <w:docVar w:name="WAFER_20190125160029" w:val="5f5bd124-b00b-412a-a7b5-01fcf0a689e4"/>
    <w:docVar w:name="WAFER_20190125160029_GUID" w:val="UpdateStyles"/>
    <w:docVar w:name="WAFER_20190213151332" w:val="ba422db1-9a36-4369-9917-270567d09a43"/>
    <w:docVar w:name="WAFER_20190213151332_GUID" w:val="UpdateStyles"/>
    <w:docVar w:name="WAFER_20190214104147" w:val="462c59b5-9a0c-4a8b-a415-d2eeb9a467c9"/>
    <w:docVar w:name="WAFER_20190214104147_GUID" w:val="UpdateStyles"/>
    <w:docVar w:name="WAFER_20190227114746" w:val="b6cf0004-89c3-4ce4-92f2-c7ba61597248"/>
    <w:docVar w:name="WAFER_20190227114746_GUID" w:val="UpdateStyles.ProcessFixes,UpdateStyles.ProcessFixes,RemoveIncorrectStyles.ProcessStyles,RemoveIncorrectStyles.ProcessStyles"/>
    <w:docVar w:name="WAFER_20191031134536" w:val="22d86058-aa5d-4625-8196-006bb3c08a21"/>
    <w:docVar w:name="WAFER_20191031134536_GUID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setPageSize.ResetPageSize,ResetPageFooter.ResetPageFooter"/>
    <w:docVar w:name="WAFER_20200207102504" w:val="6a1c105a-3450-41aa-9a46-e934e904a723"/>
    <w:docVar w:name="WAFER_20200207102504_GUID" w:val="6a1c105a-3450-41aa-9a46-e934e904a723"/>
    <w:docVar w:name="WAFER_20230403110444" w:val="6a1c105a-3450-41aa-9a46-e934e904a723"/>
    <w:docVar w:name="WAFER_20230403110444_GUID" w:val="6a1c105a-3450-41aa-9a46-e934e904a723"/>
    <w:docVar w:name="WAFER_20251006125316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,RemoveIncorrectStyles.ProcessStyles"/>
    <w:docVar w:name="WAFER_20251006125316_GUID" w:val="f710f6ff-cf57-4400-b847-3a6e9041d9a2"/>
    <w:docVar w:name="WAFER_20251009144202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51009144202_GUID" w:val="fa2c514e-2aa1-4ef9-9326-0e939aff94b5"/>
    <w:docVar w:name="WAFER_20251009150911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51009150911_GUID" w:val="176ba0b7-28cd-45a8-88de-06a6cf264521"/>
    <w:docVar w:name="WAFER_20251023140001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"/>
    <w:docVar w:name="WAFER_20251023140001_GUID" w:val="87cf0005-b008-4193-8ced-4d93839e9a1b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065"/>
    <o:shapelayout v:ext="edit">
      <o:idmap v:ext="edit" data="1"/>
    </o:shapelayout>
  </w:shapeDefaults>
  <w:decimalSymbol w:val="."/>
  <w:listSeparator w:val=","/>
  <w15:docId w15:val="{94DE4F04-E61F-4257-99D6-ACA511CE6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uiPriority w:val="39"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uiPriority w:val="39"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10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2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footer" Target="footer8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3AD0A-1845-4554-BCAE-543849427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1286</Words>
  <Characters>6459</Characters>
  <Application>Microsoft Office Word</Application>
  <DocSecurity>0</DocSecurity>
  <Lines>307</Lines>
  <Paragraphs>176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7569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Energy Regulations Amendment Regulations 2025 - 00-00-00</dc:title>
  <dc:subject/>
  <dc:creator/>
  <cp:keywords/>
  <dc:description/>
  <cp:lastModifiedBy>Master Repository Process</cp:lastModifiedBy>
  <cp:revision>4</cp:revision>
  <cp:lastPrinted>2021-03-14T07:59:00Z</cp:lastPrinted>
  <dcterms:created xsi:type="dcterms:W3CDTF">2025-10-28T04:18:00Z</dcterms:created>
  <dcterms:modified xsi:type="dcterms:W3CDTF">2025-10-28T04:18:00Z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55642</vt:lpwstr>
  </property>
  <property fmtid="{D5CDD505-2E9C-101B-9397-08002B2CF9AE}" pid="3" name="DocumentType">
    <vt:lpwstr>Reg</vt:lpwstr>
  </property>
  <property fmtid="{D5CDD505-2E9C-101B-9397-08002B2CF9AE}" pid="4" name="AsAtDate">
    <vt:lpwstr>29 Oct 2025</vt:lpwstr>
  </property>
  <property fmtid="{D5CDD505-2E9C-101B-9397-08002B2CF9AE}" pid="5" name="Suffix">
    <vt:lpwstr>00-00-00</vt:lpwstr>
  </property>
  <property fmtid="{D5CDD505-2E9C-101B-9397-08002B2CF9AE}" pid="6" name="Official">
    <vt:lpwstr/>
  </property>
  <property fmtid="{D5CDD505-2E9C-101B-9397-08002B2CF9AE}" pid="7" name="SLAPId">
    <vt:lpwstr>2025/179</vt:lpwstr>
  </property>
  <property fmtid="{D5CDD505-2E9C-101B-9397-08002B2CF9AE}" pid="8" name="PublishDate">
    <vt:lpwstr>29 Oct 2025</vt:lpwstr>
  </property>
  <property fmtid="{D5CDD505-2E9C-101B-9397-08002B2CF9AE}" pid="9" name="CommencementDate">
    <vt:lpwstr>20251029</vt:lpwstr>
  </property>
  <property fmtid="{D5CDD505-2E9C-101B-9397-08002B2CF9AE}" pid="10" name="CommencementAsAt">
    <vt:filetime>2025-10-28T16:00:00Z</vt:filetime>
  </property>
  <property fmtid="{D5CDD505-2E9C-101B-9397-08002B2CF9AE}" pid="11" name="CommencementYear">
    <vt:lpwstr>2025</vt:lpwstr>
  </property>
</Properties>
</file>