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16)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16)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_Toc213152106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_Toc213152107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16) 2025</w:t>
      </w:r>
    </w:p>
    <w:p>
      <w:pPr>
        <w:pStyle w:val="MadeBy"/>
      </w:pPr>
      <w:r>
        <w:t>Made under section 12(2)(c) of the Act.</w:t>
      </w:r>
    </w:p>
    <w:p>
      <w:pPr>
        <w:pStyle w:val="Heading5"/>
      </w:pPr>
      <w:bookmarkStart w:id="2" w:name="_Toc213151625"/>
      <w:bookmarkStart w:id="3" w:name="_Toc2131521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16) 2025</w:t>
      </w:r>
      <w:r>
        <w:t>.</w:t>
      </w:r>
    </w:p>
    <w:p>
      <w:pPr>
        <w:pStyle w:val="Heading5"/>
        <w:rPr>
          <w:spacing w:val="-2"/>
        </w:rPr>
      </w:pPr>
      <w:bookmarkStart w:id="5" w:name="_Toc213151626"/>
      <w:bookmarkStart w:id="6" w:name="_Toc2131521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following therapeutic legislative instruments have been made and published on the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1418"/>
        </w:tabs>
        <w:ind w:left="1418" w:hanging="567"/>
      </w:pPr>
      <w:r>
        <w:t>1.</w:t>
      </w:r>
      <w:r>
        <w:tab/>
        <w:t xml:space="preserve">Therapeutic Goods (Serious Scarcity and Substitutable Medicine) (Labetalol) Amendment Instrument 2025 </w:t>
      </w:r>
    </w:p>
    <w:p>
      <w:pPr>
        <w:pStyle w:val="MiscellaneousBody"/>
        <w:tabs>
          <w:tab w:val="left" w:pos="1418"/>
        </w:tabs>
        <w:ind w:left="1418" w:hanging="567"/>
      </w:pPr>
      <w:r>
        <w:t>2.</w:t>
      </w:r>
      <w:r>
        <w:tab/>
        <w:t>Therapeutic Goods (Medical Devices—Information that Must Accompany Application for Inclusion) Amendment Determination 2025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keepNext/>
        <w:keepLines/>
        <w:rPr>
          <w:b/>
          <w:bCs/>
          <w:spacing w:val="-2"/>
        </w:rPr>
      </w:pPr>
      <w:r>
        <w:rPr>
          <w:b/>
          <w:bCs/>
          <w:sz w:val="22"/>
          <w:szCs w:val="18"/>
        </w:rPr>
        <w:lastRenderedPageBreak/>
        <w:t xml:space="preserve">CATHERINE CARROLL </w:t>
      </w:r>
      <w:r>
        <w:rPr>
          <w:b/>
          <w:bCs/>
          <w:sz w:val="22"/>
          <w:szCs w:val="18"/>
        </w:rPr>
        <w:br/>
        <w:t>A/GENERAL COUNSEL AND 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16)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10412262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041213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04121339_GUID" w:val="f82ddd4a-69a5-4e41-8ec4-938598515136"/>
    <w:docVar w:name="WAFER_202511041226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04122628_GUID" w:val="7895cad5-359a-4daf-b183-2133744945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68A3B9AD-CAC0-4026-8BC9-1F62097E6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1671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16)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2025-11-04T06:49:00Z</dcterms:created>
  <dcterms:modified xsi:type="dcterms:W3CDTF">2025-11-04T06:49:00Z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55724</vt:lpwstr>
  </property>
  <property fmtid="{D5CDD505-2E9C-101B-9397-08002B2CF9AE}" pid="3" name="DocumentType">
    <vt:lpwstr>Reg</vt:lpwstr>
  </property>
  <property fmtid="{D5CDD505-2E9C-101B-9397-08002B2CF9AE}" pid="4" name="AsAtDate">
    <vt:lpwstr>05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2025/184</vt:lpwstr>
  </property>
  <property fmtid="{D5CDD505-2E9C-101B-9397-08002B2CF9AE}" pid="8" name="PublishDate">
    <vt:lpwstr>5 Nov 2025</vt:lpwstr>
  </property>
  <property fmtid="{D5CDD505-2E9C-101B-9397-08002B2CF9AE}" pid="9" name="CommencementDate">
    <vt:lpwstr>20251105</vt:lpwstr>
  </property>
  <property fmtid="{D5CDD505-2E9C-101B-9397-08002B2CF9AE}" pid="10" name="CommencementAsAt">
    <vt:filetime>2025-11-04T16:00:00Z</vt:filetime>
  </property>
  <property fmtid="{D5CDD505-2E9C-101B-9397-08002B2CF9AE}" pid="11" name="CommencementYear">
    <vt:lpwstr>2025</vt:lpwstr>
  </property>
</Properties>
</file>