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Parks (Long-stay Tenants)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Parks (Long-stay Tenants)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Parks (Long-stay Tenants)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_Toc213324493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_Toc213324494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_Toc213324495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_Toc213324496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Parks (Long</w:t>
      </w:r>
      <w:r>
        <w:noBreakHyphen/>
        <w:t>stay Tenants) Act 2006</w:t>
      </w:r>
    </w:p>
    <w:p>
      <w:pPr>
        <w:pStyle w:val="NameofActReg"/>
      </w:pPr>
      <w:r>
        <w:t>Residential Parks (Long</w:t>
      </w:r>
      <w:r>
        <w:noBreakHyphen/>
        <w:t>stay Tenants)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3324248"/>
      <w:bookmarkStart w:id="3" w:name="_Toc2133244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Parks (Long</w:t>
      </w:r>
      <w:r>
        <w:rPr>
          <w:i/>
        </w:rPr>
        <w:noBreakHyphen/>
        <w:t>stay Tenants)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13324249"/>
      <w:bookmarkStart w:id="6" w:name="_Toc2133244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3324250"/>
      <w:bookmarkStart w:id="8" w:name="_Toc2133244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Residential Parks (Long</w:t>
      </w:r>
      <w:r>
        <w:rPr>
          <w:i/>
        </w:rPr>
        <w:noBreakHyphen/>
        <w:t>stay Tenants) Regulations 2007</w:t>
      </w:r>
      <w:r>
        <w:t>.</w:t>
      </w:r>
    </w:p>
    <w:p>
      <w:pPr>
        <w:pStyle w:val="Heading5"/>
      </w:pPr>
      <w:bookmarkStart w:id="9" w:name="_Toc213324251"/>
      <w:bookmarkStart w:id="10" w:name="_Toc213324496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Before regulation 8(1)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Electricity Generation and Retail Corporation</w:t>
      </w:r>
      <w:r>
        <w:t xml:space="preserve"> has the meaning given in the </w:t>
      </w:r>
      <w:r>
        <w:rPr>
          <w:i/>
        </w:rPr>
        <w:t>Electricity Corporations Act 2005</w:t>
      </w:r>
      <w:r>
        <w:t xml:space="preserve"> section 3(1);</w:t>
      </w:r>
    </w:p>
    <w:p>
      <w:pPr>
        <w:pStyle w:val="zDefstart"/>
      </w:pPr>
      <w:r>
        <w:tab/>
      </w:r>
      <w:r>
        <w:rPr>
          <w:rStyle w:val="CharDefText"/>
        </w:rPr>
        <w:t>licence area</w:t>
      </w:r>
      <w:r>
        <w:t xml:space="preserve"> has the meaning given in the </w:t>
      </w:r>
      <w:r>
        <w:rPr>
          <w:i/>
          <w:iCs/>
        </w:rPr>
        <w:t xml:space="preserve">Electricity </w:t>
      </w:r>
      <w:r>
        <w:rPr>
          <w:i/>
          <w:iCs/>
          <w:szCs w:val="24"/>
        </w:rPr>
        <w:t>Industry Act 2004</w:t>
      </w:r>
      <w:r>
        <w:rPr>
          <w:szCs w:val="24"/>
        </w:rPr>
        <w:t xml:space="preserve"> section 3(1);</w:t>
      </w:r>
    </w:p>
    <w:p>
      <w:pPr>
        <w:pStyle w:val="zDefstart"/>
        <w:rPr>
          <w:szCs w:val="24"/>
        </w:rPr>
      </w:pPr>
      <w:r>
        <w:lastRenderedPageBreak/>
        <w:tab/>
      </w:r>
      <w:r>
        <w:rPr>
          <w:rStyle w:val="CharDefText"/>
        </w:rPr>
        <w:t>Regional Power Corporation</w:t>
      </w:r>
      <w:r>
        <w:t xml:space="preserve"> </w:t>
      </w:r>
      <w:r>
        <w:rPr>
          <w:szCs w:val="24"/>
        </w:rPr>
        <w:t xml:space="preserve">has the meaning given in the </w:t>
      </w:r>
      <w:r>
        <w:rPr>
          <w:i/>
          <w:iCs/>
          <w:szCs w:val="24"/>
        </w:rPr>
        <w:t>Electricity Corporations Act 2005</w:t>
      </w:r>
      <w:r>
        <w:rPr>
          <w:szCs w:val="24"/>
        </w:rPr>
        <w:t xml:space="preserve"> section 3(1).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8(1)(c)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if the tenant has a separate electricity meter — </w:t>
      </w:r>
    </w:p>
    <w:p>
      <w:pPr>
        <w:pStyle w:val="zIndenti"/>
      </w:pPr>
      <w:r>
        <w:tab/>
        <w:t>(i)</w:t>
      </w:r>
      <w:r>
        <w:tab/>
        <w:t>fees for electricity consumed by the tenant; and</w:t>
      </w:r>
    </w:p>
    <w:p>
      <w:pPr>
        <w:pStyle w:val="zIndenti"/>
      </w:pPr>
      <w:r>
        <w:tab/>
        <w:t>(ii)</w:t>
      </w:r>
      <w:r>
        <w:tab/>
        <w:t>fees for the supply of the electricity (</w:t>
      </w:r>
      <w:r>
        <w:rPr>
          <w:rStyle w:val="CharDefText"/>
        </w:rPr>
        <w:t>supply charges</w:t>
      </w:r>
      <w:r>
        <w:t>);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regulation 8(2)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 xml:space="preserve">A supply charge for agreed premises must not exceed the amount specified in — </w:t>
      </w:r>
    </w:p>
    <w:p>
      <w:pPr>
        <w:pStyle w:val="zIndenta"/>
      </w:pPr>
      <w:r>
        <w:tab/>
        <w:t>(a)</w:t>
      </w:r>
      <w:r>
        <w:tab/>
      </w:r>
      <w:r>
        <w:rPr>
          <w:szCs w:val="24"/>
        </w:rPr>
        <w:t xml:space="preserve">for agreed premises located within the licence area of the Electricity Generation and Retail Corporation — the </w:t>
      </w:r>
      <w:r>
        <w:rPr>
          <w:i/>
          <w:iCs/>
          <w:szCs w:val="24"/>
        </w:rPr>
        <w:t>Energy Operators (Electricity Generation and Retail Corporation) (Charges) By</w:t>
      </w:r>
      <w:r>
        <w:rPr>
          <w:i/>
          <w:iCs/>
          <w:szCs w:val="24"/>
        </w:rPr>
        <w:noBreakHyphen/>
        <w:t>laws 2006</w:t>
      </w:r>
      <w:r>
        <w:rPr>
          <w:szCs w:val="24"/>
        </w:rPr>
        <w:t xml:space="preserve"> Schedule 1 clause 6(2)(a)(ii); or</w:t>
      </w:r>
    </w:p>
    <w:p>
      <w:pPr>
        <w:pStyle w:val="zIndenta"/>
      </w:pPr>
      <w:r>
        <w:tab/>
        <w:t>(b)</w:t>
      </w:r>
      <w:r>
        <w:tab/>
      </w:r>
      <w:r>
        <w:rPr>
          <w:szCs w:val="24"/>
        </w:rPr>
        <w:t xml:space="preserve">for agreed premises located within the licence area of the Regional Power Corporation — the </w:t>
      </w:r>
      <w:r>
        <w:rPr>
          <w:i/>
          <w:iCs/>
          <w:szCs w:val="24"/>
        </w:rPr>
        <w:t>Energy Operators (Regional Power Corporation) (Charges) By</w:t>
      </w:r>
      <w:r>
        <w:rPr>
          <w:i/>
          <w:iCs/>
          <w:szCs w:val="24"/>
        </w:rPr>
        <w:noBreakHyphen/>
        <w:t>laws 2006</w:t>
      </w:r>
      <w:r>
        <w:rPr>
          <w:szCs w:val="24"/>
        </w:rPr>
        <w:t xml:space="preserve"> Schedule 1 clause 3(2)(a)(ii).</w:t>
      </w:r>
    </w:p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E87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3A296FC" w14:textId="6E4BA996" w:rsidR="00473C85" w:rsidRDefault="00473C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87348F" w14:textId="77777777" w:rsidR="00473C85" w:rsidRDefault="00473C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F84B2F" w14:textId="296A277B" w:rsidR="00473C85" w:rsidRDefault="00473C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692004" w14:textId="77777777" w:rsidR="00473C85" w:rsidRDefault="00473C8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Parks (Long-stay Tenants)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Parks (Long-stay Tenants)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Parks (Long-stay Tenants)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Parks (Long-stay Tenants)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061223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07130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07130050_GUID" w:val="4b56eee9-bca7-4081-981e-96ce4f477877"/>
    <w:docVar w:name="WAFER_20251008092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08092946_GUID" w:val="357605af-8cd0-4068-a745-d4991a824331"/>
    <w:docVar w:name="WAFER_202511061223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6122326_GUID" w:val="d3f06db4-7703-42e7-a153-471408b24a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DC1C4D89-615A-4D03-8261-BA5EF824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"/>
    <w:basedOn w:val="Sub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2292</Characters>
  <Application>Microsoft Office Word</Application>
  <DocSecurity>0</DocSecurity>
  <Lines>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Parks (Long-stay Tenants)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2025-11-11T03:12:00Z</dcterms:created>
  <dcterms:modified xsi:type="dcterms:W3CDTF">2025-11-11T03:12:00Z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55643</vt:lpwstr>
  </property>
  <property fmtid="{D5CDD505-2E9C-101B-9397-08002B2CF9AE}" pid="3" name="DocumentType">
    <vt:lpwstr>Reg</vt:lpwstr>
  </property>
  <property fmtid="{D5CDD505-2E9C-101B-9397-08002B2CF9AE}" pid="4" name="AsAtDate">
    <vt:lpwstr>12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2025/188</vt:lpwstr>
  </property>
  <property fmtid="{D5CDD505-2E9C-101B-9397-08002B2CF9AE}" pid="8" name="PublishDate">
    <vt:lpwstr>12 Nov 2025</vt:lpwstr>
  </property>
  <property fmtid="{D5CDD505-2E9C-101B-9397-08002B2CF9AE}" pid="9" name="CommencementDate">
    <vt:lpwstr>20251112</vt:lpwstr>
  </property>
  <property fmtid="{D5CDD505-2E9C-101B-9397-08002B2CF9AE}" pid="10" name="CommencementAsAt">
    <vt:filetime>2025-11-11T16:00:00Z</vt:filetime>
  </property>
  <property fmtid="{D5CDD505-2E9C-101B-9397-08002B2CF9AE}" pid="11" name="CommencementYear">
    <vt:lpwstr>2025</vt:lpwstr>
  </property>
</Properties>
</file>