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Vocational Education and Training Act 1996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(Colleges)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(Colleges)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_Toc213323359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_Toc213323360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_Toc213323361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_Toc213323362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15A amended</w:t>
      </w:r>
      <w:r>
        <w:tab/>
      </w:r>
      <w:r>
        <w:fldChar w:fldCharType="begin"/>
      </w:r>
      <w:r>
        <w:instrText xml:space="preserve"> PAGEREF _Toc213323363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20 amended</w:t>
      </w:r>
      <w:r>
        <w:tab/>
      </w:r>
      <w:r>
        <w:fldChar w:fldCharType="begin"/>
      </w:r>
      <w:r>
        <w:instrText xml:space="preserve"> PAGEREF _Toc213323364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Vocational Education and Training Act 1996</w:t>
      </w:r>
    </w:p>
    <w:p>
      <w:pPr>
        <w:pStyle w:val="NameofActReg"/>
      </w:pPr>
      <w:r>
        <w:t>Vocational Education and Training (Colleges)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13323059"/>
      <w:bookmarkStart w:id="3" w:name="_Toc213323359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Vocational Education and Training (Colleges)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13323060"/>
      <w:bookmarkStart w:id="6" w:name="_Toc2133233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 xml:space="preserve"> — 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 (</w:t>
      </w:r>
      <w:r>
        <w:rPr>
          <w:rStyle w:val="CharDefText"/>
        </w:rPr>
        <w:t>publication day</w:t>
      </w:r>
      <w:r>
        <w:t>);</w:t>
      </w:r>
    </w:p>
    <w:p>
      <w:pPr>
        <w:pStyle w:val="Indenta"/>
      </w:pPr>
      <w:r>
        <w:tab/>
        <w:t>(b)</w:t>
      </w:r>
      <w:r>
        <w:tab/>
        <w:t>regulation 5 — on 1 January 2026;</w:t>
      </w:r>
    </w:p>
    <w:p>
      <w:pPr>
        <w:pStyle w:val="Indenta"/>
      </w:pPr>
      <w:r>
        <w:tab/>
        <w:t>(c)</w:t>
      </w:r>
      <w:r>
        <w:tab/>
        <w:t>the rest of the regulations — on the day after publication day.</w:t>
      </w:r>
    </w:p>
    <w:p>
      <w:pPr>
        <w:pStyle w:val="Heading5"/>
        <w:rPr>
          <w:snapToGrid w:val="0"/>
        </w:rPr>
      </w:pPr>
      <w:bookmarkStart w:id="7" w:name="_Toc213323061"/>
      <w:bookmarkStart w:id="8" w:name="_Toc213323361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Vocational Education and Training (Colleges) Regulations 1996</w:t>
      </w:r>
      <w:r>
        <w:t>.</w:t>
      </w:r>
    </w:p>
    <w:p>
      <w:pPr>
        <w:pStyle w:val="Heading5"/>
      </w:pPr>
      <w:bookmarkStart w:id="9" w:name="_Toc213323062"/>
      <w:bookmarkStart w:id="10" w:name="_Toc213323362"/>
      <w:r>
        <w:rPr>
          <w:rStyle w:val="CharSectno"/>
        </w:rPr>
        <w:t>4</w:t>
      </w:r>
      <w:r>
        <w:t>.</w:t>
      </w:r>
      <w:r>
        <w:tab/>
        <w:t>Regulation 11 amended</w:t>
      </w:r>
      <w:bookmarkEnd w:id="9"/>
      <w:bookmarkEnd w:id="10"/>
    </w:p>
    <w:p>
      <w:pPr>
        <w:pStyle w:val="Subsection"/>
        <w:keepNext/>
        <w:keepLines/>
      </w:pPr>
      <w:r>
        <w:tab/>
      </w:r>
      <w:r>
        <w:tab/>
        <w:t>In regulation 11(1) delete “2024 or 2025,” and insert:</w:t>
      </w:r>
    </w:p>
    <w:p>
      <w:pPr>
        <w:pStyle w:val="BlankOpen"/>
      </w:pPr>
    </w:p>
    <w:p>
      <w:pPr>
        <w:pStyle w:val="Subsection"/>
        <w:keepNext/>
        <w:keepLines/>
      </w:pPr>
      <w:r>
        <w:tab/>
      </w:r>
      <w:r>
        <w:tab/>
        <w:t>2024, 2025 or 2026,</w:t>
      </w:r>
    </w:p>
    <w:p>
      <w:pPr>
        <w:pStyle w:val="BlankClose"/>
      </w:pPr>
    </w:p>
    <w:p>
      <w:pPr>
        <w:pStyle w:val="SectAltNote"/>
        <w:keepLines/>
      </w:pPr>
      <w:r>
        <w:lastRenderedPageBreak/>
        <w:tab/>
        <w:t>Note: The heading to amended regulation 11 is to read:</w:t>
      </w:r>
    </w:p>
    <w:p>
      <w:pPr>
        <w:pStyle w:val="SectAltHeading"/>
        <w:keepNext/>
        <w:keepLines/>
      </w:pPr>
      <w:r>
        <w:tab/>
      </w:r>
      <w:r>
        <w:tab/>
        <w:t>Course fees for 2021 to 2026: Sch. 1</w:t>
      </w:r>
    </w:p>
    <w:p>
      <w:pPr>
        <w:pStyle w:val="Heading5"/>
      </w:pPr>
      <w:bookmarkStart w:id="11" w:name="_Toc213323063"/>
      <w:bookmarkStart w:id="12" w:name="_Toc213323363"/>
      <w:r>
        <w:rPr>
          <w:rStyle w:val="CharSectno"/>
        </w:rPr>
        <w:t>5</w:t>
      </w:r>
      <w:r>
        <w:t>.</w:t>
      </w:r>
      <w:r>
        <w:tab/>
        <w:t>Regulation 15A amended</w:t>
      </w:r>
      <w:bookmarkEnd w:id="11"/>
      <w:bookmarkEnd w:id="12"/>
    </w:p>
    <w:p>
      <w:pPr>
        <w:pStyle w:val="Subsection"/>
      </w:pPr>
      <w:r>
        <w:tab/>
      </w:r>
      <w:r>
        <w:tab/>
        <w:t>Delete regulation 15A(1A)(e) and (f) and insert:</w:t>
      </w:r>
    </w:p>
    <w:p>
      <w:pPr>
        <w:pStyle w:val="BlankOpen"/>
      </w:pPr>
    </w:p>
    <w:p>
      <w:pPr>
        <w:pStyle w:val="zIndenta"/>
      </w:pPr>
      <w:r>
        <w:tab/>
        <w:t>(e)</w:t>
      </w:r>
      <w:r>
        <w:tab/>
        <w:t xml:space="preserve">the student holds a visa of subclass 449 or 786; </w:t>
      </w:r>
    </w:p>
    <w:p>
      <w:pPr>
        <w:pStyle w:val="BlankClose"/>
      </w:pPr>
    </w:p>
    <w:p>
      <w:pPr>
        <w:pStyle w:val="Heading5"/>
      </w:pPr>
      <w:bookmarkStart w:id="13" w:name="_Toc213323064"/>
      <w:bookmarkStart w:id="14" w:name="_Toc213323364"/>
      <w:r>
        <w:rPr>
          <w:rStyle w:val="CharSectno"/>
        </w:rPr>
        <w:t>6</w:t>
      </w:r>
      <w:r>
        <w:t>.</w:t>
      </w:r>
      <w:r>
        <w:tab/>
        <w:t>Regulation 20 amended</w:t>
      </w:r>
      <w:bookmarkEnd w:id="13"/>
      <w:bookmarkEnd w:id="14"/>
    </w:p>
    <w:p>
      <w:pPr>
        <w:pStyle w:val="Subsection"/>
      </w:pPr>
      <w:r>
        <w:tab/>
      </w:r>
      <w:r>
        <w:tab/>
        <w:t>In regulation 20(2)(cd) delete “ParentsNext;”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Parent Pathways;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B. D’SA,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3486F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87DD077" w14:textId="4C414E94" w:rsidR="00E929F3" w:rsidRDefault="00E929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B512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B33D92" w14:textId="77777777" w:rsidR="00E929F3" w:rsidRDefault="00E929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04DE9CB" w14:textId="6AD43083" w:rsidR="00E929F3" w:rsidRDefault="00E929F3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B5124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80F1631" w14:textId="77777777" w:rsidR="00E929F3" w:rsidRDefault="00E929F3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2025/186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2025/186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Nov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(Colleges)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RuleErr_0001 Description=&quot;Citation not found&quot; Search=&quot;VerifyActsAndRegs&quot; /&gt;&lt;Current&gt;2&lt;/Current&gt;&lt;Maximum&gt;1&lt;/Maximum&gt;&lt;/AllLaws&gt;"/>
    <w:docVar w:name="WAFER" w:val="20251106120323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101414001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1014140019_GUID" w:val="20f03fb7-794c-4faf-ae32-c9e9398bc5bd"/>
    <w:docVar w:name="WAFER_2025102009255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1020092554_GUID" w:val="caac78c2-2a3b-4e65-ab9b-f36f1ba86868"/>
    <w:docVar w:name="WAFER_2025110612032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1106120323_GUID" w:val="1b7d996d-5534-4cfb-abc7-f8f6b824ad9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."/>
  <w:listSeparator w:val=","/>
  <w15:docId w15:val="{1E8ACD33-F663-41D8-96FF-AEAD6D6F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323</Words>
  <Characters>1827</Characters>
  <Application>Microsoft Office Word</Application>
  <DocSecurity>0</DocSecurity>
  <Lines>83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Education and Training (Colleges)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2025-11-11T03:12:00Z</dcterms:created>
  <dcterms:modified xsi:type="dcterms:W3CDTF">2025-11-11T03:12:00Z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55694</vt:lpwstr>
  </property>
  <property fmtid="{D5CDD505-2E9C-101B-9397-08002B2CF9AE}" pid="3" name="DocumentType">
    <vt:lpwstr>Reg</vt:lpwstr>
  </property>
  <property fmtid="{D5CDD505-2E9C-101B-9397-08002B2CF9AE}" pid="4" name="AsAtDate">
    <vt:lpwstr>12 Nov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2025/186</vt:lpwstr>
  </property>
  <property fmtid="{D5CDD505-2E9C-101B-9397-08002B2CF9AE}" pid="8" name="PublishDate">
    <vt:lpwstr>12 Nov 2025</vt:lpwstr>
  </property>
  <property fmtid="{D5CDD505-2E9C-101B-9397-08002B2CF9AE}" pid="9" name="CommencementDate">
    <vt:lpwstr>20251112</vt:lpwstr>
  </property>
  <property fmtid="{D5CDD505-2E9C-101B-9397-08002B2CF9AE}" pid="10" name="CommencementAsAt">
    <vt:filetime>2025-11-11T16:00:00Z</vt:filetime>
  </property>
  <property fmtid="{D5CDD505-2E9C-101B-9397-08002B2CF9AE}" pid="11" name="CommencementYear">
    <vt:lpwstr>2025</vt:lpwstr>
  </property>
</Properties>
</file>