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_Toc213337525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_Toc213337526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w:t>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_Toc213337528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_Toc213337529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_Toc213337530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 fees</w:t>
      </w:r>
      <w:r>
        <w:tab/>
      </w:r>
      <w:r>
        <w:fldChar w:fldCharType="begin"/>
      </w:r>
      <w:r>
        <w:instrText xml:space="preserve"> PAGEREF _Toc213337531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_Toc213337532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_Toc213337533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_Toc213337534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_Toc213337535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_Toc213337536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_Toc213337537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_Toc213337538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_Toc213337539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_Toc213337540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_Toc213337541 \h </w:instrText>
      </w:r>
      <w:r>
        <w:fldChar w:fldCharType="separate"/>
      </w:r>
      <w:r>
        <w:t>15</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_Toc213337542 \h </w:instrText>
      </w:r>
      <w:r>
        <w:fldChar w:fldCharType="separate"/>
      </w:r>
      <w:r>
        <w:t>17</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_Toc213337543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_Toc213337544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_Toc213337545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rPr>
          <w:snapToGrid w:val="0"/>
        </w:rPr>
        <w:t xml:space="preserve">. </w:t>
      </w:r>
      <w:r>
        <w:rPr>
          <w:snapToGrid w:val="0"/>
        </w:rPr>
        <w:tab/>
        <w:t>Termination of employment and notification of termination</w:t>
      </w:r>
      <w:r>
        <w:tab/>
      </w:r>
      <w:r>
        <w:fldChar w:fldCharType="begin"/>
      </w:r>
      <w:r>
        <w:instrText xml:space="preserve"> PAGEREF _Toc213337546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_Toc213337547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w:t>
      </w:r>
    </w:p>
    <w:p>
      <w:pPr>
        <w:pStyle w:val="TOC8"/>
        <w:rPr>
          <w:rFonts w:asciiTheme="minorHAnsi" w:eastAsiaTheme="minorEastAsia" w:hAnsiTheme="minorHAnsi" w:cstheme="minorBidi"/>
          <w:szCs w:val="22"/>
        </w:rPr>
      </w:pPr>
      <w:r>
        <w:t>20.</w:t>
      </w:r>
      <w:r>
        <w:tab/>
        <w:t>Prescribed offences and modified penalties</w:t>
      </w:r>
      <w:r>
        <w:tab/>
      </w:r>
      <w:r>
        <w:fldChar w:fldCharType="begin"/>
      </w:r>
      <w:r>
        <w:instrText xml:space="preserve"> PAGEREF _Toc213337549 \h </w:instrText>
      </w:r>
      <w:r>
        <w:fldChar w:fldCharType="separate"/>
      </w:r>
      <w:r>
        <w:t>21</w:t>
      </w:r>
      <w:r>
        <w:fldChar w:fldCharType="end"/>
      </w:r>
    </w:p>
    <w:p>
      <w:pPr>
        <w:pStyle w:val="TOC8"/>
        <w:rPr>
          <w:rFonts w:asciiTheme="minorHAnsi" w:eastAsiaTheme="minorEastAsia" w:hAnsiTheme="minorHAnsi" w:cstheme="minorBidi"/>
          <w:szCs w:val="22"/>
        </w:rPr>
      </w:pPr>
      <w:r>
        <w:t>21.</w:t>
      </w:r>
      <w:r>
        <w:tab/>
        <w:t>Forms for infringement notice and withdrawal notice</w:t>
      </w:r>
      <w:r>
        <w:tab/>
      </w:r>
      <w:r>
        <w:fldChar w:fldCharType="begin"/>
      </w:r>
      <w:r>
        <w:instrText xml:space="preserve"> PAGEREF _Toc213337550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_Toc213337556 \h </w:instrText>
      </w:r>
      <w:r>
        <w:fldChar w:fldCharType="separate"/>
      </w:r>
      <w:r>
        <w:t>33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_Toc213337557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2"/>
        <w:pageBreakBefore w:val="0"/>
        <w:spacing w:before="360"/>
      </w:pPr>
      <w:bookmarkStart w:id="2" w:name="_Toc213336572"/>
      <w:bookmarkStart w:id="3" w:name="_Toc213336809"/>
      <w:bookmarkStart w:id="4" w:name="_Toc213337524"/>
      <w:r>
        <w:rPr>
          <w:rStyle w:val="CharPartNo"/>
        </w:rPr>
        <w:t>Part 1</w:t>
      </w:r>
      <w:r>
        <w:t> —</w:t>
      </w:r>
      <w:r>
        <w:rPr>
          <w:rStyle w:val="CharPartText"/>
        </w:rPr>
        <w:t> Preliminary</w:t>
      </w:r>
      <w:bookmarkEnd w:id="2"/>
      <w:bookmarkEnd w:id="3"/>
      <w:bookmarkEnd w:id="4"/>
    </w:p>
    <w:p>
      <w:pPr>
        <w:pStyle w:val="Footnoteheading"/>
      </w:pPr>
      <w:r>
        <w:tab/>
        <w:t>[Heading inserted: SL 2025/35 r. 12.]</w:t>
      </w:r>
    </w:p>
    <w:p>
      <w:pPr>
        <w:pStyle w:val="Heading5"/>
        <w:spacing w:before="240"/>
        <w:rPr>
          <w:snapToGrid w:val="0"/>
        </w:rPr>
      </w:pPr>
      <w:bookmarkStart w:id="5" w:name="_Toc213337525"/>
      <w:r>
        <w:rPr>
          <w:rStyle w:val="CharSectno"/>
        </w:rPr>
        <w:t>1</w:t>
      </w:r>
      <w:r>
        <w:rPr>
          <w:snapToGrid w:val="0"/>
        </w:rPr>
        <w:t xml:space="preserve">. </w:t>
      </w:r>
      <w:r>
        <w:rPr>
          <w:snapToGrid w:val="0"/>
        </w:rPr>
        <w:tab/>
        <w:t>Citation</w:t>
      </w:r>
      <w:bookmarkEnd w:id="5"/>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6" w:name="_Toc213337526"/>
      <w:r>
        <w:rPr>
          <w:rStyle w:val="CharSectno"/>
        </w:rPr>
        <w:t>2</w:t>
      </w:r>
      <w:r>
        <w:rPr>
          <w:snapToGrid w:val="0"/>
        </w:rPr>
        <w:t xml:space="preserve">. </w:t>
      </w:r>
      <w:r>
        <w:rPr>
          <w:snapToGrid w:val="0"/>
        </w:rPr>
        <w:tab/>
        <w:t>Terms used, forms</w:t>
      </w:r>
      <w:bookmarkEnd w:id="6"/>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lastRenderedPageBreak/>
        <w:tab/>
      </w:r>
      <w:r>
        <w:rPr>
          <w:rStyle w:val="CharDefText"/>
        </w:rPr>
        <w:t>employ</w:t>
      </w:r>
      <w:r>
        <w:t xml:space="preserve"> includes engage under a contract for services;</w:t>
      </w:r>
    </w:p>
    <w:p>
      <w:pPr>
        <w:pStyle w:val="Defstart"/>
        <w:keepNext/>
      </w:pPr>
      <w:r>
        <w:rPr>
          <w:b/>
        </w:rPr>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2"/>
      </w:pPr>
      <w:bookmarkStart w:id="7" w:name="_Toc213336575"/>
      <w:bookmarkStart w:id="8" w:name="_Toc213336812"/>
      <w:bookmarkStart w:id="9" w:name="_Toc213337527"/>
      <w:r>
        <w:rPr>
          <w:rStyle w:val="CharPartNo"/>
        </w:rPr>
        <w:lastRenderedPageBreak/>
        <w:t>Part 2</w:t>
      </w:r>
      <w:r>
        <w:t> —</w:t>
      </w:r>
      <w:r>
        <w:rPr>
          <w:rStyle w:val="CharPartText"/>
        </w:rPr>
        <w:t> Licensing</w:t>
      </w:r>
      <w:bookmarkEnd w:id="7"/>
      <w:bookmarkEnd w:id="8"/>
      <w:bookmarkEnd w:id="9"/>
    </w:p>
    <w:p>
      <w:pPr>
        <w:pStyle w:val="Footnoteheading"/>
      </w:pPr>
      <w:r>
        <w:tab/>
        <w:t>[Heading inserted: SL 2025/35 r. 13.]</w:t>
      </w:r>
    </w:p>
    <w:p>
      <w:pPr>
        <w:pStyle w:val="Heading5"/>
        <w:spacing w:before="240"/>
        <w:rPr>
          <w:snapToGrid w:val="0"/>
        </w:rPr>
      </w:pPr>
      <w:bookmarkStart w:id="10" w:name="_Toc213337528"/>
      <w:r>
        <w:rPr>
          <w:rStyle w:val="CharSectno"/>
        </w:rPr>
        <w:t>3</w:t>
      </w:r>
      <w:r>
        <w:rPr>
          <w:snapToGrid w:val="0"/>
        </w:rPr>
        <w:t xml:space="preserve">. </w:t>
      </w:r>
      <w:r>
        <w:rPr>
          <w:snapToGrid w:val="0"/>
        </w:rPr>
        <w:tab/>
        <w:t>Unlicensed persons not to be casino key employees or casino employees</w:t>
      </w:r>
      <w:bookmarkEnd w:id="10"/>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pPr>
      <w:r>
        <w:tab/>
        <w:t>Penalty for this subregulation: a fine of $50 000.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r>
      <w:r>
        <w:t>Penalty for this subregulation: a fine of $10 000</w:t>
      </w:r>
      <w:r>
        <w:rPr>
          <w:snapToGrid w:val="0"/>
        </w:rPr>
        <w:t>.</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lastRenderedPageBreak/>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SL 2025/35 r. 18.] </w:t>
      </w:r>
    </w:p>
    <w:p>
      <w:pPr>
        <w:pStyle w:val="Heading5"/>
        <w:rPr>
          <w:snapToGrid w:val="0"/>
        </w:rPr>
      </w:pPr>
      <w:bookmarkStart w:id="11" w:name="_Toc213337529"/>
      <w:r>
        <w:rPr>
          <w:rStyle w:val="CharSectno"/>
        </w:rPr>
        <w:t>4</w:t>
      </w:r>
      <w:r>
        <w:rPr>
          <w:snapToGrid w:val="0"/>
        </w:rPr>
        <w:t xml:space="preserve">. </w:t>
      </w:r>
      <w:r>
        <w:rPr>
          <w:snapToGrid w:val="0"/>
        </w:rPr>
        <w:tab/>
        <w:t>Application for licence as employee</w:t>
      </w:r>
      <w:bookmarkEnd w:id="11"/>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lastRenderedPageBreak/>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keepNext/>
        <w:rPr>
          <w:snapToGrid w:val="0"/>
        </w:rPr>
      </w:pPr>
      <w:r>
        <w:rPr>
          <w:snapToGrid w:val="0"/>
        </w:rPr>
        <w:lastRenderedPageBreak/>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12" w:name="_Toc213337530"/>
      <w:r>
        <w:rPr>
          <w:rStyle w:val="CharSectno"/>
        </w:rPr>
        <w:t>5</w:t>
      </w:r>
      <w:r>
        <w:rPr>
          <w:snapToGrid w:val="0"/>
        </w:rPr>
        <w:t xml:space="preserve">. </w:t>
      </w:r>
      <w:r>
        <w:rPr>
          <w:snapToGrid w:val="0"/>
        </w:rPr>
        <w:tab/>
        <w:t>Investigation by police</w:t>
      </w:r>
      <w:bookmarkEnd w:id="12"/>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 xml:space="preserve">The Commissioner of Police may report to the Chief Casino Officer the result of any investigation made, including any record of the conviction of a person concerned for any offence </w:t>
      </w:r>
      <w:r>
        <w:lastRenderedPageBreak/>
        <w:t>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13" w:name="_Toc213337531"/>
      <w:r>
        <w:rPr>
          <w:rStyle w:val="CharSectno"/>
        </w:rPr>
        <w:t>6</w:t>
      </w:r>
      <w:r>
        <w:rPr>
          <w:snapToGrid w:val="0"/>
        </w:rPr>
        <w:t>.</w:t>
      </w:r>
      <w:r>
        <w:rPr>
          <w:snapToGrid w:val="0"/>
        </w:rPr>
        <w:tab/>
        <w:t>Licence fees</w:t>
      </w:r>
      <w:bookmarkEnd w:id="1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$512.50; and</w:t>
      </w:r>
    </w:p>
    <w:p>
      <w:pPr>
        <w:pStyle w:val="Indenta"/>
        <w:rPr>
          <w:snapToGrid w:val="0"/>
        </w:rPr>
      </w:pPr>
      <w:r>
        <w:rPr>
          <w:snapToGrid w:val="0"/>
        </w:rPr>
        <w:tab/>
        <w:t>(b)</w:t>
      </w:r>
      <w:r>
        <w:rPr>
          <w:snapToGrid w:val="0"/>
        </w:rPr>
        <w:tab/>
        <w:t xml:space="preserve">for a casino employee licence, is </w:t>
      </w:r>
      <w:r>
        <w:t>$335.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$147.50; and</w:t>
      </w:r>
    </w:p>
    <w:p>
      <w:pPr>
        <w:pStyle w:val="Indenta"/>
        <w:rPr>
          <w:snapToGrid w:val="0"/>
        </w:rPr>
      </w:pPr>
      <w:r>
        <w:rPr>
          <w:snapToGrid w:val="0"/>
        </w:rPr>
        <w:tab/>
        <w:t>(b)</w:t>
      </w:r>
      <w:r>
        <w:rPr>
          <w:snapToGrid w:val="0"/>
        </w:rPr>
        <w:tab/>
        <w:t xml:space="preserve">for the renewal of a casino employee licence, is </w:t>
      </w:r>
      <w:r>
        <w:t>$147.50.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$354; or</w:t>
      </w:r>
    </w:p>
    <w:p>
      <w:pPr>
        <w:pStyle w:val="Indenta"/>
      </w:pPr>
      <w:r>
        <w:rPr>
          <w:snapToGrid w:val="0"/>
        </w:rPr>
        <w:tab/>
        <w:t>(b)</w:t>
      </w:r>
      <w:r>
        <w:rPr>
          <w:snapToGrid w:val="0"/>
        </w:rPr>
        <w:tab/>
        <w:t xml:space="preserve">for a licence is made by a person who has been the holder of a licence under these regulations, within 4 months of the applicant having ceased to hold such a </w:t>
      </w:r>
      <w:r>
        <w:rPr>
          <w:snapToGrid w:val="0"/>
        </w:rPr>
        <w:lastRenderedPageBreak/>
        <w:t>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$58.</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SL 2024/213 r. 6.] </w:t>
      </w:r>
    </w:p>
    <w:p>
      <w:pPr>
        <w:pStyle w:val="Heading5"/>
        <w:rPr>
          <w:snapToGrid w:val="0"/>
        </w:rPr>
      </w:pPr>
      <w:bookmarkStart w:id="14" w:name="_Toc213337532"/>
      <w:r>
        <w:rPr>
          <w:rStyle w:val="CharSectno"/>
        </w:rPr>
        <w:t>7</w:t>
      </w:r>
      <w:r>
        <w:rPr>
          <w:snapToGrid w:val="0"/>
        </w:rPr>
        <w:t xml:space="preserve">. </w:t>
      </w:r>
      <w:r>
        <w:rPr>
          <w:snapToGrid w:val="0"/>
        </w:rPr>
        <w:tab/>
        <w:t>Consideration of application</w:t>
      </w:r>
      <w:bookmarkEnd w:id="14"/>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lastRenderedPageBreak/>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5" w:name="_Toc213337533"/>
      <w:r>
        <w:rPr>
          <w:rStyle w:val="CharSectno"/>
        </w:rPr>
        <w:t>8</w:t>
      </w:r>
      <w:r>
        <w:rPr>
          <w:snapToGrid w:val="0"/>
        </w:rPr>
        <w:t xml:space="preserve">. </w:t>
      </w:r>
      <w:r>
        <w:rPr>
          <w:snapToGrid w:val="0"/>
        </w:rPr>
        <w:tab/>
        <w:t>Commission may grant or refuse licence</w:t>
      </w:r>
      <w:bookmarkEnd w:id="15"/>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lastRenderedPageBreak/>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6" w:name="_Toc213337534"/>
      <w:r>
        <w:rPr>
          <w:rStyle w:val="CharSectno"/>
        </w:rPr>
        <w:t>9</w:t>
      </w:r>
      <w:r>
        <w:rPr>
          <w:snapToGrid w:val="0"/>
        </w:rPr>
        <w:t xml:space="preserve">. </w:t>
      </w:r>
      <w:r>
        <w:rPr>
          <w:snapToGrid w:val="0"/>
        </w:rPr>
        <w:tab/>
        <w:t>Issue of licence</w:t>
      </w:r>
      <w:bookmarkEnd w:id="1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 xml:space="preserve">Where the Commission becomes aware of any fresh information as to the holder, or of any change in any circumstance or of any </w:t>
      </w:r>
      <w:r>
        <w:lastRenderedPageBreak/>
        <w:t>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7" w:name="_Toc213337535"/>
      <w:r>
        <w:rPr>
          <w:rStyle w:val="CharSectno"/>
        </w:rPr>
        <w:t>10</w:t>
      </w:r>
      <w:r>
        <w:rPr>
          <w:snapToGrid w:val="0"/>
        </w:rPr>
        <w:t xml:space="preserve">. </w:t>
      </w:r>
      <w:r>
        <w:rPr>
          <w:snapToGrid w:val="0"/>
        </w:rPr>
        <w:tab/>
        <w:t>Custody of licence</w:t>
      </w:r>
      <w:bookmarkEnd w:id="17"/>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18" w:name="_Toc213337536"/>
      <w:r>
        <w:rPr>
          <w:rStyle w:val="CharSectno"/>
        </w:rPr>
        <w:t>11</w:t>
      </w:r>
      <w:r>
        <w:rPr>
          <w:snapToGrid w:val="0"/>
        </w:rPr>
        <w:t xml:space="preserve">. </w:t>
      </w:r>
      <w:r>
        <w:rPr>
          <w:snapToGrid w:val="0"/>
        </w:rPr>
        <w:tab/>
        <w:t>Display of identification</w:t>
      </w:r>
      <w:bookmarkEnd w:id="18"/>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for this subregulation: a fine of $5 000.</w:t>
      </w:r>
    </w:p>
    <w:p>
      <w:pPr>
        <w:pStyle w:val="Subsection"/>
        <w:keepNext/>
      </w:pPr>
      <w:r>
        <w:tab/>
        <w:t>(1a)</w:t>
      </w:r>
      <w:r>
        <w:tab/>
        <w:t xml:space="preserve">A casino key employee or casino employee shall, other than where an exemption under subregulation (2) applies in relation to the employee, wear a form of individual identification </w:t>
      </w:r>
      <w:r>
        <w:lastRenderedPageBreak/>
        <w:t>approved by the Commission in such a manner as to be readily visible to other persons in the Casino.</w:t>
      </w:r>
    </w:p>
    <w:p>
      <w:pPr>
        <w:pStyle w:val="Penstart"/>
        <w:ind w:left="0" w:firstLine="0"/>
      </w:pPr>
      <w:r>
        <w:tab/>
        <w:t>Penalty for this subregulation: a fine of $2 000.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SL 2025/35 r. 18.] </w:t>
      </w:r>
    </w:p>
    <w:p>
      <w:pPr>
        <w:pStyle w:val="Heading5"/>
        <w:rPr>
          <w:snapToGrid w:val="0"/>
        </w:rPr>
      </w:pPr>
      <w:bookmarkStart w:id="19" w:name="_Toc213337537"/>
      <w:r>
        <w:rPr>
          <w:rStyle w:val="CharSectno"/>
        </w:rPr>
        <w:t>12</w:t>
      </w:r>
      <w:r>
        <w:rPr>
          <w:snapToGrid w:val="0"/>
        </w:rPr>
        <w:t xml:space="preserve">. </w:t>
      </w:r>
      <w:r>
        <w:rPr>
          <w:snapToGrid w:val="0"/>
        </w:rPr>
        <w:tab/>
        <w:t>Notification of commencement of employment</w:t>
      </w:r>
      <w:bookmarkEnd w:id="19"/>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 xml:space="preserve">Penalty: </w:t>
      </w:r>
      <w:r>
        <w:t>a fine of $10 000.</w:t>
      </w:r>
    </w:p>
    <w:p>
      <w:pPr>
        <w:pStyle w:val="Footnotesection"/>
      </w:pPr>
      <w:r>
        <w:tab/>
        <w:t xml:space="preserve">[Regulation 12 amended: SL 2025/35 r. 18.] </w:t>
      </w:r>
    </w:p>
    <w:p>
      <w:pPr>
        <w:pStyle w:val="Heading5"/>
        <w:rPr>
          <w:snapToGrid w:val="0"/>
        </w:rPr>
      </w:pPr>
      <w:bookmarkStart w:id="20" w:name="_Toc213337538"/>
      <w:r>
        <w:rPr>
          <w:rStyle w:val="CharSectno"/>
        </w:rPr>
        <w:t>13</w:t>
      </w:r>
      <w:r>
        <w:rPr>
          <w:snapToGrid w:val="0"/>
        </w:rPr>
        <w:t xml:space="preserve">. </w:t>
      </w:r>
      <w:r>
        <w:rPr>
          <w:snapToGrid w:val="0"/>
        </w:rPr>
        <w:tab/>
        <w:t>Submission of information as to licensees and maintenance of register</w:t>
      </w:r>
      <w:bookmarkEnd w:id="20"/>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keepNext/>
        <w:rPr>
          <w:snapToGrid w:val="0"/>
        </w:rPr>
      </w:pPr>
      <w:r>
        <w:rPr>
          <w:snapToGrid w:val="0"/>
        </w:rPr>
        <w:lastRenderedPageBreak/>
        <w:tab/>
        <w:t>(c)</w:t>
      </w:r>
      <w:r>
        <w:rPr>
          <w:snapToGrid w:val="0"/>
        </w:rPr>
        <w:tab/>
        <w:t>is not, or at the time so specified was not, so employed or working,</w:t>
      </w:r>
    </w:p>
    <w:p>
      <w:pPr>
        <w:pStyle w:val="Subsection"/>
      </w:pPr>
      <w:r>
        <w:tab/>
      </w:r>
      <w:r>
        <w:tab/>
        <w:t>in the Casino, as the Chief Casino Officer may require.</w:t>
      </w:r>
    </w:p>
    <w:p>
      <w:pPr>
        <w:pStyle w:val="Penstart"/>
      </w:pPr>
      <w:r>
        <w:tab/>
        <w:t>Penalty for this subregulation: a fine of $10 000.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Footnotesection"/>
      </w:pPr>
      <w:r>
        <w:tab/>
        <w:t xml:space="preserve">[Regulation 13 amended: SL 2025/35 r. 18.] </w:t>
      </w:r>
    </w:p>
    <w:p>
      <w:pPr>
        <w:pStyle w:val="Heading5"/>
        <w:spacing w:before="180"/>
        <w:rPr>
          <w:snapToGrid w:val="0"/>
        </w:rPr>
      </w:pPr>
      <w:bookmarkStart w:id="21" w:name="_Toc213337539"/>
      <w:r>
        <w:rPr>
          <w:rStyle w:val="CharSectno"/>
        </w:rPr>
        <w:t>14</w:t>
      </w:r>
      <w:r>
        <w:rPr>
          <w:snapToGrid w:val="0"/>
        </w:rPr>
        <w:t xml:space="preserve">. </w:t>
      </w:r>
      <w:r>
        <w:rPr>
          <w:snapToGrid w:val="0"/>
        </w:rPr>
        <w:tab/>
        <w:t>Duration of licence</w:t>
      </w:r>
      <w:bookmarkEnd w:id="21"/>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lastRenderedPageBreak/>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22" w:name="_Toc213337540"/>
      <w:r>
        <w:rPr>
          <w:rStyle w:val="CharSectno"/>
        </w:rPr>
        <w:t>14A</w:t>
      </w:r>
      <w:r>
        <w:t>.</w:t>
      </w:r>
      <w:r>
        <w:tab/>
        <w:t>Renewal of licence</w:t>
      </w:r>
      <w:bookmarkEnd w:id="2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lastRenderedPageBreak/>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23" w:name="_Toc213337541"/>
      <w:r>
        <w:rPr>
          <w:rStyle w:val="CharSectno"/>
        </w:rPr>
        <w:t>15</w:t>
      </w:r>
      <w:r>
        <w:rPr>
          <w:snapToGrid w:val="0"/>
        </w:rPr>
        <w:t xml:space="preserve">. </w:t>
      </w:r>
      <w:r>
        <w:rPr>
          <w:snapToGrid w:val="0"/>
        </w:rPr>
        <w:tab/>
        <w:t>Cancellation or suspension of licence</w:t>
      </w:r>
      <w:bookmarkEnd w:id="23"/>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 xml:space="preserve">It is a condition of every licence issued under these regulations that the Chief Casino Officer or the Commission may require the holder to furnish, after the issue of the licence, such further information or other matters as the Chief Casino Officer or the </w:t>
      </w:r>
      <w:r>
        <w:lastRenderedPageBreak/>
        <w:t>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pPr>
      <w:r>
        <w:tab/>
        <w:t>Penalty for this subregulation: a fine of $5 000.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pPr>
      <w:r>
        <w:tab/>
        <w:t>Penalty for this subregulation: a fine of $10 000.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lastRenderedPageBreak/>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SL 2025/35 r. 18.] </w:t>
      </w:r>
    </w:p>
    <w:p>
      <w:pPr>
        <w:pStyle w:val="Heading5"/>
      </w:pPr>
      <w:bookmarkStart w:id="24" w:name="_Toc213337542"/>
      <w:r>
        <w:rPr>
          <w:rStyle w:val="CharSectno"/>
        </w:rPr>
        <w:t>16</w:t>
      </w:r>
      <w:r>
        <w:t>.</w:t>
      </w:r>
      <w:r>
        <w:tab/>
        <w:t>Letter of censure</w:t>
      </w:r>
      <w:bookmarkEnd w:id="24"/>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25" w:name="_Toc213337543"/>
      <w:r>
        <w:rPr>
          <w:rStyle w:val="CharSectno"/>
        </w:rPr>
        <w:t>16A</w:t>
      </w:r>
      <w:r>
        <w:t>.</w:t>
      </w:r>
      <w:r>
        <w:tab/>
        <w:t>Imposition of fine</w:t>
      </w:r>
      <w:bookmarkEnd w:id="25"/>
    </w:p>
    <w:p>
      <w:pPr>
        <w:pStyle w:val="Subsection"/>
      </w:pPr>
      <w:r>
        <w:tab/>
      </w:r>
      <w:r>
        <w:tab/>
        <w:t>If the Commission considers that the circumstances warrant it, the Commission may impose a fine of an amount not exceeding $5 000 on a casino key employee licence holder or casino employee licence holder in respect of a matter set out in regulation 15(1).</w:t>
      </w:r>
    </w:p>
    <w:p>
      <w:pPr>
        <w:pStyle w:val="Footnotesection"/>
      </w:pPr>
      <w:r>
        <w:tab/>
        <w:t>[Regulation 16A inserted: Gazette 5 Feb 1999 p. 406; amended: SL 2025/35 r. 18.]</w:t>
      </w:r>
    </w:p>
    <w:p>
      <w:pPr>
        <w:pStyle w:val="Heading5"/>
      </w:pPr>
      <w:bookmarkStart w:id="26" w:name="_Toc213337544"/>
      <w:r>
        <w:rPr>
          <w:rStyle w:val="CharSectno"/>
        </w:rPr>
        <w:t>16B</w:t>
      </w:r>
      <w:r>
        <w:t>.</w:t>
      </w:r>
      <w:r>
        <w:tab/>
        <w:t>Combination of punitive measures</w:t>
      </w:r>
      <w:bookmarkEnd w:id="26"/>
    </w:p>
    <w:p>
      <w:pPr>
        <w:pStyle w:val="Subsection"/>
      </w:pPr>
      <w:r>
        <w:tab/>
      </w:r>
      <w:r>
        <w:tab/>
        <w:t xml:space="preserve">Where the Commission considers it appropriate, and in response to a matter described in regulation 15(1), the Commission may </w:t>
      </w:r>
      <w:r>
        <w:lastRenderedPageBreak/>
        <w:t>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27" w:name="_Toc213337545"/>
      <w:r>
        <w:rPr>
          <w:rStyle w:val="CharSectno"/>
        </w:rPr>
        <w:t>17</w:t>
      </w:r>
      <w:r>
        <w:rPr>
          <w:snapToGrid w:val="0"/>
        </w:rPr>
        <w:t xml:space="preserve">. </w:t>
      </w:r>
      <w:r>
        <w:rPr>
          <w:snapToGrid w:val="0"/>
        </w:rPr>
        <w:tab/>
        <w:t>Surrender of licence</w:t>
      </w:r>
      <w:bookmarkEnd w:id="27"/>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28" w:name="_Toc213337546"/>
      <w:r>
        <w:rPr>
          <w:rStyle w:val="CharSectno"/>
        </w:rPr>
        <w:t>18</w:t>
      </w:r>
      <w:r>
        <w:rPr>
          <w:snapToGrid w:val="0"/>
        </w:rPr>
        <w:t xml:space="preserve">. </w:t>
      </w:r>
      <w:r>
        <w:rPr>
          <w:snapToGrid w:val="0"/>
        </w:rPr>
        <w:tab/>
        <w:t>Termination of employment and notification of termination</w:t>
      </w:r>
      <w:bookmarkEnd w:id="28"/>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 xml:space="preserve">Penalty: </w:t>
      </w:r>
      <w:r>
        <w:t>a fine of $20 000.</w:t>
      </w:r>
    </w:p>
    <w:p>
      <w:pPr>
        <w:pStyle w:val="Footnotesection"/>
      </w:pPr>
      <w:r>
        <w:tab/>
        <w:t xml:space="preserve">[Regulation 18 amended: SL 2025/35 r. 18.] </w:t>
      </w:r>
    </w:p>
    <w:p>
      <w:pPr>
        <w:pStyle w:val="Heading5"/>
        <w:rPr>
          <w:snapToGrid w:val="0"/>
        </w:rPr>
      </w:pPr>
      <w:bookmarkStart w:id="29" w:name="_Toc213337547"/>
      <w:r>
        <w:rPr>
          <w:rStyle w:val="CharSectno"/>
        </w:rPr>
        <w:t>19</w:t>
      </w:r>
      <w:r>
        <w:rPr>
          <w:snapToGrid w:val="0"/>
        </w:rPr>
        <w:t>.</w:t>
      </w:r>
      <w:r>
        <w:rPr>
          <w:snapToGrid w:val="0"/>
        </w:rPr>
        <w:tab/>
        <w:t>Provisional licences</w:t>
      </w:r>
      <w:bookmarkEnd w:id="29"/>
    </w:p>
    <w:p>
      <w:pPr>
        <w:pStyle w:val="Subsection"/>
      </w:pPr>
      <w:r>
        <w:tab/>
        <w:t>(1)</w:t>
      </w:r>
      <w:r>
        <w:tab/>
        <w:t xml:space="preserve">If an application is made under regulation 4 for a casino key employee licence or a casino employee licence, the Chief Casino Officer may cause to be issued in respect to the applicant </w:t>
      </w:r>
      <w:r>
        <w:lastRenderedPageBreak/>
        <w:t>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keepNext/>
      </w:pPr>
      <w:r>
        <w:lastRenderedPageBreak/>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pStyle w:val="Heading2"/>
      </w:pPr>
      <w:bookmarkStart w:id="30" w:name="_Toc213336596"/>
      <w:bookmarkStart w:id="31" w:name="_Toc213336833"/>
      <w:bookmarkStart w:id="32" w:name="_Toc213337548"/>
      <w:r>
        <w:rPr>
          <w:rStyle w:val="CharPartNo"/>
        </w:rPr>
        <w:lastRenderedPageBreak/>
        <w:t>Part 3</w:t>
      </w:r>
      <w:r>
        <w:t> —</w:t>
      </w:r>
      <w:r>
        <w:rPr>
          <w:rStyle w:val="CharPartText"/>
        </w:rPr>
        <w:t> Infringement notices</w:t>
      </w:r>
      <w:bookmarkEnd w:id="30"/>
      <w:bookmarkEnd w:id="31"/>
      <w:bookmarkEnd w:id="32"/>
    </w:p>
    <w:p>
      <w:pPr>
        <w:pStyle w:val="Footnoteheading"/>
      </w:pPr>
      <w:r>
        <w:tab/>
        <w:t>[Heading inserted: SL 2025/35 r. 14.]</w:t>
      </w:r>
    </w:p>
    <w:p>
      <w:pPr>
        <w:pStyle w:val="Heading5"/>
      </w:pPr>
      <w:bookmarkStart w:id="33" w:name="_Toc213337549"/>
      <w:r>
        <w:rPr>
          <w:rStyle w:val="CharSectno"/>
        </w:rPr>
        <w:t>20</w:t>
      </w:r>
      <w:r>
        <w:t>.</w:t>
      </w:r>
      <w:r>
        <w:tab/>
        <w:t>Prescribed offences and modified penalties</w:t>
      </w:r>
      <w:bookmarkEnd w:id="33"/>
      <w:r>
        <w:t xml:space="preserve"> </w:t>
      </w:r>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p>
    <w:p>
      <w:pPr>
        <w:pStyle w:val="Subsection"/>
      </w:pPr>
      <w:r>
        <w:tab/>
        <w:t>(2)</w:t>
      </w:r>
      <w:r>
        <w:tab/>
        <w:t xml:space="preserve">For the purposes of the </w:t>
      </w:r>
      <w:r>
        <w:rPr>
          <w:i/>
        </w:rPr>
        <w:t>Criminal Procedure Act 2004</w:t>
      </w:r>
      <w:r>
        <w:t xml:space="preserve"> section 5(3), the penalty specified opposite an offence in Schedule 2 is the modified penalty for that offence.</w:t>
      </w:r>
    </w:p>
    <w:p>
      <w:pPr>
        <w:pStyle w:val="Footnotesection"/>
      </w:pPr>
      <w:r>
        <w:tab/>
        <w:t>[Regulation 20 inserted: SL 2025/35 r. 14.]</w:t>
      </w:r>
    </w:p>
    <w:p>
      <w:pPr>
        <w:pStyle w:val="Heading5"/>
      </w:pPr>
      <w:bookmarkStart w:id="34" w:name="_Toc213337550"/>
      <w:r>
        <w:rPr>
          <w:rStyle w:val="CharSectno"/>
        </w:rPr>
        <w:t>21</w:t>
      </w:r>
      <w:r>
        <w:t>.</w:t>
      </w:r>
      <w:r>
        <w:tab/>
        <w:t>Forms for infringement notice and withdrawal notice</w:t>
      </w:r>
      <w:bookmarkEnd w:id="34"/>
    </w:p>
    <w:p>
      <w:pPr>
        <w:pStyle w:val="Subsection"/>
      </w:pPr>
      <w:r>
        <w:tab/>
        <w:t>(1)</w:t>
      </w:r>
      <w:r>
        <w:tab/>
        <w:t xml:space="preserve">For the purposes of the </w:t>
      </w:r>
      <w:r>
        <w:rPr>
          <w:i/>
        </w:rPr>
        <w:t>Criminal Procedure Act </w:t>
      </w:r>
      <w:r>
        <w:rPr>
          <w:i/>
          <w:iCs/>
        </w:rPr>
        <w:t>2004</w:t>
      </w:r>
      <w:r>
        <w:t xml:space="preserve"> section 6(d), the form of an infringement notice is Schedule 1 Form 8.</w:t>
      </w:r>
    </w:p>
    <w:p>
      <w:pPr>
        <w:pStyle w:val="Subsection"/>
      </w:pPr>
      <w:r>
        <w:tab/>
        <w:t>(2)</w:t>
      </w:r>
      <w:r>
        <w:tab/>
        <w:t xml:space="preserve">For the purposes of the </w:t>
      </w:r>
      <w:r>
        <w:rPr>
          <w:i/>
          <w:iCs/>
        </w:rPr>
        <w:t>Criminal Procedure Act 2004</w:t>
      </w:r>
      <w:r>
        <w:t xml:space="preserve"> section 15(2), the form stating that an infringement notice has been withdrawn is Schedule 1 Form 9.</w:t>
      </w:r>
    </w:p>
    <w:p>
      <w:pPr>
        <w:pStyle w:val="Footnotesection"/>
      </w:pPr>
      <w:r>
        <w:tab/>
        <w:t>[Regulation 21 inserted: SL 2025/35 r. 14.]</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35" w:name="_Toc213336599"/>
      <w:bookmarkStart w:id="36" w:name="_Toc213336836"/>
      <w:bookmarkStart w:id="37" w:name="_Toc213337551"/>
      <w:r>
        <w:rPr>
          <w:rStyle w:val="CharSchNo"/>
        </w:rPr>
        <w:lastRenderedPageBreak/>
        <w:t>Schedule 1 </w:t>
      </w:r>
      <w:r>
        <w:t>—</w:t>
      </w:r>
      <w:r>
        <w:rPr>
          <w:rStyle w:val="CharSchText"/>
        </w:rPr>
        <w:t> Forms</w:t>
      </w:r>
      <w:bookmarkEnd w:id="35"/>
      <w:bookmarkEnd w:id="36"/>
      <w:bookmarkEnd w:id="37"/>
    </w:p>
    <w:p>
      <w:pPr>
        <w:pStyle w:val="yFootnoteheading"/>
      </w:pPr>
      <w:r>
        <w:tab/>
        <w:t>[Heading inserted: SL 2025/35 r. 15.]</w:t>
      </w:r>
    </w:p>
    <w:p>
      <w:pPr>
        <w:pStyle w:val="yEdnotedivision"/>
      </w:pPr>
      <w:r>
        <w:t>[Form 1 deleted: Gazette 14 Oct 2005 p. 4558.]</w:t>
      </w:r>
    </w:p>
    <w:p>
      <w:pPr>
        <w:pStyle w:val="yHeading3"/>
      </w:pPr>
      <w:bookmarkStart w:id="38" w:name="_Toc213336600"/>
      <w:bookmarkStart w:id="39" w:name="_Toc213336837"/>
      <w:bookmarkStart w:id="40" w:name="_Toc213337552"/>
      <w:r>
        <w:rPr>
          <w:rStyle w:val="CharSClsNo"/>
        </w:rPr>
        <w:t>Form 2</w:t>
      </w:r>
      <w:bookmarkEnd w:id="38"/>
      <w:bookmarkEnd w:id="39"/>
      <w:bookmarkEnd w:id="40"/>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41" w:name="_Toc213336601"/>
      <w:bookmarkStart w:id="42" w:name="_Toc213336838"/>
      <w:bookmarkStart w:id="43" w:name="_Toc213337553"/>
      <w:r>
        <w:rPr>
          <w:rStyle w:val="CharSClsNo"/>
        </w:rPr>
        <w:lastRenderedPageBreak/>
        <w:t>Form 3</w:t>
      </w:r>
      <w:bookmarkEnd w:id="41"/>
      <w:bookmarkEnd w:id="42"/>
      <w:bookmarkEnd w:id="43"/>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lastRenderedPageBreak/>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lastRenderedPageBreak/>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lastRenderedPageBreak/>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lastRenderedPageBreak/>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yMiscellaneousHeading"/>
        <w:pageBreakBefore/>
      </w:pPr>
      <w:r>
        <w:rPr>
          <w:rStyle w:val="CharSClsNo"/>
          <w:b/>
        </w:rPr>
        <w:lastRenderedPageBreak/>
        <w:t>Form 8</w:t>
      </w:r>
      <w:r>
        <w:t> —</w:t>
      </w:r>
      <w:r>
        <w:rPr>
          <w:b/>
          <w:bCs/>
        </w:rPr>
        <w:t xml:space="preserve"> Infringement notice</w:t>
      </w:r>
    </w:p>
    <w:p>
      <w:pPr>
        <w:pStyle w:val="yShoulderClause"/>
        <w:spacing w:after="60"/>
      </w:pPr>
      <w:r>
        <w:t>[r. 21(1)]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trPr>
          <w:trHeight w:val="282"/>
        </w:trPr>
        <w:tc>
          <w:tcPr>
            <w:tcW w:w="4820" w:type="dxa"/>
            <w:gridSpan w:val="4"/>
            <w:noWrap/>
          </w:tcPr>
          <w:p>
            <w:pPr>
              <w:pStyle w:val="yTableNAm"/>
              <w:jc w:val="center"/>
              <w:rPr>
                <w:i/>
              </w:rPr>
            </w:pPr>
            <w:r>
              <w:br w:type="page"/>
            </w:r>
            <w:r>
              <w:rPr>
                <w:i/>
              </w:rPr>
              <w:t>Casino Control Act 1984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vMerge w:val="restart"/>
            <w:noWrap/>
          </w:tcPr>
          <w:p>
            <w:pPr>
              <w:pStyle w:val="yTableNAm"/>
            </w:pPr>
            <w:r>
              <w:t>Name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val="restart"/>
            <w:noWrap/>
          </w:tcPr>
          <w:p>
            <w:pPr>
              <w:pStyle w:val="yTableNAm"/>
            </w:pPr>
            <w:r>
              <w:t>Address</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shd w:val="clear" w:color="auto" w:fill="auto"/>
            <w:noWrap/>
          </w:tcPr>
          <w:p>
            <w:pPr>
              <w:pStyle w:val="yTableNAm"/>
            </w:pPr>
            <w:r>
              <w:t>Date or period</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Time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Place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val="restart"/>
            <w:shd w:val="clear" w:color="auto" w:fill="auto"/>
            <w:noWrap/>
          </w:tcPr>
          <w:p>
            <w:pPr>
              <w:pStyle w:val="yTableNAm"/>
            </w:pPr>
            <w:r>
              <w:t>Details of offence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val="restart"/>
            <w:shd w:val="clear" w:color="auto" w:fill="auto"/>
            <w:noWrap/>
          </w:tcPr>
          <w:p>
            <w:pPr>
              <w:pStyle w:val="yTableNAm"/>
            </w:pPr>
            <w:r>
              <w:t>Written law contravened</w:t>
            </w: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shd w:val="clear" w:color="auto" w:fill="auto"/>
            <w:noWrap/>
          </w:tcPr>
          <w:p>
            <w:pPr>
              <w:pStyle w:val="yTableNAm"/>
            </w:pPr>
          </w:p>
        </w:tc>
        <w:tc>
          <w:tcPr>
            <w:tcW w:w="4111" w:type="dxa"/>
            <w:gridSpan w:val="3"/>
            <w:noWrap/>
          </w:tcPr>
          <w:p>
            <w:pPr>
              <w:pStyle w:val="yTableNAm"/>
            </w:pPr>
          </w:p>
        </w:tc>
      </w:tr>
      <w:tr>
        <w:trPr>
          <w:trHeight w:val="306"/>
        </w:trPr>
        <w:tc>
          <w:tcPr>
            <w:tcW w:w="1134" w:type="dxa"/>
            <w:noWrap/>
          </w:tcPr>
          <w:p>
            <w:pPr>
              <w:pStyle w:val="yTableNAm"/>
              <w:rPr>
                <w:b/>
              </w:rPr>
            </w:pPr>
            <w:r>
              <w:rPr>
                <w:b/>
              </w:rPr>
              <w:t>Modified penalty</w:t>
            </w:r>
          </w:p>
        </w:tc>
        <w:tc>
          <w:tcPr>
            <w:tcW w:w="5670" w:type="dxa"/>
            <w:gridSpan w:val="4"/>
            <w:shd w:val="clear" w:color="auto" w:fill="auto"/>
            <w:noWrap/>
          </w:tcPr>
          <w:p>
            <w:pPr>
              <w:pStyle w:val="yTableNAm"/>
            </w:pPr>
            <w:r>
              <w:t>$</w:t>
            </w:r>
          </w:p>
        </w:tc>
      </w:tr>
      <w:tr>
        <w:tc>
          <w:tcPr>
            <w:tcW w:w="1134" w:type="dxa"/>
            <w:noWrap/>
          </w:tcPr>
          <w:p>
            <w:pPr>
              <w:pStyle w:val="yTableNAm"/>
              <w:rPr>
                <w:b/>
              </w:rPr>
            </w:pPr>
            <w:r>
              <w:rPr>
                <w:b/>
              </w:rPr>
              <w:t>Date</w:t>
            </w:r>
          </w:p>
        </w:tc>
        <w:tc>
          <w:tcPr>
            <w:tcW w:w="1559" w:type="dxa"/>
            <w:noWrap/>
          </w:tcPr>
          <w:p>
            <w:pPr>
              <w:pStyle w:val="yTableNAm"/>
            </w:pPr>
            <w:r>
              <w:t>Date of notice</w:t>
            </w:r>
          </w:p>
        </w:tc>
        <w:tc>
          <w:tcPr>
            <w:tcW w:w="4111" w:type="dxa"/>
            <w:gridSpan w:val="3"/>
            <w:noWrap/>
          </w:tcPr>
          <w:p>
            <w:pPr>
              <w:pStyle w:val="yTableNAm"/>
            </w:pPr>
          </w:p>
        </w:tc>
      </w:tr>
      <w:tr>
        <w:tc>
          <w:tcPr>
            <w:tcW w:w="1134" w:type="dxa"/>
            <w:vMerge w:val="restart"/>
            <w:noWrap/>
          </w:tcPr>
          <w:p>
            <w:pPr>
              <w:pStyle w:val="yTableNAm"/>
              <w:rPr>
                <w:b/>
              </w:rPr>
            </w:pPr>
            <w:r>
              <w:rPr>
                <w:b/>
              </w:rPr>
              <w:t>Issuing officer</w:t>
            </w:r>
          </w:p>
        </w:tc>
        <w:tc>
          <w:tcPr>
            <w:tcW w:w="1559" w:type="dxa"/>
            <w:noWrap/>
          </w:tcPr>
          <w:p>
            <w:pPr>
              <w:pStyle w:val="yTableNAm"/>
            </w:pPr>
            <w:r>
              <w:t>Name</w:t>
            </w:r>
          </w:p>
        </w:tc>
        <w:tc>
          <w:tcPr>
            <w:tcW w:w="4111" w:type="dxa"/>
            <w:gridSpan w:val="3"/>
            <w:noWrap/>
          </w:tcPr>
          <w:p>
            <w:pPr>
              <w:pStyle w:val="yTableNAm"/>
            </w:pPr>
          </w:p>
        </w:tc>
      </w:tr>
      <w:tr>
        <w:tc>
          <w:tcPr>
            <w:tcW w:w="1134" w:type="dxa"/>
            <w:vMerge/>
            <w:noWrap/>
          </w:tcPr>
          <w:p>
            <w:pPr>
              <w:pStyle w:val="yTableNAm"/>
              <w:rPr>
                <w:b/>
              </w:rPr>
            </w:pPr>
          </w:p>
        </w:tc>
        <w:tc>
          <w:tcPr>
            <w:tcW w:w="1559" w:type="dxa"/>
            <w:noWrap/>
          </w:tcPr>
          <w:p>
            <w:pPr>
              <w:pStyle w:val="yTableNAm"/>
            </w:pPr>
            <w:r>
              <w:t>Signature</w:t>
            </w:r>
          </w:p>
        </w:tc>
        <w:tc>
          <w:tcPr>
            <w:tcW w:w="4111" w:type="dxa"/>
            <w:gridSpan w:val="3"/>
            <w:noWrap/>
          </w:tcPr>
          <w:p>
            <w:pPr>
              <w:pStyle w:val="yTableNAm"/>
            </w:pP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xml:space="preserve">. Under that Act, </w:t>
            </w:r>
            <w:r>
              <w:lastRenderedPageBreak/>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noWrap/>
          </w:tcPr>
          <w:p>
            <w:pPr>
              <w:pStyle w:val="yTableNAm"/>
              <w:rPr>
                <w:b/>
              </w:rPr>
            </w:pPr>
            <w:r>
              <w:rPr>
                <w:b/>
              </w:rPr>
              <w:lastRenderedPageBreak/>
              <w:t>How to pay</w:t>
            </w:r>
          </w:p>
        </w:tc>
        <w:tc>
          <w:tcPr>
            <w:tcW w:w="1588" w:type="dxa"/>
            <w:gridSpan w:val="2"/>
            <w:noWrap/>
          </w:tcPr>
          <w:p>
            <w:pPr>
              <w:pStyle w:val="yTableNAm"/>
              <w:rPr>
                <w:szCs w:val="22"/>
              </w:rPr>
            </w:pPr>
            <w:r>
              <w:rPr>
                <w:szCs w:val="22"/>
              </w:rPr>
              <w:t>By post</w:t>
            </w:r>
          </w:p>
        </w:tc>
        <w:tc>
          <w:tcPr>
            <w:tcW w:w="4082" w:type="dxa"/>
            <w:gridSpan w:val="2"/>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In person</w:t>
            </w:r>
          </w:p>
        </w:tc>
        <w:tc>
          <w:tcPr>
            <w:tcW w:w="4082" w:type="dxa"/>
            <w:gridSpan w:val="2"/>
            <w:noWrap/>
          </w:tcPr>
          <w:p>
            <w:pPr>
              <w:pStyle w:val="yTableNAm"/>
              <w:rPr>
                <w:i/>
                <w:szCs w:val="22"/>
              </w:rPr>
            </w:pPr>
            <w:r>
              <w:rPr>
                <w:i/>
                <w:szCs w:val="22"/>
              </w:rPr>
              <w:t>[Insert details for paying in person]</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Electronically</w:t>
            </w:r>
          </w:p>
        </w:tc>
        <w:tc>
          <w:tcPr>
            <w:tcW w:w="4082" w:type="dxa"/>
            <w:gridSpan w:val="2"/>
            <w:noWrap/>
          </w:tcPr>
          <w:p>
            <w:pPr>
              <w:pStyle w:val="yTableNAm"/>
              <w:rPr>
                <w:i/>
                <w:szCs w:val="22"/>
              </w:rPr>
            </w:pPr>
            <w:r>
              <w:rPr>
                <w:i/>
                <w:szCs w:val="22"/>
              </w:rPr>
              <w:t xml:space="preserve">[Insert details for paying electronically] </w:t>
            </w:r>
          </w:p>
        </w:tc>
      </w:tr>
    </w:tbl>
    <w:p>
      <w:pPr>
        <w:pStyle w:val="yFootnotesection"/>
        <w:keepLines w:val="0"/>
      </w:pPr>
      <w:r>
        <w:tab/>
        <w:t>[Form 8 inserted: SL 2025/35 r. 16.]</w:t>
      </w:r>
    </w:p>
    <w:p>
      <w:pPr>
        <w:pStyle w:val="yMiscellaneousHeading"/>
        <w:pageBreakBefore/>
        <w:rPr>
          <w:b/>
          <w:bCs/>
        </w:rPr>
      </w:pPr>
      <w:r>
        <w:rPr>
          <w:rStyle w:val="CharSClsNo"/>
          <w:b/>
          <w:bCs/>
        </w:rPr>
        <w:lastRenderedPageBreak/>
        <w:t>Form 9</w:t>
      </w:r>
      <w:r>
        <w:rPr>
          <w:b/>
          <w:bCs/>
        </w:rPr>
        <w:t> — Withdrawal of infringement notice</w:t>
      </w:r>
    </w:p>
    <w:p>
      <w:pPr>
        <w:pStyle w:val="yShoulderClause"/>
        <w:spacing w:after="60"/>
      </w:pPr>
      <w:r>
        <w:t>[r. 21(2)]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trPr>
        <w:tc>
          <w:tcPr>
            <w:tcW w:w="4820" w:type="dxa"/>
            <w:gridSpan w:val="3"/>
            <w:noWrap/>
          </w:tcPr>
          <w:p>
            <w:pPr>
              <w:pStyle w:val="yTableNAm"/>
              <w:jc w:val="center"/>
              <w:rPr>
                <w:i/>
              </w:rPr>
            </w:pPr>
            <w:r>
              <w:br w:type="page"/>
            </w:r>
            <w:r>
              <w:rPr>
                <w:i/>
              </w:rPr>
              <w:t>Casino Control Act 1984</w:t>
            </w:r>
          </w:p>
          <w:p>
            <w:pPr>
              <w:pStyle w:val="yTableNAm"/>
              <w:jc w:val="center"/>
              <w:rPr>
                <w:b/>
                <w:sz w:val="28"/>
              </w:rPr>
            </w:pPr>
            <w:r>
              <w:rPr>
                <w:b/>
                <w:sz w:val="28"/>
              </w:rPr>
              <w:t>WITHDRAWAL OF INFRINGEMENT NOTICE</w:t>
            </w:r>
          </w:p>
        </w:tc>
        <w:tc>
          <w:tcPr>
            <w:tcW w:w="1984" w:type="dxa"/>
            <w:tcBorders>
              <w:bottom w:val="single" w:sz="4" w:space="0" w:color="auto"/>
            </w:tcBorders>
            <w:noWrap/>
          </w:tcPr>
          <w:p>
            <w:pPr>
              <w:pStyle w:val="yTableNAm"/>
            </w:pPr>
            <w:r>
              <w:t>Withdrawal no.</w:t>
            </w:r>
          </w:p>
        </w:tc>
      </w:tr>
      <w:tr>
        <w:trPr>
          <w:trHeight w:val="150"/>
        </w:trPr>
        <w:tc>
          <w:tcPr>
            <w:tcW w:w="1559" w:type="dxa"/>
            <w:vMerge w:val="restart"/>
            <w:noWrap/>
          </w:tcPr>
          <w:p>
            <w:pPr>
              <w:pStyle w:val="yTableNAm"/>
              <w:rPr>
                <w:b/>
              </w:rPr>
            </w:pPr>
            <w:r>
              <w:rPr>
                <w:b/>
              </w:rPr>
              <w:t>Alleged offender</w:t>
            </w:r>
          </w:p>
        </w:tc>
        <w:tc>
          <w:tcPr>
            <w:tcW w:w="1560" w:type="dxa"/>
            <w:vMerge w:val="restart"/>
            <w:noWrap/>
          </w:tcPr>
          <w:p>
            <w:pPr>
              <w:pStyle w:val="yTableNAm"/>
            </w:pPr>
            <w:r>
              <w:t>Name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c>
          <w:tcPr>
            <w:tcW w:w="1559" w:type="dxa"/>
            <w:vMerge w:val="restart"/>
            <w:noWrap/>
          </w:tcPr>
          <w:p>
            <w:pPr>
              <w:pStyle w:val="yTableNAm"/>
              <w:rPr>
                <w:b/>
              </w:rPr>
            </w:pPr>
            <w:r>
              <w:rPr>
                <w:b/>
              </w:rPr>
              <w:t>Officer of the Commission withdrawing notice</w:t>
            </w:r>
          </w:p>
        </w:tc>
        <w:tc>
          <w:tcPr>
            <w:tcW w:w="1560" w:type="dxa"/>
            <w:noWrap/>
          </w:tcPr>
          <w:p>
            <w:pPr>
              <w:pStyle w:val="yTableNAm"/>
            </w:pPr>
            <w:r>
              <w:t>Name</w:t>
            </w:r>
          </w:p>
        </w:tc>
        <w:tc>
          <w:tcPr>
            <w:tcW w:w="3685" w:type="dxa"/>
            <w:gridSpan w:val="2"/>
            <w:noWrap/>
          </w:tcPr>
          <w:p>
            <w:pPr>
              <w:pStyle w:val="yTableNAm"/>
              <w:rPr>
                <w:rStyle w:val="DraftersNotes"/>
              </w:rPr>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2"/>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2"/>
            <w:tcBorders>
              <w:bottom w:val="single" w:sz="4" w:space="0" w:color="auto"/>
            </w:tcBorders>
            <w:noWrap/>
          </w:tcPr>
          <w:p>
            <w:pPr>
              <w:pStyle w:val="yTableNAm"/>
            </w:pPr>
          </w:p>
        </w:tc>
      </w:tr>
      <w:tr>
        <w:trPr>
          <w:trHeight w:val="1097"/>
        </w:trPr>
        <w:tc>
          <w:tcPr>
            <w:tcW w:w="1559" w:type="dxa"/>
            <w:tcBorders>
              <w:top w:val="single" w:sz="4" w:space="0" w:color="auto"/>
              <w:bottom w:val="single" w:sz="4" w:space="0" w:color="auto"/>
            </w:tcBorders>
            <w:noWrap/>
          </w:tcPr>
          <w:p>
            <w:pPr>
              <w:pStyle w:val="yTableNAm"/>
              <w:rPr>
                <w:b/>
              </w:rPr>
            </w:pPr>
            <w:r>
              <w:rPr>
                <w:b/>
              </w:rPr>
              <w:t>Withdrawal of infringement notice</w:t>
            </w:r>
          </w:p>
          <w:p>
            <w:pPr>
              <w:pStyle w:val="yTableNAm"/>
              <w:rPr>
                <w:i/>
              </w:rPr>
            </w:pPr>
          </w:p>
        </w:tc>
        <w:tc>
          <w:tcPr>
            <w:tcW w:w="5245" w:type="dxa"/>
            <w:gridSpan w:val="3"/>
            <w:tcBorders>
              <w:top w:val="single" w:sz="4" w:space="0" w:color="auto"/>
              <w:bottom w:val="single" w:sz="4" w:space="0" w:color="auto"/>
            </w:tcBorders>
            <w:noWrap/>
          </w:tcPr>
          <w:p>
            <w:pPr>
              <w:pStyle w:val="yTableNAm"/>
            </w:pPr>
            <w:r>
              <w:lastRenderedPageBreak/>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rPr>
                <w:rStyle w:val="DraftersNotes"/>
                <w:b w:val="0"/>
                <w:iCs/>
              </w:rPr>
            </w:pPr>
            <w:r>
              <w:rPr>
                <w:i/>
                <w:iCs/>
              </w:rPr>
              <w:lastRenderedPageBreak/>
              <w:t>[Insert details for processing of refund.]</w:t>
            </w:r>
          </w:p>
        </w:tc>
      </w:tr>
    </w:tbl>
    <w:p>
      <w:pPr>
        <w:pStyle w:val="yFootnotesection"/>
        <w:keepLines w:val="0"/>
      </w:pPr>
      <w:r>
        <w:lastRenderedPageBreak/>
        <w:tab/>
        <w:t>[Form 9 inserted: SL 2025/35 r. 16.]</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44" w:name="_Toc213336602"/>
      <w:bookmarkStart w:id="45" w:name="_Toc213336839"/>
      <w:bookmarkStart w:id="46" w:name="_Toc213337554"/>
      <w:r>
        <w:rPr>
          <w:rStyle w:val="CharSchNo"/>
        </w:rPr>
        <w:lastRenderedPageBreak/>
        <w:t>Schedule 2</w:t>
      </w:r>
      <w:r>
        <w:rPr>
          <w:rStyle w:val="CharSClsNo"/>
        </w:rPr>
        <w:t> </w:t>
      </w:r>
      <w:r>
        <w:t>— </w:t>
      </w:r>
      <w:r>
        <w:rPr>
          <w:rStyle w:val="CharSchText"/>
        </w:rPr>
        <w:t>Prescribed offences and modified penalties</w:t>
      </w:r>
      <w:bookmarkEnd w:id="44"/>
      <w:bookmarkEnd w:id="45"/>
      <w:bookmarkEnd w:id="46"/>
    </w:p>
    <w:p>
      <w:pPr>
        <w:pStyle w:val="yShoulderClause"/>
      </w:pPr>
      <w:r>
        <w:t>[r. 20]</w:t>
      </w:r>
    </w:p>
    <w:p>
      <w:pPr>
        <w:pStyle w:val="yFootnoteheading"/>
        <w:spacing w:after="60"/>
      </w:pPr>
      <w:r>
        <w:tab/>
        <w:t>[Heading inserted: SL 2025/35 r. 17.]</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trPr>
        <w:tc>
          <w:tcPr>
            <w:tcW w:w="1072" w:type="dxa"/>
            <w:shd w:val="clear" w:color="auto" w:fill="auto"/>
            <w:noWrap/>
          </w:tcPr>
          <w:p>
            <w:pPr>
              <w:pStyle w:val="yTableNAm"/>
              <w:ind w:firstLine="140"/>
              <w:rPr>
                <w:b/>
              </w:rPr>
            </w:pPr>
            <w:r>
              <w:rPr>
                <w:b/>
              </w:rPr>
              <w:t>Item</w:t>
            </w:r>
          </w:p>
        </w:tc>
        <w:tc>
          <w:tcPr>
            <w:tcW w:w="3685" w:type="dxa"/>
            <w:shd w:val="clear" w:color="auto" w:fill="auto"/>
          </w:tcPr>
          <w:p>
            <w:pPr>
              <w:pStyle w:val="yTableNAm"/>
              <w:jc w:val="center"/>
              <w:rPr>
                <w:b/>
              </w:rPr>
            </w:pPr>
            <w:r>
              <w:rPr>
                <w:b/>
              </w:rPr>
              <w:t>Regulation</w:t>
            </w:r>
          </w:p>
        </w:tc>
        <w:tc>
          <w:tcPr>
            <w:tcW w:w="1905" w:type="dxa"/>
            <w:shd w:val="clear" w:color="auto" w:fill="auto"/>
            <w:noWrap/>
          </w:tcPr>
          <w:p>
            <w:pPr>
              <w:pStyle w:val="yTableNAm"/>
              <w:jc w:val="center"/>
              <w:rPr>
                <w:b/>
              </w:rPr>
            </w:pPr>
            <w:r>
              <w:rPr>
                <w:b/>
              </w:rPr>
              <w:t>Modified penalty</w:t>
            </w:r>
          </w:p>
        </w:tc>
      </w:tr>
      <w:tr>
        <w:trPr>
          <w:cantSplit/>
        </w:trPr>
        <w:tc>
          <w:tcPr>
            <w:tcW w:w="1072" w:type="dxa"/>
            <w:shd w:val="clear" w:color="auto" w:fill="auto"/>
            <w:noWrap/>
          </w:tcPr>
          <w:p>
            <w:pPr>
              <w:pStyle w:val="yTableNAm"/>
              <w:ind w:firstLine="140"/>
            </w:pPr>
            <w:r>
              <w:t>1.</w:t>
            </w:r>
          </w:p>
        </w:tc>
        <w:tc>
          <w:tcPr>
            <w:tcW w:w="3685" w:type="dxa"/>
            <w:shd w:val="clear" w:color="auto" w:fill="auto"/>
            <w:noWrap/>
          </w:tcPr>
          <w:p>
            <w:pPr>
              <w:pStyle w:val="yTableNAm"/>
            </w:pPr>
            <w:r>
              <w:t>r. 3(1)</w:t>
            </w:r>
          </w:p>
        </w:tc>
        <w:tc>
          <w:tcPr>
            <w:tcW w:w="1905" w:type="dxa"/>
            <w:shd w:val="clear" w:color="auto" w:fill="auto"/>
            <w:noWrap/>
            <w:vAlign w:val="bottom"/>
          </w:tcPr>
          <w:p>
            <w:pPr>
              <w:pStyle w:val="yTableNAm"/>
              <w:tabs>
                <w:tab w:val="clear" w:pos="567"/>
                <w:tab w:val="left" w:pos="590"/>
              </w:tabs>
              <w:ind w:right="283"/>
              <w:jc w:val="right"/>
            </w:pPr>
            <w:r>
              <w:t>$5 000</w:t>
            </w:r>
          </w:p>
        </w:tc>
      </w:tr>
      <w:tr>
        <w:trPr>
          <w:cantSplit/>
        </w:trPr>
        <w:tc>
          <w:tcPr>
            <w:tcW w:w="1072" w:type="dxa"/>
            <w:shd w:val="clear" w:color="auto" w:fill="auto"/>
            <w:noWrap/>
          </w:tcPr>
          <w:p>
            <w:pPr>
              <w:pStyle w:val="yTableNAm"/>
              <w:ind w:firstLine="140"/>
            </w:pPr>
            <w:r>
              <w:t>2.</w:t>
            </w:r>
          </w:p>
        </w:tc>
        <w:tc>
          <w:tcPr>
            <w:tcW w:w="3685" w:type="dxa"/>
            <w:shd w:val="clear" w:color="auto" w:fill="auto"/>
            <w:noWrap/>
          </w:tcPr>
          <w:p>
            <w:pPr>
              <w:pStyle w:val="yTableNAm"/>
            </w:pPr>
            <w:r>
              <w:t>r. 11(1)</w:t>
            </w:r>
          </w:p>
        </w:tc>
        <w:tc>
          <w:tcPr>
            <w:tcW w:w="1905" w:type="dxa"/>
            <w:shd w:val="clear" w:color="auto" w:fill="auto"/>
            <w:noWrap/>
            <w:vAlign w:val="bottom"/>
          </w:tcPr>
          <w:p>
            <w:pPr>
              <w:pStyle w:val="yTableNAm"/>
              <w:ind w:right="283"/>
              <w:jc w:val="right"/>
              <w:rPr>
                <w:rStyle w:val="DraftersNotes"/>
              </w:rPr>
            </w:pPr>
            <w:r>
              <w:t>$500</w:t>
            </w:r>
          </w:p>
        </w:tc>
      </w:tr>
      <w:tr>
        <w:trPr>
          <w:cantSplit/>
        </w:trPr>
        <w:tc>
          <w:tcPr>
            <w:tcW w:w="1072" w:type="dxa"/>
            <w:shd w:val="clear" w:color="auto" w:fill="auto"/>
            <w:noWrap/>
          </w:tcPr>
          <w:p>
            <w:pPr>
              <w:pStyle w:val="yTableNAm"/>
              <w:ind w:firstLine="140"/>
            </w:pPr>
            <w:r>
              <w:t>3.</w:t>
            </w:r>
          </w:p>
        </w:tc>
        <w:tc>
          <w:tcPr>
            <w:tcW w:w="3685" w:type="dxa"/>
            <w:shd w:val="clear" w:color="auto" w:fill="auto"/>
            <w:noWrap/>
          </w:tcPr>
          <w:p>
            <w:pPr>
              <w:pStyle w:val="yTableNAm"/>
            </w:pPr>
            <w:r>
              <w:t>r. 11(1a)</w:t>
            </w:r>
          </w:p>
        </w:tc>
        <w:tc>
          <w:tcPr>
            <w:tcW w:w="1905" w:type="dxa"/>
            <w:shd w:val="clear" w:color="auto" w:fill="auto"/>
            <w:noWrap/>
            <w:vAlign w:val="bottom"/>
          </w:tcPr>
          <w:p>
            <w:pPr>
              <w:pStyle w:val="yTableNAm"/>
              <w:tabs>
                <w:tab w:val="clear" w:pos="567"/>
              </w:tabs>
              <w:ind w:left="650" w:right="144" w:hanging="425"/>
            </w:pPr>
            <w:r>
              <w:t>(a)</w:t>
            </w:r>
            <w:r>
              <w:tab/>
              <w:t>for a casino key employee, $250;</w:t>
            </w:r>
          </w:p>
          <w:p>
            <w:pPr>
              <w:pStyle w:val="yTableNAm"/>
              <w:tabs>
                <w:tab w:val="clear" w:pos="567"/>
              </w:tabs>
              <w:ind w:left="650" w:right="144" w:hanging="425"/>
            </w:pPr>
            <w:r>
              <w:t>(b)</w:t>
            </w:r>
            <w:r>
              <w:tab/>
              <w:t>for a casino employee, $100</w:t>
            </w:r>
          </w:p>
        </w:tc>
      </w:tr>
      <w:tr>
        <w:trPr>
          <w:cantSplit/>
        </w:trPr>
        <w:tc>
          <w:tcPr>
            <w:tcW w:w="1072" w:type="dxa"/>
            <w:shd w:val="clear" w:color="auto" w:fill="auto"/>
            <w:noWrap/>
          </w:tcPr>
          <w:p>
            <w:pPr>
              <w:pStyle w:val="yTableNAm"/>
              <w:ind w:firstLine="140"/>
            </w:pPr>
            <w:r>
              <w:t>4.</w:t>
            </w:r>
          </w:p>
        </w:tc>
        <w:tc>
          <w:tcPr>
            <w:tcW w:w="3685" w:type="dxa"/>
            <w:shd w:val="clear" w:color="auto" w:fill="auto"/>
            <w:noWrap/>
          </w:tcPr>
          <w:p>
            <w:pPr>
              <w:pStyle w:val="yTableNAm"/>
            </w:pPr>
            <w:r>
              <w:t>r. 12</w:t>
            </w:r>
          </w:p>
        </w:tc>
        <w:tc>
          <w:tcPr>
            <w:tcW w:w="1905" w:type="dxa"/>
            <w:shd w:val="clear" w:color="auto" w:fill="auto"/>
            <w:noWrap/>
            <w:vAlign w:val="bottom"/>
          </w:tcPr>
          <w:p>
            <w:pPr>
              <w:pStyle w:val="yTableNAm"/>
              <w:ind w:right="288"/>
              <w:jc w:val="right"/>
            </w:pPr>
            <w:r>
              <w:t>$1 000</w:t>
            </w:r>
          </w:p>
        </w:tc>
      </w:tr>
      <w:tr>
        <w:trPr>
          <w:cantSplit/>
        </w:trPr>
        <w:tc>
          <w:tcPr>
            <w:tcW w:w="1072" w:type="dxa"/>
            <w:shd w:val="clear" w:color="auto" w:fill="auto"/>
            <w:noWrap/>
          </w:tcPr>
          <w:p>
            <w:pPr>
              <w:pStyle w:val="yTableNAm"/>
              <w:ind w:firstLine="140"/>
            </w:pPr>
            <w:r>
              <w:t>5.</w:t>
            </w:r>
          </w:p>
        </w:tc>
        <w:tc>
          <w:tcPr>
            <w:tcW w:w="3685" w:type="dxa"/>
            <w:shd w:val="clear" w:color="auto" w:fill="auto"/>
            <w:noWrap/>
          </w:tcPr>
          <w:p>
            <w:pPr>
              <w:pStyle w:val="yTableNAm"/>
            </w:pPr>
            <w:r>
              <w:t>r. 13(1)</w:t>
            </w:r>
          </w:p>
        </w:tc>
        <w:tc>
          <w:tcPr>
            <w:tcW w:w="1905" w:type="dxa"/>
            <w:shd w:val="clear" w:color="auto" w:fill="auto"/>
            <w:noWrap/>
            <w:vAlign w:val="bottom"/>
          </w:tcPr>
          <w:p>
            <w:pPr>
              <w:pStyle w:val="yTableNAm"/>
              <w:ind w:right="288"/>
              <w:jc w:val="right"/>
            </w:pPr>
            <w:r>
              <w:t>$1 000</w:t>
            </w:r>
          </w:p>
        </w:tc>
      </w:tr>
      <w:tr>
        <w:trPr>
          <w:cantSplit/>
        </w:trPr>
        <w:tc>
          <w:tcPr>
            <w:tcW w:w="1072" w:type="dxa"/>
            <w:shd w:val="clear" w:color="auto" w:fill="auto"/>
            <w:noWrap/>
          </w:tcPr>
          <w:p>
            <w:pPr>
              <w:pStyle w:val="yTableNAm"/>
              <w:ind w:firstLine="140"/>
            </w:pPr>
            <w:r>
              <w:t>6.</w:t>
            </w:r>
          </w:p>
        </w:tc>
        <w:tc>
          <w:tcPr>
            <w:tcW w:w="3685" w:type="dxa"/>
            <w:shd w:val="clear" w:color="auto" w:fill="auto"/>
            <w:noWrap/>
          </w:tcPr>
          <w:p>
            <w:pPr>
              <w:pStyle w:val="yTableNAm"/>
            </w:pPr>
            <w:r>
              <w:t>r. 15(3)</w:t>
            </w:r>
          </w:p>
        </w:tc>
        <w:tc>
          <w:tcPr>
            <w:tcW w:w="1905" w:type="dxa"/>
            <w:shd w:val="clear" w:color="auto" w:fill="auto"/>
            <w:noWrap/>
            <w:vAlign w:val="bottom"/>
          </w:tcPr>
          <w:p>
            <w:pPr>
              <w:pStyle w:val="yTableNAm"/>
              <w:ind w:right="288"/>
              <w:jc w:val="right"/>
            </w:pPr>
            <w:r>
              <w:t>$200</w:t>
            </w:r>
          </w:p>
        </w:tc>
      </w:tr>
      <w:tr>
        <w:trPr>
          <w:cantSplit/>
        </w:trPr>
        <w:tc>
          <w:tcPr>
            <w:tcW w:w="1072" w:type="dxa"/>
            <w:shd w:val="clear" w:color="auto" w:fill="auto"/>
            <w:noWrap/>
          </w:tcPr>
          <w:p>
            <w:pPr>
              <w:pStyle w:val="yTableNAm"/>
              <w:ind w:firstLine="140"/>
            </w:pPr>
            <w:r>
              <w:t>7.</w:t>
            </w:r>
          </w:p>
        </w:tc>
        <w:tc>
          <w:tcPr>
            <w:tcW w:w="3685" w:type="dxa"/>
            <w:shd w:val="clear" w:color="auto" w:fill="auto"/>
            <w:noWrap/>
          </w:tcPr>
          <w:p>
            <w:pPr>
              <w:pStyle w:val="yTableNAm"/>
            </w:pPr>
            <w:r>
              <w:t>r. 15(4)</w:t>
            </w:r>
          </w:p>
        </w:tc>
        <w:tc>
          <w:tcPr>
            <w:tcW w:w="1905" w:type="dxa"/>
            <w:shd w:val="clear" w:color="auto" w:fill="auto"/>
            <w:noWrap/>
            <w:vAlign w:val="bottom"/>
          </w:tcPr>
          <w:p>
            <w:pPr>
              <w:pStyle w:val="yTableNAm"/>
              <w:ind w:right="288"/>
              <w:jc w:val="right"/>
            </w:pPr>
            <w:r>
              <w:t>$2 000</w:t>
            </w:r>
          </w:p>
        </w:tc>
      </w:tr>
      <w:tr>
        <w:trPr>
          <w:cantSplit/>
        </w:trPr>
        <w:tc>
          <w:tcPr>
            <w:tcW w:w="1072" w:type="dxa"/>
            <w:shd w:val="clear" w:color="auto" w:fill="auto"/>
            <w:noWrap/>
          </w:tcPr>
          <w:p>
            <w:pPr>
              <w:pStyle w:val="yTableNAm"/>
              <w:ind w:firstLine="140"/>
            </w:pPr>
            <w:r>
              <w:t>8.</w:t>
            </w:r>
          </w:p>
        </w:tc>
        <w:tc>
          <w:tcPr>
            <w:tcW w:w="3685" w:type="dxa"/>
            <w:shd w:val="clear" w:color="auto" w:fill="auto"/>
            <w:noWrap/>
          </w:tcPr>
          <w:p>
            <w:pPr>
              <w:pStyle w:val="yTableNAm"/>
            </w:pPr>
            <w:r>
              <w:t>r. 18</w:t>
            </w:r>
          </w:p>
        </w:tc>
        <w:tc>
          <w:tcPr>
            <w:tcW w:w="1905" w:type="dxa"/>
            <w:shd w:val="clear" w:color="auto" w:fill="auto"/>
            <w:noWrap/>
            <w:vAlign w:val="bottom"/>
          </w:tcPr>
          <w:p>
            <w:pPr>
              <w:pStyle w:val="yTableNAm"/>
              <w:ind w:right="288"/>
              <w:jc w:val="right"/>
            </w:pPr>
            <w:r>
              <w:t>$2 000</w:t>
            </w:r>
          </w:p>
        </w:tc>
      </w:tr>
    </w:tbl>
    <w:p>
      <w:pPr>
        <w:pStyle w:val="yFootnotesection"/>
        <w:keepLines w:val="0"/>
      </w:pPr>
      <w:r>
        <w:tab/>
        <w:t>[Schedule 2 inserted: SL 2025/35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48" w:name="_Toc213336603"/>
      <w:bookmarkStart w:id="49" w:name="_Toc213336840"/>
      <w:bookmarkStart w:id="50" w:name="_Toc213337555"/>
      <w:r>
        <w:lastRenderedPageBreak/>
        <w:t>Notes</w:t>
      </w:r>
      <w:bookmarkEnd w:id="48"/>
      <w:bookmarkEnd w:id="49"/>
      <w:bookmarkEnd w:id="50"/>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 w:name="_Toc213337556"/>
      <w:r>
        <w:t>Compilation table</w:t>
      </w:r>
      <w:bookmarkEnd w:id="51"/>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lastRenderedPageBreak/>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lastRenderedPageBreak/>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lastRenderedPageBreak/>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3</w:t>
            </w:r>
          </w:p>
        </w:tc>
        <w:tc>
          <w:tcPr>
            <w:tcW w:w="1276" w:type="dxa"/>
            <w:gridSpan w:val="2"/>
            <w:tcBorders>
              <w:top w:val="nil"/>
              <w:bottom w:val="nil"/>
            </w:tcBorders>
          </w:tcPr>
          <w:p>
            <w:pPr>
              <w:pStyle w:val="nTable"/>
              <w:spacing w:after="40"/>
            </w:pPr>
            <w:r>
              <w:t>SL 2023/156 18 Oct 2023</w:t>
            </w:r>
          </w:p>
        </w:tc>
        <w:tc>
          <w:tcPr>
            <w:tcW w:w="2694" w:type="dxa"/>
            <w:gridSpan w:val="2"/>
            <w:tcBorders>
              <w:top w:val="nil"/>
              <w:bottom w:val="nil"/>
            </w:tcBorders>
          </w:tcPr>
          <w:p>
            <w:pPr>
              <w:pStyle w:val="nTable"/>
              <w:spacing w:after="40"/>
            </w:pPr>
            <w:r>
              <w:t>1 Jan 2024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2024</w:t>
            </w:r>
            <w:r>
              <w:rPr>
                <w:iCs/>
              </w:rPr>
              <w:t xml:space="preserve"> Pt. 3</w:t>
            </w:r>
          </w:p>
        </w:tc>
        <w:tc>
          <w:tcPr>
            <w:tcW w:w="1276" w:type="dxa"/>
            <w:gridSpan w:val="2"/>
            <w:tcBorders>
              <w:top w:val="nil"/>
              <w:bottom w:val="nil"/>
            </w:tcBorders>
          </w:tcPr>
          <w:p>
            <w:pPr>
              <w:pStyle w:val="nTable"/>
              <w:spacing w:after="40"/>
            </w:pPr>
            <w:r>
              <w:t>SL 2024/213 16 Oct 2024</w:t>
            </w:r>
          </w:p>
        </w:tc>
        <w:tc>
          <w:tcPr>
            <w:tcW w:w="2694" w:type="dxa"/>
            <w:gridSpan w:val="2"/>
            <w:tcBorders>
              <w:top w:val="nil"/>
              <w:bottom w:val="nil"/>
            </w:tcBorders>
          </w:tcPr>
          <w:p>
            <w:pPr>
              <w:pStyle w:val="nTable"/>
              <w:spacing w:after="40"/>
            </w:pPr>
            <w:r>
              <w:t>1 Jan 2025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Cs/>
              </w:rPr>
            </w:pPr>
            <w:r>
              <w:rPr>
                <w:i/>
              </w:rPr>
              <w:t>Gambling Regulations Amendment Regulations 2025</w:t>
            </w:r>
            <w:r>
              <w:rPr>
                <w:iCs/>
              </w:rPr>
              <w:t xml:space="preserve"> Pt. 3</w:t>
            </w:r>
          </w:p>
        </w:tc>
        <w:tc>
          <w:tcPr>
            <w:tcW w:w="1276" w:type="dxa"/>
            <w:gridSpan w:val="2"/>
            <w:tcBorders>
              <w:bottom w:val="single" w:sz="4" w:space="0" w:color="auto"/>
            </w:tcBorders>
          </w:tcPr>
          <w:p>
            <w:pPr>
              <w:pStyle w:val="nTable"/>
              <w:spacing w:after="40"/>
            </w:pPr>
            <w:r>
              <w:t>SL 2025/35 5 Feb 2025</w:t>
            </w:r>
          </w:p>
        </w:tc>
        <w:tc>
          <w:tcPr>
            <w:tcW w:w="2694" w:type="dxa"/>
            <w:gridSpan w:val="2"/>
            <w:tcBorders>
              <w:bottom w:val="single" w:sz="4" w:space="0" w:color="auto"/>
            </w:tcBorders>
          </w:tcPr>
          <w:p>
            <w:pPr>
              <w:pStyle w:val="nTable"/>
              <w:spacing w:after="40"/>
            </w:pPr>
            <w:r>
              <w:t>6 Feb 2025 (see r. 2(b))</w:t>
            </w:r>
          </w:p>
        </w:tc>
      </w:tr>
    </w:tbl>
    <w:p>
      <w:pPr>
        <w:pStyle w:val="nHeading3"/>
      </w:pPr>
      <w:bookmarkStart w:id="52" w:name="_Toc213337557"/>
      <w:r>
        <w:lastRenderedPageBreak/>
        <w:t>Uncommenced provisions table</w:t>
      </w:r>
      <w:bookmarkEnd w:id="5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Gaming Regulations Amendment (Fees and Charges) Regulations 2025</w:t>
            </w:r>
            <w:r>
              <w:rPr>
                <w:iCs/>
              </w:rPr>
              <w:t xml:space="preserve"> Pt. 3</w:t>
            </w:r>
          </w:p>
        </w:tc>
        <w:tc>
          <w:tcPr>
            <w:tcW w:w="1276" w:type="dxa"/>
          </w:tcPr>
          <w:p>
            <w:pPr>
              <w:pStyle w:val="nTable"/>
              <w:spacing w:after="40"/>
            </w:pPr>
            <w:r>
              <w:t>SL 2025/187 12 Nov 2025</w:t>
            </w:r>
          </w:p>
        </w:tc>
        <w:tc>
          <w:tcPr>
            <w:tcW w:w="2693" w:type="dxa"/>
          </w:tcPr>
          <w:p>
            <w:pPr>
              <w:pStyle w:val="nTable"/>
              <w:spacing w:after="40"/>
            </w:pPr>
            <w:r>
              <w:t>1 Jan 2026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54" w:name="_Toc213336605"/>
      <w:bookmarkStart w:id="55" w:name="_Toc213336843"/>
      <w:bookmarkStart w:id="56" w:name="_Toc213337558"/>
      <w:r>
        <w:rPr>
          <w:sz w:val="28"/>
        </w:rPr>
        <w:lastRenderedPageBreak/>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71175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365CCDB" w14:textId="5D4C1F04" w:rsidR="00F06A3D" w:rsidRDefault="006E05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0380">
                        <w:rPr>
                          <w:sz w:val="16"/>
                        </w:rPr>
                        <w:t>2025</w:t>
                      </w:r>
                      <w:r>
                        <w:rPr>
                          <w:sz w:val="16"/>
                        </w:rPr>
                        <w:fldChar w:fldCharType="end"/>
                      </w:r>
                      <w:r>
                        <w:rPr>
                          <w:sz w:val="16"/>
                        </w:rPr>
                        <w:t>.</w:t>
                      </w:r>
                    </w:p>
                    <w:p w14:paraId="2370EE96" w14:textId="77777777" w:rsidR="00F06A3D" w:rsidRDefault="006E05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7DC23D" w14:textId="3DE3E3C4" w:rsidR="00F06A3D" w:rsidRDefault="006E05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0380">
                        <w:rPr>
                          <w:sz w:val="16"/>
                        </w:rPr>
                        <w:t>2025</w:t>
                      </w:r>
                      <w:r>
                        <w:rPr>
                          <w:sz w:val="16"/>
                        </w:rPr>
                        <w:fldChar w:fldCharType="end"/>
                      </w:r>
                      <w:r>
                        <w:rPr>
                          <w:sz w:val="16"/>
                        </w:rPr>
                        <w:t>.</w:t>
                      </w:r>
                    </w:p>
                    <w:p w14:paraId="79917E84" w14:textId="77777777" w:rsidR="00F06A3D" w:rsidRDefault="006E05E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gridAfter w:val="1"/>
        <w:wAfter w:w="317" w:type="dxa"/>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separate"/>
          </w:r>
          <w:r>
            <w:rPr>
              <w:b/>
            </w:rPr>
            <w:t>Schedule 1</w: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separate"/>
          </w:r>
          <w:r>
            <w:rPr>
              <w:bCs/>
            </w:rPr>
            <w:t>Forms</w: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separate"/>
          </w:r>
          <w:r>
            <w:rPr>
              <w:bCs/>
            </w:rPr>
            <w:t>Forms</w: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bookmarkStart w:id="47" w:name="Schedule"/>
    <w:bookmarkEnd w:id="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53" w:name="Compilation"/>
    <w:bookmarkEnd w:id="5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49" w:type="dxa"/>
      <w:jc w:val="center"/>
      <w:tblLayout w:type="fixed"/>
      <w:tblCellMar>
        <w:left w:w="72" w:type="dxa"/>
        <w:right w:w="72" w:type="dxa"/>
      </w:tblCellMar>
      <w:tblLook w:val="0000" w:firstRow="0" w:lastRow="0" w:firstColumn="0" w:lastColumn="0" w:noHBand="0" w:noVBand="0"/>
    </w:tblPr>
    <w:tblGrid>
      <w:gridCol w:w="5670"/>
      <w:gridCol w:w="1379"/>
    </w:tblGrid>
    <w:tr>
      <w:trPr>
        <w:cantSplit/>
        <w:jc w:val="center"/>
      </w:trPr>
      <w:tc>
        <w:tcPr>
          <w:tcW w:w="704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cantSplit/>
        <w:jc w:val="center"/>
      </w:trPr>
      <w:tc>
        <w:tcPr>
          <w:tcW w:w="7049"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5475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 w:name="WAFER_20241010131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06_GUID" w:val="1bb11516-04b8-4465-923b-bb38e1cb875d"/>
    <w:docVar w:name="WAFER_2024101013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38_GUID" w:val="96c07e53-4f6d-4155-a71d-c5eff7fddb74"/>
    <w:docVar w:name="WAFER_2024122309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322_GUID" w:val="2bd11234-b1f3-43bf-b14e-a0531f57add3"/>
    <w:docVar w:name="WAFER_20250131152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52740_GUID" w:val="3fa0ef3e-8d39-4829-a296-aaf8cd95ee62"/>
    <w:docVar w:name="WAFER_20250131152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52759_GUID" w:val="4ab6556d-905a-4c22-b11a-f989571698d2"/>
    <w:docVar w:name="WAFER_20251106154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54752_GUID" w:val="fe9bfbed-4824-4718-be11-ef1e90b000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8283</Words>
  <Characters>43735</Characters>
  <Application>Microsoft Office Word</Application>
  <DocSecurity>0</DocSecurity>
  <Lines>1410</Lines>
  <Paragraphs>776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1985 - 04-v0-00</dc:title>
  <dc:subject/>
  <dc:creator/>
  <cp:keywords/>
  <dc:description/>
  <cp:lastModifiedBy>Master Repository Process</cp:lastModifiedBy>
  <cp:revision>4</cp:revision>
  <cp:lastPrinted>2014-06-09T07:53:00Z</cp:lastPrinted>
  <dcterms:created xsi:type="dcterms:W3CDTF">2025-11-11T03:26:00Z</dcterms:created>
  <dcterms:modified xsi:type="dcterms:W3CDTF">2025-11-11T03:26:00Z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12 Nov 2025</vt:lpwstr>
  </property>
  <property fmtid="{D5CDD505-2E9C-101B-9397-08002B2CF9AE}" pid="8" name="Suffix">
    <vt:lpwstr>04-v0-00</vt:lpwstr>
  </property>
  <property fmtid="{D5CDD505-2E9C-101B-9397-08002B2CF9AE}" pid="9" name="Official">
    <vt:lpwstr/>
  </property>
  <property fmtid="{D5CDD505-2E9C-101B-9397-08002B2CF9AE}" pid="10" name="CommencementDate">
    <vt:lpwstr>20251112</vt:lpwstr>
  </property>
  <property fmtid="{D5CDD505-2E9C-101B-9397-08002B2CF9AE}" pid="11" name="CommencementAsAt">
    <vt:filetime>2025-11-11T16:00:00Z</vt:filetime>
  </property>
  <property fmtid="{D5CDD505-2E9C-101B-9397-08002B2CF9AE}" pid="12" name="CommencementYear">
    <vt:lpwstr>2025</vt:lpwstr>
  </property>
</Properties>
</file>