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_Toc213338302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_Toc213338303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_Toc213338305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_Toc213338306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_Toc213338307 \h </w:instrText>
      </w:r>
      <w:r>
        <w:fldChar w:fldCharType="separate"/>
      </w:r>
      <w:r>
        <w:t>2</w:t>
      </w:r>
      <w:r>
        <w:fldChar w:fldCharType="end"/>
      </w:r>
    </w:p>
    <w:p>
      <w:pPr>
        <w:pStyle w:val="TOC8"/>
        <w:rPr>
          <w:rFonts w:asciiTheme="minorHAnsi" w:eastAsiaTheme="minorEastAsia" w:hAnsiTheme="minorHAnsi" w:cstheme="minorBidi"/>
          <w:szCs w:val="22"/>
        </w:rPr>
      </w:pPr>
      <w:r>
        <w:t>5.</w:t>
      </w:r>
      <w:r>
        <w:tab/>
        <w:t>Prescribed matters for manuals</w:t>
      </w:r>
      <w:r>
        <w:tab/>
      </w:r>
      <w:r>
        <w:fldChar w:fldCharType="begin"/>
      </w:r>
      <w:r>
        <w:instrText xml:space="preserve"> PAGEREF _Toc213338308 \h </w:instrText>
      </w:r>
      <w:r>
        <w:fldChar w:fldCharType="separate"/>
      </w:r>
      <w:r>
        <w:t>2</w:t>
      </w:r>
      <w:r>
        <w:fldChar w:fldCharType="end"/>
      </w:r>
    </w:p>
    <w:p>
      <w:pPr>
        <w:pStyle w:val="TOC8"/>
        <w:rPr>
          <w:rFonts w:asciiTheme="minorHAnsi" w:eastAsiaTheme="minorEastAsia" w:hAnsiTheme="minorHAnsi" w:cstheme="minorBidi"/>
          <w:szCs w:val="22"/>
        </w:rPr>
      </w:pPr>
      <w:r>
        <w:t>6.</w:t>
      </w:r>
      <w:r>
        <w:tab/>
        <w:t>Casino licensee must provide manual and amended manual to Commission</w:t>
      </w:r>
      <w:r>
        <w:tab/>
      </w:r>
      <w:r>
        <w:fldChar w:fldCharType="begin"/>
      </w:r>
      <w:r>
        <w:instrText xml:space="preserve"> PAGEREF _Toc213338309 \h </w:instrText>
      </w:r>
      <w:r>
        <w:fldChar w:fldCharType="separate"/>
      </w:r>
      <w:r>
        <w:t>3</w:t>
      </w:r>
      <w:r>
        <w:fldChar w:fldCharType="end"/>
      </w:r>
    </w:p>
    <w:p>
      <w:pPr>
        <w:pStyle w:val="TOC8"/>
        <w:rPr>
          <w:rFonts w:asciiTheme="minorHAnsi" w:eastAsiaTheme="minorEastAsia" w:hAnsiTheme="minorHAnsi" w:cstheme="minorBidi"/>
          <w:szCs w:val="22"/>
        </w:rPr>
      </w:pPr>
      <w:r>
        <w:t>7.</w:t>
      </w:r>
      <w:r>
        <w:tab/>
        <w:t>Prescribed period for suspicious matter reports</w:t>
      </w:r>
      <w:r>
        <w:tab/>
      </w:r>
      <w:r>
        <w:fldChar w:fldCharType="begin"/>
      </w:r>
      <w:r>
        <w:instrText xml:space="preserve"> PAGEREF _Toc213338310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w:t>
      </w:r>
    </w:p>
    <w:p>
      <w:pPr>
        <w:pStyle w:val="TOC8"/>
        <w:rPr>
          <w:rFonts w:asciiTheme="minorHAnsi" w:eastAsiaTheme="minorEastAsia" w:hAnsiTheme="minorHAnsi" w:cstheme="minorBidi"/>
          <w:szCs w:val="22"/>
        </w:rPr>
      </w:pPr>
      <w:r>
        <w:t>8.</w:t>
      </w:r>
      <w:r>
        <w:tab/>
        <w:t>Prescribed offences and modified penalties</w:t>
      </w:r>
      <w:r>
        <w:tab/>
      </w:r>
      <w:r>
        <w:fldChar w:fldCharType="begin"/>
      </w:r>
      <w:r>
        <w:instrText xml:space="preserve"> PAGEREF _Toc213338312 \h </w:instrText>
      </w:r>
      <w:r>
        <w:fldChar w:fldCharType="separate"/>
      </w:r>
      <w:r>
        <w:t>5</w:t>
      </w:r>
      <w:r>
        <w:fldChar w:fldCharType="end"/>
      </w:r>
    </w:p>
    <w:p>
      <w:pPr>
        <w:pStyle w:val="TOC8"/>
        <w:rPr>
          <w:rFonts w:asciiTheme="minorHAnsi" w:eastAsiaTheme="minorEastAsia" w:hAnsiTheme="minorHAnsi" w:cstheme="minorBidi"/>
          <w:szCs w:val="22"/>
        </w:rPr>
      </w:pPr>
      <w:r>
        <w:t>9.</w:t>
      </w:r>
      <w:r>
        <w:tab/>
        <w:t>Forms for infringement notice and withdrawal notice</w:t>
      </w:r>
      <w:r>
        <w:tab/>
      </w:r>
      <w:r>
        <w:fldChar w:fldCharType="begin"/>
      </w:r>
      <w:r>
        <w:instrText xml:space="preserve"> PAGEREF _Toc213338313 \h </w:instrText>
      </w:r>
      <w:r>
        <w:fldChar w:fldCharType="separate"/>
      </w:r>
      <w:r>
        <w:t>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4"/>
        <w:keepNext w:val="0"/>
        <w:tabs>
          <w:tab w:val="right" w:leader="dot" w:pos="7077"/>
        </w:tabs>
        <w:rPr>
          <w:rFonts w:asciiTheme="minorHAnsi" w:eastAsiaTheme="minorEastAsia" w:hAnsiTheme="minorHAnsi" w:cstheme="minorBidi"/>
          <w:b w:val="0"/>
          <w:szCs w:val="22"/>
        </w:rPr>
      </w:pPr>
      <w:r>
        <w:t>Division 1 — Offences under Act</w:t>
      </w:r>
    </w:p>
    <w:p>
      <w:pPr>
        <w:pStyle w:val="TOC4"/>
        <w:keepNext w:val="0"/>
        <w:tabs>
          <w:tab w:val="right" w:leader="dot" w:pos="7077"/>
        </w:tabs>
        <w:rPr>
          <w:rFonts w:asciiTheme="minorHAnsi" w:eastAsiaTheme="minorEastAsia" w:hAnsiTheme="minorHAnsi" w:cstheme="minorBidi"/>
          <w:b w:val="0"/>
          <w:szCs w:val="22"/>
        </w:rPr>
      </w:pPr>
      <w:r>
        <w:t>Division 2 — Offences under regulations</w:t>
      </w:r>
    </w:p>
    <w:p>
      <w:pPr>
        <w:pStyle w:val="TOC2"/>
        <w:keepNext w:val="0"/>
        <w:tabs>
          <w:tab w:val="right" w:leader="dot" w:pos="7077"/>
        </w:tabs>
        <w:rPr>
          <w:rFonts w:asciiTheme="minorHAnsi" w:eastAsiaTheme="minorEastAsia" w:hAnsiTheme="minorHAnsi" w:cstheme="minorBidi"/>
          <w:b w:val="0"/>
          <w:sz w:val="22"/>
          <w:szCs w:val="22"/>
        </w:rPr>
      </w:pPr>
      <w:r>
        <w:t>Schedule 2 — Forms for infringement notice and withdrawal notice</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_Toc213338319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_Toc213338320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_Toc213338321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2" w:name="_Toc213336176"/>
      <w:bookmarkStart w:id="3" w:name="_Toc213336363"/>
      <w:bookmarkStart w:id="4" w:name="_Toc21333830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213338302"/>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6" w:name="_Toc213338303"/>
      <w:r>
        <w:rPr>
          <w:rStyle w:val="CharSectno"/>
        </w:rPr>
        <w:t>2</w:t>
      </w:r>
      <w:r>
        <w:rPr>
          <w:snapToGrid w:val="0"/>
        </w:rPr>
        <w:t>.</w:t>
      </w:r>
      <w:r>
        <w:rPr>
          <w:snapToGrid w:val="0"/>
        </w:rPr>
        <w:tab/>
        <w:t>Terms used</w:t>
      </w:r>
      <w:bookmarkEnd w:id="6"/>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Defstart"/>
      </w:pPr>
      <w:r>
        <w:tab/>
      </w:r>
      <w:r>
        <w:rPr>
          <w:rStyle w:val="CharDefText"/>
        </w:rPr>
        <w:t>manuals</w:t>
      </w:r>
      <w:r>
        <w:t xml:space="preserve"> means manuals about the management and operation of a casino mentioned in section 24A(1) of the Act.</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 SL 2025/35 r. 20.]</w:t>
      </w:r>
    </w:p>
    <w:p>
      <w:pPr>
        <w:pStyle w:val="Heading2"/>
      </w:pPr>
      <w:bookmarkStart w:id="7" w:name="_Toc213336179"/>
      <w:bookmarkStart w:id="8" w:name="_Toc213336366"/>
      <w:bookmarkStart w:id="9" w:name="_Toc213338304"/>
      <w:r>
        <w:rPr>
          <w:rStyle w:val="CharPartNo"/>
        </w:rPr>
        <w:lastRenderedPageBreak/>
        <w:t>Part 2</w:t>
      </w:r>
      <w:r>
        <w:rPr>
          <w:rStyle w:val="CharDivNo"/>
        </w:rPr>
        <w:t xml:space="preserve"> </w:t>
      </w:r>
      <w:r>
        <w:t>—</w:t>
      </w:r>
      <w:r>
        <w:rPr>
          <w:rStyle w:val="CharDivText"/>
        </w:rPr>
        <w:t xml:space="preserve"> </w:t>
      </w:r>
      <w:r>
        <w:rPr>
          <w:rStyle w:val="CharPartText"/>
        </w:rPr>
        <w:t>General</w:t>
      </w:r>
      <w:bookmarkEnd w:id="7"/>
      <w:bookmarkEnd w:id="8"/>
      <w:bookmarkEnd w:id="9"/>
    </w:p>
    <w:p>
      <w:pPr>
        <w:pStyle w:val="Heading5"/>
      </w:pPr>
      <w:bookmarkStart w:id="10" w:name="_Toc213338305"/>
      <w:r>
        <w:rPr>
          <w:rStyle w:val="CharSectno"/>
        </w:rPr>
        <w:t>3</w:t>
      </w:r>
      <w:r>
        <w:t>.</w:t>
      </w:r>
      <w:r>
        <w:tab/>
        <w:t>Unclaimed winnings</w:t>
      </w:r>
      <w:bookmarkEnd w:id="10"/>
    </w:p>
    <w:p>
      <w:pPr>
        <w:pStyle w:val="Subsection"/>
      </w:pPr>
      <w:r>
        <w:tab/>
      </w:r>
      <w:r>
        <w:tab/>
        <w:t>For the purposes of section 15(1)(a) and (b) of the Act, the prescribed amount is 99 cents.</w:t>
      </w:r>
    </w:p>
    <w:p>
      <w:pPr>
        <w:pStyle w:val="Heading5"/>
      </w:pPr>
      <w:bookmarkStart w:id="11" w:name="_Toc213338306"/>
      <w:r>
        <w:rPr>
          <w:rStyle w:val="CharSectno"/>
        </w:rPr>
        <w:t>4</w:t>
      </w:r>
      <w:r>
        <w:t>.</w:t>
      </w:r>
      <w:r>
        <w:tab/>
        <w:t>Fee for review of direction not to enter or remain in casino</w:t>
      </w:r>
      <w:bookmarkEnd w:id="11"/>
    </w:p>
    <w:p>
      <w:pPr>
        <w:pStyle w:val="Subsection"/>
      </w:pPr>
      <w:r>
        <w:tab/>
      </w:r>
      <w:r>
        <w:tab/>
        <w:t>For the purposes of section 26A(3)(b) of the Act, the prescribed fee is $175.</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 SL 2022/144 r. 8; SL 2023/156 r. 8; SL 2024/213 r. 8.]</w:t>
      </w:r>
    </w:p>
    <w:p>
      <w:pPr>
        <w:pStyle w:val="Heading5"/>
      </w:pPr>
      <w:bookmarkStart w:id="12" w:name="_Toc213338307"/>
      <w:r>
        <w:rPr>
          <w:rStyle w:val="CharSectno"/>
        </w:rPr>
        <w:t>4A</w:t>
      </w:r>
      <w:r>
        <w:t>.</w:t>
      </w:r>
      <w:r>
        <w:tab/>
        <w:t>Exempt class of contract</w:t>
      </w:r>
      <w:bookmarkEnd w:id="12"/>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Heading5"/>
      </w:pPr>
      <w:bookmarkStart w:id="13" w:name="_Toc213338308"/>
      <w:r>
        <w:rPr>
          <w:rStyle w:val="CharSectno"/>
        </w:rPr>
        <w:t>5</w:t>
      </w:r>
      <w:r>
        <w:t>.</w:t>
      </w:r>
      <w:r>
        <w:tab/>
        <w:t>Prescribed matters for manuals</w:t>
      </w:r>
      <w:bookmarkEnd w:id="13"/>
      <w:r>
        <w:t xml:space="preserve"> </w:t>
      </w:r>
    </w:p>
    <w:p>
      <w:pPr>
        <w:pStyle w:val="Subsection"/>
      </w:pPr>
      <w:r>
        <w:tab/>
      </w:r>
      <w:r>
        <w:tab/>
        <w:t xml:space="preserve">For the purposes of section 24A(1) of the Act, manuals must deal with the following matters — </w:t>
      </w:r>
    </w:p>
    <w:p>
      <w:pPr>
        <w:pStyle w:val="Indenta"/>
      </w:pPr>
      <w:r>
        <w:tab/>
        <w:t>(a)</w:t>
      </w:r>
      <w:r>
        <w:tab/>
        <w:t>gaming operations;</w:t>
      </w:r>
    </w:p>
    <w:p>
      <w:pPr>
        <w:pStyle w:val="Indenta"/>
      </w:pPr>
      <w:r>
        <w:tab/>
        <w:t>(b)</w:t>
      </w:r>
      <w:r>
        <w:tab/>
        <w:t>internal management and control;</w:t>
      </w:r>
    </w:p>
    <w:p>
      <w:pPr>
        <w:pStyle w:val="Indenta"/>
      </w:pPr>
      <w:r>
        <w:lastRenderedPageBreak/>
        <w:tab/>
        <w:t>(c)</w:t>
      </w:r>
      <w:r>
        <w:tab/>
        <w:t>handling, dealing with and accounting for money, chips, vouchers, cheques, digital currencies and similar things;</w:t>
      </w:r>
    </w:p>
    <w:p>
      <w:pPr>
        <w:pStyle w:val="Indenta"/>
      </w:pPr>
      <w:r>
        <w:tab/>
        <w:t>(d)</w:t>
      </w:r>
      <w:r>
        <w:tab/>
        <w:t>internal management and control;</w:t>
      </w:r>
    </w:p>
    <w:p>
      <w:pPr>
        <w:pStyle w:val="Indenta"/>
      </w:pPr>
      <w:r>
        <w:tab/>
        <w:t>(e)</w:t>
      </w:r>
      <w:r>
        <w:tab/>
        <w:t>surveillance and security;</w:t>
      </w:r>
    </w:p>
    <w:p>
      <w:pPr>
        <w:pStyle w:val="Indenta"/>
      </w:pPr>
      <w:r>
        <w:tab/>
        <w:t>(f)</w:t>
      </w:r>
      <w:r>
        <w:tab/>
        <w:t>the responsible service of gambling.</w:t>
      </w:r>
    </w:p>
    <w:p>
      <w:pPr>
        <w:pStyle w:val="Footnotesection"/>
      </w:pPr>
      <w:r>
        <w:tab/>
        <w:t>[Regulation 5 inserted: SL 2025/35 r. 21.]</w:t>
      </w:r>
    </w:p>
    <w:p>
      <w:pPr>
        <w:pStyle w:val="Heading5"/>
      </w:pPr>
      <w:bookmarkStart w:id="14" w:name="_Toc213338309"/>
      <w:r>
        <w:rPr>
          <w:rStyle w:val="CharSectno"/>
        </w:rPr>
        <w:t>6</w:t>
      </w:r>
      <w:r>
        <w:t>.</w:t>
      </w:r>
      <w:r>
        <w:tab/>
        <w:t>Casino licensee must provide manual and amended manual to Commission</w:t>
      </w:r>
      <w:bookmarkEnd w:id="14"/>
    </w:p>
    <w:p>
      <w:pPr>
        <w:pStyle w:val="Subsection"/>
      </w:pPr>
      <w:r>
        <w:tab/>
        <w:t>(1)</w:t>
      </w:r>
      <w:r>
        <w:tab/>
        <w:t>A casino licensee must provide a manual to the Commission, within a period specified in writing by the Commission, for the purposes of the Commission considering the manual for approval under section 24A(1) of the Act.</w:t>
      </w:r>
    </w:p>
    <w:p>
      <w:pPr>
        <w:pStyle w:val="Penstart"/>
      </w:pPr>
      <w:r>
        <w:tab/>
        <w:t>Penalty for this subregulation: a fine of $25 000.</w:t>
      </w:r>
    </w:p>
    <w:p>
      <w:pPr>
        <w:pStyle w:val="Subsection"/>
      </w:pPr>
      <w:r>
        <w:tab/>
        <w:t>(2)</w:t>
      </w:r>
      <w:r>
        <w:tab/>
        <w:t>If the Commission requires under section 24A(2) that an approved manual of a casino licensee be amended, the licensee must provide the amendment to the Commission, within a period specified in writing by the Commission, for the purposes of the Commission considering the amendment for approval under section 24A(1) of the Act.</w:t>
      </w:r>
    </w:p>
    <w:p>
      <w:pPr>
        <w:pStyle w:val="Penstart"/>
      </w:pPr>
      <w:r>
        <w:tab/>
        <w:t>Penalty for this subregulation: a fine of $25 000.</w:t>
      </w:r>
    </w:p>
    <w:p>
      <w:pPr>
        <w:pStyle w:val="Footnotesection"/>
      </w:pPr>
      <w:r>
        <w:tab/>
        <w:t>[Regulation 6 inserted: SL 2025/35 r. 21.]</w:t>
      </w:r>
    </w:p>
    <w:p>
      <w:pPr>
        <w:pStyle w:val="Heading5"/>
      </w:pPr>
      <w:bookmarkStart w:id="15" w:name="_Toc213338310"/>
      <w:r>
        <w:rPr>
          <w:rStyle w:val="CharSectno"/>
        </w:rPr>
        <w:t>7</w:t>
      </w:r>
      <w:r>
        <w:t>.</w:t>
      </w:r>
      <w:r>
        <w:tab/>
        <w:t>Prescribed period for suspicious matter reports</w:t>
      </w:r>
      <w:bookmarkEnd w:id="15"/>
    </w:p>
    <w:p>
      <w:pPr>
        <w:pStyle w:val="Subsection"/>
      </w:pPr>
      <w:r>
        <w:tab/>
        <w:t>(1)</w:t>
      </w:r>
      <w:r>
        <w:tab/>
        <w:t xml:space="preserve">In this regulation — </w:t>
      </w:r>
    </w:p>
    <w:p>
      <w:pPr>
        <w:pStyle w:val="Defstart"/>
      </w:pPr>
      <w:r>
        <w:tab/>
      </w:r>
      <w:r>
        <w:rPr>
          <w:rStyle w:val="CharDefText"/>
        </w:rPr>
        <w:t>business day</w:t>
      </w:r>
      <w:r>
        <w:t xml:space="preserve"> means a day other than a Saturday, Sunday or public holiday.</w:t>
      </w:r>
    </w:p>
    <w:p>
      <w:pPr>
        <w:pStyle w:val="Subsection"/>
      </w:pPr>
      <w:r>
        <w:tab/>
        <w:t>(2)</w:t>
      </w:r>
      <w:r>
        <w:tab/>
        <w:t xml:space="preserve">For the purposes of section 30A of the Act, the period — </w:t>
      </w:r>
    </w:p>
    <w:p>
      <w:pPr>
        <w:pStyle w:val="Indenta"/>
      </w:pPr>
      <w:r>
        <w:tab/>
        <w:t>(a)</w:t>
      </w:r>
      <w:r>
        <w:tab/>
        <w:t xml:space="preserve">begins at the time the casino licensee’s suspicious matter reporting obligation arises under the </w:t>
      </w:r>
      <w:r>
        <w:rPr>
          <w:i/>
          <w:iCs/>
        </w:rPr>
        <w:t>Anti</w:t>
      </w:r>
      <w:r>
        <w:rPr>
          <w:i/>
          <w:iCs/>
        </w:rPr>
        <w:noBreakHyphen/>
        <w:t>Money Laundering and Counter</w:t>
      </w:r>
      <w:r>
        <w:rPr>
          <w:i/>
          <w:iCs/>
        </w:rPr>
        <w:noBreakHyphen/>
        <w:t>Terrorism Financing Act 2006</w:t>
      </w:r>
      <w:r>
        <w:t xml:space="preserve"> (Commonwealth) section 41(1); and</w:t>
      </w:r>
    </w:p>
    <w:p>
      <w:pPr>
        <w:pStyle w:val="Indenta"/>
      </w:pPr>
      <w:r>
        <w:lastRenderedPageBreak/>
        <w:tab/>
        <w:t>(b)</w:t>
      </w:r>
      <w:r>
        <w:tab/>
        <w:t xml:space="preserve">ends 1 business day after the following, as is relevant — </w:t>
      </w:r>
    </w:p>
    <w:p>
      <w:pPr>
        <w:pStyle w:val="Indenti"/>
      </w:pPr>
      <w:r>
        <w:tab/>
        <w:t>(i)</w:t>
      </w:r>
      <w:r>
        <w:tab/>
        <w:t xml:space="preserve">the day by which the casino licensee is required to give the report under the </w:t>
      </w:r>
      <w:r>
        <w:rPr>
          <w:i/>
          <w:iCs/>
        </w:rPr>
        <w:t>Anti</w:t>
      </w:r>
      <w:r>
        <w:rPr>
          <w:i/>
          <w:iCs/>
        </w:rPr>
        <w:noBreakHyphen/>
        <w:t>Money Laundering and Counter</w:t>
      </w:r>
      <w:r>
        <w:rPr>
          <w:i/>
          <w:iCs/>
        </w:rPr>
        <w:noBreakHyphen/>
        <w:t>Terrorism Financing Act 2006</w:t>
      </w:r>
      <w:r>
        <w:t xml:space="preserve"> (Commonwealth) section 41(2)(a);</w:t>
      </w:r>
    </w:p>
    <w:p>
      <w:pPr>
        <w:pStyle w:val="Indenti"/>
      </w:pPr>
      <w:r>
        <w:tab/>
        <w:t>(ii)</w:t>
      </w:r>
      <w:r>
        <w:tab/>
        <w:t xml:space="preserve">the time by which the casino licensee is required to give the report under the </w:t>
      </w:r>
      <w:r>
        <w:rPr>
          <w:i/>
          <w:iCs/>
        </w:rPr>
        <w:t>Anti</w:t>
      </w:r>
      <w:r>
        <w:rPr>
          <w:i/>
          <w:iCs/>
        </w:rPr>
        <w:noBreakHyphen/>
        <w:t>Money Laundering and Counter</w:t>
      </w:r>
      <w:r>
        <w:rPr>
          <w:i/>
          <w:iCs/>
        </w:rPr>
        <w:noBreakHyphen/>
        <w:t>Terrorism Financing Act 2006</w:t>
      </w:r>
      <w:r>
        <w:t xml:space="preserve"> (Commonwealth) section 41(2)(b).</w:t>
      </w:r>
    </w:p>
    <w:p>
      <w:pPr>
        <w:pStyle w:val="Footnotesection"/>
      </w:pPr>
      <w:r>
        <w:tab/>
        <w:t>[Regulation 7 inserted: SL 2025/35 r. 21.]</w:t>
      </w:r>
    </w:p>
    <w:p>
      <w:pPr>
        <w:pStyle w:val="Heading2"/>
      </w:pPr>
      <w:bookmarkStart w:id="16" w:name="_Toc213336186"/>
      <w:bookmarkStart w:id="17" w:name="_Toc213336373"/>
      <w:bookmarkStart w:id="18" w:name="_Toc213338311"/>
      <w:r>
        <w:rPr>
          <w:rStyle w:val="CharPartNo"/>
        </w:rPr>
        <w:lastRenderedPageBreak/>
        <w:t>Part 3</w:t>
      </w:r>
      <w:r>
        <w:t> —</w:t>
      </w:r>
      <w:r>
        <w:rPr>
          <w:rStyle w:val="CharPartText"/>
        </w:rPr>
        <w:t> Infringement notices</w:t>
      </w:r>
      <w:bookmarkEnd w:id="16"/>
      <w:bookmarkEnd w:id="17"/>
      <w:bookmarkEnd w:id="18"/>
    </w:p>
    <w:p>
      <w:pPr>
        <w:pStyle w:val="Footnoteheading"/>
      </w:pPr>
      <w:r>
        <w:tab/>
        <w:t>[Heading inserted: SL 2025/35 r. 22.]</w:t>
      </w:r>
    </w:p>
    <w:p>
      <w:pPr>
        <w:pStyle w:val="Heading5"/>
      </w:pPr>
      <w:bookmarkStart w:id="19" w:name="_Toc213338312"/>
      <w:r>
        <w:rPr>
          <w:rStyle w:val="CharSectno"/>
        </w:rPr>
        <w:t>8</w:t>
      </w:r>
      <w:r>
        <w:t>.</w:t>
      </w:r>
      <w:r>
        <w:tab/>
        <w:t>Prescribed offences and modified penalties</w:t>
      </w:r>
      <w:bookmarkEnd w:id="19"/>
    </w:p>
    <w:p>
      <w:pPr>
        <w:pStyle w:val="Subsection"/>
      </w:pPr>
      <w:r>
        <w:rPr>
          <w:szCs w:val="24"/>
        </w:rPr>
        <w:tab/>
        <w:t>(1)</w:t>
      </w:r>
      <w:r>
        <w:rPr>
          <w:szCs w:val="24"/>
        </w:rPr>
        <w:tab/>
        <w:t xml:space="preserve">The offences specified in Schedule 1 are offences for which an infringement notice may be issued under the </w:t>
      </w:r>
      <w:r>
        <w:rPr>
          <w:i/>
          <w:szCs w:val="24"/>
        </w:rPr>
        <w:t>Criminal Procedure Act 2004</w:t>
      </w:r>
      <w:r>
        <w:rPr>
          <w:szCs w:val="24"/>
        </w:rPr>
        <w:t xml:space="preserve"> Part 2 as modified by the </w:t>
      </w:r>
      <w:r>
        <w:rPr>
          <w:i/>
          <w:szCs w:val="24"/>
        </w:rPr>
        <w:t>Gaming and Wagering Commission Act 1987</w:t>
      </w:r>
      <w:r>
        <w:rPr>
          <w:szCs w:val="24"/>
        </w:rPr>
        <w:t xml:space="preserve"> section 36</w:t>
      </w:r>
      <w:r>
        <w:rPr>
          <w:iCs/>
        </w:rPr>
        <w:t>.</w:t>
      </w:r>
    </w:p>
    <w:p>
      <w:pPr>
        <w:pStyle w:val="Subsection"/>
      </w:pPr>
      <w:r>
        <w:tab/>
        <w:t>(2)</w:t>
      </w:r>
      <w:r>
        <w:tab/>
        <w:t xml:space="preserve">For the purposes of the </w:t>
      </w:r>
      <w:r>
        <w:rPr>
          <w:i/>
        </w:rPr>
        <w:t>Criminal Procedure Act 2004</w:t>
      </w:r>
      <w:r>
        <w:t xml:space="preserve"> section 5(3), the penalty specified opposite an offence in Schedule 1 is the modified penalty for that offence.</w:t>
      </w:r>
    </w:p>
    <w:p>
      <w:pPr>
        <w:pStyle w:val="Footnotesection"/>
      </w:pPr>
      <w:r>
        <w:tab/>
        <w:t>[Regulation 8 inserted: SL 2025/35 r. 22.]</w:t>
      </w:r>
    </w:p>
    <w:p>
      <w:pPr>
        <w:pStyle w:val="Heading5"/>
      </w:pPr>
      <w:bookmarkStart w:id="20" w:name="_Toc213338313"/>
      <w:r>
        <w:rPr>
          <w:rStyle w:val="CharSectno"/>
        </w:rPr>
        <w:t>9</w:t>
      </w:r>
      <w:r>
        <w:t>.</w:t>
      </w:r>
      <w:r>
        <w:tab/>
        <w:t>Forms for infringement notice and withdrawal notice</w:t>
      </w:r>
      <w:bookmarkEnd w:id="20"/>
    </w:p>
    <w:p>
      <w:pPr>
        <w:pStyle w:val="Subsection"/>
      </w:pPr>
      <w:r>
        <w:tab/>
        <w:t>(1)</w:t>
      </w:r>
      <w:r>
        <w:tab/>
        <w:t xml:space="preserve">For the purposes of the </w:t>
      </w:r>
      <w:r>
        <w:rPr>
          <w:i/>
        </w:rPr>
        <w:t>Criminal Procedure Act </w:t>
      </w:r>
      <w:r>
        <w:rPr>
          <w:i/>
          <w:iCs/>
        </w:rPr>
        <w:t>2004</w:t>
      </w:r>
      <w:r>
        <w:t xml:space="preserve"> section 6(d), the form of an infringement notice is Schedule 2 Form 1.</w:t>
      </w:r>
    </w:p>
    <w:p>
      <w:pPr>
        <w:pStyle w:val="Subsection"/>
      </w:pPr>
      <w:r>
        <w:tab/>
        <w:t>(2)</w:t>
      </w:r>
      <w:r>
        <w:tab/>
        <w:t xml:space="preserve">For the purposes of the </w:t>
      </w:r>
      <w:r>
        <w:rPr>
          <w:i/>
          <w:iCs/>
        </w:rPr>
        <w:t>Criminal Procedure Act 2004</w:t>
      </w:r>
      <w:r>
        <w:t xml:space="preserve"> section 15(2), the form stating that an infringement notice has been withdrawn is Schedule 2 Form 2.</w:t>
      </w:r>
    </w:p>
    <w:p>
      <w:pPr>
        <w:pStyle w:val="Footnotesection"/>
      </w:pPr>
      <w:r>
        <w:tab/>
        <w:t>[Regulation 9 inserted: SL 2025/35 r. 22.]</w:t>
      </w:r>
    </w:p>
    <w:p>
      <w:pPr>
        <w:pStyle w:val="Ednotesection"/>
      </w:pPr>
      <w:r>
        <w:t>[</w:t>
      </w:r>
      <w:r>
        <w:rPr>
          <w:b/>
          <w:bCs/>
        </w:rPr>
        <w:t>10-17</w:t>
      </w:r>
      <w:r>
        <w:t>. deleted: Gazette 4 Jun 2010 p. 2484.]</w:t>
      </w:r>
    </w:p>
    <w:p>
      <w:pPr>
        <w:pStyle w:val="Ednotepart"/>
      </w:pPr>
      <w:r>
        <w:t>[Part 4 (r. 18 and 19) deleted: SL 2025/35 r. 22.]</w:t>
      </w:r>
    </w:p>
    <w:p>
      <w:pPr>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1" w:name="_Toc213336189"/>
      <w:bookmarkStart w:id="22" w:name="_Toc213336376"/>
      <w:bookmarkStart w:id="23" w:name="_Toc213338314"/>
      <w:r>
        <w:rPr>
          <w:rStyle w:val="CharSchNo"/>
        </w:rPr>
        <w:lastRenderedPageBreak/>
        <w:t>Schedule 1</w:t>
      </w:r>
      <w:r>
        <w:t> — </w:t>
      </w:r>
      <w:r>
        <w:rPr>
          <w:rStyle w:val="CharSchText"/>
        </w:rPr>
        <w:t>Prescribed offences and modified penalties</w:t>
      </w:r>
      <w:bookmarkEnd w:id="21"/>
      <w:bookmarkEnd w:id="22"/>
      <w:bookmarkEnd w:id="23"/>
    </w:p>
    <w:p>
      <w:pPr>
        <w:pStyle w:val="yShoulderClause"/>
      </w:pPr>
      <w:r>
        <w:t>[r. 8]</w:t>
      </w:r>
    </w:p>
    <w:p>
      <w:pPr>
        <w:pStyle w:val="yFootnoteheading"/>
      </w:pPr>
      <w:r>
        <w:tab/>
        <w:t>[Heading inserted: SL 2025/35 r. 23.]</w:t>
      </w:r>
    </w:p>
    <w:p>
      <w:pPr>
        <w:pStyle w:val="yHeading3"/>
      </w:pPr>
      <w:bookmarkStart w:id="24" w:name="_Toc213336190"/>
      <w:bookmarkStart w:id="25" w:name="_Toc213336377"/>
      <w:bookmarkStart w:id="26" w:name="_Toc213338315"/>
      <w:r>
        <w:rPr>
          <w:rStyle w:val="CharSDivNo"/>
        </w:rPr>
        <w:t>Division 1</w:t>
      </w:r>
      <w:r>
        <w:t xml:space="preserve"> — </w:t>
      </w:r>
      <w:r>
        <w:rPr>
          <w:rStyle w:val="CharSDivText"/>
        </w:rPr>
        <w:t>Offences under Act</w:t>
      </w:r>
      <w:bookmarkEnd w:id="24"/>
      <w:bookmarkEnd w:id="25"/>
      <w:bookmarkEnd w:id="26"/>
    </w:p>
    <w:p>
      <w:pPr>
        <w:pStyle w:val="yFootnoteheading"/>
      </w:pPr>
      <w:r>
        <w:tab/>
        <w:t>[Heading inserted: SL 2025/35 r. 23.]</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3685"/>
        <w:gridCol w:w="1905"/>
      </w:tblGrid>
      <w:tr>
        <w:trPr>
          <w:cantSplit/>
          <w:tblHeader/>
        </w:trPr>
        <w:tc>
          <w:tcPr>
            <w:tcW w:w="1072" w:type="dxa"/>
            <w:noWrap/>
          </w:tcPr>
          <w:p>
            <w:pPr>
              <w:pStyle w:val="yTableNAm"/>
              <w:ind w:firstLine="140"/>
              <w:rPr>
                <w:b/>
              </w:rPr>
            </w:pPr>
            <w:r>
              <w:rPr>
                <w:b/>
              </w:rPr>
              <w:t>Item</w:t>
            </w:r>
          </w:p>
        </w:tc>
        <w:tc>
          <w:tcPr>
            <w:tcW w:w="3685" w:type="dxa"/>
          </w:tcPr>
          <w:p>
            <w:pPr>
              <w:pStyle w:val="yTableNAm"/>
              <w:jc w:val="center"/>
              <w:rPr>
                <w:b/>
              </w:rPr>
            </w:pPr>
            <w:r>
              <w:rPr>
                <w:b/>
              </w:rPr>
              <w:t>Section</w:t>
            </w:r>
          </w:p>
        </w:tc>
        <w:tc>
          <w:tcPr>
            <w:tcW w:w="1905" w:type="dxa"/>
            <w:noWrap/>
          </w:tcPr>
          <w:p>
            <w:pPr>
              <w:pStyle w:val="yTableNAm"/>
              <w:jc w:val="center"/>
              <w:rPr>
                <w:b/>
              </w:rPr>
            </w:pPr>
            <w:r>
              <w:rPr>
                <w:b/>
              </w:rPr>
              <w:t>Modified penalty</w:t>
            </w:r>
          </w:p>
        </w:tc>
      </w:tr>
      <w:tr>
        <w:trPr>
          <w:cantSplit/>
        </w:trPr>
        <w:tc>
          <w:tcPr>
            <w:tcW w:w="1072" w:type="dxa"/>
            <w:shd w:val="clear" w:color="auto" w:fill="auto"/>
            <w:noWrap/>
          </w:tcPr>
          <w:p>
            <w:pPr>
              <w:pStyle w:val="yTableNAm"/>
              <w:ind w:firstLine="140"/>
              <w:rPr>
                <w:bCs/>
              </w:rPr>
            </w:pPr>
            <w:r>
              <w:rPr>
                <w:bCs/>
              </w:rPr>
              <w:t>1.</w:t>
            </w:r>
          </w:p>
        </w:tc>
        <w:tc>
          <w:tcPr>
            <w:tcW w:w="3685" w:type="dxa"/>
            <w:shd w:val="clear" w:color="auto" w:fill="auto"/>
            <w:noWrap/>
          </w:tcPr>
          <w:p>
            <w:pPr>
              <w:pStyle w:val="yTableNAm"/>
            </w:pPr>
            <w:r>
              <w:t>s. 22(7)</w:t>
            </w:r>
          </w:p>
        </w:tc>
        <w:tc>
          <w:tcPr>
            <w:tcW w:w="1905" w:type="dxa"/>
            <w:shd w:val="clear" w:color="auto" w:fill="auto"/>
            <w:noWrap/>
            <w:vAlign w:val="bottom"/>
          </w:tcPr>
          <w:p>
            <w:pPr>
              <w:pStyle w:val="yTableNAm"/>
              <w:ind w:right="288"/>
              <w:jc w:val="right"/>
            </w:pPr>
            <w:r>
              <w:t>$500</w:t>
            </w:r>
          </w:p>
        </w:tc>
      </w:tr>
      <w:tr>
        <w:trPr>
          <w:cantSplit/>
        </w:trPr>
        <w:tc>
          <w:tcPr>
            <w:tcW w:w="1072" w:type="dxa"/>
            <w:shd w:val="clear" w:color="auto" w:fill="auto"/>
            <w:noWrap/>
          </w:tcPr>
          <w:p>
            <w:pPr>
              <w:pStyle w:val="yTableNAm"/>
              <w:ind w:firstLine="140"/>
              <w:rPr>
                <w:bCs/>
              </w:rPr>
            </w:pPr>
            <w:r>
              <w:rPr>
                <w:bCs/>
              </w:rPr>
              <w:t>2.</w:t>
            </w:r>
          </w:p>
        </w:tc>
        <w:tc>
          <w:tcPr>
            <w:tcW w:w="3685" w:type="dxa"/>
            <w:shd w:val="clear" w:color="auto" w:fill="auto"/>
            <w:noWrap/>
          </w:tcPr>
          <w:p>
            <w:pPr>
              <w:pStyle w:val="yTableNAm"/>
            </w:pPr>
            <w:r>
              <w:t>s. 23(2)(ia)</w:t>
            </w:r>
          </w:p>
        </w:tc>
        <w:tc>
          <w:tcPr>
            <w:tcW w:w="1905" w:type="dxa"/>
            <w:shd w:val="clear" w:color="auto" w:fill="auto"/>
            <w:noWrap/>
            <w:vAlign w:val="bottom"/>
          </w:tcPr>
          <w:p>
            <w:pPr>
              <w:pStyle w:val="yTableNAm"/>
              <w:ind w:right="288"/>
              <w:jc w:val="right"/>
            </w:pPr>
            <w:r>
              <w:t>$2 500</w:t>
            </w:r>
          </w:p>
        </w:tc>
      </w:tr>
      <w:tr>
        <w:trPr>
          <w:cantSplit/>
        </w:trPr>
        <w:tc>
          <w:tcPr>
            <w:tcW w:w="1072" w:type="dxa"/>
            <w:shd w:val="clear" w:color="auto" w:fill="auto"/>
            <w:noWrap/>
          </w:tcPr>
          <w:p>
            <w:pPr>
              <w:pStyle w:val="yTableNAm"/>
              <w:ind w:firstLine="140"/>
              <w:rPr>
                <w:bCs/>
              </w:rPr>
            </w:pPr>
            <w:r>
              <w:rPr>
                <w:bCs/>
              </w:rPr>
              <w:t>3.</w:t>
            </w:r>
          </w:p>
        </w:tc>
        <w:tc>
          <w:tcPr>
            <w:tcW w:w="3685" w:type="dxa"/>
            <w:shd w:val="clear" w:color="auto" w:fill="auto"/>
            <w:noWrap/>
          </w:tcPr>
          <w:p>
            <w:pPr>
              <w:pStyle w:val="yTableNAm"/>
            </w:pPr>
            <w:r>
              <w:t>s. 23(2)(ii)</w:t>
            </w:r>
          </w:p>
        </w:tc>
        <w:tc>
          <w:tcPr>
            <w:tcW w:w="1905" w:type="dxa"/>
            <w:shd w:val="clear" w:color="auto" w:fill="auto"/>
            <w:noWrap/>
            <w:vAlign w:val="bottom"/>
          </w:tcPr>
          <w:p>
            <w:pPr>
              <w:pStyle w:val="yTableNAm"/>
              <w:ind w:right="288"/>
              <w:jc w:val="right"/>
            </w:pPr>
            <w:r>
              <w:t>$500</w:t>
            </w:r>
          </w:p>
        </w:tc>
      </w:tr>
      <w:tr>
        <w:trPr>
          <w:cantSplit/>
        </w:trPr>
        <w:tc>
          <w:tcPr>
            <w:tcW w:w="1072" w:type="dxa"/>
            <w:shd w:val="clear" w:color="auto" w:fill="auto"/>
            <w:noWrap/>
          </w:tcPr>
          <w:p>
            <w:pPr>
              <w:pStyle w:val="yTableNAm"/>
              <w:ind w:firstLine="140"/>
              <w:rPr>
                <w:bCs/>
              </w:rPr>
            </w:pPr>
            <w:r>
              <w:rPr>
                <w:bCs/>
              </w:rPr>
              <w:t>4.</w:t>
            </w:r>
          </w:p>
        </w:tc>
        <w:tc>
          <w:tcPr>
            <w:tcW w:w="3685" w:type="dxa"/>
            <w:shd w:val="clear" w:color="auto" w:fill="auto"/>
            <w:noWrap/>
          </w:tcPr>
          <w:p>
            <w:pPr>
              <w:pStyle w:val="yTableNAm"/>
            </w:pPr>
            <w:r>
              <w:t>s. 26(1d)</w:t>
            </w:r>
          </w:p>
        </w:tc>
        <w:tc>
          <w:tcPr>
            <w:tcW w:w="1905" w:type="dxa"/>
            <w:shd w:val="clear" w:color="auto" w:fill="auto"/>
            <w:noWrap/>
            <w:vAlign w:val="bottom"/>
          </w:tcPr>
          <w:p>
            <w:pPr>
              <w:pStyle w:val="yTableNAm"/>
              <w:ind w:right="288"/>
              <w:jc w:val="right"/>
            </w:pPr>
            <w:r>
              <w:t>$500</w:t>
            </w:r>
          </w:p>
        </w:tc>
      </w:tr>
      <w:tr>
        <w:trPr>
          <w:cantSplit/>
        </w:trPr>
        <w:tc>
          <w:tcPr>
            <w:tcW w:w="1072" w:type="dxa"/>
            <w:shd w:val="clear" w:color="auto" w:fill="auto"/>
            <w:noWrap/>
          </w:tcPr>
          <w:p>
            <w:pPr>
              <w:pStyle w:val="yTableNAm"/>
              <w:ind w:firstLine="140"/>
              <w:rPr>
                <w:bCs/>
              </w:rPr>
            </w:pPr>
            <w:r>
              <w:rPr>
                <w:bCs/>
              </w:rPr>
              <w:t>5.</w:t>
            </w:r>
          </w:p>
        </w:tc>
        <w:tc>
          <w:tcPr>
            <w:tcW w:w="3685" w:type="dxa"/>
            <w:shd w:val="clear" w:color="auto" w:fill="auto"/>
            <w:noWrap/>
          </w:tcPr>
          <w:p>
            <w:pPr>
              <w:pStyle w:val="yTableNAm"/>
            </w:pPr>
            <w:r>
              <w:t>s. 26(6)</w:t>
            </w:r>
          </w:p>
        </w:tc>
        <w:tc>
          <w:tcPr>
            <w:tcW w:w="1905" w:type="dxa"/>
            <w:shd w:val="clear" w:color="auto" w:fill="auto"/>
            <w:noWrap/>
            <w:vAlign w:val="bottom"/>
          </w:tcPr>
          <w:p>
            <w:pPr>
              <w:pStyle w:val="yTableNAm"/>
              <w:ind w:right="288"/>
              <w:jc w:val="right"/>
            </w:pPr>
            <w:r>
              <w:t>$1 000</w:t>
            </w:r>
          </w:p>
        </w:tc>
      </w:tr>
      <w:tr>
        <w:trPr>
          <w:cantSplit/>
        </w:trPr>
        <w:tc>
          <w:tcPr>
            <w:tcW w:w="1072" w:type="dxa"/>
            <w:shd w:val="clear" w:color="auto" w:fill="auto"/>
            <w:noWrap/>
          </w:tcPr>
          <w:p>
            <w:pPr>
              <w:pStyle w:val="yTableNAm"/>
              <w:ind w:firstLine="140"/>
              <w:rPr>
                <w:bCs/>
              </w:rPr>
            </w:pPr>
            <w:r>
              <w:rPr>
                <w:bCs/>
              </w:rPr>
              <w:t>6.</w:t>
            </w:r>
          </w:p>
        </w:tc>
        <w:tc>
          <w:tcPr>
            <w:tcW w:w="3685" w:type="dxa"/>
            <w:shd w:val="clear" w:color="auto" w:fill="auto"/>
            <w:noWrap/>
          </w:tcPr>
          <w:p>
            <w:pPr>
              <w:pStyle w:val="yTableNAm"/>
            </w:pPr>
            <w:r>
              <w:t>s. 27(1)</w:t>
            </w:r>
          </w:p>
        </w:tc>
        <w:tc>
          <w:tcPr>
            <w:tcW w:w="1905" w:type="dxa"/>
            <w:shd w:val="clear" w:color="auto" w:fill="auto"/>
            <w:noWrap/>
            <w:vAlign w:val="bottom"/>
          </w:tcPr>
          <w:p>
            <w:pPr>
              <w:pStyle w:val="yTableNAm"/>
              <w:ind w:right="288"/>
              <w:jc w:val="right"/>
            </w:pPr>
            <w:r>
              <w:t>$4 000</w:t>
            </w:r>
          </w:p>
        </w:tc>
      </w:tr>
      <w:tr>
        <w:trPr>
          <w:cantSplit/>
        </w:trPr>
        <w:tc>
          <w:tcPr>
            <w:tcW w:w="1072" w:type="dxa"/>
            <w:shd w:val="clear" w:color="auto" w:fill="auto"/>
            <w:noWrap/>
          </w:tcPr>
          <w:p>
            <w:pPr>
              <w:pStyle w:val="yTableNAm"/>
              <w:ind w:firstLine="140"/>
              <w:rPr>
                <w:bCs/>
              </w:rPr>
            </w:pPr>
            <w:r>
              <w:rPr>
                <w:bCs/>
              </w:rPr>
              <w:t>7.</w:t>
            </w:r>
          </w:p>
        </w:tc>
        <w:tc>
          <w:tcPr>
            <w:tcW w:w="3685" w:type="dxa"/>
            <w:shd w:val="clear" w:color="auto" w:fill="auto"/>
            <w:noWrap/>
          </w:tcPr>
          <w:p>
            <w:pPr>
              <w:pStyle w:val="yTableNAm"/>
            </w:pPr>
            <w:r>
              <w:t>s. 27(1a)</w:t>
            </w:r>
          </w:p>
        </w:tc>
        <w:tc>
          <w:tcPr>
            <w:tcW w:w="1905" w:type="dxa"/>
            <w:shd w:val="clear" w:color="auto" w:fill="auto"/>
            <w:noWrap/>
            <w:vAlign w:val="bottom"/>
          </w:tcPr>
          <w:p>
            <w:pPr>
              <w:pStyle w:val="yTableNAm"/>
              <w:ind w:right="288"/>
              <w:jc w:val="right"/>
            </w:pPr>
            <w:r>
              <w:t>$5 000</w:t>
            </w:r>
          </w:p>
        </w:tc>
      </w:tr>
      <w:tr>
        <w:trPr>
          <w:cantSplit/>
        </w:trPr>
        <w:tc>
          <w:tcPr>
            <w:tcW w:w="1072" w:type="dxa"/>
            <w:shd w:val="clear" w:color="auto" w:fill="auto"/>
            <w:noWrap/>
          </w:tcPr>
          <w:p>
            <w:pPr>
              <w:pStyle w:val="yTableNAm"/>
              <w:ind w:firstLine="140"/>
              <w:rPr>
                <w:bCs/>
              </w:rPr>
            </w:pPr>
            <w:r>
              <w:rPr>
                <w:bCs/>
              </w:rPr>
              <w:t>8.</w:t>
            </w:r>
          </w:p>
        </w:tc>
        <w:tc>
          <w:tcPr>
            <w:tcW w:w="3685" w:type="dxa"/>
            <w:shd w:val="clear" w:color="auto" w:fill="auto"/>
            <w:noWrap/>
          </w:tcPr>
          <w:p>
            <w:pPr>
              <w:pStyle w:val="yTableNAm"/>
            </w:pPr>
            <w:r>
              <w:t>s. 27(3)</w:t>
            </w:r>
          </w:p>
        </w:tc>
        <w:tc>
          <w:tcPr>
            <w:tcW w:w="1905" w:type="dxa"/>
            <w:shd w:val="clear" w:color="auto" w:fill="auto"/>
            <w:noWrap/>
            <w:vAlign w:val="bottom"/>
          </w:tcPr>
          <w:p>
            <w:pPr>
              <w:pStyle w:val="yTableNAm"/>
              <w:ind w:right="288"/>
              <w:jc w:val="right"/>
            </w:pPr>
            <w:r>
              <w:t>$200</w:t>
            </w:r>
          </w:p>
        </w:tc>
      </w:tr>
      <w:tr>
        <w:trPr>
          <w:cantSplit/>
        </w:trPr>
        <w:tc>
          <w:tcPr>
            <w:tcW w:w="1072" w:type="dxa"/>
            <w:shd w:val="clear" w:color="auto" w:fill="auto"/>
            <w:noWrap/>
          </w:tcPr>
          <w:p>
            <w:pPr>
              <w:pStyle w:val="yTableNAm"/>
              <w:ind w:firstLine="140"/>
              <w:rPr>
                <w:bCs/>
              </w:rPr>
            </w:pPr>
            <w:r>
              <w:rPr>
                <w:bCs/>
              </w:rPr>
              <w:t>9.</w:t>
            </w:r>
          </w:p>
        </w:tc>
        <w:tc>
          <w:tcPr>
            <w:tcW w:w="3685" w:type="dxa"/>
            <w:shd w:val="clear" w:color="auto" w:fill="auto"/>
            <w:noWrap/>
          </w:tcPr>
          <w:p>
            <w:pPr>
              <w:pStyle w:val="yTableNAm"/>
            </w:pPr>
            <w:r>
              <w:t>s. 27(3a)</w:t>
            </w:r>
          </w:p>
        </w:tc>
        <w:tc>
          <w:tcPr>
            <w:tcW w:w="1905" w:type="dxa"/>
            <w:shd w:val="clear" w:color="auto" w:fill="auto"/>
            <w:noWrap/>
            <w:vAlign w:val="bottom"/>
          </w:tcPr>
          <w:p>
            <w:pPr>
              <w:pStyle w:val="yTableNAm"/>
              <w:ind w:right="288"/>
              <w:jc w:val="right"/>
            </w:pPr>
            <w:r>
              <w:t>$200</w:t>
            </w:r>
          </w:p>
        </w:tc>
      </w:tr>
      <w:tr>
        <w:trPr>
          <w:cantSplit/>
        </w:trPr>
        <w:tc>
          <w:tcPr>
            <w:tcW w:w="1072" w:type="dxa"/>
            <w:shd w:val="clear" w:color="auto" w:fill="auto"/>
            <w:noWrap/>
          </w:tcPr>
          <w:p>
            <w:pPr>
              <w:pStyle w:val="yTableNAm"/>
              <w:ind w:firstLine="140"/>
              <w:rPr>
                <w:bCs/>
              </w:rPr>
            </w:pPr>
            <w:r>
              <w:rPr>
                <w:bCs/>
              </w:rPr>
              <w:t>10.</w:t>
            </w:r>
          </w:p>
        </w:tc>
        <w:tc>
          <w:tcPr>
            <w:tcW w:w="3685" w:type="dxa"/>
            <w:shd w:val="clear" w:color="auto" w:fill="auto"/>
            <w:noWrap/>
          </w:tcPr>
          <w:p>
            <w:pPr>
              <w:pStyle w:val="yTableNAm"/>
            </w:pPr>
            <w:r>
              <w:t>s. 27A(4)</w:t>
            </w:r>
          </w:p>
        </w:tc>
        <w:tc>
          <w:tcPr>
            <w:tcW w:w="1905" w:type="dxa"/>
            <w:shd w:val="clear" w:color="auto" w:fill="auto"/>
            <w:noWrap/>
            <w:vAlign w:val="bottom"/>
          </w:tcPr>
          <w:p>
            <w:pPr>
              <w:pStyle w:val="yTableNAm"/>
              <w:ind w:right="288"/>
              <w:jc w:val="right"/>
            </w:pPr>
            <w:r>
              <w:t>$200</w:t>
            </w:r>
          </w:p>
        </w:tc>
      </w:tr>
      <w:tr>
        <w:trPr>
          <w:cantSplit/>
        </w:trPr>
        <w:tc>
          <w:tcPr>
            <w:tcW w:w="1072" w:type="dxa"/>
            <w:shd w:val="clear" w:color="auto" w:fill="auto"/>
            <w:noWrap/>
          </w:tcPr>
          <w:p>
            <w:pPr>
              <w:pStyle w:val="yTableNAm"/>
              <w:ind w:firstLine="140"/>
              <w:rPr>
                <w:bCs/>
              </w:rPr>
            </w:pPr>
            <w:r>
              <w:rPr>
                <w:bCs/>
              </w:rPr>
              <w:t>11.</w:t>
            </w:r>
          </w:p>
        </w:tc>
        <w:tc>
          <w:tcPr>
            <w:tcW w:w="3685" w:type="dxa"/>
            <w:shd w:val="clear" w:color="auto" w:fill="auto"/>
            <w:noWrap/>
          </w:tcPr>
          <w:p>
            <w:pPr>
              <w:pStyle w:val="yTableNAm"/>
            </w:pPr>
            <w:r>
              <w:t>s. 30A</w:t>
            </w:r>
          </w:p>
        </w:tc>
        <w:tc>
          <w:tcPr>
            <w:tcW w:w="1905" w:type="dxa"/>
            <w:shd w:val="clear" w:color="auto" w:fill="auto"/>
            <w:noWrap/>
            <w:vAlign w:val="bottom"/>
          </w:tcPr>
          <w:p>
            <w:pPr>
              <w:pStyle w:val="yTableNAm"/>
              <w:ind w:right="288"/>
              <w:jc w:val="right"/>
            </w:pPr>
            <w:r>
              <w:t>$5 000</w:t>
            </w:r>
          </w:p>
        </w:tc>
      </w:tr>
    </w:tbl>
    <w:p>
      <w:pPr>
        <w:pStyle w:val="yFootnotesection"/>
      </w:pPr>
      <w:r>
        <w:tab/>
        <w:t>[Division 1 inserted: SL 2025/35 r. 23.]</w:t>
      </w:r>
    </w:p>
    <w:p>
      <w:pPr>
        <w:pStyle w:val="yHeading3"/>
      </w:pPr>
      <w:bookmarkStart w:id="27" w:name="_Toc213336191"/>
      <w:bookmarkStart w:id="28" w:name="_Toc213336378"/>
      <w:bookmarkStart w:id="29" w:name="_Toc213338316"/>
      <w:r>
        <w:rPr>
          <w:rStyle w:val="CharSDivNo"/>
        </w:rPr>
        <w:lastRenderedPageBreak/>
        <w:t>Division 2</w:t>
      </w:r>
      <w:r>
        <w:t xml:space="preserve"> — </w:t>
      </w:r>
      <w:r>
        <w:rPr>
          <w:rStyle w:val="CharSDivText"/>
        </w:rPr>
        <w:t>Offences under regulations</w:t>
      </w:r>
      <w:bookmarkEnd w:id="27"/>
      <w:bookmarkEnd w:id="28"/>
      <w:bookmarkEnd w:id="29"/>
    </w:p>
    <w:p>
      <w:pPr>
        <w:pStyle w:val="yFootnoteheading"/>
        <w:keepNext/>
      </w:pPr>
      <w:r>
        <w:tab/>
        <w:t>[Heading inserted: SL 2025/35 r. 23.]</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3685"/>
        <w:gridCol w:w="1905"/>
      </w:tblGrid>
      <w:tr>
        <w:trPr>
          <w:cantSplit/>
          <w:tblHeader/>
        </w:trPr>
        <w:tc>
          <w:tcPr>
            <w:tcW w:w="1072" w:type="dxa"/>
            <w:noWrap/>
          </w:tcPr>
          <w:p>
            <w:pPr>
              <w:pStyle w:val="yTableNAm"/>
              <w:keepNext/>
              <w:ind w:firstLine="140"/>
              <w:rPr>
                <w:b/>
              </w:rPr>
            </w:pPr>
            <w:r>
              <w:rPr>
                <w:b/>
              </w:rPr>
              <w:t>Item</w:t>
            </w:r>
          </w:p>
        </w:tc>
        <w:tc>
          <w:tcPr>
            <w:tcW w:w="3685" w:type="dxa"/>
          </w:tcPr>
          <w:p>
            <w:pPr>
              <w:pStyle w:val="yTableNAm"/>
              <w:keepNext/>
              <w:jc w:val="center"/>
              <w:rPr>
                <w:b/>
              </w:rPr>
            </w:pPr>
            <w:r>
              <w:rPr>
                <w:b/>
              </w:rPr>
              <w:t>Regulation</w:t>
            </w:r>
          </w:p>
        </w:tc>
        <w:tc>
          <w:tcPr>
            <w:tcW w:w="1905" w:type="dxa"/>
            <w:noWrap/>
          </w:tcPr>
          <w:p>
            <w:pPr>
              <w:pStyle w:val="yTableNAm"/>
              <w:keepNext/>
              <w:jc w:val="center"/>
              <w:rPr>
                <w:b/>
              </w:rPr>
            </w:pPr>
            <w:r>
              <w:rPr>
                <w:b/>
              </w:rPr>
              <w:t>Modified penalty</w:t>
            </w:r>
          </w:p>
        </w:tc>
      </w:tr>
      <w:tr>
        <w:trPr>
          <w:cantSplit/>
        </w:trPr>
        <w:tc>
          <w:tcPr>
            <w:tcW w:w="1072" w:type="dxa"/>
            <w:shd w:val="clear" w:color="auto" w:fill="auto"/>
            <w:noWrap/>
          </w:tcPr>
          <w:p>
            <w:pPr>
              <w:pStyle w:val="yTableNAm"/>
              <w:keepNext/>
              <w:ind w:firstLine="140"/>
              <w:rPr>
                <w:bCs/>
              </w:rPr>
            </w:pPr>
            <w:r>
              <w:rPr>
                <w:bCs/>
              </w:rPr>
              <w:t>1.</w:t>
            </w:r>
          </w:p>
        </w:tc>
        <w:tc>
          <w:tcPr>
            <w:tcW w:w="3685" w:type="dxa"/>
            <w:shd w:val="clear" w:color="auto" w:fill="auto"/>
            <w:noWrap/>
          </w:tcPr>
          <w:p>
            <w:pPr>
              <w:pStyle w:val="yTableNAm"/>
              <w:keepNext/>
            </w:pPr>
            <w:r>
              <w:t>r. 6(1)</w:t>
            </w:r>
          </w:p>
        </w:tc>
        <w:tc>
          <w:tcPr>
            <w:tcW w:w="1905" w:type="dxa"/>
            <w:shd w:val="clear" w:color="auto" w:fill="auto"/>
            <w:noWrap/>
            <w:vAlign w:val="bottom"/>
          </w:tcPr>
          <w:p>
            <w:pPr>
              <w:pStyle w:val="yTableNAm"/>
              <w:keepNext/>
              <w:ind w:right="288"/>
              <w:jc w:val="right"/>
            </w:pPr>
            <w:r>
              <w:t>$5 000</w:t>
            </w:r>
          </w:p>
        </w:tc>
      </w:tr>
      <w:tr>
        <w:trPr>
          <w:cantSplit/>
        </w:trPr>
        <w:tc>
          <w:tcPr>
            <w:tcW w:w="1072" w:type="dxa"/>
            <w:shd w:val="clear" w:color="auto" w:fill="auto"/>
            <w:noWrap/>
          </w:tcPr>
          <w:p>
            <w:pPr>
              <w:pStyle w:val="yTableNAm"/>
              <w:ind w:firstLine="140"/>
              <w:rPr>
                <w:bCs/>
              </w:rPr>
            </w:pPr>
            <w:r>
              <w:rPr>
                <w:bCs/>
              </w:rPr>
              <w:t>2.</w:t>
            </w:r>
          </w:p>
        </w:tc>
        <w:tc>
          <w:tcPr>
            <w:tcW w:w="3685" w:type="dxa"/>
            <w:shd w:val="clear" w:color="auto" w:fill="auto"/>
            <w:noWrap/>
          </w:tcPr>
          <w:p>
            <w:pPr>
              <w:pStyle w:val="yTableNAm"/>
            </w:pPr>
            <w:r>
              <w:t>r. 6(2)</w:t>
            </w:r>
          </w:p>
        </w:tc>
        <w:tc>
          <w:tcPr>
            <w:tcW w:w="1905" w:type="dxa"/>
            <w:shd w:val="clear" w:color="auto" w:fill="auto"/>
            <w:noWrap/>
            <w:vAlign w:val="bottom"/>
          </w:tcPr>
          <w:p>
            <w:pPr>
              <w:pStyle w:val="yTableNAm"/>
              <w:ind w:right="288"/>
              <w:jc w:val="right"/>
            </w:pPr>
            <w:r>
              <w:t>$5 000</w:t>
            </w:r>
          </w:p>
        </w:tc>
      </w:tr>
    </w:tbl>
    <w:p>
      <w:pPr>
        <w:pStyle w:val="yFootnotesection"/>
      </w:pPr>
      <w:r>
        <w:tab/>
        <w:t>[Division 2 inserted: SL 2025/35 r. 23.]</w:t>
      </w:r>
    </w:p>
    <w:p>
      <w:pPr>
        <w:pStyle w:val="yFootnotesection"/>
        <w:rPr>
          <w:i w:val="0"/>
        </w:rPr>
        <w:sectPr>
          <w:headerReference w:type="even" r:id="rId23"/>
          <w:headerReference w:type="default" r:id="rId24"/>
          <w:pgSz w:w="11907" w:h="16840" w:code="9"/>
          <w:pgMar w:top="2381" w:right="2410" w:bottom="3544" w:left="2410" w:header="720" w:footer="3544" w:gutter="0"/>
          <w:cols w:space="720"/>
          <w:docGrid w:linePitch="326"/>
        </w:sectPr>
      </w:pPr>
    </w:p>
    <w:p>
      <w:pPr>
        <w:pStyle w:val="yScheduleHeading"/>
      </w:pPr>
      <w:bookmarkStart w:id="30" w:name="_Toc213336192"/>
      <w:bookmarkStart w:id="31" w:name="_Toc213336379"/>
      <w:bookmarkStart w:id="32" w:name="_Toc213338317"/>
      <w:r>
        <w:rPr>
          <w:rStyle w:val="CharSchNo"/>
        </w:rPr>
        <w:lastRenderedPageBreak/>
        <w:t>Schedule 2</w:t>
      </w:r>
      <w:r>
        <w:t> —</w:t>
      </w:r>
      <w:r>
        <w:rPr>
          <w:rStyle w:val="CharSchText"/>
        </w:rPr>
        <w:t> Forms for infringement notice and withdrawal notice</w:t>
      </w:r>
      <w:bookmarkEnd w:id="30"/>
      <w:bookmarkEnd w:id="31"/>
      <w:bookmarkEnd w:id="32"/>
    </w:p>
    <w:p>
      <w:pPr>
        <w:pStyle w:val="yShoulderClause"/>
      </w:pPr>
      <w:r>
        <w:t>[r. 9(1) and (2)]</w:t>
      </w:r>
    </w:p>
    <w:p>
      <w:pPr>
        <w:pStyle w:val="yFootnoteheading"/>
      </w:pPr>
      <w:r>
        <w:tab/>
        <w:t>[Heading inserted: SL 2025/35 r. 23.]</w:t>
      </w:r>
    </w:p>
    <w:p>
      <w:pPr>
        <w:pStyle w:val="yMiscellaneousHeading"/>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559"/>
        <w:gridCol w:w="29"/>
        <w:gridCol w:w="2098"/>
        <w:gridCol w:w="1984"/>
      </w:tblGrid>
      <w:tr>
        <w:trPr>
          <w:trHeight w:val="282"/>
        </w:trPr>
        <w:tc>
          <w:tcPr>
            <w:tcW w:w="4820" w:type="dxa"/>
            <w:gridSpan w:val="4"/>
            <w:noWrap/>
          </w:tcPr>
          <w:p>
            <w:pPr>
              <w:pStyle w:val="yTableNAm"/>
              <w:jc w:val="center"/>
            </w:pPr>
            <w:r>
              <w:br w:type="page"/>
            </w:r>
            <w:r>
              <w:rPr>
                <w:i/>
              </w:rPr>
              <w:t>Casino Control Act 1984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rPr>
            </w:pPr>
            <w:r>
              <w:rPr>
                <w:b/>
              </w:rPr>
              <w:t>Alleged offender</w:t>
            </w:r>
          </w:p>
        </w:tc>
        <w:tc>
          <w:tcPr>
            <w:tcW w:w="1559" w:type="dxa"/>
            <w:vMerge w:val="restart"/>
            <w:noWrap/>
          </w:tcPr>
          <w:p>
            <w:pPr>
              <w:pStyle w:val="yTableNAm"/>
            </w:pPr>
            <w:r>
              <w:t>Name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val="restart"/>
            <w:noWrap/>
          </w:tcPr>
          <w:p>
            <w:pPr>
              <w:pStyle w:val="yTableNAm"/>
            </w:pPr>
            <w:r>
              <w:t>Address</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150"/>
        </w:trPr>
        <w:tc>
          <w:tcPr>
            <w:tcW w:w="1134" w:type="dxa"/>
            <w:vMerge w:val="restart"/>
            <w:noWrap/>
          </w:tcPr>
          <w:p>
            <w:pPr>
              <w:pStyle w:val="yTableNAm"/>
              <w:rPr>
                <w:b/>
              </w:rPr>
            </w:pPr>
            <w:r>
              <w:rPr>
                <w:b/>
              </w:rPr>
              <w:t>Alleged offence</w:t>
            </w:r>
          </w:p>
        </w:tc>
        <w:tc>
          <w:tcPr>
            <w:tcW w:w="1559" w:type="dxa"/>
            <w:shd w:val="clear" w:color="auto" w:fill="auto"/>
            <w:noWrap/>
          </w:tcPr>
          <w:p>
            <w:pPr>
              <w:pStyle w:val="yTableNAm"/>
            </w:pPr>
            <w:r>
              <w:t>Date or period</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Time</w:t>
            </w:r>
          </w:p>
        </w:tc>
        <w:tc>
          <w:tcPr>
            <w:tcW w:w="4111" w:type="dxa"/>
            <w:gridSpan w:val="3"/>
            <w:noWrap/>
          </w:tcPr>
          <w:p>
            <w:pPr>
              <w:pStyle w:val="yTableNAm"/>
            </w:pPr>
          </w:p>
        </w:tc>
      </w:tr>
      <w:tr>
        <w:trPr>
          <w:trHeight w:val="150"/>
        </w:trPr>
        <w:tc>
          <w:tcPr>
            <w:tcW w:w="1134" w:type="dxa"/>
            <w:vMerge/>
            <w:noWrap/>
          </w:tcPr>
          <w:p>
            <w:pPr>
              <w:pStyle w:val="yTableNAm"/>
              <w:rPr>
                <w:b/>
              </w:rPr>
            </w:pPr>
          </w:p>
        </w:tc>
        <w:tc>
          <w:tcPr>
            <w:tcW w:w="1559" w:type="dxa"/>
            <w:shd w:val="clear" w:color="auto" w:fill="auto"/>
            <w:noWrap/>
          </w:tcPr>
          <w:p>
            <w:pPr>
              <w:pStyle w:val="yTableNAm"/>
            </w:pPr>
            <w:r>
              <w:t>Place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val="restart"/>
            <w:shd w:val="clear" w:color="auto" w:fill="auto"/>
            <w:noWrap/>
          </w:tcPr>
          <w:p>
            <w:pPr>
              <w:pStyle w:val="yTableNAm"/>
            </w:pPr>
            <w:r>
              <w:t>Details of offence</w:t>
            </w:r>
          </w:p>
        </w:tc>
        <w:tc>
          <w:tcPr>
            <w:tcW w:w="4111" w:type="dxa"/>
            <w:gridSpan w:val="3"/>
            <w:noWrap/>
          </w:tcPr>
          <w:p>
            <w:pPr>
              <w:pStyle w:val="yTableNAm"/>
            </w:pPr>
          </w:p>
        </w:tc>
      </w:tr>
      <w:tr>
        <w:trPr>
          <w:trHeight w:val="310"/>
        </w:trPr>
        <w:tc>
          <w:tcPr>
            <w:tcW w:w="1134" w:type="dxa"/>
            <w:vMerge/>
            <w:noWrap/>
          </w:tcPr>
          <w:p>
            <w:pPr>
              <w:pStyle w:val="yTableNAm"/>
              <w:rPr>
                <w:b/>
              </w:rPr>
            </w:pPr>
          </w:p>
        </w:tc>
        <w:tc>
          <w:tcPr>
            <w:tcW w:w="1559" w:type="dxa"/>
            <w:vMerge/>
            <w:noWrap/>
          </w:tcPr>
          <w:p>
            <w:pPr>
              <w:pStyle w:val="yTableNAm"/>
            </w:pP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val="restart"/>
            <w:shd w:val="clear" w:color="auto" w:fill="auto"/>
            <w:noWrap/>
          </w:tcPr>
          <w:p>
            <w:pPr>
              <w:pStyle w:val="yTableNAm"/>
            </w:pPr>
            <w:r>
              <w:t>Written law contravened</w:t>
            </w:r>
          </w:p>
        </w:tc>
        <w:tc>
          <w:tcPr>
            <w:tcW w:w="4111" w:type="dxa"/>
            <w:gridSpan w:val="3"/>
            <w:noWrap/>
          </w:tcPr>
          <w:p>
            <w:pPr>
              <w:pStyle w:val="yTableNAm"/>
            </w:pPr>
          </w:p>
        </w:tc>
      </w:tr>
      <w:tr>
        <w:trPr>
          <w:trHeight w:val="306"/>
        </w:trPr>
        <w:tc>
          <w:tcPr>
            <w:tcW w:w="1134" w:type="dxa"/>
            <w:vMerge/>
            <w:noWrap/>
          </w:tcPr>
          <w:p>
            <w:pPr>
              <w:pStyle w:val="yTableNAm"/>
              <w:rPr>
                <w:b/>
              </w:rPr>
            </w:pPr>
          </w:p>
        </w:tc>
        <w:tc>
          <w:tcPr>
            <w:tcW w:w="1559" w:type="dxa"/>
            <w:vMerge/>
            <w:shd w:val="clear" w:color="auto" w:fill="auto"/>
            <w:noWrap/>
          </w:tcPr>
          <w:p>
            <w:pPr>
              <w:pStyle w:val="yTableNAm"/>
            </w:pPr>
          </w:p>
        </w:tc>
        <w:tc>
          <w:tcPr>
            <w:tcW w:w="4111" w:type="dxa"/>
            <w:gridSpan w:val="3"/>
            <w:noWrap/>
          </w:tcPr>
          <w:p>
            <w:pPr>
              <w:pStyle w:val="yTableNAm"/>
            </w:pPr>
          </w:p>
        </w:tc>
      </w:tr>
      <w:tr>
        <w:trPr>
          <w:trHeight w:val="306"/>
        </w:trPr>
        <w:tc>
          <w:tcPr>
            <w:tcW w:w="1134" w:type="dxa"/>
            <w:noWrap/>
          </w:tcPr>
          <w:p>
            <w:pPr>
              <w:pStyle w:val="yTableNAm"/>
              <w:rPr>
                <w:b/>
              </w:rPr>
            </w:pPr>
            <w:r>
              <w:rPr>
                <w:b/>
              </w:rPr>
              <w:t>Modified penalty</w:t>
            </w:r>
          </w:p>
        </w:tc>
        <w:tc>
          <w:tcPr>
            <w:tcW w:w="5670" w:type="dxa"/>
            <w:gridSpan w:val="4"/>
            <w:shd w:val="clear" w:color="auto" w:fill="auto"/>
            <w:noWrap/>
          </w:tcPr>
          <w:p>
            <w:pPr>
              <w:pStyle w:val="yTableNAm"/>
            </w:pPr>
            <w:r>
              <w:t>$</w:t>
            </w:r>
          </w:p>
        </w:tc>
      </w:tr>
      <w:tr>
        <w:tc>
          <w:tcPr>
            <w:tcW w:w="1134" w:type="dxa"/>
            <w:noWrap/>
          </w:tcPr>
          <w:p>
            <w:pPr>
              <w:pStyle w:val="yTableNAm"/>
              <w:rPr>
                <w:b/>
              </w:rPr>
            </w:pPr>
            <w:r>
              <w:rPr>
                <w:b/>
              </w:rPr>
              <w:t>Date</w:t>
            </w:r>
          </w:p>
        </w:tc>
        <w:tc>
          <w:tcPr>
            <w:tcW w:w="1559" w:type="dxa"/>
            <w:noWrap/>
          </w:tcPr>
          <w:p>
            <w:pPr>
              <w:pStyle w:val="yTableNAm"/>
            </w:pPr>
            <w:r>
              <w:t>Date of notice</w:t>
            </w:r>
          </w:p>
        </w:tc>
        <w:tc>
          <w:tcPr>
            <w:tcW w:w="4111" w:type="dxa"/>
            <w:gridSpan w:val="3"/>
            <w:noWrap/>
          </w:tcPr>
          <w:p>
            <w:pPr>
              <w:pStyle w:val="yTableNAm"/>
            </w:pPr>
          </w:p>
        </w:tc>
      </w:tr>
      <w:tr>
        <w:tc>
          <w:tcPr>
            <w:tcW w:w="1134" w:type="dxa"/>
            <w:vMerge w:val="restart"/>
            <w:noWrap/>
          </w:tcPr>
          <w:p>
            <w:pPr>
              <w:pStyle w:val="yTableNAm"/>
              <w:rPr>
                <w:b/>
              </w:rPr>
            </w:pPr>
            <w:r>
              <w:rPr>
                <w:b/>
              </w:rPr>
              <w:t>Issuing officer</w:t>
            </w:r>
          </w:p>
        </w:tc>
        <w:tc>
          <w:tcPr>
            <w:tcW w:w="1559" w:type="dxa"/>
            <w:noWrap/>
          </w:tcPr>
          <w:p>
            <w:pPr>
              <w:pStyle w:val="yTableNAm"/>
            </w:pPr>
            <w:r>
              <w:t>Name</w:t>
            </w:r>
          </w:p>
        </w:tc>
        <w:tc>
          <w:tcPr>
            <w:tcW w:w="4111" w:type="dxa"/>
            <w:gridSpan w:val="3"/>
            <w:noWrap/>
          </w:tcPr>
          <w:p>
            <w:pPr>
              <w:pStyle w:val="yTableNAm"/>
            </w:pPr>
          </w:p>
        </w:tc>
      </w:tr>
      <w:tr>
        <w:tc>
          <w:tcPr>
            <w:tcW w:w="1134" w:type="dxa"/>
            <w:vMerge/>
            <w:noWrap/>
          </w:tcPr>
          <w:p>
            <w:pPr>
              <w:pStyle w:val="yTableNAm"/>
              <w:rPr>
                <w:b/>
              </w:rPr>
            </w:pPr>
          </w:p>
        </w:tc>
        <w:tc>
          <w:tcPr>
            <w:tcW w:w="1559" w:type="dxa"/>
            <w:noWrap/>
          </w:tcPr>
          <w:p>
            <w:pPr>
              <w:pStyle w:val="yTableNAm"/>
            </w:pPr>
            <w:r>
              <w:t>Signature</w:t>
            </w:r>
          </w:p>
        </w:tc>
        <w:tc>
          <w:tcPr>
            <w:tcW w:w="4111" w:type="dxa"/>
            <w:gridSpan w:val="3"/>
            <w:noWrap/>
          </w:tcPr>
          <w:p>
            <w:pPr>
              <w:pStyle w:val="yTableNAm"/>
            </w:pPr>
          </w:p>
        </w:tc>
      </w:tr>
      <w:tr>
        <w:trPr>
          <w:trHeight w:val="401"/>
        </w:trPr>
        <w:tc>
          <w:tcPr>
            <w:tcW w:w="1134" w:type="dxa"/>
            <w:noWrap/>
          </w:tcPr>
          <w:p>
            <w:pPr>
              <w:pStyle w:val="yTableNAm"/>
              <w:rPr>
                <w:b/>
              </w:rPr>
            </w:pPr>
            <w:r>
              <w:rPr>
                <w:b/>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pPr>
              <w:pStyle w:val="yTableNAm"/>
            </w:pPr>
            <w:r>
              <w:rPr>
                <w:b/>
              </w:rPr>
              <w:lastRenderedPageBreak/>
              <w:t>If you do not pay</w:t>
            </w:r>
            <w:r>
              <w:t xml:space="preserve"> the modified penalty within 28 days after the date of this notice,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Gaming and Wagering Commission at the address below.</w:t>
            </w:r>
          </w:p>
          <w:p>
            <w:pPr>
              <w:pStyle w:val="yTableNAm"/>
            </w:pPr>
            <w:r>
              <w:t>Paying the modified penalty will not be regarded as an admission for the purposes of any civil or criminal court case.</w:t>
            </w:r>
          </w:p>
          <w:p>
            <w:pPr>
              <w:pStyle w:val="yTableNAm"/>
              <w:keepNext/>
            </w:pPr>
            <w:r>
              <w:rPr>
                <w:b/>
              </w:rPr>
              <w:t>If you want this matter to be dealt with by prosecution in court</w:t>
            </w:r>
            <w:r>
              <w:t xml:space="preserve">, sign and date here: </w:t>
            </w:r>
          </w:p>
          <w:p>
            <w:pPr>
              <w:pStyle w:val="yTableNAm"/>
              <w:keepNext/>
            </w:pPr>
            <w:r>
              <w:br/>
              <w:t xml:space="preserve">__________________________________            /       /   </w:t>
            </w:r>
            <w:r>
              <w:br/>
              <w:t>and post this notice to the Gaming and Wagering Commission at the address below within 28 days after the date of this notice.</w:t>
            </w:r>
          </w:p>
        </w:tc>
      </w:tr>
      <w:tr>
        <w:trPr>
          <w:trHeight w:val="401"/>
        </w:trPr>
        <w:tc>
          <w:tcPr>
            <w:tcW w:w="1134" w:type="dxa"/>
            <w:vMerge w:val="restart"/>
            <w:noWrap/>
          </w:tcPr>
          <w:p>
            <w:pPr>
              <w:pStyle w:val="yTableNAm"/>
              <w:rPr>
                <w:b/>
              </w:rPr>
            </w:pPr>
            <w:r>
              <w:rPr>
                <w:b/>
              </w:rPr>
              <w:lastRenderedPageBreak/>
              <w:t>How to pay</w:t>
            </w:r>
          </w:p>
        </w:tc>
        <w:tc>
          <w:tcPr>
            <w:tcW w:w="1588" w:type="dxa"/>
            <w:gridSpan w:val="2"/>
            <w:noWrap/>
          </w:tcPr>
          <w:p>
            <w:pPr>
              <w:pStyle w:val="yTableNAm"/>
              <w:rPr>
                <w:szCs w:val="22"/>
              </w:rPr>
            </w:pPr>
            <w:r>
              <w:rPr>
                <w:szCs w:val="22"/>
              </w:rPr>
              <w:t>By post</w:t>
            </w:r>
          </w:p>
        </w:tc>
        <w:tc>
          <w:tcPr>
            <w:tcW w:w="4082" w:type="dxa"/>
            <w:gridSpan w:val="2"/>
            <w:noWrap/>
          </w:tcPr>
          <w:p>
            <w:pPr>
              <w:pStyle w:val="yTableNAm"/>
              <w:rPr>
                <w:i/>
                <w:szCs w:val="22"/>
              </w:rPr>
            </w:pPr>
            <w:r>
              <w:rPr>
                <w:i/>
                <w:szCs w:val="22"/>
              </w:rPr>
              <w:t>[Insert details for paying by post]</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In person</w:t>
            </w:r>
          </w:p>
        </w:tc>
        <w:tc>
          <w:tcPr>
            <w:tcW w:w="4082" w:type="dxa"/>
            <w:gridSpan w:val="2"/>
            <w:noWrap/>
          </w:tcPr>
          <w:p>
            <w:pPr>
              <w:pStyle w:val="yTableNAm"/>
              <w:rPr>
                <w:i/>
                <w:szCs w:val="22"/>
              </w:rPr>
            </w:pPr>
            <w:r>
              <w:rPr>
                <w:i/>
                <w:szCs w:val="22"/>
              </w:rPr>
              <w:t>[Insert details for paying in person]</w:t>
            </w:r>
          </w:p>
        </w:tc>
      </w:tr>
      <w:tr>
        <w:trPr>
          <w:trHeight w:val="447"/>
        </w:trPr>
        <w:tc>
          <w:tcPr>
            <w:tcW w:w="1134" w:type="dxa"/>
            <w:vMerge/>
            <w:noWrap/>
          </w:tcPr>
          <w:p>
            <w:pPr>
              <w:pStyle w:val="yTableNAm"/>
            </w:pPr>
          </w:p>
        </w:tc>
        <w:tc>
          <w:tcPr>
            <w:tcW w:w="1588" w:type="dxa"/>
            <w:gridSpan w:val="2"/>
            <w:noWrap/>
          </w:tcPr>
          <w:p>
            <w:pPr>
              <w:pStyle w:val="yTableNAm"/>
              <w:rPr>
                <w:szCs w:val="22"/>
              </w:rPr>
            </w:pPr>
            <w:r>
              <w:rPr>
                <w:szCs w:val="22"/>
              </w:rPr>
              <w:t>Electronically</w:t>
            </w:r>
          </w:p>
        </w:tc>
        <w:tc>
          <w:tcPr>
            <w:tcW w:w="4082" w:type="dxa"/>
            <w:gridSpan w:val="2"/>
            <w:noWrap/>
          </w:tcPr>
          <w:p>
            <w:pPr>
              <w:pStyle w:val="yTableNAm"/>
              <w:rPr>
                <w:i/>
                <w:szCs w:val="22"/>
              </w:rPr>
            </w:pPr>
            <w:r>
              <w:rPr>
                <w:i/>
                <w:szCs w:val="22"/>
              </w:rPr>
              <w:t xml:space="preserve">[Insert details for paying electronically] </w:t>
            </w:r>
          </w:p>
        </w:tc>
      </w:tr>
    </w:tbl>
    <w:p>
      <w:pPr>
        <w:pStyle w:val="yFootnotesection"/>
      </w:pPr>
      <w:r>
        <w:tab/>
        <w:t>[Form 1 inserted: SL 2025/35 r. 23.]</w:t>
      </w:r>
    </w:p>
    <w:p>
      <w:pPr>
        <w:pStyle w:val="yMiscellaneousHeading"/>
        <w:rPr>
          <w:b/>
          <w:bCs/>
        </w:rPr>
      </w:pPr>
      <w:r>
        <w:rPr>
          <w:rStyle w:val="CharSClsNo"/>
          <w:b/>
          <w:bCs/>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trPr>
          <w:trHeight w:val="282"/>
        </w:trPr>
        <w:tc>
          <w:tcPr>
            <w:tcW w:w="4820" w:type="dxa"/>
            <w:gridSpan w:val="3"/>
            <w:noWrap/>
          </w:tcPr>
          <w:p>
            <w:pPr>
              <w:pStyle w:val="yTableNAm"/>
              <w:keepNext/>
              <w:jc w:val="center"/>
            </w:pPr>
            <w:r>
              <w:br w:type="page"/>
            </w:r>
            <w:r>
              <w:rPr>
                <w:i/>
              </w:rPr>
              <w:t>Casino Control Act 1984</w:t>
            </w:r>
          </w:p>
          <w:p>
            <w:pPr>
              <w:pStyle w:val="yTableNAm"/>
              <w:keepNext/>
              <w:jc w:val="center"/>
              <w:rPr>
                <w:b/>
                <w:sz w:val="28"/>
              </w:rPr>
            </w:pPr>
            <w:r>
              <w:rPr>
                <w:b/>
                <w:sz w:val="28"/>
              </w:rPr>
              <w:t>WITHDRAWAL OF INFRINGEMENT NOTICE</w:t>
            </w:r>
          </w:p>
        </w:tc>
        <w:tc>
          <w:tcPr>
            <w:tcW w:w="1984" w:type="dxa"/>
            <w:tcBorders>
              <w:bottom w:val="single" w:sz="4" w:space="0" w:color="auto"/>
            </w:tcBorders>
            <w:noWrap/>
          </w:tcPr>
          <w:p>
            <w:pPr>
              <w:pStyle w:val="yTableNAm"/>
              <w:keepNext/>
            </w:pPr>
            <w:r>
              <w:t>Withdrawal no.</w:t>
            </w:r>
          </w:p>
        </w:tc>
      </w:tr>
      <w:tr>
        <w:trPr>
          <w:trHeight w:val="150"/>
        </w:trPr>
        <w:tc>
          <w:tcPr>
            <w:tcW w:w="1559" w:type="dxa"/>
            <w:vMerge w:val="restart"/>
            <w:noWrap/>
          </w:tcPr>
          <w:p>
            <w:pPr>
              <w:pStyle w:val="yTableNAm"/>
              <w:rPr>
                <w:b/>
              </w:rPr>
            </w:pPr>
            <w:r>
              <w:rPr>
                <w:b/>
              </w:rPr>
              <w:t>Alleged offender</w:t>
            </w:r>
          </w:p>
        </w:tc>
        <w:tc>
          <w:tcPr>
            <w:tcW w:w="1560" w:type="dxa"/>
            <w:vMerge w:val="restart"/>
            <w:noWrap/>
          </w:tcPr>
          <w:p>
            <w:pPr>
              <w:pStyle w:val="yTableNAm"/>
            </w:pPr>
            <w:r>
              <w:t>Name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Address</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Details of infringement notice</w:t>
            </w:r>
          </w:p>
        </w:tc>
        <w:tc>
          <w:tcPr>
            <w:tcW w:w="1560" w:type="dxa"/>
            <w:noWrap/>
          </w:tcPr>
          <w:p>
            <w:pPr>
              <w:pStyle w:val="yTableNAm"/>
            </w:pPr>
            <w:r>
              <w:t>Infringement notice no.</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Date of issue</w:t>
            </w:r>
          </w:p>
        </w:tc>
        <w:tc>
          <w:tcPr>
            <w:tcW w:w="3685" w:type="dxa"/>
            <w:gridSpan w:val="2"/>
            <w:noWrap/>
          </w:tcPr>
          <w:p>
            <w:pPr>
              <w:pStyle w:val="yTableNAm"/>
            </w:pPr>
          </w:p>
        </w:tc>
      </w:tr>
      <w:tr>
        <w:trPr>
          <w:trHeight w:val="150"/>
        </w:trPr>
        <w:tc>
          <w:tcPr>
            <w:tcW w:w="1559" w:type="dxa"/>
            <w:vMerge w:val="restart"/>
            <w:noWrap/>
          </w:tcPr>
          <w:p>
            <w:pPr>
              <w:pStyle w:val="yTableNAm"/>
              <w:rPr>
                <w:b/>
              </w:rPr>
            </w:pPr>
            <w:r>
              <w:rPr>
                <w:b/>
              </w:rPr>
              <w:t>Alleged offence</w:t>
            </w:r>
          </w:p>
        </w:tc>
        <w:tc>
          <w:tcPr>
            <w:tcW w:w="1560" w:type="dxa"/>
            <w:noWrap/>
          </w:tcPr>
          <w:p>
            <w:pPr>
              <w:pStyle w:val="yTableNAm"/>
            </w:pPr>
            <w:r>
              <w:t>Date or period</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Time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noWrap/>
          </w:tcPr>
          <w:p>
            <w:pPr>
              <w:pStyle w:val="yTableNAm"/>
            </w:pPr>
            <w:r>
              <w:t>Place</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val="restart"/>
            <w:noWrap/>
          </w:tcPr>
          <w:p>
            <w:pPr>
              <w:pStyle w:val="yTableNAm"/>
            </w:pPr>
            <w:r>
              <w:t xml:space="preserve">Details of offence </w:t>
            </w:r>
          </w:p>
        </w:tc>
        <w:tc>
          <w:tcPr>
            <w:tcW w:w="3685" w:type="dxa"/>
            <w:gridSpan w:val="2"/>
            <w:noWrap/>
          </w:tcPr>
          <w:p>
            <w:pPr>
              <w:pStyle w:val="yTableNAm"/>
            </w:pPr>
          </w:p>
        </w:tc>
      </w:tr>
      <w:tr>
        <w:trPr>
          <w:trHeight w:val="150"/>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val="restart"/>
            <w:noWrap/>
          </w:tcPr>
          <w:p>
            <w:pPr>
              <w:pStyle w:val="yTableNAm"/>
            </w:pPr>
            <w:r>
              <w:t>Written law contravened</w:t>
            </w:r>
          </w:p>
        </w:tc>
        <w:tc>
          <w:tcPr>
            <w:tcW w:w="3685" w:type="dxa"/>
            <w:gridSpan w:val="2"/>
            <w:noWrap/>
          </w:tcPr>
          <w:p>
            <w:pPr>
              <w:pStyle w:val="yTableNAm"/>
            </w:pPr>
          </w:p>
        </w:tc>
      </w:tr>
      <w:tr>
        <w:trPr>
          <w:trHeight w:val="282"/>
        </w:trPr>
        <w:tc>
          <w:tcPr>
            <w:tcW w:w="1559" w:type="dxa"/>
            <w:vMerge/>
            <w:noWrap/>
          </w:tcPr>
          <w:p>
            <w:pPr>
              <w:pStyle w:val="yTableNAm"/>
              <w:rPr>
                <w:b/>
              </w:rPr>
            </w:pPr>
          </w:p>
        </w:tc>
        <w:tc>
          <w:tcPr>
            <w:tcW w:w="1560" w:type="dxa"/>
            <w:vMerge/>
            <w:noWrap/>
          </w:tcPr>
          <w:p>
            <w:pPr>
              <w:pStyle w:val="yTableNAm"/>
            </w:pPr>
          </w:p>
        </w:tc>
        <w:tc>
          <w:tcPr>
            <w:tcW w:w="3685" w:type="dxa"/>
            <w:gridSpan w:val="2"/>
            <w:noWrap/>
          </w:tcPr>
          <w:p>
            <w:pPr>
              <w:pStyle w:val="yTableNAm"/>
            </w:pPr>
          </w:p>
        </w:tc>
      </w:tr>
      <w:tr>
        <w:tc>
          <w:tcPr>
            <w:tcW w:w="1559" w:type="dxa"/>
            <w:vMerge w:val="restart"/>
            <w:noWrap/>
          </w:tcPr>
          <w:p>
            <w:pPr>
              <w:pStyle w:val="yTableNAm"/>
              <w:rPr>
                <w:b/>
              </w:rPr>
            </w:pPr>
            <w:r>
              <w:rPr>
                <w:b/>
              </w:rPr>
              <w:t>Officer of the Commission withdrawing notice</w:t>
            </w:r>
          </w:p>
        </w:tc>
        <w:tc>
          <w:tcPr>
            <w:tcW w:w="1560" w:type="dxa"/>
            <w:noWrap/>
          </w:tcPr>
          <w:p>
            <w:pPr>
              <w:pStyle w:val="yTableNAm"/>
            </w:pPr>
            <w:r>
              <w:t>Name</w:t>
            </w:r>
          </w:p>
        </w:tc>
        <w:tc>
          <w:tcPr>
            <w:tcW w:w="3685" w:type="dxa"/>
            <w:gridSpan w:val="2"/>
            <w:noWrap/>
          </w:tcPr>
          <w:p>
            <w:pPr>
              <w:pStyle w:val="yTableNAm"/>
              <w:rPr>
                <w:rStyle w:val="DraftersNotes"/>
              </w:rPr>
            </w:pPr>
          </w:p>
        </w:tc>
      </w:tr>
      <w:tr>
        <w:trPr>
          <w:trHeight w:val="370"/>
        </w:trPr>
        <w:tc>
          <w:tcPr>
            <w:tcW w:w="1559" w:type="dxa"/>
            <w:vMerge/>
            <w:noWrap/>
          </w:tcPr>
          <w:p>
            <w:pPr>
              <w:pStyle w:val="yTableNAm"/>
              <w:rPr>
                <w:b/>
              </w:rPr>
            </w:pPr>
          </w:p>
        </w:tc>
        <w:tc>
          <w:tcPr>
            <w:tcW w:w="1560" w:type="dxa"/>
            <w:noWrap/>
          </w:tcPr>
          <w:p>
            <w:pPr>
              <w:pStyle w:val="yTableNAm"/>
            </w:pPr>
            <w:r>
              <w:t>Signature</w:t>
            </w:r>
          </w:p>
        </w:tc>
        <w:tc>
          <w:tcPr>
            <w:tcW w:w="3685" w:type="dxa"/>
            <w:gridSpan w:val="2"/>
            <w:noWrap/>
          </w:tcPr>
          <w:p>
            <w:pPr>
              <w:pStyle w:val="yTableNAm"/>
            </w:pPr>
          </w:p>
        </w:tc>
      </w:tr>
      <w:tr>
        <w:tc>
          <w:tcPr>
            <w:tcW w:w="1559" w:type="dxa"/>
            <w:tcBorders>
              <w:bottom w:val="single" w:sz="4" w:space="0" w:color="auto"/>
            </w:tcBorders>
            <w:noWrap/>
          </w:tcPr>
          <w:p>
            <w:pPr>
              <w:pStyle w:val="yTableNAm"/>
              <w:rPr>
                <w:b/>
              </w:rPr>
            </w:pPr>
            <w:r>
              <w:rPr>
                <w:b/>
              </w:rPr>
              <w:t>Date</w:t>
            </w:r>
          </w:p>
        </w:tc>
        <w:tc>
          <w:tcPr>
            <w:tcW w:w="1560" w:type="dxa"/>
            <w:tcBorders>
              <w:bottom w:val="single" w:sz="4" w:space="0" w:color="auto"/>
            </w:tcBorders>
            <w:noWrap/>
          </w:tcPr>
          <w:p>
            <w:pPr>
              <w:pStyle w:val="yTableNAm"/>
            </w:pPr>
            <w:r>
              <w:t>Date of withdrawal</w:t>
            </w:r>
          </w:p>
        </w:tc>
        <w:tc>
          <w:tcPr>
            <w:tcW w:w="3685" w:type="dxa"/>
            <w:gridSpan w:val="2"/>
            <w:tcBorders>
              <w:bottom w:val="single" w:sz="4" w:space="0" w:color="auto"/>
            </w:tcBorders>
            <w:noWrap/>
          </w:tcPr>
          <w:p>
            <w:pPr>
              <w:pStyle w:val="yTableNAm"/>
            </w:pPr>
          </w:p>
        </w:tc>
      </w:tr>
      <w:tr>
        <w:trPr>
          <w:trHeight w:val="1097"/>
        </w:trPr>
        <w:tc>
          <w:tcPr>
            <w:tcW w:w="1559" w:type="dxa"/>
            <w:tcBorders>
              <w:top w:val="single" w:sz="4" w:space="0" w:color="auto"/>
              <w:bottom w:val="single" w:sz="4" w:space="0" w:color="auto"/>
            </w:tcBorders>
            <w:noWrap/>
          </w:tcPr>
          <w:p>
            <w:pPr>
              <w:pStyle w:val="yTableNAm"/>
              <w:keepNext/>
              <w:rPr>
                <w:b/>
              </w:rPr>
            </w:pPr>
            <w:r>
              <w:rPr>
                <w:b/>
              </w:rPr>
              <w:lastRenderedPageBreak/>
              <w:t>Withdrawal of infringement notice</w:t>
            </w:r>
          </w:p>
          <w:p>
            <w:pPr>
              <w:pStyle w:val="yTableNAm"/>
              <w:keepNext/>
              <w:rPr>
                <w:i/>
              </w:rPr>
            </w:pPr>
          </w:p>
        </w:tc>
        <w:tc>
          <w:tcPr>
            <w:tcW w:w="5245" w:type="dxa"/>
            <w:gridSpan w:val="3"/>
            <w:tcBorders>
              <w:top w:val="single" w:sz="4" w:space="0" w:color="auto"/>
              <w:bottom w:val="single" w:sz="4" w:space="0" w:color="auto"/>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rPr>
                <w:rStyle w:val="DraftersNotes"/>
                <w:b w:val="0"/>
                <w:iCs/>
              </w:rPr>
            </w:pPr>
            <w:r>
              <w:rPr>
                <w:i/>
                <w:iCs/>
              </w:rPr>
              <w:t>[Insert details for processing of refund.]</w:t>
            </w:r>
          </w:p>
        </w:tc>
      </w:tr>
    </w:tbl>
    <w:p>
      <w:pPr>
        <w:pStyle w:val="yFootnoteheading"/>
      </w:pPr>
      <w:r>
        <w:tab/>
        <w:t>[Form 2 inserted: SL 2025/35 r. 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nHeading2"/>
      </w:pPr>
      <w:bookmarkStart w:id="34" w:name="_Toc213336193"/>
      <w:bookmarkStart w:id="35" w:name="_Toc213336380"/>
      <w:bookmarkStart w:id="36" w:name="_Toc213338318"/>
      <w:r>
        <w:lastRenderedPageBreak/>
        <w:t>Notes</w:t>
      </w:r>
      <w:bookmarkEnd w:id="34"/>
      <w:bookmarkEnd w:id="35"/>
      <w:bookmarkEnd w:id="36"/>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 w:name="_Toc213338319"/>
      <w:r>
        <w:t>Compilation table</w:t>
      </w:r>
      <w:bookmarkEnd w:id="37"/>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top w:val="nil"/>
              <w:bottom w:val="nil"/>
            </w:tcBorders>
          </w:tcPr>
          <w:p>
            <w:pPr>
              <w:pStyle w:val="nTable"/>
              <w:spacing w:after="40"/>
            </w:pPr>
            <w:r>
              <w:t>22 Oct 2019 p. 3720-9</w:t>
            </w:r>
          </w:p>
        </w:tc>
        <w:tc>
          <w:tcPr>
            <w:tcW w:w="2696" w:type="dxa"/>
            <w:gridSpan w:val="2"/>
            <w:tcBorders>
              <w:top w:val="nil"/>
              <w:bottom w:val="nil"/>
            </w:tcBorders>
          </w:tcPr>
          <w:p>
            <w:pPr>
              <w:pStyle w:val="nTable"/>
              <w:spacing w:after="40"/>
            </w:pPr>
            <w:r>
              <w:t>1 Jan 2020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4</w:t>
            </w:r>
          </w:p>
        </w:tc>
        <w:tc>
          <w:tcPr>
            <w:tcW w:w="1276" w:type="dxa"/>
            <w:gridSpan w:val="2"/>
            <w:tcBorders>
              <w:top w:val="nil"/>
              <w:bottom w:val="nil"/>
            </w:tcBorders>
          </w:tcPr>
          <w:p>
            <w:pPr>
              <w:pStyle w:val="nTable"/>
              <w:spacing w:after="40"/>
            </w:pPr>
            <w:r>
              <w:t>SL 2022/144 12 Aug 2022</w:t>
            </w:r>
          </w:p>
        </w:tc>
        <w:tc>
          <w:tcPr>
            <w:tcW w:w="2696" w:type="dxa"/>
            <w:gridSpan w:val="2"/>
            <w:tcBorders>
              <w:top w:val="nil"/>
              <w:bottom w:val="nil"/>
            </w:tcBorders>
          </w:tcPr>
          <w:p>
            <w:pPr>
              <w:pStyle w:val="nTable"/>
              <w:spacing w:after="40"/>
            </w:pPr>
            <w:r>
              <w:t>1 Jan 2023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4</w:t>
            </w:r>
          </w:p>
        </w:tc>
        <w:tc>
          <w:tcPr>
            <w:tcW w:w="1276" w:type="dxa"/>
            <w:gridSpan w:val="2"/>
            <w:tcBorders>
              <w:top w:val="nil"/>
              <w:bottom w:val="nil"/>
            </w:tcBorders>
          </w:tcPr>
          <w:p>
            <w:pPr>
              <w:pStyle w:val="nTable"/>
              <w:spacing w:after="40"/>
            </w:pPr>
            <w:r>
              <w:t>SL 2023/156 18 Oct 2023</w:t>
            </w:r>
          </w:p>
        </w:tc>
        <w:tc>
          <w:tcPr>
            <w:tcW w:w="2696" w:type="dxa"/>
            <w:gridSpan w:val="2"/>
            <w:tcBorders>
              <w:top w:val="nil"/>
              <w:bottom w:val="nil"/>
            </w:tcBorders>
          </w:tcPr>
          <w:p>
            <w:pPr>
              <w:pStyle w:val="nTable"/>
              <w:spacing w:after="40"/>
            </w:pPr>
            <w:r>
              <w:t>1 Jan 2024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lastRenderedPageBreak/>
              <w:t>Casino Control Amendment Regulations 2024</w:t>
            </w:r>
          </w:p>
        </w:tc>
        <w:tc>
          <w:tcPr>
            <w:tcW w:w="1276" w:type="dxa"/>
            <w:gridSpan w:val="2"/>
            <w:tcBorders>
              <w:top w:val="nil"/>
              <w:bottom w:val="nil"/>
            </w:tcBorders>
          </w:tcPr>
          <w:p>
            <w:pPr>
              <w:pStyle w:val="nTable"/>
              <w:spacing w:after="40"/>
            </w:pPr>
            <w:r>
              <w:t>SL 2024/163 7 Aug 2024</w:t>
            </w:r>
          </w:p>
        </w:tc>
        <w:tc>
          <w:tcPr>
            <w:tcW w:w="2696" w:type="dxa"/>
            <w:gridSpan w:val="2"/>
            <w:tcBorders>
              <w:top w:val="nil"/>
              <w:bottom w:val="nil"/>
            </w:tcBorders>
          </w:tcPr>
          <w:p>
            <w:pPr>
              <w:pStyle w:val="nTable"/>
              <w:spacing w:after="40"/>
            </w:pPr>
            <w:r>
              <w:rPr>
                <w:snapToGrid w:val="0"/>
              </w:rPr>
              <w:t>r. 1 and 2: 7 Aug 2024 (see r. 2(a));</w:t>
            </w:r>
            <w:r>
              <w:rPr>
                <w:snapToGrid w:val="0"/>
              </w:rPr>
              <w:br/>
              <w:t>Regulations other than r. 1 and 2: 8 Aug 2024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and Gaming Regulations Amendment (Fees and Charges) Regulations 2024</w:t>
            </w:r>
            <w:r>
              <w:rPr>
                <w:iCs/>
              </w:rPr>
              <w:t xml:space="preserve"> Pt. 4</w:t>
            </w:r>
          </w:p>
        </w:tc>
        <w:tc>
          <w:tcPr>
            <w:tcW w:w="1276" w:type="dxa"/>
            <w:gridSpan w:val="2"/>
            <w:tcBorders>
              <w:top w:val="nil"/>
              <w:bottom w:val="nil"/>
            </w:tcBorders>
          </w:tcPr>
          <w:p>
            <w:pPr>
              <w:pStyle w:val="nTable"/>
              <w:spacing w:after="40"/>
            </w:pPr>
            <w:r>
              <w:t>SL 2024/213 16 Oct 2024</w:t>
            </w:r>
          </w:p>
        </w:tc>
        <w:tc>
          <w:tcPr>
            <w:tcW w:w="2696" w:type="dxa"/>
            <w:gridSpan w:val="2"/>
            <w:tcBorders>
              <w:top w:val="nil"/>
              <w:bottom w:val="nil"/>
            </w:tcBorders>
          </w:tcPr>
          <w:p>
            <w:pPr>
              <w:pStyle w:val="nTable"/>
              <w:spacing w:after="40"/>
              <w:rPr>
                <w:snapToGrid w:val="0"/>
              </w:rPr>
            </w:pPr>
            <w:r>
              <w:t>1 Jan 2025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Cs/>
              </w:rPr>
            </w:pPr>
            <w:r>
              <w:rPr>
                <w:i/>
              </w:rPr>
              <w:t>Gambling Regulations Amendment Regulations 2025</w:t>
            </w:r>
            <w:r>
              <w:rPr>
                <w:iCs/>
              </w:rPr>
              <w:t xml:space="preserve"> Pt. 4</w:t>
            </w:r>
          </w:p>
        </w:tc>
        <w:tc>
          <w:tcPr>
            <w:tcW w:w="1276" w:type="dxa"/>
            <w:gridSpan w:val="2"/>
            <w:tcBorders>
              <w:bottom w:val="single" w:sz="4" w:space="0" w:color="auto"/>
            </w:tcBorders>
          </w:tcPr>
          <w:p>
            <w:pPr>
              <w:pStyle w:val="nTable"/>
              <w:spacing w:after="40"/>
            </w:pPr>
            <w:r>
              <w:t>SL 2025/35 5 Feb 2025</w:t>
            </w:r>
          </w:p>
        </w:tc>
        <w:tc>
          <w:tcPr>
            <w:tcW w:w="2696" w:type="dxa"/>
            <w:gridSpan w:val="2"/>
            <w:tcBorders>
              <w:bottom w:val="single" w:sz="4" w:space="0" w:color="auto"/>
            </w:tcBorders>
          </w:tcPr>
          <w:p>
            <w:pPr>
              <w:pStyle w:val="nTable"/>
              <w:spacing w:after="40"/>
            </w:pPr>
            <w:r>
              <w:t>6 Feb 2025 (see r. 2(b))</w:t>
            </w:r>
          </w:p>
        </w:tc>
      </w:tr>
    </w:tbl>
    <w:p>
      <w:pPr>
        <w:pStyle w:val="nHeading3"/>
      </w:pPr>
      <w:bookmarkStart w:id="38" w:name="_Toc213338320"/>
      <w:r>
        <w:t>Uncommenced provisions table</w:t>
      </w:r>
      <w:bookmarkEnd w:id="3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Racing and Gaming Regulations Amendment (Fees and Charges) Regulations 2025</w:t>
            </w:r>
            <w:r>
              <w:rPr>
                <w:iCs/>
              </w:rPr>
              <w:t xml:space="preserve"> Pt. 4</w:t>
            </w:r>
          </w:p>
        </w:tc>
        <w:tc>
          <w:tcPr>
            <w:tcW w:w="1276" w:type="dxa"/>
          </w:tcPr>
          <w:p>
            <w:pPr>
              <w:pStyle w:val="nTable"/>
              <w:spacing w:after="40"/>
            </w:pPr>
            <w:r>
              <w:t>SL 2025/187 12 Nov 2025</w:t>
            </w:r>
          </w:p>
        </w:tc>
        <w:tc>
          <w:tcPr>
            <w:tcW w:w="2693" w:type="dxa"/>
          </w:tcPr>
          <w:p>
            <w:pPr>
              <w:pStyle w:val="nTable"/>
              <w:spacing w:after="40"/>
            </w:pPr>
            <w:r>
              <w:t>1 Jan 2026 (see r. 2(b))</w:t>
            </w:r>
          </w:p>
        </w:tc>
      </w:tr>
    </w:tbl>
    <w:p>
      <w:pPr>
        <w:pStyle w:val="nHeading3"/>
      </w:pPr>
      <w:bookmarkStart w:id="39" w:name="_Toc213338321"/>
      <w:r>
        <w:t>Other notes</w:t>
      </w:r>
      <w:bookmarkEnd w:id="39"/>
    </w:p>
    <w:p>
      <w:pPr>
        <w:pStyle w:val="nNote"/>
        <w:spacing w:before="160"/>
      </w:pPr>
      <w:r>
        <w:rPr>
          <w:rFonts w:ascii="Times" w:hAnsi="Times"/>
          <w:vertAlign w:val="superscript"/>
        </w:rPr>
        <w:t>1</w:t>
      </w:r>
      <w:r>
        <w:tab/>
        <w:t>The commencement date of 1 Oct 2001 that was specified was before the date of gazettal.</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41" w:name="_Toc213336196"/>
      <w:bookmarkStart w:id="42" w:name="_Toc213336384"/>
      <w:bookmarkStart w:id="43" w:name="_Toc213338322"/>
      <w:r>
        <w:rPr>
          <w:sz w:val="28"/>
        </w:rPr>
        <w:lastRenderedPageBreak/>
        <w:t>Defined terms</w:t>
      </w:r>
      <w:bookmarkEnd w:id="41"/>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1(1)</w:t>
      </w:r>
    </w:p>
    <w:p>
      <w:pPr>
        <w:pStyle w:val="DefinedTerms"/>
      </w:pPr>
      <w:r>
        <w:t>business day</w:t>
      </w:r>
      <w:r>
        <w:tab/>
        <w:t>7(1)</w:t>
      </w:r>
    </w:p>
    <w:p>
      <w:pPr>
        <w:pStyle w:val="DefinedTerms"/>
      </w:pPr>
      <w:r>
        <w:t>conviction</w:t>
      </w:r>
      <w:r>
        <w:tab/>
        <w:t>2(1)</w:t>
      </w:r>
    </w:p>
    <w:p>
      <w:pPr>
        <w:pStyle w:val="DefinedTerms"/>
      </w:pPr>
      <w:r>
        <w:t>gaming technical services</w:t>
      </w:r>
      <w:r>
        <w:tab/>
        <w:t>4A(2)</w:t>
      </w:r>
    </w:p>
    <w:p>
      <w:pPr>
        <w:pStyle w:val="DefinedTerms"/>
      </w:pPr>
      <w:r>
        <w:t>manuals</w:t>
      </w:r>
      <w:r>
        <w:tab/>
        <w:t>2(1)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CAFA64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1CA0AEE" w14:textId="603A0DB7" w:rsidR="00323F2B" w:rsidRDefault="00E55E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04FDD">
                        <w:rPr>
                          <w:sz w:val="16"/>
                        </w:rPr>
                        <w:t>2025</w:t>
                      </w:r>
                      <w:r>
                        <w:rPr>
                          <w:sz w:val="16"/>
                        </w:rPr>
                        <w:fldChar w:fldCharType="end"/>
                      </w:r>
                      <w:r>
                        <w:rPr>
                          <w:sz w:val="16"/>
                        </w:rPr>
                        <w:t>.</w:t>
                      </w:r>
                    </w:p>
                    <w:p w14:paraId="0F12088F" w14:textId="77777777" w:rsidR="00323F2B" w:rsidRDefault="00E55E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DF087D" w14:textId="23085175" w:rsidR="00323F2B" w:rsidRDefault="00E55E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04FDD">
                        <w:rPr>
                          <w:sz w:val="16"/>
                        </w:rPr>
                        <w:t>2025</w:t>
                      </w:r>
                      <w:r>
                        <w:rPr>
                          <w:sz w:val="16"/>
                        </w:rPr>
                        <w:fldChar w:fldCharType="end"/>
                      </w:r>
                      <w:r>
                        <w:rPr>
                          <w:sz w:val="16"/>
                        </w:rPr>
                        <w:t>.</w:t>
                      </w:r>
                    </w:p>
                    <w:p w14:paraId="24557DE3" w14:textId="77777777" w:rsidR="00323F2B" w:rsidRDefault="00E55EB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3" w:name="Schedule"/>
    <w:bookmarkEnd w:id="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06154122"/>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 w:name="WAFER_2022121610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310_GUID" w:val="c2638ba7-38a1-4a6c-b1eb-75183b813498"/>
    <w:docVar w:name="WAFER_20231012164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50_GUID" w:val="7ffee2d3-a8d8-455d-9c6f-dd431d656b18"/>
    <w:docVar w:name="WAFER_20231012164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2164754_GUID" w:val="7ac1447c-6857-4f07-aa55-92756c23b8ea"/>
    <w:docVar w:name="WAFER_2023122015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12_GUID" w:val="83d00817-2244-4440-a566-936f3099040e"/>
    <w:docVar w:name="WAFER_2024080211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15834_GUID" w:val="dbc8afa9-4adc-4f2c-8a59-5dab4028895a"/>
    <w:docVar w:name="WAFER_20241010132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2331_GUID" w:val="271badbc-b482-437f-b46b-9af33bc61006"/>
    <w:docVar w:name="WAFER_20241223092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2118_GUID" w:val="254ce2fc-0017-4f68-bf1a-cdf27314de11"/>
    <w:docVar w:name="WAFER_2025013116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63533_GUID" w:val="2ea10850-ba72-4699-83e6-3bd16df30f00"/>
    <w:docVar w:name="WAFER_2025013116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63601_GUID" w:val="29813162-0ec7-4da1-8895-68bfb4c1283b"/>
    <w:docVar w:name="WAFER_20251106154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6154122_GUID" w:val="f322158e-1c40-4340-aab0-652f20a37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jpeg"/><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2508</Words>
  <Characters>12216</Characters>
  <Application>Microsoft Office Word</Application>
  <DocSecurity>0</DocSecurity>
  <Lines>642</Lines>
  <Paragraphs>387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1999 - 03-v0-00</dc:title>
  <dc:subject/>
  <dc:creator/>
  <cp:keywords/>
  <dc:description/>
  <cp:lastModifiedBy>Master Repository Process</cp:lastModifiedBy>
  <cp:revision>4</cp:revision>
  <cp:lastPrinted>2014-03-20T02:02:00Z</cp:lastPrinted>
  <dcterms:created xsi:type="dcterms:W3CDTF">2025-11-11T03:27:00Z</dcterms:created>
  <dcterms:modified xsi:type="dcterms:W3CDTF">2025-11-11T03:27:00Z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AsAtDate">
    <vt:lpwstr>12 Nov 2025</vt:lpwstr>
  </property>
  <property fmtid="{D5CDD505-2E9C-101B-9397-08002B2CF9AE}" pid="8" name="Suffix">
    <vt:lpwstr>03-v0-00</vt:lpwstr>
  </property>
  <property fmtid="{D5CDD505-2E9C-101B-9397-08002B2CF9AE}" pid="9" name="Official">
    <vt:lpwstr/>
  </property>
  <property fmtid="{D5CDD505-2E9C-101B-9397-08002B2CF9AE}" pid="10" name="CommencementDate">
    <vt:lpwstr>20251112</vt:lpwstr>
  </property>
  <property fmtid="{D5CDD505-2E9C-101B-9397-08002B2CF9AE}" pid="11" name="CommencementAsAt">
    <vt:filetime>2025-11-11T16:00:00Z</vt:filetime>
  </property>
  <property fmtid="{D5CDD505-2E9C-101B-9397-08002B2CF9AE}" pid="12" name="CommencementYear">
    <vt:lpwstr>2025</vt:lpwstr>
  </property>
</Properties>
</file>