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Gaming and Wagering Commission Act 1987</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_Toc213339465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_Toc213339466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 compliance with forms</w:t>
      </w:r>
      <w:r>
        <w:tab/>
      </w:r>
      <w:r>
        <w:fldChar w:fldCharType="begin"/>
      </w:r>
      <w:r>
        <w:instrText xml:space="preserve"> PAGEREF _Toc213339467 \h </w:instrText>
      </w:r>
      <w:r>
        <w:fldChar w:fldCharType="separate"/>
      </w:r>
      <w:r>
        <w:t>1</w:t>
      </w:r>
      <w:r>
        <w:fldChar w:fldCharType="end"/>
      </w:r>
    </w:p>
    <w:p>
      <w:pPr>
        <w:pStyle w:val="TOC8"/>
        <w:rPr>
          <w:rFonts w:asciiTheme="minorHAnsi" w:eastAsiaTheme="minorEastAsia" w:hAnsiTheme="minorHAnsi" w:cstheme="minorBidi"/>
          <w:szCs w:val="22"/>
        </w:rPr>
      </w:pPr>
      <w:r>
        <w:t>4A.</w:t>
      </w:r>
      <w:r>
        <w:tab/>
        <w:t>Notes in the text</w:t>
      </w:r>
      <w:r>
        <w:tab/>
      </w:r>
      <w:r>
        <w:fldChar w:fldCharType="begin"/>
      </w:r>
      <w:r>
        <w:instrText xml:space="preserve"> PAGEREF _Toc213339468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fees</w:t>
      </w:r>
      <w:r>
        <w:tab/>
      </w:r>
      <w:r>
        <w:fldChar w:fldCharType="begin"/>
      </w:r>
      <w:r>
        <w:instrText xml:space="preserve"> PAGEREF _Toc213339469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Enforcement</w:t>
      </w:r>
    </w:p>
    <w:p>
      <w:pPr>
        <w:pStyle w:val="TOC8"/>
        <w:rPr>
          <w:rFonts w:asciiTheme="minorHAnsi" w:eastAsiaTheme="minorEastAsia" w:hAnsiTheme="minorHAnsi" w:cstheme="minorBidi"/>
          <w:szCs w:val="22"/>
        </w:rPr>
      </w:pPr>
      <w:r>
        <w:t>5</w:t>
      </w:r>
      <w:r>
        <w:rPr>
          <w:snapToGrid w:val="0"/>
        </w:rPr>
        <w:t>.</w:t>
      </w:r>
      <w:r>
        <w:rPr>
          <w:snapToGrid w:val="0"/>
        </w:rPr>
        <w:tab/>
        <w:t>Forfeiture, offences prescribed (Act s. 32(2))</w:t>
      </w:r>
      <w:r>
        <w:tab/>
      </w:r>
      <w:r>
        <w:fldChar w:fldCharType="begin"/>
      </w:r>
      <w:r>
        <w:instrText xml:space="preserve"> PAGEREF _Toc213339471 \h </w:instrText>
      </w:r>
      <w:r>
        <w:fldChar w:fldCharType="separate"/>
      </w:r>
      <w:r>
        <w:t>3</w:t>
      </w:r>
      <w:r>
        <w:fldChar w:fldCharType="end"/>
      </w:r>
    </w:p>
    <w:p>
      <w:pPr>
        <w:pStyle w:val="TOC8"/>
        <w:rPr>
          <w:rFonts w:asciiTheme="minorHAnsi" w:eastAsiaTheme="minorEastAsia" w:hAnsiTheme="minorHAnsi" w:cstheme="minorBidi"/>
          <w:szCs w:val="22"/>
        </w:rPr>
      </w:pPr>
      <w:r>
        <w:t>5A.</w:t>
      </w:r>
      <w:r>
        <w:tab/>
        <w:t>Prescribed offences and modified penalties</w:t>
      </w:r>
      <w:r>
        <w:tab/>
      </w:r>
      <w:r>
        <w:fldChar w:fldCharType="begin"/>
      </w:r>
      <w:r>
        <w:instrText xml:space="preserve"> PAGEREF _Toc213339472 \h </w:instrText>
      </w:r>
      <w:r>
        <w:fldChar w:fldCharType="separate"/>
      </w:r>
      <w:r>
        <w:t>3</w:t>
      </w:r>
      <w:r>
        <w:fldChar w:fldCharType="end"/>
      </w:r>
    </w:p>
    <w:p>
      <w:pPr>
        <w:pStyle w:val="TOC8"/>
        <w:rPr>
          <w:rFonts w:asciiTheme="minorHAnsi" w:eastAsiaTheme="minorEastAsia" w:hAnsiTheme="minorHAnsi" w:cstheme="minorBidi"/>
          <w:szCs w:val="22"/>
        </w:rPr>
      </w:pPr>
      <w:r>
        <w:t>6.</w:t>
      </w:r>
      <w:r>
        <w:tab/>
        <w:t>Forms for infringement notice and withdrawal notice</w:t>
      </w:r>
      <w:r>
        <w:tab/>
      </w:r>
      <w:r>
        <w:fldChar w:fldCharType="begin"/>
      </w:r>
      <w:r>
        <w:instrText xml:space="preserve"> PAGEREF _Toc213339473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Warrant, form of (Act s. 25)</w:t>
      </w:r>
      <w:r>
        <w:tab/>
      </w:r>
      <w:r>
        <w:fldChar w:fldCharType="begin"/>
      </w:r>
      <w:r>
        <w:instrText xml:space="preserve"> PAGEREF _Toc213339474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The register</w:t>
      </w:r>
    </w:p>
    <w:p>
      <w:pPr>
        <w:pStyle w:val="TOC8"/>
        <w:rPr>
          <w:rFonts w:asciiTheme="minorHAnsi" w:eastAsiaTheme="minorEastAsia" w:hAnsiTheme="minorHAnsi" w:cstheme="minorBidi"/>
          <w:szCs w:val="22"/>
        </w:rPr>
      </w:pPr>
      <w:r>
        <w:t>7</w:t>
      </w:r>
      <w:r>
        <w:rPr>
          <w:snapToGrid w:val="0"/>
        </w:rPr>
        <w:t>.</w:t>
      </w:r>
      <w:r>
        <w:rPr>
          <w:snapToGrid w:val="0"/>
        </w:rPr>
        <w:tab/>
        <w:t>Manner of recording and search fees prescribed (Act s. 50)</w:t>
      </w:r>
      <w:r>
        <w:tab/>
      </w:r>
      <w:r>
        <w:fldChar w:fldCharType="begin"/>
      </w:r>
      <w:r>
        <w:instrText xml:space="preserve"> PAGEREF _Toc213339476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Permitted gaming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8A.</w:t>
      </w:r>
      <w:r>
        <w:tab/>
        <w:t>Gaming on cruise ships</w:t>
      </w:r>
      <w:r>
        <w:tab/>
      </w:r>
      <w:r>
        <w:fldChar w:fldCharType="begin"/>
      </w:r>
      <w:r>
        <w:instrText xml:space="preserve"> PAGEREF _Toc213339479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Gaming permits, form and conditions of (Act s. 47(1)(a) or (b))</w:t>
      </w:r>
      <w:r>
        <w:tab/>
      </w:r>
      <w:r>
        <w:fldChar w:fldCharType="begin"/>
      </w:r>
      <w:r>
        <w:instrText xml:space="preserve"> PAGEREF _Toc213339480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Gaming permits, application for</w:t>
      </w:r>
      <w:r>
        <w:tab/>
      </w:r>
      <w:r>
        <w:fldChar w:fldCharType="begin"/>
      </w:r>
      <w:r>
        <w:instrText xml:space="preserve"> PAGEREF _Toc213339481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Approval to use premises, application for (Act s. 55)</w:t>
      </w:r>
      <w:r>
        <w:tab/>
      </w:r>
      <w:r>
        <w:fldChar w:fldCharType="begin"/>
      </w:r>
      <w:r>
        <w:instrText xml:space="preserve"> PAGEREF _Toc213339482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Renewals etc., applications for (Act s. 56)</w:t>
      </w:r>
      <w:r>
        <w:tab/>
      </w:r>
      <w:r>
        <w:fldChar w:fldCharType="begin"/>
      </w:r>
      <w:r>
        <w:instrText xml:space="preserve"> PAGEREF _Toc213339483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Financial statements, permit holders to provide etc.</w:t>
      </w:r>
      <w:r>
        <w:tab/>
      </w:r>
      <w:r>
        <w:fldChar w:fldCharType="begin"/>
      </w:r>
      <w:r>
        <w:instrText xml:space="preserve"> PAGEREF _Toc213339484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permit required if gaming etc. deemed permitted</w:t>
      </w:r>
      <w:r>
        <w:tab/>
      </w:r>
      <w:r>
        <w:fldChar w:fldCharType="begin"/>
      </w:r>
      <w:r>
        <w:instrText xml:space="preserve"> PAGEREF _Toc213339485 \h </w:instrText>
      </w:r>
      <w:r>
        <w:fldChar w:fldCharType="separate"/>
      </w:r>
      <w:r>
        <w:t>12</w:t>
      </w:r>
      <w:r>
        <w:fldChar w:fldCharType="end"/>
      </w:r>
    </w:p>
    <w:p>
      <w:pPr>
        <w:pStyle w:val="TOC8"/>
        <w:rPr>
          <w:rFonts w:asciiTheme="minorHAnsi" w:eastAsiaTheme="minorEastAsia" w:hAnsiTheme="minorHAnsi" w:cstheme="minorBidi"/>
          <w:szCs w:val="22"/>
        </w:rPr>
      </w:pPr>
      <w:r>
        <w:t>13A.</w:t>
      </w:r>
      <w:r>
        <w:tab/>
        <w:t>Conviction of license holder etc., holders to notify Commission</w:t>
      </w:r>
      <w:r>
        <w:tab/>
      </w:r>
      <w:r>
        <w:fldChar w:fldCharType="begin"/>
      </w:r>
      <w:r>
        <w:instrText xml:space="preserve"> PAGEREF _Toc213339486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Continuing lotteries</w:t>
      </w:r>
    </w:p>
    <w:p>
      <w:pPr>
        <w:pStyle w:val="TOC8"/>
        <w:rPr>
          <w:rFonts w:asciiTheme="minorHAnsi" w:eastAsiaTheme="minorEastAsia" w:hAnsiTheme="minorHAnsi" w:cstheme="minorBidi"/>
          <w:szCs w:val="22"/>
        </w:rPr>
      </w:pPr>
      <w:r>
        <w:t>14.</w:t>
      </w:r>
      <w:r>
        <w:tab/>
        <w:t>Maximum number of tickets prescribed (Act s. 104L(1))</w:t>
      </w:r>
      <w:r>
        <w:tab/>
      </w:r>
      <w:r>
        <w:fldChar w:fldCharType="begin"/>
      </w:r>
      <w:r>
        <w:instrText xml:space="preserve"> PAGEREF _Toc213339488 \h </w:instrText>
      </w:r>
      <w:r>
        <w:fldChar w:fldCharType="separate"/>
      </w:r>
      <w:r>
        <w:t>13</w:t>
      </w:r>
      <w:r>
        <w:fldChar w:fldCharType="end"/>
      </w:r>
    </w:p>
    <w:p>
      <w:pPr>
        <w:pStyle w:val="TOC8"/>
        <w:rPr>
          <w:rFonts w:asciiTheme="minorHAnsi" w:eastAsiaTheme="minorEastAsia" w:hAnsiTheme="minorHAnsi" w:cstheme="minorBidi"/>
          <w:szCs w:val="22"/>
        </w:rPr>
      </w:pPr>
      <w:r>
        <w:t>15.</w:t>
      </w:r>
      <w:r>
        <w:tab/>
        <w:t>Records to be kept by licensed suppliers for Act Part V Div. 7</w:t>
      </w:r>
      <w:r>
        <w:tab/>
      </w:r>
      <w:r>
        <w:fldChar w:fldCharType="begin"/>
      </w:r>
      <w:r>
        <w:instrText xml:space="preserve"> PAGEREF _Toc213339489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Permitted two</w:t>
      </w:r>
      <w:r>
        <w:noBreakHyphen/>
        <w:t>up</w:t>
      </w:r>
    </w:p>
    <w:p>
      <w:pPr>
        <w:pStyle w:val="TOC8"/>
        <w:rPr>
          <w:rFonts w:asciiTheme="minorHAnsi" w:eastAsiaTheme="minorEastAsia" w:hAnsiTheme="minorHAnsi" w:cstheme="minorBidi"/>
          <w:szCs w:val="22"/>
        </w:rPr>
      </w:pPr>
      <w:r>
        <w:t>16</w:t>
      </w:r>
      <w:r>
        <w:rPr>
          <w:snapToGrid w:val="0"/>
        </w:rPr>
        <w:t>.</w:t>
      </w:r>
      <w:r>
        <w:rPr>
          <w:snapToGrid w:val="0"/>
        </w:rPr>
        <w:tab/>
        <w:t>Financial information to be provided about games</w:t>
      </w:r>
      <w:r>
        <w:tab/>
      </w:r>
      <w:r>
        <w:fldChar w:fldCharType="begin"/>
      </w:r>
      <w:r>
        <w:instrText xml:space="preserve"> PAGEREF _Toc213339491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Suspending permit for game</w:t>
      </w:r>
      <w:r>
        <w:tab/>
      </w:r>
      <w:r>
        <w:fldChar w:fldCharType="begin"/>
      </w:r>
      <w:r>
        <w:instrText xml:space="preserve"> PAGEREF _Toc213339492 \h </w:instrText>
      </w:r>
      <w:r>
        <w:fldChar w:fldCharType="separate"/>
      </w:r>
      <w:r>
        <w:t>16</w:t>
      </w:r>
      <w:r>
        <w:fldChar w:fldCharType="end"/>
      </w:r>
    </w:p>
    <w:p>
      <w:pPr>
        <w:pStyle w:val="TOC8"/>
        <w:rPr>
          <w:rFonts w:asciiTheme="minorHAnsi" w:eastAsiaTheme="minorEastAsia" w:hAnsiTheme="minorHAnsi" w:cstheme="minorBidi"/>
          <w:szCs w:val="22"/>
        </w:rPr>
      </w:pPr>
      <w:r>
        <w:t>17A.</w:t>
      </w:r>
      <w:r>
        <w:tab/>
        <w:t>Prescribed gaming equipment (Act s. 84(1))</w:t>
      </w:r>
      <w:r>
        <w:tab/>
      </w:r>
      <w:r>
        <w:fldChar w:fldCharType="begin"/>
      </w:r>
      <w:r>
        <w:instrText xml:space="preserve"> PAGEREF _Toc213339493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Gaming machines and other equipment</w:t>
      </w:r>
    </w:p>
    <w:p>
      <w:pPr>
        <w:pStyle w:val="TOC8"/>
        <w:rPr>
          <w:rFonts w:asciiTheme="minorHAnsi" w:eastAsiaTheme="minorEastAsia" w:hAnsiTheme="minorHAnsi" w:cstheme="minorBidi"/>
          <w:szCs w:val="22"/>
        </w:rPr>
      </w:pPr>
      <w:r>
        <w:t>18</w:t>
      </w:r>
      <w:r>
        <w:rPr>
          <w:snapToGrid w:val="0"/>
        </w:rPr>
        <w:t>.</w:t>
      </w:r>
      <w:r>
        <w:rPr>
          <w:snapToGrid w:val="0"/>
        </w:rPr>
        <w:tab/>
        <w:t>Records etc. to be kept etc. by persons renting equipment from others</w:t>
      </w:r>
      <w:r>
        <w:tab/>
      </w:r>
      <w:r>
        <w:fldChar w:fldCharType="begin"/>
      </w:r>
      <w:r>
        <w:instrText xml:space="preserve"> PAGEREF _Toc213339495 \h </w:instrText>
      </w:r>
      <w:r>
        <w:fldChar w:fldCharType="separate"/>
      </w:r>
      <w:r>
        <w:t>17</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Skilltester, Merchandiser and similar machines, possession etc. of</w:t>
      </w:r>
      <w:r>
        <w:tab/>
      </w:r>
      <w:r>
        <w:fldChar w:fldCharType="begin"/>
      </w:r>
      <w:r>
        <w:instrText xml:space="preserve"> PAGEREF _Toc213339496 \h </w:instrText>
      </w:r>
      <w:r>
        <w:fldChar w:fldCharType="separate"/>
      </w:r>
      <w:r>
        <w:t>18</w:t>
      </w:r>
      <w:r>
        <w:fldChar w:fldCharType="end"/>
      </w:r>
    </w:p>
    <w:p>
      <w:pPr>
        <w:pStyle w:val="TOC8"/>
        <w:rPr>
          <w:rFonts w:asciiTheme="minorHAnsi" w:eastAsiaTheme="minorEastAsia" w:hAnsiTheme="minorHAnsi" w:cstheme="minorBidi"/>
          <w:szCs w:val="22"/>
        </w:rPr>
      </w:pPr>
      <w:r>
        <w:t>18AA</w:t>
      </w:r>
      <w:r>
        <w:rPr>
          <w:snapToGrid w:val="0"/>
        </w:rPr>
        <w:t>.</w:t>
      </w:r>
      <w:r>
        <w:rPr>
          <w:snapToGrid w:val="0"/>
        </w:rPr>
        <w:tab/>
        <w:t>Video lottery terminals, possession etc. of</w:t>
      </w:r>
      <w:r>
        <w:tab/>
      </w:r>
      <w:r>
        <w:fldChar w:fldCharType="begin"/>
      </w:r>
      <w:r>
        <w:instrText xml:space="preserve"> PAGEREF _Toc213339497 \h </w:instrText>
      </w:r>
      <w:r>
        <w:fldChar w:fldCharType="separate"/>
      </w:r>
      <w:r>
        <w:t>19</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Machines that dispense vouchers, possession etc. of</w:t>
      </w:r>
      <w:r>
        <w:tab/>
      </w:r>
      <w:r>
        <w:fldChar w:fldCharType="begin"/>
      </w:r>
      <w:r>
        <w:instrText xml:space="preserve"> PAGEREF _Toc213339498 \h </w:instrText>
      </w:r>
      <w:r>
        <w:fldChar w:fldCharType="separate"/>
      </w:r>
      <w:r>
        <w:t>20</w:t>
      </w:r>
      <w:r>
        <w:fldChar w:fldCharType="end"/>
      </w:r>
    </w:p>
    <w:p>
      <w:pPr>
        <w:pStyle w:val="TOC8"/>
        <w:rPr>
          <w:rFonts w:asciiTheme="minorHAnsi" w:eastAsiaTheme="minorEastAsia" w:hAnsiTheme="minorHAnsi" w:cstheme="minorBidi"/>
          <w:szCs w:val="22"/>
        </w:rPr>
      </w:pPr>
      <w:r>
        <w:t>18C.</w:t>
      </w:r>
      <w:r>
        <w:tab/>
        <w:t>Possession of certain gaming machines on cruise ships</w:t>
      </w:r>
      <w:r>
        <w:tab/>
      </w:r>
      <w:r>
        <w:fldChar w:fldCharType="begin"/>
      </w:r>
      <w:r>
        <w:instrText xml:space="preserve"> PAGEREF _Toc213339499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Permitted bingo</w:t>
      </w:r>
    </w:p>
    <w:p>
      <w:pPr>
        <w:pStyle w:val="TOC8"/>
        <w:rPr>
          <w:rFonts w:asciiTheme="minorHAnsi" w:eastAsiaTheme="minorEastAsia" w:hAnsiTheme="minorHAnsi" w:cstheme="minorBidi"/>
          <w:szCs w:val="22"/>
        </w:rPr>
      </w:pPr>
      <w:r>
        <w:t>19</w:t>
      </w:r>
      <w:r>
        <w:rPr>
          <w:snapToGrid w:val="0"/>
        </w:rPr>
        <w:t>.</w:t>
      </w:r>
      <w:r>
        <w:rPr>
          <w:snapToGrid w:val="0"/>
        </w:rPr>
        <w:tab/>
        <w:t>Rules for conducting bingo; rules to be displayed</w:t>
      </w:r>
      <w:r>
        <w:tab/>
      </w:r>
      <w:r>
        <w:fldChar w:fldCharType="begin"/>
      </w:r>
      <w:r>
        <w:instrText xml:space="preserve"> PAGEREF _Toc213339501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Bingo for senior citizens’ clubs, no fees payable for</w:t>
      </w:r>
      <w:r>
        <w:tab/>
      </w:r>
      <w:r>
        <w:fldChar w:fldCharType="begin"/>
      </w:r>
      <w:r>
        <w:instrText xml:space="preserve"> PAGEREF _Toc213339502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Percentage of receipts to be paid to Commission</w:t>
      </w:r>
      <w:r>
        <w:tab/>
      </w:r>
      <w:r>
        <w:fldChar w:fldCharType="begin"/>
      </w:r>
      <w:r>
        <w:instrText xml:space="preserve"> PAGEREF _Toc213339503 \h </w:instrText>
      </w:r>
      <w:r>
        <w:fldChar w:fldCharType="separate"/>
      </w:r>
      <w:r>
        <w:t>22</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Times and number of sessions</w:t>
      </w:r>
      <w:r>
        <w:tab/>
      </w:r>
      <w:r>
        <w:fldChar w:fldCharType="begin"/>
      </w:r>
      <w:r>
        <w:instrText xml:space="preserve"> PAGEREF _Toc213339504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Sessions of bingo</w:t>
      </w:r>
      <w:r>
        <w:tab/>
      </w:r>
      <w:r>
        <w:fldChar w:fldCharType="begin"/>
      </w:r>
      <w:r>
        <w:instrText xml:space="preserve"> PAGEREF _Toc213339505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Controllers of sessions, appointment and duties of</w:t>
      </w:r>
      <w:r>
        <w:tab/>
      </w:r>
      <w:r>
        <w:fldChar w:fldCharType="begin"/>
      </w:r>
      <w:r>
        <w:instrText xml:space="preserve"> PAGEREF _Toc213339506 \h </w:instrText>
      </w:r>
      <w:r>
        <w:fldChar w:fldCharType="separate"/>
      </w:r>
      <w:r>
        <w:t>24</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Advertising value of prizes prohibited</w:t>
      </w:r>
      <w:r>
        <w:tab/>
      </w:r>
      <w:r>
        <w:fldChar w:fldCharType="begin"/>
      </w:r>
      <w:r>
        <w:instrText xml:space="preserve"> PAGEREF _Toc213339507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Prizes, permitted value of</w:t>
      </w:r>
      <w:r>
        <w:tab/>
      </w:r>
      <w:r>
        <w:fldChar w:fldCharType="begin"/>
      </w:r>
      <w:r>
        <w:instrText xml:space="preserve"> PAGEREF _Toc213339508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Expenses, maximum and calculation of</w:t>
      </w:r>
      <w:r>
        <w:tab/>
      </w:r>
      <w:r>
        <w:fldChar w:fldCharType="begin"/>
      </w:r>
      <w:r>
        <w:instrText xml:space="preserve"> PAGEREF _Toc213339509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Playing other games of chance at bingo premises</w:t>
      </w:r>
      <w:r>
        <w:tab/>
      </w:r>
      <w:r>
        <w:fldChar w:fldCharType="begin"/>
      </w:r>
      <w:r>
        <w:instrText xml:space="preserve"> PAGEREF _Toc213339510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w:t>
      </w:r>
      <w:r>
        <w:rPr>
          <w:snapToGrid w:val="0"/>
        </w:rPr>
        <w:t> — </w:t>
      </w:r>
      <w:r>
        <w:t>Lotteries, etc.</w:t>
      </w:r>
    </w:p>
    <w:p>
      <w:pPr>
        <w:pStyle w:val="TOC6"/>
        <w:tabs>
          <w:tab w:val="right" w:leader="dot" w:pos="7077"/>
        </w:tabs>
        <w:rPr>
          <w:rFonts w:asciiTheme="minorHAnsi" w:eastAsiaTheme="minorEastAsia" w:hAnsiTheme="minorHAnsi" w:cstheme="minorBidi"/>
          <w:b w:val="0"/>
          <w:sz w:val="22"/>
          <w:szCs w:val="22"/>
        </w:rPr>
      </w:pPr>
      <w:r>
        <w:rPr>
          <w:snapToGrid w:val="0"/>
        </w:rPr>
        <w:t>Subdivision 1 — Standard lotteries</w:t>
      </w:r>
    </w:p>
    <w:p>
      <w:pPr>
        <w:pStyle w:val="TOC8"/>
        <w:rPr>
          <w:rFonts w:asciiTheme="minorHAnsi" w:eastAsiaTheme="minorEastAsia" w:hAnsiTheme="minorHAnsi" w:cstheme="minorBidi"/>
          <w:szCs w:val="22"/>
        </w:rPr>
      </w:pPr>
      <w:r>
        <w:t>27</w:t>
      </w:r>
      <w:r>
        <w:rPr>
          <w:snapToGrid w:val="0"/>
        </w:rPr>
        <w:t>.</w:t>
      </w:r>
      <w:r>
        <w:rPr>
          <w:snapToGrid w:val="0"/>
        </w:rPr>
        <w:tab/>
        <w:t>Rules for conducting standard lottery</w:t>
      </w:r>
      <w:r>
        <w:tab/>
      </w:r>
      <w:r>
        <w:fldChar w:fldCharType="begin"/>
      </w:r>
      <w:r>
        <w:instrText xml:space="preserve"> PAGEREF _Toc213339513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Conditions relating to standard lottery</w:t>
      </w:r>
      <w:r>
        <w:tab/>
      </w:r>
      <w:r>
        <w:fldChar w:fldCharType="begin"/>
      </w:r>
      <w:r>
        <w:instrText xml:space="preserve"> PAGEREF _Toc213339514 \h </w:instrText>
      </w:r>
      <w:r>
        <w:fldChar w:fldCharType="separate"/>
      </w:r>
      <w:r>
        <w:t>28</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Lottery tickets etc. not to be sent etc. to persons for sale etc. without their consent</w:t>
      </w:r>
      <w:r>
        <w:tab/>
      </w:r>
      <w:r>
        <w:fldChar w:fldCharType="begin"/>
      </w:r>
      <w:r>
        <w:instrText xml:space="preserve"> PAGEREF _Toc213339515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When standard lottery must be drawn</w:t>
      </w:r>
      <w:r>
        <w:tab/>
      </w:r>
      <w:r>
        <w:fldChar w:fldCharType="begin"/>
      </w:r>
      <w:r>
        <w:instrText xml:space="preserve"> PAGEREF _Toc213339516 \h </w:instrText>
      </w:r>
      <w:r>
        <w:fldChar w:fldCharType="separate"/>
      </w:r>
      <w:r>
        <w:t>29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Unclaimed prizes in standard lotteries</w:t>
      </w:r>
      <w:r>
        <w:tab/>
      </w:r>
      <w:r>
        <w:fldChar w:fldCharType="begin"/>
      </w:r>
      <w:r>
        <w:instrText xml:space="preserve"> PAGEREF _Toc213339517 \h </w:instrText>
      </w:r>
      <w:r>
        <w:fldChar w:fldCharType="separate"/>
      </w:r>
      <w:r>
        <w:t>30</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Prizes from donor organizations</w:t>
      </w:r>
      <w:r>
        <w:tab/>
      </w:r>
      <w:r>
        <w:fldChar w:fldCharType="begin"/>
      </w:r>
      <w:r>
        <w:instrText xml:space="preserve"> PAGEREF _Toc213339518 \h </w:instrText>
      </w:r>
      <w:r>
        <w:fldChar w:fldCharType="separate"/>
      </w:r>
      <w:r>
        <w:t>30</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Body not to buy ticket etc. in its own lottery</w:t>
      </w:r>
      <w:r>
        <w:tab/>
      </w:r>
      <w:r>
        <w:fldChar w:fldCharType="begin"/>
      </w:r>
      <w:r>
        <w:instrText xml:space="preserve"> PAGEREF _Toc213339519 \h </w:instrText>
      </w:r>
      <w:r>
        <w:fldChar w:fldCharType="separate"/>
      </w:r>
      <w:r>
        <w:t>31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Small private lotteries (Act s. 103)</w:t>
      </w:r>
      <w:r>
        <w:tab/>
      </w:r>
      <w:r>
        <w:fldChar w:fldCharType="begin"/>
      </w:r>
      <w:r>
        <w:instrText xml:space="preserve"> PAGEREF _Toc213339520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Continuing lotteries</w:t>
      </w:r>
    </w:p>
    <w:p>
      <w:pPr>
        <w:pStyle w:val="TOC8"/>
        <w:rPr>
          <w:rFonts w:asciiTheme="minorHAnsi" w:eastAsiaTheme="minorEastAsia" w:hAnsiTheme="minorHAnsi" w:cstheme="minorBidi"/>
          <w:szCs w:val="22"/>
        </w:rPr>
      </w:pPr>
      <w:r>
        <w:t>32</w:t>
      </w:r>
      <w:r>
        <w:rPr>
          <w:snapToGrid w:val="0"/>
        </w:rPr>
        <w:t>.</w:t>
      </w:r>
      <w:r>
        <w:rPr>
          <w:snapToGrid w:val="0"/>
        </w:rPr>
        <w:tab/>
        <w:t>Rules for conducting continuing lotteries</w:t>
      </w:r>
      <w:r>
        <w:tab/>
      </w:r>
      <w:r>
        <w:fldChar w:fldCharType="begin"/>
      </w:r>
      <w:r>
        <w:instrText xml:space="preserve"> PAGEREF _Toc213339522 \h </w:instrText>
      </w:r>
      <w:r>
        <w:fldChar w:fldCharType="separate"/>
      </w:r>
      <w:r>
        <w:t>32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relating to continuing lottery</w:t>
      </w:r>
      <w:r>
        <w:tab/>
      </w:r>
      <w:r>
        <w:fldChar w:fldCharType="begin"/>
      </w:r>
      <w:r>
        <w:instrText xml:space="preserve"> PAGEREF _Toc213339523 \h </w:instrText>
      </w:r>
      <w:r>
        <w:fldChar w:fldCharType="separate"/>
      </w:r>
      <w:r>
        <w:t>32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Vending machines for continuing lotteries, location of and conditions as to (Act s. 105(2))</w:t>
      </w:r>
      <w:r>
        <w:tab/>
      </w:r>
      <w:r>
        <w:fldChar w:fldCharType="begin"/>
      </w:r>
      <w:r>
        <w:instrText xml:space="preserve"> PAGEREF _Toc213339524 \h </w:instrText>
      </w:r>
      <w:r>
        <w:fldChar w:fldCharType="separate"/>
      </w:r>
      <w:r>
        <w:t>33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Accounts etc. of continuing lottery to be available for inspection</w:t>
      </w:r>
      <w:r>
        <w:tab/>
      </w:r>
      <w:r>
        <w:fldChar w:fldCharType="begin"/>
      </w:r>
      <w:r>
        <w:instrText xml:space="preserve"> PAGEREF _Toc213339525 \h </w:instrText>
      </w:r>
      <w:r>
        <w:fldChar w:fldCharType="separate"/>
      </w:r>
      <w:r>
        <w:t>33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Distribution of benefit</w:t>
      </w:r>
      <w:r>
        <w:tab/>
      </w:r>
      <w:r>
        <w:fldChar w:fldCharType="begin"/>
      </w:r>
      <w:r>
        <w:instrText xml:space="preserve"> PAGEREF _Toc213339526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Trade promotion lotteries</w:t>
      </w:r>
    </w:p>
    <w:p>
      <w:pPr>
        <w:pStyle w:val="TOC8"/>
        <w:rPr>
          <w:rFonts w:asciiTheme="minorHAnsi" w:eastAsiaTheme="minorEastAsia" w:hAnsiTheme="minorHAnsi" w:cstheme="minorBidi"/>
          <w:szCs w:val="22"/>
        </w:rPr>
      </w:pPr>
      <w:r>
        <w:t>36A.</w:t>
      </w:r>
      <w:r>
        <w:tab/>
        <w:t>Prescribed conditions for trade promotion lottery (Act s. 102)</w:t>
      </w:r>
      <w:r>
        <w:tab/>
      </w:r>
      <w:r>
        <w:fldChar w:fldCharType="begin"/>
      </w:r>
      <w:r>
        <w:instrText xml:space="preserve"> PAGEREF _Toc213339528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Lotteries generally</w:t>
      </w:r>
    </w:p>
    <w:p>
      <w:pPr>
        <w:pStyle w:val="TOC8"/>
        <w:rPr>
          <w:rFonts w:asciiTheme="minorHAnsi" w:eastAsiaTheme="minorEastAsia" w:hAnsiTheme="minorHAnsi" w:cstheme="minorBidi"/>
          <w:szCs w:val="22"/>
        </w:rPr>
      </w:pPr>
      <w:r>
        <w:t>37</w:t>
      </w:r>
      <w:r>
        <w:rPr>
          <w:snapToGrid w:val="0"/>
        </w:rPr>
        <w:t>.</w:t>
      </w:r>
      <w:r>
        <w:rPr>
          <w:snapToGrid w:val="0"/>
        </w:rPr>
        <w:tab/>
        <w:t>Account book, form of (Act s. 104(3)(a))</w:t>
      </w:r>
      <w:r>
        <w:tab/>
      </w:r>
      <w:r>
        <w:fldChar w:fldCharType="begin"/>
      </w:r>
      <w:r>
        <w:instrText xml:space="preserve"> PAGEREF _Toc213339530 \h </w:instrText>
      </w:r>
      <w:r>
        <w:fldChar w:fldCharType="separate"/>
      </w:r>
      <w:r>
        <w:t>34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Prohibition as to private gain etc.</w:t>
      </w:r>
      <w:r>
        <w:tab/>
      </w:r>
      <w:r>
        <w:fldChar w:fldCharType="begin"/>
      </w:r>
      <w:r>
        <w:instrText xml:space="preserve"> PAGEREF _Toc213339531 \h </w:instrText>
      </w:r>
      <w:r>
        <w:fldChar w:fldCharType="separate"/>
      </w:r>
      <w:r>
        <w:t>35</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Offences related to permitted lotteries</w:t>
      </w:r>
      <w:r>
        <w:tab/>
      </w:r>
      <w:r>
        <w:fldChar w:fldCharType="begin"/>
      </w:r>
      <w:r>
        <w:instrText xml:space="preserve"> PAGEREF _Toc213339532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Amusements, etc.</w:t>
      </w:r>
    </w:p>
    <w:p>
      <w:pPr>
        <w:pStyle w:val="TOC8"/>
        <w:rPr>
          <w:rFonts w:asciiTheme="minorHAnsi" w:eastAsiaTheme="minorEastAsia" w:hAnsiTheme="minorHAnsi" w:cstheme="minorBidi"/>
          <w:szCs w:val="22"/>
        </w:rPr>
      </w:pPr>
      <w:r>
        <w:t>39</w:t>
      </w:r>
      <w:r>
        <w:rPr>
          <w:snapToGrid w:val="0"/>
        </w:rPr>
        <w:t>.</w:t>
      </w:r>
      <w:r>
        <w:rPr>
          <w:snapToGrid w:val="0"/>
        </w:rPr>
        <w:tab/>
        <w:t>Amusements with prizes at agricultural shows etc., matters prescribed for (Act s. 107(4))</w:t>
      </w:r>
      <w:r>
        <w:tab/>
      </w:r>
      <w:r>
        <w:fldChar w:fldCharType="begin"/>
      </w:r>
      <w:r>
        <w:instrText xml:space="preserve"> PAGEREF _Toc213339534 \h </w:instrText>
      </w:r>
      <w:r>
        <w:fldChar w:fldCharType="separate"/>
      </w:r>
      <w:r>
        <w:t>36</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Amusements with prizes at sporting events etc., matters prescribed for (Act s. 107(1))</w:t>
      </w:r>
      <w:r>
        <w:tab/>
      </w:r>
      <w:r>
        <w:fldChar w:fldCharType="begin"/>
      </w:r>
      <w:r>
        <w:instrText xml:space="preserve"> PAGEREF _Toc213339535 \h </w:instrText>
      </w:r>
      <w:r>
        <w:fldChar w:fldCharType="separate"/>
      </w:r>
      <w:r>
        <w:t>36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Minor fund raising activities (Act s. 108)</w:t>
      </w:r>
      <w:r>
        <w:tab/>
      </w:r>
      <w:r>
        <w:fldChar w:fldCharType="begin"/>
      </w:r>
      <w:r>
        <w:instrText xml:space="preserve"> PAGEREF _Toc213339536 \h </w:instrText>
      </w:r>
      <w:r>
        <w:fldChar w:fldCharType="separate"/>
      </w:r>
      <w:r>
        <w:t>37</w:t>
      </w:r>
      <w:r>
        <w:fldChar w:fldCharType="end"/>
      </w:r>
    </w:p>
    <w:p>
      <w:pPr>
        <w:pStyle w:val="TOC8"/>
        <w:rPr>
          <w:rFonts w:asciiTheme="minorHAnsi" w:eastAsiaTheme="minorEastAsia" w:hAnsiTheme="minorHAnsi" w:cstheme="minorBidi"/>
          <w:szCs w:val="22"/>
        </w:rPr>
      </w:pPr>
      <w:r>
        <w:t>40A.</w:t>
      </w:r>
      <w:r>
        <w:tab/>
        <w:t>Football tipping competitions (Act s. 108)</w:t>
      </w:r>
      <w:r>
        <w:tab/>
      </w:r>
      <w:r>
        <w:fldChar w:fldCharType="begin"/>
      </w:r>
      <w:r>
        <w:instrText xml:space="preserve"> PAGEREF _Toc213339537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4A — Consumer protection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40B.</w:t>
      </w:r>
      <w:r>
        <w:tab/>
        <w:t>Purpose of Part</w:t>
      </w:r>
      <w:r>
        <w:tab/>
      </w:r>
      <w:r>
        <w:fldChar w:fldCharType="begin"/>
      </w:r>
      <w:r>
        <w:instrText xml:space="preserve"> PAGEREF _Toc213339540 \h </w:instrText>
      </w:r>
      <w:r>
        <w:fldChar w:fldCharType="separate"/>
      </w:r>
      <w:r>
        <w:t>38</w:t>
      </w:r>
      <w:r>
        <w:fldChar w:fldCharType="end"/>
      </w:r>
    </w:p>
    <w:p>
      <w:pPr>
        <w:pStyle w:val="TOC8"/>
        <w:rPr>
          <w:rFonts w:asciiTheme="minorHAnsi" w:eastAsiaTheme="minorEastAsia" w:hAnsiTheme="minorHAnsi" w:cstheme="minorBidi"/>
          <w:szCs w:val="22"/>
        </w:rPr>
      </w:pPr>
      <w:r>
        <w:t>40C.</w:t>
      </w:r>
      <w:r>
        <w:tab/>
        <w:t>Application of Part</w:t>
      </w:r>
      <w:r>
        <w:tab/>
      </w:r>
      <w:r>
        <w:fldChar w:fldCharType="begin"/>
      </w:r>
      <w:r>
        <w:instrText xml:space="preserve"> PAGEREF _Toc213339541 \h </w:instrText>
      </w:r>
      <w:r>
        <w:fldChar w:fldCharType="separate"/>
      </w:r>
      <w:r>
        <w:t>38</w:t>
      </w:r>
      <w:r>
        <w:fldChar w:fldCharType="end"/>
      </w:r>
    </w:p>
    <w:p>
      <w:pPr>
        <w:pStyle w:val="TOC8"/>
        <w:rPr>
          <w:rFonts w:asciiTheme="minorHAnsi" w:eastAsiaTheme="minorEastAsia" w:hAnsiTheme="minorHAnsi" w:cstheme="minorBidi"/>
          <w:szCs w:val="22"/>
        </w:rPr>
      </w:pPr>
      <w:r>
        <w:t>40D.</w:t>
      </w:r>
      <w:r>
        <w:tab/>
        <w:t>Terms used</w:t>
      </w:r>
      <w:r>
        <w:tab/>
      </w:r>
      <w:r>
        <w:fldChar w:fldCharType="begin"/>
      </w:r>
      <w:r>
        <w:instrText xml:space="preserve"> PAGEREF _Toc213339542 \h </w:instrText>
      </w:r>
      <w:r>
        <w:fldChar w:fldCharType="separate"/>
      </w:r>
      <w:r>
        <w:t>38</w:t>
      </w:r>
      <w:r>
        <w:fldChar w:fldCharType="end"/>
      </w:r>
    </w:p>
    <w:p>
      <w:pPr>
        <w:pStyle w:val="TOC8"/>
        <w:rPr>
          <w:rFonts w:asciiTheme="minorHAnsi" w:eastAsiaTheme="minorEastAsia" w:hAnsiTheme="minorHAnsi" w:cstheme="minorBidi"/>
          <w:szCs w:val="22"/>
        </w:rPr>
      </w:pPr>
      <w:r>
        <w:lastRenderedPageBreak/>
        <w:t>40E.</w:t>
      </w:r>
      <w:r>
        <w:tab/>
        <w:t>Liability of RWWA</w:t>
      </w:r>
      <w:r>
        <w:tab/>
      </w:r>
      <w:r>
        <w:fldChar w:fldCharType="begin"/>
      </w:r>
      <w:r>
        <w:instrText xml:space="preserve"> PAGEREF _Toc213339543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Inducements and direct marketing</w:t>
      </w:r>
    </w:p>
    <w:p>
      <w:pPr>
        <w:pStyle w:val="TOC8"/>
        <w:rPr>
          <w:rFonts w:asciiTheme="minorHAnsi" w:eastAsiaTheme="minorEastAsia" w:hAnsiTheme="minorHAnsi" w:cstheme="minorBidi"/>
          <w:szCs w:val="22"/>
        </w:rPr>
      </w:pPr>
      <w:r>
        <w:t>40F.</w:t>
      </w:r>
      <w:r>
        <w:tab/>
        <w:t>Inducements prohibited in relation to establishing accounts</w:t>
      </w:r>
      <w:r>
        <w:tab/>
      </w:r>
      <w:r>
        <w:fldChar w:fldCharType="begin"/>
      </w:r>
      <w:r>
        <w:instrText xml:space="preserve"> PAGEREF _Toc213339545 \h </w:instrText>
      </w:r>
      <w:r>
        <w:fldChar w:fldCharType="separate"/>
      </w:r>
      <w:r>
        <w:t>40</w:t>
      </w:r>
      <w:r>
        <w:fldChar w:fldCharType="end"/>
      </w:r>
    </w:p>
    <w:p>
      <w:pPr>
        <w:pStyle w:val="TOC8"/>
        <w:rPr>
          <w:rFonts w:asciiTheme="minorHAnsi" w:eastAsiaTheme="minorEastAsia" w:hAnsiTheme="minorHAnsi" w:cstheme="minorBidi"/>
          <w:szCs w:val="22"/>
        </w:rPr>
      </w:pPr>
      <w:r>
        <w:t>40G.</w:t>
      </w:r>
      <w:r>
        <w:tab/>
        <w:t>Complimentary betting credits and tokens</w:t>
      </w:r>
      <w:r>
        <w:tab/>
      </w:r>
      <w:r>
        <w:fldChar w:fldCharType="begin"/>
      </w:r>
      <w:r>
        <w:instrText xml:space="preserve"> PAGEREF _Toc213339546 \h </w:instrText>
      </w:r>
      <w:r>
        <w:fldChar w:fldCharType="separate"/>
      </w:r>
      <w:r>
        <w:t>40</w:t>
      </w:r>
      <w:r>
        <w:fldChar w:fldCharType="end"/>
      </w:r>
    </w:p>
    <w:p>
      <w:pPr>
        <w:pStyle w:val="TOC8"/>
        <w:rPr>
          <w:rFonts w:asciiTheme="minorHAnsi" w:eastAsiaTheme="minorEastAsia" w:hAnsiTheme="minorHAnsi" w:cstheme="minorBidi"/>
          <w:szCs w:val="22"/>
        </w:rPr>
      </w:pPr>
      <w:r>
        <w:t>40H.</w:t>
      </w:r>
      <w:r>
        <w:tab/>
        <w:t>Direct marketing</w:t>
      </w:r>
      <w:r>
        <w:tab/>
      </w:r>
      <w:r>
        <w:fldChar w:fldCharType="begin"/>
      </w:r>
      <w:r>
        <w:instrText xml:space="preserve"> PAGEREF _Toc213339547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Closing accounts</w:t>
      </w:r>
    </w:p>
    <w:p>
      <w:pPr>
        <w:pStyle w:val="TOC8"/>
        <w:rPr>
          <w:rFonts w:asciiTheme="minorHAnsi" w:eastAsiaTheme="minorEastAsia" w:hAnsiTheme="minorHAnsi" w:cstheme="minorBidi"/>
          <w:szCs w:val="22"/>
        </w:rPr>
      </w:pPr>
      <w:r>
        <w:t>40I.</w:t>
      </w:r>
      <w:r>
        <w:tab/>
        <w:t>Process for closing accounts</w:t>
      </w:r>
      <w:r>
        <w:tab/>
      </w:r>
      <w:r>
        <w:fldChar w:fldCharType="begin"/>
      </w:r>
      <w:r>
        <w:instrText xml:space="preserve"> PAGEREF _Toc213339549 \h </w:instrText>
      </w:r>
      <w:r>
        <w:fldChar w:fldCharType="separate"/>
      </w:r>
      <w:r>
        <w:t>42</w:t>
      </w:r>
      <w:r>
        <w:fldChar w:fldCharType="end"/>
      </w:r>
    </w:p>
    <w:p>
      <w:pPr>
        <w:pStyle w:val="TOC8"/>
        <w:rPr>
          <w:rFonts w:asciiTheme="minorHAnsi" w:eastAsiaTheme="minorEastAsia" w:hAnsiTheme="minorHAnsi" w:cstheme="minorBidi"/>
          <w:szCs w:val="22"/>
        </w:rPr>
      </w:pPr>
      <w:r>
        <w:t>40J.</w:t>
      </w:r>
      <w:r>
        <w:tab/>
        <w:t>Account closure</w:t>
      </w:r>
      <w:r>
        <w:tab/>
      </w:r>
      <w:r>
        <w:fldChar w:fldCharType="begin"/>
      </w:r>
      <w:r>
        <w:instrText xml:space="preserve"> PAGEREF _Toc213339550 \h </w:instrText>
      </w:r>
      <w:r>
        <w:fldChar w:fldCharType="separate"/>
      </w:r>
      <w:r>
        <w:t>43</w:t>
      </w:r>
      <w:r>
        <w:fldChar w:fldCharType="end"/>
      </w:r>
    </w:p>
    <w:p>
      <w:pPr>
        <w:pStyle w:val="TOC8"/>
        <w:rPr>
          <w:rFonts w:asciiTheme="minorHAnsi" w:eastAsiaTheme="minorEastAsia" w:hAnsiTheme="minorHAnsi" w:cstheme="minorBidi"/>
          <w:szCs w:val="22"/>
        </w:rPr>
      </w:pPr>
      <w:r>
        <w:t>40K.</w:t>
      </w:r>
      <w:r>
        <w:tab/>
        <w:t>Inducements and encouragement prohibited in relation to closing accounts</w:t>
      </w:r>
      <w:r>
        <w:tab/>
      </w:r>
      <w:r>
        <w:fldChar w:fldCharType="begin"/>
      </w:r>
      <w:r>
        <w:instrText xml:space="preserve"> PAGEREF _Toc213339551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Deposit limits</w:t>
      </w:r>
    </w:p>
    <w:p>
      <w:pPr>
        <w:pStyle w:val="TOC8"/>
        <w:rPr>
          <w:rFonts w:asciiTheme="minorHAnsi" w:eastAsiaTheme="minorEastAsia" w:hAnsiTheme="minorHAnsi" w:cstheme="minorBidi"/>
          <w:szCs w:val="22"/>
        </w:rPr>
      </w:pPr>
      <w:r>
        <w:t>40L.</w:t>
      </w:r>
      <w:r>
        <w:tab/>
        <w:t>Deposit limits</w:t>
      </w:r>
      <w:r>
        <w:tab/>
      </w:r>
      <w:r>
        <w:fldChar w:fldCharType="begin"/>
      </w:r>
      <w:r>
        <w:instrText xml:space="preserve"> PAGEREF _Toc213339553 \h </w:instrText>
      </w:r>
      <w:r>
        <w:fldChar w:fldCharType="separate"/>
      </w:r>
      <w:r>
        <w:t>44</w:t>
      </w:r>
      <w:r>
        <w:fldChar w:fldCharType="end"/>
      </w:r>
    </w:p>
    <w:p>
      <w:pPr>
        <w:pStyle w:val="TOC8"/>
        <w:rPr>
          <w:rFonts w:asciiTheme="minorHAnsi" w:eastAsiaTheme="minorEastAsia" w:hAnsiTheme="minorHAnsi" w:cstheme="minorBidi"/>
          <w:szCs w:val="22"/>
        </w:rPr>
      </w:pPr>
      <w:r>
        <w:t>40M.</w:t>
      </w:r>
      <w:r>
        <w:tab/>
        <w:t>Review of deposit limits</w:t>
      </w:r>
      <w:r>
        <w:tab/>
      </w:r>
      <w:r>
        <w:fldChar w:fldCharType="begin"/>
      </w:r>
      <w:r>
        <w:instrText xml:space="preserve"> PAGEREF _Toc213339554 \h </w:instrText>
      </w:r>
      <w:r>
        <w:fldChar w:fldCharType="separate"/>
      </w:r>
      <w:r>
        <w:t>45</w:t>
      </w:r>
      <w:r>
        <w:fldChar w:fldCharType="end"/>
      </w:r>
    </w:p>
    <w:p>
      <w:pPr>
        <w:pStyle w:val="TOC8"/>
        <w:rPr>
          <w:rFonts w:asciiTheme="minorHAnsi" w:eastAsiaTheme="minorEastAsia" w:hAnsiTheme="minorHAnsi" w:cstheme="minorBidi"/>
          <w:szCs w:val="22"/>
        </w:rPr>
      </w:pPr>
      <w:r>
        <w:t>40N.</w:t>
      </w:r>
      <w:r>
        <w:tab/>
        <w:t>Process for account holder to set or change deposit limit</w:t>
      </w:r>
      <w:r>
        <w:tab/>
      </w:r>
      <w:r>
        <w:fldChar w:fldCharType="begin"/>
      </w:r>
      <w:r>
        <w:instrText xml:space="preserve"> PAGEREF _Toc213339555 \h </w:instrText>
      </w:r>
      <w:r>
        <w:fldChar w:fldCharType="separate"/>
      </w:r>
      <w:r>
        <w:t>46</w:t>
      </w:r>
      <w:r>
        <w:fldChar w:fldCharType="end"/>
      </w:r>
    </w:p>
    <w:p>
      <w:pPr>
        <w:pStyle w:val="TOC8"/>
        <w:rPr>
          <w:rFonts w:asciiTheme="minorHAnsi" w:eastAsiaTheme="minorEastAsia" w:hAnsiTheme="minorHAnsi" w:cstheme="minorBidi"/>
          <w:szCs w:val="22"/>
        </w:rPr>
      </w:pPr>
      <w:r>
        <w:t>40O.</w:t>
      </w:r>
      <w:r>
        <w:tab/>
        <w:t>RWWA must give effect to changed deposit limit</w:t>
      </w:r>
      <w:r>
        <w:tab/>
      </w:r>
      <w:r>
        <w:fldChar w:fldCharType="begin"/>
      </w:r>
      <w:r>
        <w:instrText xml:space="preserve"> PAGEREF _Toc213339556 \h </w:instrText>
      </w:r>
      <w:r>
        <w:fldChar w:fldCharType="separate"/>
      </w:r>
      <w:r>
        <w:t>47</w:t>
      </w:r>
      <w:r>
        <w:fldChar w:fldCharType="end"/>
      </w:r>
    </w:p>
    <w:p>
      <w:pPr>
        <w:pStyle w:val="TOC8"/>
        <w:rPr>
          <w:rFonts w:asciiTheme="minorHAnsi" w:eastAsiaTheme="minorEastAsia" w:hAnsiTheme="minorHAnsi" w:cstheme="minorBidi"/>
          <w:szCs w:val="22"/>
        </w:rPr>
      </w:pPr>
      <w:r>
        <w:t>40P.</w:t>
      </w:r>
      <w:r>
        <w:tab/>
        <w:t>RWWA must promote availability of deposit limits</w:t>
      </w:r>
      <w:r>
        <w:tab/>
      </w:r>
      <w:r>
        <w:fldChar w:fldCharType="begin"/>
      </w:r>
      <w:r>
        <w:instrText xml:space="preserve"> PAGEREF _Toc213339557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Activity statements</w:t>
      </w:r>
    </w:p>
    <w:p>
      <w:pPr>
        <w:pStyle w:val="TOC8"/>
        <w:rPr>
          <w:rFonts w:asciiTheme="minorHAnsi" w:eastAsiaTheme="minorEastAsia" w:hAnsiTheme="minorHAnsi" w:cstheme="minorBidi"/>
          <w:szCs w:val="22"/>
        </w:rPr>
      </w:pPr>
      <w:r>
        <w:t>40Q.</w:t>
      </w:r>
      <w:r>
        <w:tab/>
        <w:t>Term used: activity statement</w:t>
      </w:r>
      <w:r>
        <w:tab/>
      </w:r>
      <w:r>
        <w:fldChar w:fldCharType="begin"/>
      </w:r>
      <w:r>
        <w:instrText xml:space="preserve"> PAGEREF _Toc213339559 \h </w:instrText>
      </w:r>
      <w:r>
        <w:fldChar w:fldCharType="separate"/>
      </w:r>
      <w:r>
        <w:t>48</w:t>
      </w:r>
      <w:r>
        <w:fldChar w:fldCharType="end"/>
      </w:r>
    </w:p>
    <w:p>
      <w:pPr>
        <w:pStyle w:val="TOC8"/>
        <w:rPr>
          <w:rFonts w:asciiTheme="minorHAnsi" w:eastAsiaTheme="minorEastAsia" w:hAnsiTheme="minorHAnsi" w:cstheme="minorBidi"/>
          <w:szCs w:val="22"/>
        </w:rPr>
      </w:pPr>
      <w:r>
        <w:t>40R.</w:t>
      </w:r>
      <w:r>
        <w:tab/>
        <w:t>RWWA must give activity statements</w:t>
      </w:r>
      <w:r>
        <w:tab/>
      </w:r>
      <w:r>
        <w:fldChar w:fldCharType="begin"/>
      </w:r>
      <w:r>
        <w:instrText xml:space="preserve"> PAGEREF _Toc213339560 \h </w:instrText>
      </w:r>
      <w:r>
        <w:fldChar w:fldCharType="separate"/>
      </w:r>
      <w:r>
        <w:t>49</w:t>
      </w:r>
      <w:r>
        <w:fldChar w:fldCharType="end"/>
      </w:r>
    </w:p>
    <w:p>
      <w:pPr>
        <w:pStyle w:val="TOC8"/>
        <w:rPr>
          <w:rFonts w:asciiTheme="minorHAnsi" w:eastAsiaTheme="minorEastAsia" w:hAnsiTheme="minorHAnsi" w:cstheme="minorBidi"/>
          <w:szCs w:val="22"/>
        </w:rPr>
      </w:pPr>
      <w:r>
        <w:t>40S.</w:t>
      </w:r>
      <w:r>
        <w:tab/>
        <w:t>RWWA must make available and give copies of activity statements</w:t>
      </w:r>
      <w:r>
        <w:tab/>
      </w:r>
      <w:r>
        <w:fldChar w:fldCharType="begin"/>
      </w:r>
      <w:r>
        <w:instrText xml:space="preserve"> PAGEREF _Toc213339561 \h </w:instrText>
      </w:r>
      <w:r>
        <w:fldChar w:fldCharType="separate"/>
      </w:r>
      <w:r>
        <w:t>50</w:t>
      </w:r>
      <w:r>
        <w:fldChar w:fldCharType="end"/>
      </w:r>
    </w:p>
    <w:p>
      <w:pPr>
        <w:pStyle w:val="TOC8"/>
        <w:rPr>
          <w:rFonts w:asciiTheme="minorHAnsi" w:eastAsiaTheme="minorEastAsia" w:hAnsiTheme="minorHAnsi" w:cstheme="minorBidi"/>
          <w:szCs w:val="22"/>
        </w:rPr>
      </w:pPr>
      <w:r>
        <w:t>40T.</w:t>
      </w:r>
      <w:r>
        <w:tab/>
        <w:t>Form of activity statements</w:t>
      </w:r>
      <w:r>
        <w:tab/>
      </w:r>
      <w:r>
        <w:fldChar w:fldCharType="begin"/>
      </w:r>
      <w:r>
        <w:instrText xml:space="preserve"> PAGEREF _Toc213339562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6 — Transaction histories</w:t>
      </w:r>
    </w:p>
    <w:p>
      <w:pPr>
        <w:pStyle w:val="TOC8"/>
        <w:rPr>
          <w:rFonts w:asciiTheme="minorHAnsi" w:eastAsiaTheme="minorEastAsia" w:hAnsiTheme="minorHAnsi" w:cstheme="minorBidi"/>
          <w:szCs w:val="22"/>
        </w:rPr>
      </w:pPr>
      <w:r>
        <w:t>40U.</w:t>
      </w:r>
      <w:r>
        <w:tab/>
        <w:t>RWWA must make transaction histories available to account holders who use Internet</w:t>
      </w:r>
      <w:r>
        <w:tab/>
      </w:r>
      <w:r>
        <w:fldChar w:fldCharType="begin"/>
      </w:r>
      <w:r>
        <w:instrText xml:space="preserve"> PAGEREF _Toc213339564 \h </w:instrText>
      </w:r>
      <w:r>
        <w:fldChar w:fldCharType="separate"/>
      </w:r>
      <w:r>
        <w:t>51</w:t>
      </w:r>
      <w:r>
        <w:fldChar w:fldCharType="end"/>
      </w:r>
    </w:p>
    <w:p>
      <w:pPr>
        <w:pStyle w:val="TOC8"/>
        <w:rPr>
          <w:rFonts w:asciiTheme="minorHAnsi" w:eastAsiaTheme="minorEastAsia" w:hAnsiTheme="minorHAnsi" w:cstheme="minorBidi"/>
          <w:szCs w:val="22"/>
        </w:rPr>
      </w:pPr>
      <w:r>
        <w:t>40V.</w:t>
      </w:r>
      <w:r>
        <w:tab/>
        <w:t>RWWA must give transaction histories on request to relevant persons</w:t>
      </w:r>
      <w:r>
        <w:tab/>
      </w:r>
      <w:r>
        <w:fldChar w:fldCharType="begin"/>
      </w:r>
      <w:r>
        <w:instrText xml:space="preserve"> PAGEREF _Toc213339565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7 — Consistent gambling messaging</w:t>
      </w:r>
    </w:p>
    <w:p>
      <w:pPr>
        <w:pStyle w:val="TOC8"/>
        <w:rPr>
          <w:rFonts w:asciiTheme="minorHAnsi" w:eastAsiaTheme="minorEastAsia" w:hAnsiTheme="minorHAnsi" w:cstheme="minorBidi"/>
          <w:szCs w:val="22"/>
        </w:rPr>
      </w:pPr>
      <w:r>
        <w:t>40W.</w:t>
      </w:r>
      <w:r>
        <w:tab/>
        <w:t>Commission may set out and require use of consistent gambling messaging</w:t>
      </w:r>
      <w:r>
        <w:tab/>
      </w:r>
      <w:r>
        <w:fldChar w:fldCharType="begin"/>
      </w:r>
      <w:r>
        <w:instrText xml:space="preserve"> PAGEREF _Toc213339567 \h </w:instrText>
      </w:r>
      <w:r>
        <w:fldChar w:fldCharType="separate"/>
      </w:r>
      <w:r>
        <w:t>53</w:t>
      </w:r>
      <w:r>
        <w:fldChar w:fldCharType="end"/>
      </w:r>
    </w:p>
    <w:p>
      <w:pPr>
        <w:pStyle w:val="TOC8"/>
        <w:rPr>
          <w:rFonts w:asciiTheme="minorHAnsi" w:eastAsiaTheme="minorEastAsia" w:hAnsiTheme="minorHAnsi" w:cstheme="minorBidi"/>
          <w:szCs w:val="22"/>
        </w:rPr>
      </w:pPr>
      <w:r>
        <w:t>40X.</w:t>
      </w:r>
      <w:r>
        <w:tab/>
        <w:t>RWWA must comply with notice published under r. 40W</w:t>
      </w:r>
      <w:r>
        <w:tab/>
      </w:r>
      <w:r>
        <w:fldChar w:fldCharType="begin"/>
      </w:r>
      <w:r>
        <w:instrText xml:space="preserve"> PAGEREF _Toc213339568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8 — Staff training</w:t>
      </w:r>
    </w:p>
    <w:p>
      <w:pPr>
        <w:pStyle w:val="TOC8"/>
        <w:rPr>
          <w:rFonts w:asciiTheme="minorHAnsi" w:eastAsiaTheme="minorEastAsia" w:hAnsiTheme="minorHAnsi" w:cstheme="minorBidi"/>
          <w:szCs w:val="22"/>
        </w:rPr>
      </w:pPr>
      <w:r>
        <w:t>40Y.</w:t>
      </w:r>
      <w:r>
        <w:tab/>
        <w:t>Term used: relevant individual</w:t>
      </w:r>
      <w:r>
        <w:tab/>
      </w:r>
      <w:r>
        <w:fldChar w:fldCharType="begin"/>
      </w:r>
      <w:r>
        <w:instrText xml:space="preserve"> PAGEREF _Toc213339570 \h </w:instrText>
      </w:r>
      <w:r>
        <w:fldChar w:fldCharType="separate"/>
      </w:r>
      <w:r>
        <w:t>54</w:t>
      </w:r>
      <w:r>
        <w:fldChar w:fldCharType="end"/>
      </w:r>
    </w:p>
    <w:p>
      <w:pPr>
        <w:pStyle w:val="TOC8"/>
        <w:rPr>
          <w:rFonts w:asciiTheme="minorHAnsi" w:eastAsiaTheme="minorEastAsia" w:hAnsiTheme="minorHAnsi" w:cstheme="minorBidi"/>
          <w:szCs w:val="22"/>
        </w:rPr>
      </w:pPr>
      <w:r>
        <w:t>40Z.</w:t>
      </w:r>
      <w:r>
        <w:tab/>
        <w:t>RWWA must ensure relevant individuals receive training</w:t>
      </w:r>
      <w:r>
        <w:tab/>
      </w:r>
      <w:r>
        <w:fldChar w:fldCharType="begin"/>
      </w:r>
      <w:r>
        <w:instrText xml:space="preserve"> PAGEREF _Toc213339571 \h </w:instrText>
      </w:r>
      <w:r>
        <w:fldChar w:fldCharType="separate"/>
      </w:r>
      <w:r>
        <w:t>54</w:t>
      </w:r>
      <w:r>
        <w:fldChar w:fldCharType="end"/>
      </w:r>
    </w:p>
    <w:p>
      <w:pPr>
        <w:pStyle w:val="TOC8"/>
        <w:rPr>
          <w:rFonts w:asciiTheme="minorHAnsi" w:eastAsiaTheme="minorEastAsia" w:hAnsiTheme="minorHAnsi" w:cstheme="minorBidi"/>
          <w:szCs w:val="22"/>
        </w:rPr>
      </w:pPr>
      <w:r>
        <w:lastRenderedPageBreak/>
        <w:t>40ZA.</w:t>
      </w:r>
      <w:r>
        <w:tab/>
        <w:t>RWWA must make and keep records of training</w:t>
      </w:r>
      <w:r>
        <w:tab/>
      </w:r>
      <w:r>
        <w:fldChar w:fldCharType="begin"/>
      </w:r>
      <w:r>
        <w:instrText xml:space="preserve"> PAGEREF _Toc213339572 \h </w:instrText>
      </w:r>
      <w:r>
        <w:fldChar w:fldCharType="separate"/>
      </w:r>
      <w:r>
        <w:t>55</w:t>
      </w:r>
      <w:r>
        <w:fldChar w:fldCharType="end"/>
      </w:r>
    </w:p>
    <w:p>
      <w:pPr>
        <w:pStyle w:val="TOC8"/>
        <w:rPr>
          <w:rFonts w:asciiTheme="minorHAnsi" w:eastAsiaTheme="minorEastAsia" w:hAnsiTheme="minorHAnsi" w:cstheme="minorBidi"/>
          <w:szCs w:val="22"/>
        </w:rPr>
      </w:pPr>
      <w:r>
        <w:t>40ZB.</w:t>
      </w:r>
      <w:r>
        <w:tab/>
        <w:t>RWWA must produce records to authorised officers</w:t>
      </w:r>
      <w:r>
        <w:tab/>
      </w:r>
      <w:r>
        <w:fldChar w:fldCharType="begin"/>
      </w:r>
      <w:r>
        <w:instrText xml:space="preserve"> PAGEREF _Toc213339573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9 — Consumer protection plan</w:t>
      </w:r>
    </w:p>
    <w:p>
      <w:pPr>
        <w:pStyle w:val="TOC8"/>
        <w:rPr>
          <w:rFonts w:asciiTheme="minorHAnsi" w:eastAsiaTheme="minorEastAsia" w:hAnsiTheme="minorHAnsi" w:cstheme="minorBidi"/>
          <w:szCs w:val="22"/>
        </w:rPr>
      </w:pPr>
      <w:r>
        <w:t>40ZC.</w:t>
      </w:r>
      <w:r>
        <w:tab/>
        <w:t>RWWA must have consumer protection plan</w:t>
      </w:r>
      <w:r>
        <w:tab/>
      </w:r>
      <w:r>
        <w:fldChar w:fldCharType="begin"/>
      </w:r>
      <w:r>
        <w:instrText xml:space="preserve"> PAGEREF _Toc213339575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41.</w:t>
      </w:r>
      <w:r>
        <w:tab/>
        <w:t>Premises where amusement machines are permitted (Act s. 39(2)(e))</w:t>
      </w:r>
      <w:r>
        <w:tab/>
      </w:r>
      <w:r>
        <w:fldChar w:fldCharType="begin"/>
      </w:r>
      <w:r>
        <w:instrText xml:space="preserve"> PAGEREF _Toc213339577 \h </w:instrText>
      </w:r>
      <w:r>
        <w:fldChar w:fldCharType="separate"/>
      </w:r>
      <w:r>
        <w:t>57</w:t>
      </w:r>
      <w:r>
        <w:fldChar w:fldCharType="end"/>
      </w:r>
    </w:p>
    <w:p>
      <w:pPr>
        <w:pStyle w:val="TOC8"/>
        <w:rPr>
          <w:rFonts w:asciiTheme="minorHAnsi" w:eastAsiaTheme="minorEastAsia" w:hAnsiTheme="minorHAnsi" w:cstheme="minorBidi"/>
          <w:szCs w:val="22"/>
        </w:rPr>
      </w:pPr>
      <w:r>
        <w:t>42.</w:t>
      </w:r>
      <w:r>
        <w:tab/>
        <w:t>Unclaimed winnings (Act s. 109B(1))</w:t>
      </w:r>
      <w:r>
        <w:tab/>
      </w:r>
      <w:r>
        <w:fldChar w:fldCharType="begin"/>
      </w:r>
      <w:r>
        <w:instrText xml:space="preserve"> PAGEREF _Toc213339578 \h </w:instrText>
      </w:r>
      <w:r>
        <w:fldChar w:fldCharType="separate"/>
      </w:r>
      <w:r>
        <w:t>57</w:t>
      </w:r>
      <w:r>
        <w:fldChar w:fldCharType="end"/>
      </w:r>
    </w:p>
    <w:p>
      <w:pPr>
        <w:pStyle w:val="TOC8"/>
        <w:rPr>
          <w:rFonts w:asciiTheme="minorHAnsi" w:eastAsiaTheme="minorEastAsia" w:hAnsiTheme="minorHAnsi" w:cstheme="minorBidi"/>
          <w:szCs w:val="22"/>
        </w:rPr>
      </w:pPr>
      <w:r>
        <w:t>43.</w:t>
      </w:r>
      <w:r>
        <w:tab/>
        <w:t>Certain advertisements and inducements prohibited</w:t>
      </w:r>
      <w:r>
        <w:tab/>
      </w:r>
      <w:r>
        <w:fldChar w:fldCharType="begin"/>
      </w:r>
      <w:r>
        <w:instrText xml:space="preserve"> PAGEREF _Toc213339579 \h </w:instrText>
      </w:r>
      <w:r>
        <w:fldChar w:fldCharType="separate"/>
      </w:r>
      <w:r>
        <w:t>57</w:t>
      </w:r>
      <w:r>
        <w:fldChar w:fldCharType="end"/>
      </w:r>
    </w:p>
    <w:p>
      <w:pPr>
        <w:pStyle w:val="TOC8"/>
        <w:rPr>
          <w:rFonts w:asciiTheme="minorHAnsi" w:eastAsiaTheme="minorEastAsia" w:hAnsiTheme="minorHAnsi" w:cstheme="minorBidi"/>
          <w:szCs w:val="22"/>
        </w:rPr>
      </w:pPr>
      <w:r>
        <w:t>44.</w:t>
      </w:r>
      <w:r>
        <w:tab/>
        <w:t>Prescribed interval (Act s. 110B(4)(b))</w:t>
      </w:r>
      <w:r>
        <w:tab/>
      </w:r>
      <w:r>
        <w:fldChar w:fldCharType="begin"/>
      </w:r>
      <w:r>
        <w:instrText xml:space="preserve"> PAGEREF _Toc213339580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Act</w:t>
      </w:r>
    </w:p>
    <w:p>
      <w:pPr>
        <w:pStyle w:val="TOC4"/>
        <w:tabs>
          <w:tab w:val="right" w:leader="dot" w:pos="7077"/>
        </w:tabs>
        <w:rPr>
          <w:rFonts w:asciiTheme="minorHAnsi" w:eastAsiaTheme="minorEastAsia" w:hAnsiTheme="minorHAnsi" w:cstheme="minorBidi"/>
          <w:b w:val="0"/>
          <w:szCs w:val="22"/>
        </w:rPr>
      </w:pPr>
      <w:r>
        <w:t>Division 2 — Offences under regulations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Rules for the conduct of permitted games</w:t>
      </w:r>
    </w:p>
    <w:p>
      <w:pPr>
        <w:pStyle w:val="TOC4"/>
        <w:tabs>
          <w:tab w:val="right" w:leader="dot" w:pos="7077"/>
        </w:tabs>
        <w:rPr>
          <w:rFonts w:asciiTheme="minorHAnsi" w:eastAsiaTheme="minorEastAsia" w:hAnsiTheme="minorHAnsi" w:cstheme="minorBidi"/>
          <w:b w:val="0"/>
          <w:szCs w:val="22"/>
        </w:rPr>
      </w:pPr>
      <w:r>
        <w:t>Part 1 — Permitted bingo</w:t>
      </w:r>
    </w:p>
    <w:p>
      <w:pPr>
        <w:pStyle w:val="TOC8"/>
        <w:rPr>
          <w:rFonts w:asciiTheme="minorHAnsi" w:eastAsiaTheme="minorEastAsia" w:hAnsiTheme="minorHAnsi" w:cstheme="minorBidi"/>
          <w:szCs w:val="22"/>
        </w:rPr>
      </w:pPr>
      <w:r>
        <w:t>1</w:t>
      </w:r>
      <w:r>
        <w:rPr>
          <w:snapToGrid w:val="0"/>
        </w:rPr>
        <w:t>.</w:t>
      </w:r>
      <w:r>
        <w:rPr>
          <w:snapToGrid w:val="0"/>
        </w:rPr>
        <w:tab/>
        <w:t>Children cannot play</w:t>
      </w:r>
      <w:r>
        <w:tab/>
      </w:r>
      <w:r>
        <w:fldChar w:fldCharType="begin"/>
      </w:r>
      <w:r>
        <w:instrText xml:space="preserve"> PAGEREF _Toc213339590 \h </w:instrText>
      </w:r>
      <w:r>
        <w:fldChar w:fldCharType="separate"/>
      </w:r>
      <w:r>
        <w:t>78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Spotters cannot play</w:t>
      </w:r>
      <w:r>
        <w:tab/>
      </w:r>
      <w:r>
        <w:fldChar w:fldCharType="begin"/>
      </w:r>
      <w:r>
        <w:instrText xml:space="preserve"> PAGEREF _Toc213339591 \h </w:instrText>
      </w:r>
      <w:r>
        <w:fldChar w:fldCharType="separate"/>
      </w:r>
      <w:r>
        <w:t>78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Call backs, who can take part in</w:t>
      </w:r>
      <w:r>
        <w:tab/>
      </w:r>
      <w:r>
        <w:fldChar w:fldCharType="begin"/>
      </w:r>
      <w:r>
        <w:instrText xml:space="preserve"> PAGEREF _Toc213339592 \h </w:instrText>
      </w:r>
      <w:r>
        <w:fldChar w:fldCharType="separate"/>
      </w:r>
      <w:r>
        <w:t>78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Bingo cards</w:t>
      </w:r>
      <w:r>
        <w:tab/>
      </w:r>
      <w:r>
        <w:fldChar w:fldCharType="begin"/>
      </w:r>
      <w:r>
        <w:instrText xml:space="preserve"> PAGEREF _Toc213339593 \h </w:instrText>
      </w:r>
      <w:r>
        <w:fldChar w:fldCharType="separate"/>
      </w:r>
      <w:r>
        <w:t>78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Split games</w:t>
      </w:r>
      <w:r>
        <w:tab/>
      </w:r>
      <w:r>
        <w:fldChar w:fldCharType="begin"/>
      </w:r>
      <w:r>
        <w:instrText xml:space="preserve"> PAGEREF _Toc213339594 \h </w:instrText>
      </w:r>
      <w:r>
        <w:fldChar w:fldCharType="separate"/>
      </w:r>
      <w:r>
        <w:t>78</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Prizes, who is eligible for</w:t>
      </w:r>
      <w:r>
        <w:tab/>
      </w:r>
      <w:r>
        <w:fldChar w:fldCharType="begin"/>
      </w:r>
      <w:r>
        <w:instrText xml:space="preserve"> PAGEREF _Toc213339595 \h </w:instrText>
      </w:r>
      <w:r>
        <w:fldChar w:fldCharType="separate"/>
      </w:r>
      <w:r>
        <w:t>79</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When games conclude</w:t>
      </w:r>
      <w:r>
        <w:tab/>
      </w:r>
      <w:r>
        <w:fldChar w:fldCharType="begin"/>
      </w:r>
      <w:r>
        <w:instrText xml:space="preserve"> PAGEREF _Toc213339596 \h </w:instrText>
      </w:r>
      <w:r>
        <w:fldChar w:fldCharType="separate"/>
      </w:r>
      <w:r>
        <w:t>79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Miscellaneous rules</w:t>
      </w:r>
      <w:r>
        <w:tab/>
      </w:r>
      <w:r>
        <w:fldChar w:fldCharType="begin"/>
      </w:r>
      <w:r>
        <w:instrText xml:space="preserve"> PAGEREF _Toc213339597 \h </w:instrText>
      </w:r>
      <w:r>
        <w:fldChar w:fldCharType="separate"/>
      </w:r>
      <w:r>
        <w:t>80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Prizes, announcement of etc.</w:t>
      </w:r>
      <w:r>
        <w:tab/>
      </w:r>
      <w:r>
        <w:fldChar w:fldCharType="begin"/>
      </w:r>
      <w:r>
        <w:instrText xml:space="preserve"> PAGEREF _Toc213339598 \h </w:instrText>
      </w:r>
      <w:r>
        <w:fldChar w:fldCharType="separate"/>
      </w:r>
      <w:r>
        <w:t>80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Prize shared if more than one winner</w:t>
      </w:r>
      <w:r>
        <w:tab/>
      </w:r>
      <w:r>
        <w:fldChar w:fldCharType="begin"/>
      </w:r>
      <w:r>
        <w:instrText xml:space="preserve"> PAGEREF _Toc213339599 \h </w:instrText>
      </w:r>
      <w:r>
        <w:fldChar w:fldCharType="separate"/>
      </w:r>
      <w:r>
        <w:t>81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Prizes paid as soon as practicable</w:t>
      </w:r>
      <w:r>
        <w:tab/>
      </w:r>
      <w:r>
        <w:fldChar w:fldCharType="begin"/>
      </w:r>
      <w:r>
        <w:instrText xml:space="preserve"> PAGEREF _Toc213339600 \h </w:instrText>
      </w:r>
      <w:r>
        <w:fldChar w:fldCharType="separate"/>
      </w:r>
      <w:r>
        <w:t>81</w:t>
      </w:r>
      <w:r>
        <w:fldChar w:fldCharType="end"/>
      </w:r>
    </w:p>
    <w:p>
      <w:pPr>
        <w:pStyle w:val="TOC8"/>
        <w:rPr>
          <w:rFonts w:asciiTheme="minorHAnsi" w:eastAsiaTheme="minorEastAsia" w:hAnsiTheme="minorHAnsi" w:cstheme="minorBidi"/>
          <w:szCs w:val="22"/>
        </w:rPr>
      </w:pPr>
      <w:r>
        <w:lastRenderedPageBreak/>
        <w:t>10</w:t>
      </w:r>
      <w:r>
        <w:rPr>
          <w:snapToGrid w:val="0"/>
        </w:rPr>
        <w:t>.</w:t>
      </w:r>
      <w:r>
        <w:rPr>
          <w:snapToGrid w:val="0"/>
        </w:rPr>
        <w:tab/>
        <w:t>Player who makes incorrect call allowed to continue play</w:t>
      </w:r>
      <w:r>
        <w:tab/>
      </w:r>
      <w:r>
        <w:fldChar w:fldCharType="begin"/>
      </w:r>
      <w:r>
        <w:instrText xml:space="preserve"> PAGEREF _Toc213339601 \h </w:instrText>
      </w:r>
      <w:r>
        <w:fldChar w:fldCharType="separate"/>
      </w:r>
      <w:r>
        <w:t>81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Late calls by players</w:t>
      </w:r>
      <w:r>
        <w:tab/>
      </w:r>
      <w:r>
        <w:fldChar w:fldCharType="begin"/>
      </w:r>
      <w:r>
        <w:instrText xml:space="preserve"> PAGEREF _Toc213339602 \h </w:instrText>
      </w:r>
      <w:r>
        <w:fldChar w:fldCharType="separate"/>
      </w:r>
      <w:r>
        <w:t>81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Calls must be acknowledged</w:t>
      </w:r>
      <w:r>
        <w:tab/>
      </w:r>
      <w:r>
        <w:fldChar w:fldCharType="begin"/>
      </w:r>
      <w:r>
        <w:instrText xml:space="preserve"> PAGEREF _Toc213339603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Part 2 — Permitted lotteries</w:t>
      </w:r>
    </w:p>
    <w:p>
      <w:pPr>
        <w:pStyle w:val="TOC6"/>
        <w:tabs>
          <w:tab w:val="right" w:leader="dot" w:pos="7077"/>
        </w:tabs>
        <w:rPr>
          <w:rFonts w:asciiTheme="minorHAnsi" w:eastAsiaTheme="minorEastAsia" w:hAnsiTheme="minorHAnsi" w:cstheme="minorBidi"/>
          <w:b w:val="0"/>
          <w:sz w:val="22"/>
          <w:szCs w:val="22"/>
        </w:rPr>
      </w:pPr>
      <w:r>
        <w:rPr>
          <w:snapToGrid w:val="0"/>
        </w:rPr>
        <w:t>Division 1 — Rules for the conduct of a standard lottery</w:t>
      </w:r>
    </w:p>
    <w:p>
      <w:pPr>
        <w:pStyle w:val="TOC8"/>
        <w:rPr>
          <w:rFonts w:asciiTheme="minorHAnsi" w:eastAsiaTheme="minorEastAsia" w:hAnsiTheme="minorHAnsi" w:cstheme="minorBidi"/>
          <w:szCs w:val="22"/>
        </w:rPr>
      </w:pPr>
      <w:r>
        <w:t>1</w:t>
      </w:r>
      <w:r>
        <w:rPr>
          <w:snapToGrid w:val="0"/>
        </w:rPr>
        <w:t>.</w:t>
      </w:r>
      <w:r>
        <w:rPr>
          <w:snapToGrid w:val="0"/>
        </w:rPr>
        <w:tab/>
        <w:t>Chances, number of etc.</w:t>
      </w:r>
      <w:r>
        <w:tab/>
      </w:r>
      <w:r>
        <w:fldChar w:fldCharType="begin"/>
      </w:r>
      <w:r>
        <w:instrText xml:space="preserve"> PAGEREF _Toc213339606 \h </w:instrText>
      </w:r>
      <w:r>
        <w:fldChar w:fldCharType="separate"/>
      </w:r>
      <w:r>
        <w:t>82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Chances, information on</w:t>
      </w:r>
      <w:r>
        <w:tab/>
      </w:r>
      <w:r>
        <w:fldChar w:fldCharType="begin"/>
      </w:r>
      <w:r>
        <w:instrText xml:space="preserve"> PAGEREF _Toc213339607 \h </w:instrText>
      </w:r>
      <w:r>
        <w:fldChar w:fldCharType="separate"/>
      </w:r>
      <w:r>
        <w:t>82</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Chance holders, identification of</w:t>
      </w:r>
      <w:r>
        <w:tab/>
      </w:r>
      <w:r>
        <w:fldChar w:fldCharType="begin"/>
      </w:r>
      <w:r>
        <w:instrText xml:space="preserve"> PAGEREF _Toc213339608 \h </w:instrText>
      </w:r>
      <w:r>
        <w:fldChar w:fldCharType="separate"/>
      </w:r>
      <w:r>
        <w:t>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Results of draw</w:t>
      </w:r>
      <w:r>
        <w:tab/>
      </w:r>
      <w:r>
        <w:fldChar w:fldCharType="begin"/>
      </w:r>
      <w:r>
        <w:instrText xml:space="preserve"> PAGEREF _Toc213339609 \h </w:instrText>
      </w:r>
      <w:r>
        <w:fldChar w:fldCharType="separate"/>
      </w:r>
      <w:r>
        <w:t>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Order in which prizes are to be drawn</w:t>
      </w:r>
      <w:r>
        <w:tab/>
      </w:r>
      <w:r>
        <w:fldChar w:fldCharType="begin"/>
      </w:r>
      <w:r>
        <w:instrText xml:space="preserve"> PAGEREF _Toc213339610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Division 2 — Rules for the conduct of a continuing lottery</w:t>
      </w:r>
    </w:p>
    <w:p>
      <w:pPr>
        <w:pStyle w:val="TOC8"/>
        <w:rPr>
          <w:rFonts w:asciiTheme="minorHAnsi" w:eastAsiaTheme="minorEastAsia" w:hAnsiTheme="minorHAnsi" w:cstheme="minorBidi"/>
          <w:szCs w:val="22"/>
        </w:rPr>
      </w:pPr>
      <w:r>
        <w:t>1</w:t>
      </w:r>
      <w:r>
        <w:rPr>
          <w:snapToGrid w:val="0"/>
        </w:rPr>
        <w:t>.</w:t>
      </w:r>
      <w:r>
        <w:rPr>
          <w:snapToGrid w:val="0"/>
        </w:rPr>
        <w:tab/>
        <w:t>Information on each ticket</w:t>
      </w:r>
      <w:r>
        <w:tab/>
      </w:r>
      <w:r>
        <w:fldChar w:fldCharType="begin"/>
      </w:r>
      <w:r>
        <w:instrText xml:space="preserve"> PAGEREF _Toc213339612 \h </w:instrText>
      </w:r>
      <w:r>
        <w:fldChar w:fldCharType="separate"/>
      </w:r>
      <w:r>
        <w:t>84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Where tickets may be sold</w:t>
      </w:r>
      <w:r>
        <w:tab/>
      </w:r>
      <w:r>
        <w:fldChar w:fldCharType="begin"/>
      </w:r>
      <w:r>
        <w:instrText xml:space="preserve"> PAGEREF _Toc213339613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Schedule 5 — Conditions for trade promotion lottery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_Toc213339616 \h </w:instrText>
      </w:r>
      <w:r>
        <w:fldChar w:fldCharType="separate"/>
      </w:r>
      <w:r>
        <w:t>87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_Toc213339617 \h </w:instrText>
      </w:r>
      <w:r>
        <w:fldChar w:fldCharType="separate"/>
      </w:r>
      <w:r>
        <w:t>92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_Toc213339618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rFonts w:ascii="Times" w:hAnsi="Times"/>
          <w:snapToGrid w:val="0"/>
        </w:rPr>
      </w:pPr>
      <w:r>
        <w:rPr>
          <w:snapToGrid w:val="0"/>
        </w:rPr>
        <w:lastRenderedPageBreak/>
        <w:t>Gaming and Wagering Commission Act 1987</w:t>
      </w:r>
    </w:p>
    <w:p>
      <w:pPr>
        <w:pStyle w:val="NameofActReg"/>
      </w:pPr>
      <w:r>
        <w:t>Gaming and Wagering Commission Regulations 1988</w:t>
      </w:r>
    </w:p>
    <w:p>
      <w:pPr>
        <w:pStyle w:val="Heading2"/>
        <w:pageBreakBefore w:val="0"/>
        <w:spacing w:before="240" w:after="240"/>
      </w:pPr>
      <w:bookmarkStart w:id="2" w:name="_Toc213336783"/>
      <w:bookmarkStart w:id="3" w:name="_Toc213337485"/>
      <w:bookmarkStart w:id="4" w:name="_Toc213339464"/>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213339465"/>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w:t>
      </w:r>
    </w:p>
    <w:p>
      <w:pPr>
        <w:pStyle w:val="Footnotesection"/>
      </w:pPr>
      <w:r>
        <w:tab/>
        <w:t>[Regulation 1 amended: Gazette 30 Jan 2004 p. 415.]</w:t>
      </w:r>
    </w:p>
    <w:p>
      <w:pPr>
        <w:pStyle w:val="Heading5"/>
        <w:rPr>
          <w:snapToGrid w:val="0"/>
        </w:rPr>
      </w:pPr>
      <w:bookmarkStart w:id="6" w:name="_Toc213339466"/>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7" w:name="_Toc213339467"/>
      <w:r>
        <w:rPr>
          <w:rStyle w:val="CharSectno"/>
        </w:rPr>
        <w:t>3</w:t>
      </w:r>
      <w:r>
        <w:rPr>
          <w:snapToGrid w:val="0"/>
        </w:rPr>
        <w:t>.</w:t>
      </w:r>
      <w:r>
        <w:rPr>
          <w:snapToGrid w:val="0"/>
        </w:rPr>
        <w:tab/>
        <w:t>Interpretation; compliance with forms</w:t>
      </w:r>
      <w:bookmarkEnd w:id="7"/>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Ednotesubsection"/>
      </w:pPr>
      <w:r>
        <w:tab/>
        <w:t>[(2), (3)</w:t>
      </w:r>
      <w:r>
        <w:tab/>
        <w:t>deleted]</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lastRenderedPageBreak/>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Gazette 30 Jan 2004 p. 415; SL 2025/35 r. 25.]</w:t>
      </w:r>
    </w:p>
    <w:p>
      <w:pPr>
        <w:pStyle w:val="Heading5"/>
      </w:pPr>
      <w:bookmarkStart w:id="8" w:name="_Toc213339468"/>
      <w:r>
        <w:rPr>
          <w:rStyle w:val="CharSectno"/>
        </w:rPr>
        <w:t>4A</w:t>
      </w:r>
      <w:r>
        <w:t>.</w:t>
      </w:r>
      <w:r>
        <w:tab/>
        <w:t>Notes in the text</w:t>
      </w:r>
      <w:bookmarkEnd w:id="8"/>
    </w:p>
    <w:p>
      <w:pPr>
        <w:pStyle w:val="Subsection"/>
      </w:pPr>
      <w:r>
        <w:tab/>
      </w:r>
      <w:r>
        <w:tab/>
        <w:t>A note included in these regulations (other than in a form in Schedule 3) is explanatory and is not part of these regulations.</w:t>
      </w:r>
    </w:p>
    <w:p>
      <w:pPr>
        <w:pStyle w:val="Footnotesection"/>
      </w:pPr>
      <w:r>
        <w:tab/>
        <w:t>[Regulation 4A inserted: Gazette 12 Aug 2011 p. 3249.]</w:t>
      </w:r>
    </w:p>
    <w:p>
      <w:pPr>
        <w:pStyle w:val="Heading5"/>
        <w:rPr>
          <w:snapToGrid w:val="0"/>
        </w:rPr>
      </w:pPr>
      <w:bookmarkStart w:id="9" w:name="_Toc213339469"/>
      <w:r>
        <w:rPr>
          <w:rStyle w:val="CharSectno"/>
        </w:rPr>
        <w:t>4</w:t>
      </w:r>
      <w:r>
        <w:rPr>
          <w:snapToGrid w:val="0"/>
        </w:rPr>
        <w:t>.</w:t>
      </w:r>
      <w:r>
        <w:rPr>
          <w:snapToGrid w:val="0"/>
        </w:rPr>
        <w:tab/>
        <w:t>Prescribed fees</w:t>
      </w:r>
      <w:bookmarkEnd w:id="9"/>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Gazette 27 Mar 1992 p. 1370; 30 Oct 2009 p. 4316.]</w:t>
      </w:r>
    </w:p>
    <w:p>
      <w:pPr>
        <w:pStyle w:val="Heading2"/>
      </w:pPr>
      <w:bookmarkStart w:id="10" w:name="_Toc213336789"/>
      <w:bookmarkStart w:id="11" w:name="_Toc213337491"/>
      <w:bookmarkStart w:id="12" w:name="_Toc213339470"/>
      <w:r>
        <w:rPr>
          <w:rStyle w:val="CharPartNo"/>
        </w:rPr>
        <w:lastRenderedPageBreak/>
        <w:t>Part 2</w:t>
      </w:r>
      <w:r>
        <w:rPr>
          <w:rStyle w:val="CharDivNo"/>
        </w:rPr>
        <w:t> </w:t>
      </w:r>
      <w:r>
        <w:t>—</w:t>
      </w:r>
      <w:r>
        <w:rPr>
          <w:rStyle w:val="CharDivText"/>
        </w:rPr>
        <w:t> </w:t>
      </w:r>
      <w:r>
        <w:rPr>
          <w:rStyle w:val="CharPartText"/>
        </w:rPr>
        <w:t>Enforcement</w:t>
      </w:r>
      <w:bookmarkEnd w:id="10"/>
      <w:bookmarkEnd w:id="11"/>
      <w:bookmarkEnd w:id="12"/>
    </w:p>
    <w:p>
      <w:pPr>
        <w:pStyle w:val="Heading5"/>
        <w:rPr>
          <w:snapToGrid w:val="0"/>
        </w:rPr>
      </w:pPr>
      <w:bookmarkStart w:id="13" w:name="_Toc213339471"/>
      <w:r>
        <w:rPr>
          <w:rStyle w:val="CharSectno"/>
        </w:rPr>
        <w:t>5</w:t>
      </w:r>
      <w:r>
        <w:rPr>
          <w:snapToGrid w:val="0"/>
        </w:rPr>
        <w:t>.</w:t>
      </w:r>
      <w:r>
        <w:rPr>
          <w:snapToGrid w:val="0"/>
        </w:rPr>
        <w:tab/>
        <w:t>Forfeiture, offences prescribed (Act s. 32(2))</w:t>
      </w:r>
      <w:bookmarkEnd w:id="13"/>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Gazette 26 May 1989 p. 1548; 30 Jan 2004 p. 415.]</w:t>
      </w:r>
    </w:p>
    <w:p>
      <w:pPr>
        <w:pStyle w:val="Heading5"/>
      </w:pPr>
      <w:bookmarkStart w:id="14" w:name="_Toc213339472"/>
      <w:r>
        <w:rPr>
          <w:rStyle w:val="CharSectno"/>
        </w:rPr>
        <w:t>5A</w:t>
      </w:r>
      <w:r>
        <w:t>.</w:t>
      </w:r>
      <w:r>
        <w:tab/>
        <w:t>Prescribed offences and modified penalties</w:t>
      </w:r>
      <w:bookmarkEnd w:id="14"/>
    </w:p>
    <w:p>
      <w:pPr>
        <w:pStyle w:val="Subsection"/>
      </w:pPr>
      <w:r>
        <w:rPr>
          <w:szCs w:val="24"/>
        </w:rPr>
        <w:tab/>
        <w:t>(1)</w:t>
      </w:r>
      <w:r>
        <w:rPr>
          <w:szCs w:val="24"/>
        </w:rPr>
        <w:tab/>
        <w:t xml:space="preserve">The offences specified in Schedule 2 are offences for which an infringement notice may be issued under the </w:t>
      </w:r>
      <w:r>
        <w:rPr>
          <w:i/>
          <w:szCs w:val="24"/>
        </w:rPr>
        <w:t>Criminal Procedure Act 2004</w:t>
      </w:r>
      <w:r>
        <w:rPr>
          <w:szCs w:val="24"/>
        </w:rPr>
        <w:t> Part 2 as modified by section 36.</w:t>
      </w:r>
    </w:p>
    <w:p>
      <w:pPr>
        <w:pStyle w:val="Subsection"/>
        <w:rPr>
          <w:szCs w:val="24"/>
        </w:rPr>
      </w:pPr>
      <w:r>
        <w:rPr>
          <w:szCs w:val="24"/>
        </w:rPr>
        <w:tab/>
        <w:t>(2)</w:t>
      </w:r>
      <w:r>
        <w:rPr>
          <w:szCs w:val="24"/>
        </w:rPr>
        <w:tab/>
        <w:t xml:space="preserve">For the purposes of the </w:t>
      </w:r>
      <w:r>
        <w:rPr>
          <w:i/>
          <w:szCs w:val="24"/>
        </w:rPr>
        <w:t>Criminal Procedure Act 2004</w:t>
      </w:r>
      <w:r>
        <w:rPr>
          <w:szCs w:val="24"/>
        </w:rPr>
        <w:t xml:space="preserve"> section 5(3), the penalty specified opposite an offence in Schedule 2 is the modified penalty for that offence.</w:t>
      </w:r>
    </w:p>
    <w:p>
      <w:pPr>
        <w:pStyle w:val="Subsection"/>
        <w:rPr>
          <w:szCs w:val="24"/>
        </w:rPr>
      </w:pPr>
      <w:r>
        <w:rPr>
          <w:szCs w:val="24"/>
        </w:rPr>
        <w:tab/>
        <w:t>(3)</w:t>
      </w:r>
      <w:r>
        <w:rPr>
          <w:szCs w:val="24"/>
        </w:rPr>
        <w:tab/>
        <w:t xml:space="preserve">However, the modified penalty specified for each offence specified in Schedule 2 Division 2 items 4 to 35 is not applicable in a case where regulation 40E(2) is relied on in relation to a person described in paragraph (b) of the definition of </w:t>
      </w:r>
      <w:r>
        <w:rPr>
          <w:b/>
          <w:i/>
          <w:szCs w:val="24"/>
        </w:rPr>
        <w:t>responsible person</w:t>
      </w:r>
      <w:r>
        <w:rPr>
          <w:szCs w:val="24"/>
        </w:rPr>
        <w:t xml:space="preserve"> in regulation 40E(1).</w:t>
      </w:r>
    </w:p>
    <w:p>
      <w:pPr>
        <w:pStyle w:val="Footnotesection"/>
      </w:pPr>
      <w:r>
        <w:tab/>
        <w:t>[Regulation 5A inserted: SL 2025/35 r. 26.]</w:t>
      </w:r>
    </w:p>
    <w:p>
      <w:pPr>
        <w:pStyle w:val="Heading5"/>
      </w:pPr>
      <w:bookmarkStart w:id="15" w:name="_Toc213339473"/>
      <w:r>
        <w:rPr>
          <w:rStyle w:val="CharSectno"/>
        </w:rPr>
        <w:t>6</w:t>
      </w:r>
      <w:r>
        <w:t>.</w:t>
      </w:r>
      <w:r>
        <w:tab/>
        <w:t>Forms for infringement notice and withdrawal notice</w:t>
      </w:r>
      <w:bookmarkEnd w:id="15"/>
    </w:p>
    <w:p>
      <w:pPr>
        <w:pStyle w:val="Subsection"/>
      </w:pPr>
      <w:r>
        <w:tab/>
        <w:t>(1)</w:t>
      </w:r>
      <w:r>
        <w:tab/>
        <w:t xml:space="preserve">For the purposes of the </w:t>
      </w:r>
      <w:r>
        <w:rPr>
          <w:i/>
        </w:rPr>
        <w:t>Criminal Procedure Act </w:t>
      </w:r>
      <w:r>
        <w:rPr>
          <w:i/>
          <w:iCs/>
        </w:rPr>
        <w:t>2004</w:t>
      </w:r>
      <w:r>
        <w:t xml:space="preserve"> section 6(d), the form of an infringement notice is Schedule 3 Form 1.</w:t>
      </w:r>
    </w:p>
    <w:p>
      <w:pPr>
        <w:pStyle w:val="Subsection"/>
      </w:pPr>
      <w:r>
        <w:lastRenderedPageBreak/>
        <w:tab/>
        <w:t>(2)</w:t>
      </w:r>
      <w:r>
        <w:tab/>
        <w:t xml:space="preserve">For the purposes of the </w:t>
      </w:r>
      <w:r>
        <w:rPr>
          <w:i/>
          <w:iCs/>
        </w:rPr>
        <w:t>Criminal Procedure Act 2004</w:t>
      </w:r>
      <w:r>
        <w:t xml:space="preserve"> section 15(2), the form stating that an infringement notice has been withdrawn is Schedule 3 Form 2.</w:t>
      </w:r>
    </w:p>
    <w:p>
      <w:pPr>
        <w:pStyle w:val="Footnotesection"/>
      </w:pPr>
      <w:r>
        <w:tab/>
        <w:t>[Regulation 6 inserted: SL 2025/35 r. 26.]</w:t>
      </w:r>
    </w:p>
    <w:p>
      <w:pPr>
        <w:pStyle w:val="Heading5"/>
        <w:rPr>
          <w:snapToGrid w:val="0"/>
        </w:rPr>
      </w:pPr>
      <w:bookmarkStart w:id="16" w:name="_Toc213339474"/>
      <w:r>
        <w:rPr>
          <w:rStyle w:val="CharSectno"/>
        </w:rPr>
        <w:t>6A</w:t>
      </w:r>
      <w:r>
        <w:rPr>
          <w:snapToGrid w:val="0"/>
        </w:rPr>
        <w:t>.</w:t>
      </w:r>
      <w:r>
        <w:rPr>
          <w:snapToGrid w:val="0"/>
        </w:rPr>
        <w:tab/>
        <w:t>Warrant, form of (Act s. 25)</w:t>
      </w:r>
      <w:bookmarkEnd w:id="16"/>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Gazette 7 Oct 1988 p. 4106.]</w:t>
      </w:r>
    </w:p>
    <w:p>
      <w:pPr>
        <w:pStyle w:val="Heading2"/>
      </w:pPr>
      <w:bookmarkStart w:id="17" w:name="_Toc213336794"/>
      <w:bookmarkStart w:id="18" w:name="_Toc213337496"/>
      <w:bookmarkStart w:id="19" w:name="_Toc213339475"/>
      <w:r>
        <w:rPr>
          <w:rStyle w:val="CharPartNo"/>
        </w:rPr>
        <w:lastRenderedPageBreak/>
        <w:t>Part 3</w:t>
      </w:r>
      <w:r>
        <w:rPr>
          <w:rStyle w:val="CharDivNo"/>
        </w:rPr>
        <w:t> </w:t>
      </w:r>
      <w:r>
        <w:t>—</w:t>
      </w:r>
      <w:r>
        <w:rPr>
          <w:rStyle w:val="CharDivText"/>
        </w:rPr>
        <w:t> </w:t>
      </w:r>
      <w:r>
        <w:rPr>
          <w:rStyle w:val="CharPartText"/>
        </w:rPr>
        <w:t>The register</w:t>
      </w:r>
      <w:bookmarkEnd w:id="17"/>
      <w:bookmarkEnd w:id="18"/>
      <w:bookmarkEnd w:id="19"/>
    </w:p>
    <w:p>
      <w:pPr>
        <w:pStyle w:val="Heading5"/>
        <w:rPr>
          <w:snapToGrid w:val="0"/>
        </w:rPr>
      </w:pPr>
      <w:bookmarkStart w:id="20" w:name="_Toc213339476"/>
      <w:r>
        <w:rPr>
          <w:rStyle w:val="CharSectno"/>
        </w:rPr>
        <w:t>7</w:t>
      </w:r>
      <w:r>
        <w:rPr>
          <w:snapToGrid w:val="0"/>
        </w:rPr>
        <w:t>.</w:t>
      </w:r>
      <w:r>
        <w:rPr>
          <w:snapToGrid w:val="0"/>
        </w:rPr>
        <w:tab/>
        <w:t>Manner of recording and search fees prescribed (Act s. 50)</w:t>
      </w:r>
      <w:bookmarkEnd w:id="20"/>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21" w:name="_Toc213336796"/>
      <w:bookmarkStart w:id="22" w:name="_Toc213337498"/>
      <w:bookmarkStart w:id="23" w:name="_Toc213339477"/>
      <w:r>
        <w:rPr>
          <w:rStyle w:val="CharPartNo"/>
        </w:rPr>
        <w:lastRenderedPageBreak/>
        <w:t>Part 4</w:t>
      </w:r>
      <w:r>
        <w:t> — </w:t>
      </w:r>
      <w:r>
        <w:rPr>
          <w:rStyle w:val="CharPartText"/>
        </w:rPr>
        <w:t>Permitted gaming</w:t>
      </w:r>
      <w:bookmarkEnd w:id="21"/>
      <w:bookmarkEnd w:id="22"/>
      <w:bookmarkEnd w:id="23"/>
    </w:p>
    <w:p>
      <w:pPr>
        <w:pStyle w:val="Heading3"/>
        <w:spacing w:before="220"/>
      </w:pPr>
      <w:bookmarkStart w:id="24" w:name="_Toc213336797"/>
      <w:bookmarkStart w:id="25" w:name="_Toc213337499"/>
      <w:bookmarkStart w:id="26" w:name="_Toc213339478"/>
      <w:r>
        <w:rPr>
          <w:rStyle w:val="CharDivNo"/>
        </w:rPr>
        <w:t>Division 1</w:t>
      </w:r>
      <w:r>
        <w:rPr>
          <w:snapToGrid w:val="0"/>
        </w:rPr>
        <w:t> — </w:t>
      </w:r>
      <w:r>
        <w:rPr>
          <w:rStyle w:val="CharDivText"/>
        </w:rPr>
        <w:t>Gaming generally</w:t>
      </w:r>
      <w:bookmarkEnd w:id="24"/>
      <w:bookmarkEnd w:id="25"/>
      <w:bookmarkEnd w:id="26"/>
    </w:p>
    <w:p>
      <w:pPr>
        <w:pStyle w:val="Heading5"/>
      </w:pPr>
      <w:bookmarkStart w:id="27" w:name="_Toc213339479"/>
      <w:r>
        <w:rPr>
          <w:rStyle w:val="CharSectno"/>
        </w:rPr>
        <w:t>8A</w:t>
      </w:r>
      <w:r>
        <w:t>.</w:t>
      </w:r>
      <w:r>
        <w:tab/>
        <w:t>Gaming on cruise ships</w:t>
      </w:r>
      <w:bookmarkEnd w:id="27"/>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lastRenderedPageBreak/>
        <w:tab/>
        <w:t>(b)</w:t>
      </w:r>
      <w:r>
        <w:tab/>
        <w:t>the gaming is operated only as an ancillary service on the cruise ship.</w:t>
      </w:r>
    </w:p>
    <w:p>
      <w:pPr>
        <w:pStyle w:val="Footnotesection"/>
      </w:pPr>
      <w:r>
        <w:tab/>
        <w:t>[Regulation 8A inserted: Gazette 26 May 2017 p. 2633.]</w:t>
      </w:r>
    </w:p>
    <w:p>
      <w:pPr>
        <w:pStyle w:val="Heading5"/>
        <w:rPr>
          <w:snapToGrid w:val="0"/>
        </w:rPr>
      </w:pPr>
      <w:bookmarkStart w:id="28" w:name="_Toc213339480"/>
      <w:r>
        <w:rPr>
          <w:rStyle w:val="CharSectno"/>
        </w:rPr>
        <w:t>8</w:t>
      </w:r>
      <w:r>
        <w:rPr>
          <w:snapToGrid w:val="0"/>
        </w:rPr>
        <w:t>.</w:t>
      </w:r>
      <w:r>
        <w:rPr>
          <w:snapToGrid w:val="0"/>
        </w:rPr>
        <w:tab/>
        <w:t>Gaming permits, form and conditions of (Act s. 47(1)(a) or (b))</w:t>
      </w:r>
      <w:bookmarkEnd w:id="28"/>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29" w:name="_Toc213339481"/>
      <w:r>
        <w:rPr>
          <w:rStyle w:val="CharSectno"/>
        </w:rPr>
        <w:t>9</w:t>
      </w:r>
      <w:r>
        <w:rPr>
          <w:snapToGrid w:val="0"/>
        </w:rPr>
        <w:t>.</w:t>
      </w:r>
      <w:r>
        <w:rPr>
          <w:snapToGrid w:val="0"/>
        </w:rPr>
        <w:tab/>
        <w:t>Gaming permits, application for</w:t>
      </w:r>
      <w:bookmarkEnd w:id="29"/>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lastRenderedPageBreak/>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1</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lastRenderedPageBreak/>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 xml:space="preserve">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w:t>
      </w:r>
      <w:r>
        <w:rPr>
          <w:snapToGrid w:val="0"/>
        </w:rPr>
        <w:lastRenderedPageBreak/>
        <w:t>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Gazette 30 Jan 2004 p. 415; 18 May 2004 p. 1572.]</w:t>
      </w:r>
    </w:p>
    <w:p>
      <w:pPr>
        <w:pStyle w:val="Heading5"/>
        <w:rPr>
          <w:snapToGrid w:val="0"/>
        </w:rPr>
      </w:pPr>
      <w:bookmarkStart w:id="30" w:name="_Toc213339482"/>
      <w:r>
        <w:rPr>
          <w:rStyle w:val="CharSectno"/>
        </w:rPr>
        <w:t>10</w:t>
      </w:r>
      <w:r>
        <w:rPr>
          <w:snapToGrid w:val="0"/>
        </w:rPr>
        <w:t>.</w:t>
      </w:r>
      <w:r>
        <w:rPr>
          <w:snapToGrid w:val="0"/>
        </w:rPr>
        <w:tab/>
        <w:t>Approval to use premises, application for (Act s. 55)</w:t>
      </w:r>
      <w:bookmarkEnd w:id="30"/>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 xml:space="preserve">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w:t>
      </w:r>
      <w:r>
        <w:rPr>
          <w:snapToGrid w:val="0"/>
        </w:rPr>
        <w:lastRenderedPageBreak/>
        <w:t>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Gazette 30 Jan 2004 p. 415.]</w:t>
      </w:r>
    </w:p>
    <w:p>
      <w:pPr>
        <w:pStyle w:val="Heading5"/>
        <w:rPr>
          <w:snapToGrid w:val="0"/>
        </w:rPr>
      </w:pPr>
      <w:bookmarkStart w:id="31" w:name="_Toc213339483"/>
      <w:r>
        <w:rPr>
          <w:rStyle w:val="CharSectno"/>
        </w:rPr>
        <w:t>11</w:t>
      </w:r>
      <w:r>
        <w:rPr>
          <w:snapToGrid w:val="0"/>
        </w:rPr>
        <w:t>.</w:t>
      </w:r>
      <w:r>
        <w:rPr>
          <w:snapToGrid w:val="0"/>
        </w:rPr>
        <w:tab/>
        <w:t>Renewals etc., applications for (Act s. 56)</w:t>
      </w:r>
      <w:bookmarkEnd w:id="31"/>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32" w:name="_Toc213339484"/>
      <w:r>
        <w:rPr>
          <w:rStyle w:val="CharSectno"/>
        </w:rPr>
        <w:t>12</w:t>
      </w:r>
      <w:r>
        <w:rPr>
          <w:snapToGrid w:val="0"/>
        </w:rPr>
        <w:t>.</w:t>
      </w:r>
      <w:r>
        <w:rPr>
          <w:snapToGrid w:val="0"/>
        </w:rPr>
        <w:tab/>
        <w:t>Financial statements, permit holders to provide etc.</w:t>
      </w:r>
      <w:bookmarkEnd w:id="32"/>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 xml:space="preserve">is issued subject to the condition that the permit holder is, whether or not required to furnish a report under section 57, </w:t>
      </w:r>
      <w:r>
        <w:rPr>
          <w:snapToGrid w:val="0"/>
        </w:rPr>
        <w:lastRenderedPageBreak/>
        <w:t>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Gazette 28 Jun 1996 p. 3099; 16 May 1997 p. 2393.]</w:t>
      </w:r>
    </w:p>
    <w:p>
      <w:pPr>
        <w:pStyle w:val="Heading5"/>
        <w:rPr>
          <w:snapToGrid w:val="0"/>
        </w:rPr>
      </w:pPr>
      <w:bookmarkStart w:id="33" w:name="_Toc213339485"/>
      <w:r>
        <w:rPr>
          <w:rStyle w:val="CharSectno"/>
        </w:rPr>
        <w:t>13</w:t>
      </w:r>
      <w:r>
        <w:rPr>
          <w:snapToGrid w:val="0"/>
        </w:rPr>
        <w:t>.</w:t>
      </w:r>
      <w:r>
        <w:rPr>
          <w:snapToGrid w:val="0"/>
        </w:rPr>
        <w:tab/>
        <w:t>No permit required if gaming etc. deemed permitted</w:t>
      </w:r>
      <w:bookmarkEnd w:id="33"/>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Gazette 30 Jan 2004 p. 415.]</w:t>
      </w:r>
    </w:p>
    <w:p>
      <w:pPr>
        <w:pStyle w:val="Heading5"/>
        <w:spacing w:before="180"/>
      </w:pPr>
      <w:bookmarkStart w:id="34" w:name="_Toc213339486"/>
      <w:r>
        <w:rPr>
          <w:rStyle w:val="CharSectno"/>
        </w:rPr>
        <w:t>13A</w:t>
      </w:r>
      <w:r>
        <w:t>.</w:t>
      </w:r>
      <w:r>
        <w:tab/>
        <w:t>Conviction of license holder etc., holders to notify Commission</w:t>
      </w:r>
      <w:bookmarkEnd w:id="34"/>
    </w:p>
    <w:p>
      <w:pPr>
        <w:pStyle w:val="Subsection"/>
        <w:spacing w:before="120"/>
      </w:pPr>
      <w:r>
        <w:tab/>
      </w:r>
      <w:r>
        <w:tab/>
        <w:t xml:space="preserve">Every certificate and licence is issued subject to the condition that, if the holder of the certificate or licence is convicted of an </w:t>
      </w:r>
      <w:r>
        <w:lastRenderedPageBreak/>
        <w:t>offence, the holder of that certificate or licence must, in writing, notify the Commission of the conviction within 7 days.</w:t>
      </w:r>
    </w:p>
    <w:p>
      <w:pPr>
        <w:pStyle w:val="Footnotesection"/>
      </w:pPr>
      <w:r>
        <w:tab/>
        <w:t>[Regulation 13A inserted: Gazette 30 Jan 2004 p. 402.]</w:t>
      </w:r>
    </w:p>
    <w:p>
      <w:pPr>
        <w:pStyle w:val="Heading3"/>
        <w:spacing w:before="200"/>
      </w:pPr>
      <w:bookmarkStart w:id="35" w:name="_Toc213336806"/>
      <w:bookmarkStart w:id="36" w:name="_Toc213337508"/>
      <w:bookmarkStart w:id="37" w:name="_Toc213339487"/>
      <w:r>
        <w:rPr>
          <w:rStyle w:val="CharDivNo"/>
        </w:rPr>
        <w:t>Division 2</w:t>
      </w:r>
      <w:r>
        <w:t> — </w:t>
      </w:r>
      <w:r>
        <w:rPr>
          <w:rStyle w:val="CharDivText"/>
        </w:rPr>
        <w:t>Continuing lotteries</w:t>
      </w:r>
      <w:bookmarkEnd w:id="35"/>
      <w:bookmarkEnd w:id="36"/>
      <w:bookmarkEnd w:id="37"/>
    </w:p>
    <w:p>
      <w:pPr>
        <w:pStyle w:val="Footnoteheading"/>
        <w:keepNext/>
      </w:pPr>
      <w:r>
        <w:tab/>
        <w:t>[Heading inserted: Gazette 23 Jun 2000 p. 3206]</w:t>
      </w:r>
    </w:p>
    <w:p>
      <w:pPr>
        <w:pStyle w:val="Heading5"/>
        <w:keepLines w:val="0"/>
        <w:spacing w:before="240"/>
      </w:pPr>
      <w:bookmarkStart w:id="38" w:name="_Toc213339488"/>
      <w:r>
        <w:rPr>
          <w:rStyle w:val="CharSectno"/>
        </w:rPr>
        <w:t>14</w:t>
      </w:r>
      <w:r>
        <w:t>.</w:t>
      </w:r>
      <w:r>
        <w:tab/>
        <w:t>Maximum number of tickets prescribed (Act s. 104L(1))</w:t>
      </w:r>
      <w:bookmarkEnd w:id="38"/>
    </w:p>
    <w:p>
      <w:pPr>
        <w:pStyle w:val="Subsection"/>
        <w:spacing w:before="180"/>
      </w:pPr>
      <w:r>
        <w:tab/>
      </w:r>
      <w:r>
        <w:tab/>
        <w:t>For the purposes of section 104L(1) of the Act the maximum number of tickets that may be in one batch shall be 5 000.</w:t>
      </w:r>
    </w:p>
    <w:p>
      <w:pPr>
        <w:pStyle w:val="Footnotesection"/>
      </w:pPr>
      <w:r>
        <w:tab/>
        <w:t>[Regulation 14 inserted: Gazette 23 Jun 2000 p. 3206.]</w:t>
      </w:r>
    </w:p>
    <w:p>
      <w:pPr>
        <w:pStyle w:val="Heading5"/>
        <w:spacing w:before="240"/>
      </w:pPr>
      <w:bookmarkStart w:id="39" w:name="_Toc213339489"/>
      <w:r>
        <w:rPr>
          <w:rStyle w:val="CharSectno"/>
        </w:rPr>
        <w:t>15</w:t>
      </w:r>
      <w:r>
        <w:t>.</w:t>
      </w:r>
      <w:r>
        <w:tab/>
        <w:t>Records to be kept by licensed suppliers for Act Part V Div. 7</w:t>
      </w:r>
      <w:bookmarkEnd w:id="39"/>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lastRenderedPageBreak/>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Gazette 23 Jun 2000 p. 3207</w:t>
      </w:r>
      <w:r>
        <w:noBreakHyphen/>
        <w:t>8. ]</w:t>
      </w:r>
    </w:p>
    <w:p>
      <w:pPr>
        <w:pStyle w:val="Heading3"/>
      </w:pPr>
      <w:bookmarkStart w:id="40" w:name="_Toc213336809"/>
      <w:bookmarkStart w:id="41" w:name="_Toc213337511"/>
      <w:bookmarkStart w:id="42" w:name="_Toc213339490"/>
      <w:r>
        <w:rPr>
          <w:rStyle w:val="CharDivNo"/>
        </w:rPr>
        <w:lastRenderedPageBreak/>
        <w:t>Division 3</w:t>
      </w:r>
      <w:r>
        <w:rPr>
          <w:snapToGrid w:val="0"/>
        </w:rPr>
        <w:t> — </w:t>
      </w:r>
      <w:r>
        <w:rPr>
          <w:rStyle w:val="CharDivText"/>
        </w:rPr>
        <w:t>Permitted two</w:t>
      </w:r>
      <w:r>
        <w:rPr>
          <w:rStyle w:val="CharDivText"/>
        </w:rPr>
        <w:noBreakHyphen/>
        <w:t>up</w:t>
      </w:r>
      <w:bookmarkEnd w:id="40"/>
      <w:bookmarkEnd w:id="41"/>
      <w:bookmarkEnd w:id="42"/>
    </w:p>
    <w:p>
      <w:pPr>
        <w:pStyle w:val="Heading5"/>
        <w:spacing w:before="240"/>
        <w:rPr>
          <w:snapToGrid w:val="0"/>
        </w:rPr>
      </w:pPr>
      <w:bookmarkStart w:id="43" w:name="_Toc213339491"/>
      <w:r>
        <w:rPr>
          <w:rStyle w:val="CharSectno"/>
        </w:rPr>
        <w:t>16</w:t>
      </w:r>
      <w:r>
        <w:rPr>
          <w:snapToGrid w:val="0"/>
        </w:rPr>
        <w:t>.</w:t>
      </w:r>
      <w:r>
        <w:rPr>
          <w:snapToGrid w:val="0"/>
        </w:rPr>
        <w:tab/>
        <w:t>Financial information to be provided about games</w:t>
      </w:r>
      <w:bookmarkEnd w:id="43"/>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keepLines/>
        <w:spacing w:before="180"/>
        <w:rPr>
          <w:snapToGrid w:val="0"/>
        </w:rPr>
      </w:pPr>
      <w:r>
        <w:rPr>
          <w:snapToGrid w:val="0"/>
        </w:rPr>
        <w:lastRenderedPageBreak/>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Gazette 28 Jun 1996 p. 3099; 16 May 1997 p. 2393; 1 Dec 2015 p. 4824.]</w:t>
      </w:r>
    </w:p>
    <w:p>
      <w:pPr>
        <w:pStyle w:val="Heading5"/>
        <w:rPr>
          <w:snapToGrid w:val="0"/>
        </w:rPr>
      </w:pPr>
      <w:bookmarkStart w:id="44" w:name="_Toc213339492"/>
      <w:r>
        <w:rPr>
          <w:rStyle w:val="CharSectno"/>
        </w:rPr>
        <w:t>17</w:t>
      </w:r>
      <w:r>
        <w:rPr>
          <w:snapToGrid w:val="0"/>
        </w:rPr>
        <w:t>.</w:t>
      </w:r>
      <w:r>
        <w:rPr>
          <w:snapToGrid w:val="0"/>
        </w:rPr>
        <w:tab/>
        <w:t>Suspending permit for game</w:t>
      </w:r>
      <w:bookmarkEnd w:id="44"/>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45" w:name="_Toc213339493"/>
      <w:r>
        <w:rPr>
          <w:rStyle w:val="CharSectno"/>
        </w:rPr>
        <w:t>17A</w:t>
      </w:r>
      <w:r>
        <w:t>.</w:t>
      </w:r>
      <w:r>
        <w:tab/>
        <w:t>Prescribed gaming equipment (Act s. 84(1))</w:t>
      </w:r>
      <w:bookmarkEnd w:id="45"/>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Gazette 30 Jan 2004 p. 402.]</w:t>
      </w:r>
    </w:p>
    <w:p>
      <w:pPr>
        <w:pStyle w:val="Heading3"/>
        <w:keepLines/>
      </w:pPr>
      <w:bookmarkStart w:id="46" w:name="_Toc213336813"/>
      <w:bookmarkStart w:id="47" w:name="_Toc213337515"/>
      <w:bookmarkStart w:id="48" w:name="_Toc213339494"/>
      <w:r>
        <w:rPr>
          <w:rStyle w:val="CharDivNo"/>
        </w:rPr>
        <w:lastRenderedPageBreak/>
        <w:t>Division 4</w:t>
      </w:r>
      <w:r>
        <w:rPr>
          <w:snapToGrid w:val="0"/>
        </w:rPr>
        <w:t> — </w:t>
      </w:r>
      <w:r>
        <w:rPr>
          <w:rStyle w:val="CharDivText"/>
        </w:rPr>
        <w:t>Gaming machines and other equipment</w:t>
      </w:r>
      <w:bookmarkEnd w:id="46"/>
      <w:bookmarkEnd w:id="47"/>
      <w:bookmarkEnd w:id="48"/>
    </w:p>
    <w:p>
      <w:pPr>
        <w:pStyle w:val="Heading5"/>
        <w:rPr>
          <w:snapToGrid w:val="0"/>
        </w:rPr>
      </w:pPr>
      <w:bookmarkStart w:id="49" w:name="_Toc213339495"/>
      <w:r>
        <w:rPr>
          <w:rStyle w:val="CharSectno"/>
        </w:rPr>
        <w:t>18</w:t>
      </w:r>
      <w:r>
        <w:rPr>
          <w:snapToGrid w:val="0"/>
        </w:rPr>
        <w:t>.</w:t>
      </w:r>
      <w:r>
        <w:rPr>
          <w:snapToGrid w:val="0"/>
        </w:rPr>
        <w:tab/>
        <w:t>Records etc. to be kept etc. by persons renting equipment from others</w:t>
      </w:r>
      <w:bookmarkEnd w:id="49"/>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lastRenderedPageBreak/>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50" w:name="_Toc213339496"/>
      <w:r>
        <w:rPr>
          <w:rStyle w:val="CharSectno"/>
        </w:rPr>
        <w:t>18A</w:t>
      </w:r>
      <w:r>
        <w:rPr>
          <w:snapToGrid w:val="0"/>
        </w:rPr>
        <w:t>.</w:t>
      </w:r>
      <w:r>
        <w:rPr>
          <w:snapToGrid w:val="0"/>
        </w:rPr>
        <w:tab/>
        <w:t>Skilltester, Merchandiser and similar machines, possession etc. of</w:t>
      </w:r>
      <w:bookmarkEnd w:id="50"/>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lastRenderedPageBreak/>
        <w:tab/>
        <w:t>(5)</w:t>
      </w:r>
      <w:r>
        <w:rPr>
          <w:snapToGrid w:val="0"/>
        </w:rPr>
        <w:tab/>
        <w:t>The maximum retail value of a prize which may be won using a gaming machine is $50.</w:t>
      </w:r>
    </w:p>
    <w:p>
      <w:pPr>
        <w:pStyle w:val="Footnotesection"/>
      </w:pPr>
      <w:r>
        <w:tab/>
        <w:t>[Regulation 18A inserted: Gazette 22 Oct 1993 p. 5805</w:t>
      </w:r>
      <w:r>
        <w:noBreakHyphen/>
        <w:t>6; amended: Gazette 22 Apr 1994 p. 1710; 30 Jan 2004 p. 415.]</w:t>
      </w:r>
    </w:p>
    <w:p>
      <w:pPr>
        <w:pStyle w:val="Heading5"/>
        <w:rPr>
          <w:snapToGrid w:val="0"/>
        </w:rPr>
      </w:pPr>
      <w:bookmarkStart w:id="51" w:name="_Toc213339497"/>
      <w:r>
        <w:rPr>
          <w:rStyle w:val="CharSectno"/>
        </w:rPr>
        <w:t>18AA</w:t>
      </w:r>
      <w:r>
        <w:rPr>
          <w:snapToGrid w:val="0"/>
        </w:rPr>
        <w:t>.</w:t>
      </w:r>
      <w:r>
        <w:rPr>
          <w:snapToGrid w:val="0"/>
        </w:rPr>
        <w:tab/>
        <w:t>Video lottery terminals, possession etc. of</w:t>
      </w:r>
      <w:bookmarkEnd w:id="51"/>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keepNext/>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lastRenderedPageBreak/>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2</w:t>
      </w:r>
      <w:r>
        <w:t>.</w:t>
      </w:r>
    </w:p>
    <w:p>
      <w:pPr>
        <w:pStyle w:val="Footnotesection"/>
      </w:pPr>
      <w:r>
        <w:tab/>
        <w:t>[Regulation 18AA inserted: Gazette 15 Dec 1995 p. 6124</w:t>
      </w:r>
      <w:r>
        <w:noBreakHyphen/>
        <w:t>5; amended: Gazette 28 Jun 1996 p. 3099; 23 Jun 2000 p. 3208.]</w:t>
      </w:r>
    </w:p>
    <w:p>
      <w:pPr>
        <w:pStyle w:val="Heading5"/>
        <w:rPr>
          <w:snapToGrid w:val="0"/>
        </w:rPr>
      </w:pPr>
      <w:bookmarkStart w:id="52" w:name="_Toc213339498"/>
      <w:r>
        <w:rPr>
          <w:rStyle w:val="CharSectno"/>
        </w:rPr>
        <w:t>18B</w:t>
      </w:r>
      <w:r>
        <w:rPr>
          <w:snapToGrid w:val="0"/>
        </w:rPr>
        <w:t>.</w:t>
      </w:r>
      <w:r>
        <w:rPr>
          <w:snapToGrid w:val="0"/>
        </w:rPr>
        <w:tab/>
        <w:t>Machines that dispense vouchers, possession etc. of</w:t>
      </w:r>
      <w:bookmarkEnd w:id="52"/>
    </w:p>
    <w:p>
      <w:pPr>
        <w:pStyle w:val="Subsection"/>
        <w:keepLines/>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keepLines/>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keepNext/>
        <w:rPr>
          <w:snapToGrid w:val="0"/>
        </w:rPr>
      </w:pPr>
      <w:r>
        <w:rPr>
          <w:snapToGrid w:val="0"/>
        </w:rPr>
        <w:tab/>
        <w:t>(4)</w:t>
      </w:r>
      <w:r>
        <w:rPr>
          <w:snapToGrid w:val="0"/>
        </w:rPr>
        <w:tab/>
        <w:t xml:space="preserve">In the case of amusement parlours, the maximum value of the voucher or vouchers which may be dispensed per sequence of </w:t>
      </w:r>
      <w:r>
        <w:rPr>
          <w:snapToGrid w:val="0"/>
        </w:rPr>
        <w:lastRenderedPageBreak/>
        <w:t>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keepNext/>
        <w:rPr>
          <w:snapToGrid w:val="0"/>
        </w:rPr>
      </w:pPr>
      <w:r>
        <w:rPr>
          <w:snapToGrid w:val="0"/>
        </w:rPr>
        <w:tab/>
        <w:t>(7)</w:t>
      </w:r>
      <w:r>
        <w:rPr>
          <w:snapToGrid w:val="0"/>
        </w:rPr>
        <w:tab/>
        <w:t>In this regulation —</w:t>
      </w:r>
    </w:p>
    <w:p>
      <w:pPr>
        <w:pStyle w:val="Defstart"/>
        <w:keepNext/>
      </w:pPr>
      <w:r>
        <w:rPr>
          <w:b/>
        </w:rPr>
        <w:tab/>
      </w:r>
      <w:r>
        <w:rPr>
          <w:rStyle w:val="CharDefText"/>
        </w:rPr>
        <w:t>amusement parlour</w:t>
      </w:r>
      <w:r>
        <w:t xml:space="preserve"> means premises where —</w:t>
      </w:r>
    </w:p>
    <w:p>
      <w:pPr>
        <w:pStyle w:val="Defpara"/>
        <w:keepNext/>
      </w:pPr>
      <w:r>
        <w:tab/>
        <w:t>(a)</w:t>
      </w:r>
      <w:r>
        <w:tab/>
        <w:t>video machines and other games of chance are played; and</w:t>
      </w:r>
    </w:p>
    <w:p>
      <w:pPr>
        <w:pStyle w:val="Defpara"/>
        <w:keepNext/>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Gazette 22 Oct 1993 p. 5806; amended: Gazette 22 Apr 1994 p. 1710; 6 Jan 1995 p. 27</w:t>
      </w:r>
      <w:r>
        <w:noBreakHyphen/>
        <w:t>8; 15 Dec 1995 p. 6125; 30 Jan 2004 p. 416.]</w:t>
      </w:r>
    </w:p>
    <w:p>
      <w:pPr>
        <w:pStyle w:val="Heading5"/>
      </w:pPr>
      <w:bookmarkStart w:id="53" w:name="_Toc213339499"/>
      <w:r>
        <w:rPr>
          <w:rStyle w:val="CharSectno"/>
        </w:rPr>
        <w:t>18C</w:t>
      </w:r>
      <w:r>
        <w:t>.</w:t>
      </w:r>
      <w:r>
        <w:tab/>
        <w:t>Possession of certain gaming machines on cruise ships</w:t>
      </w:r>
      <w:bookmarkEnd w:id="53"/>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keepNext/>
      </w:pPr>
      <w:r>
        <w:lastRenderedPageBreak/>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(Western Australia) and throughout the outer adjacent area for the State under the </w:t>
      </w:r>
      <w:r>
        <w:rPr>
          <w:i/>
        </w:rPr>
        <w:t>Crimes at Sea Act 2000</w:t>
      </w:r>
      <w:r>
        <w:t xml:space="preserve"> (Commonwealth).</w:t>
      </w:r>
    </w:p>
    <w:p>
      <w:pPr>
        <w:pStyle w:val="Footnotesection"/>
      </w:pPr>
      <w:r>
        <w:tab/>
        <w:t>[Regulation 18C inserted: Gazette 12 Aug 2011 p. 3249-50; amended: Gazette 26 May 2017 p. 2633.]</w:t>
      </w:r>
    </w:p>
    <w:p>
      <w:pPr>
        <w:pStyle w:val="Heading3"/>
      </w:pPr>
      <w:bookmarkStart w:id="54" w:name="_Toc213336819"/>
      <w:bookmarkStart w:id="55" w:name="_Toc213337521"/>
      <w:bookmarkStart w:id="56" w:name="_Toc213339500"/>
      <w:r>
        <w:rPr>
          <w:rStyle w:val="CharDivNo"/>
        </w:rPr>
        <w:t>Division 5</w:t>
      </w:r>
      <w:r>
        <w:rPr>
          <w:snapToGrid w:val="0"/>
        </w:rPr>
        <w:t> — </w:t>
      </w:r>
      <w:r>
        <w:rPr>
          <w:rStyle w:val="CharDivText"/>
        </w:rPr>
        <w:t>Permitted bingo</w:t>
      </w:r>
      <w:bookmarkEnd w:id="54"/>
      <w:bookmarkEnd w:id="55"/>
      <w:bookmarkEnd w:id="56"/>
    </w:p>
    <w:p>
      <w:pPr>
        <w:pStyle w:val="Heading5"/>
        <w:rPr>
          <w:snapToGrid w:val="0"/>
        </w:rPr>
      </w:pPr>
      <w:bookmarkStart w:id="57" w:name="_Toc213339501"/>
      <w:r>
        <w:rPr>
          <w:rStyle w:val="CharSectno"/>
        </w:rPr>
        <w:t>19</w:t>
      </w:r>
      <w:r>
        <w:rPr>
          <w:snapToGrid w:val="0"/>
        </w:rPr>
        <w:t>.</w:t>
      </w:r>
      <w:r>
        <w:rPr>
          <w:snapToGrid w:val="0"/>
        </w:rPr>
        <w:tab/>
        <w:t>Rules for conducting bingo; rules to be displayed</w:t>
      </w:r>
      <w:bookmarkEnd w:id="57"/>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58" w:name="_Toc213339502"/>
      <w:r>
        <w:rPr>
          <w:rStyle w:val="CharSectno"/>
        </w:rPr>
        <w:t>20</w:t>
      </w:r>
      <w:r>
        <w:rPr>
          <w:snapToGrid w:val="0"/>
        </w:rPr>
        <w:t>.</w:t>
      </w:r>
      <w:r>
        <w:rPr>
          <w:snapToGrid w:val="0"/>
        </w:rPr>
        <w:tab/>
        <w:t>Bingo for senior citizens’ clubs, no fees payable for</w:t>
      </w:r>
      <w:bookmarkEnd w:id="58"/>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59" w:name="_Toc213339503"/>
      <w:r>
        <w:rPr>
          <w:rStyle w:val="CharSectno"/>
        </w:rPr>
        <w:t>21</w:t>
      </w:r>
      <w:r>
        <w:rPr>
          <w:snapToGrid w:val="0"/>
        </w:rPr>
        <w:t>.</w:t>
      </w:r>
      <w:r>
        <w:rPr>
          <w:snapToGrid w:val="0"/>
        </w:rPr>
        <w:tab/>
        <w:t>Percentage of receipts to be paid to Commission</w:t>
      </w:r>
      <w:bookmarkEnd w:id="59"/>
    </w:p>
    <w:p>
      <w:pPr>
        <w:pStyle w:val="Subsection"/>
        <w:rPr>
          <w:snapToGrid w:val="0"/>
        </w:rPr>
      </w:pPr>
      <w:r>
        <w:rPr>
          <w:snapToGrid w:val="0"/>
        </w:rPr>
        <w:tab/>
      </w:r>
      <w:r>
        <w:rPr>
          <w:snapToGrid w:val="0"/>
        </w:rPr>
        <w:tab/>
        <w:t xml:space="preserve">Subject to regulation 20, the holder of a permit authorising the playing of the game of bingo is to pay to the Commission, within 7 days of the conclusion of a session of bingo (or such </w:t>
      </w:r>
      <w:r>
        <w:rPr>
          <w:snapToGrid w:val="0"/>
        </w:rPr>
        <w:lastRenderedPageBreak/>
        <w:t>longer period as the Commission allows), 1% of the gross receipts obtained from participants in that session.</w:t>
      </w:r>
    </w:p>
    <w:p>
      <w:pPr>
        <w:pStyle w:val="Footnotesection"/>
      </w:pPr>
      <w:r>
        <w:tab/>
        <w:t>[Regulation 21 inserted: Gazette 28 Jun 1996 p. 3099.]</w:t>
      </w:r>
    </w:p>
    <w:p>
      <w:pPr>
        <w:pStyle w:val="Heading5"/>
        <w:rPr>
          <w:snapToGrid w:val="0"/>
        </w:rPr>
      </w:pPr>
      <w:bookmarkStart w:id="60" w:name="_Toc213339504"/>
      <w:r>
        <w:rPr>
          <w:rStyle w:val="CharSectno"/>
        </w:rPr>
        <w:t>21A</w:t>
      </w:r>
      <w:r>
        <w:rPr>
          <w:snapToGrid w:val="0"/>
        </w:rPr>
        <w:t>.</w:t>
      </w:r>
      <w:r>
        <w:rPr>
          <w:snapToGrid w:val="0"/>
        </w:rPr>
        <w:tab/>
        <w:t>Times and number of sessions</w:t>
      </w:r>
      <w:bookmarkEnd w:id="60"/>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Gazette 21 May 1993 p. 2520; amended: Gazette 30 Jul 2002 p. 3530.]</w:t>
      </w:r>
    </w:p>
    <w:p>
      <w:pPr>
        <w:pStyle w:val="Heading5"/>
        <w:rPr>
          <w:snapToGrid w:val="0"/>
        </w:rPr>
      </w:pPr>
      <w:bookmarkStart w:id="61" w:name="_Toc213339505"/>
      <w:r>
        <w:rPr>
          <w:rStyle w:val="CharSectno"/>
        </w:rPr>
        <w:t>22</w:t>
      </w:r>
      <w:r>
        <w:rPr>
          <w:snapToGrid w:val="0"/>
        </w:rPr>
        <w:t>.</w:t>
      </w:r>
      <w:r>
        <w:rPr>
          <w:snapToGrid w:val="0"/>
        </w:rPr>
        <w:tab/>
        <w:t>Sessions of bingo</w:t>
      </w:r>
      <w:bookmarkEnd w:id="61"/>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keepNext/>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lastRenderedPageBreak/>
        <w:tab/>
        <w:t>(ba)</w:t>
      </w:r>
      <w:r>
        <w:rPr>
          <w:snapToGrid w:val="0"/>
        </w:rPr>
        <w:tab/>
        <w:t>the purchase of raffle tickets shall not be a prerequisite to participation in a session of bingo.</w:t>
      </w:r>
    </w:p>
    <w:p>
      <w:pPr>
        <w:pStyle w:val="Footnotesection"/>
      </w:pPr>
      <w:r>
        <w:tab/>
        <w:t>[Regulation 22 amended: Gazette 6 Apr 1990 p. 1768; 21 May 1993 p. 2520; 22 Aug 2006 p. 3465.]</w:t>
      </w:r>
    </w:p>
    <w:p>
      <w:pPr>
        <w:pStyle w:val="Heading5"/>
        <w:rPr>
          <w:snapToGrid w:val="0"/>
        </w:rPr>
      </w:pPr>
      <w:bookmarkStart w:id="62" w:name="_Toc213339506"/>
      <w:r>
        <w:rPr>
          <w:rStyle w:val="CharSectno"/>
        </w:rPr>
        <w:t>23</w:t>
      </w:r>
      <w:r>
        <w:rPr>
          <w:snapToGrid w:val="0"/>
        </w:rPr>
        <w:t>.</w:t>
      </w:r>
      <w:r>
        <w:rPr>
          <w:snapToGrid w:val="0"/>
        </w:rPr>
        <w:tab/>
        <w:t>Controllers of sessions, appointment and duties of</w:t>
      </w:r>
      <w:bookmarkEnd w:id="62"/>
    </w:p>
    <w:p>
      <w:pPr>
        <w:pStyle w:val="Subsection"/>
      </w:pPr>
      <w:r>
        <w:tab/>
        <w:t>(1A)</w:t>
      </w:r>
      <w:r>
        <w:tab/>
        <w:t xml:space="preserve">In this regulation — </w:t>
      </w:r>
    </w:p>
    <w:p>
      <w:pPr>
        <w:pStyle w:val="Defstart"/>
      </w:pPr>
      <w:r>
        <w:tab/>
      </w:r>
      <w:r>
        <w:rPr>
          <w:rStyle w:val="CharDefText"/>
        </w:rPr>
        <w:t>approved electronic bingo equipment</w:t>
      </w:r>
      <w:r>
        <w:t xml:space="preserve"> means gaming equipment approved by the Commission for use in conducting bingo by electronic means.</w:t>
      </w:r>
    </w:p>
    <w:p>
      <w:pPr>
        <w:pStyle w:val="Subsection"/>
        <w:spacing w:before="120"/>
        <w:rPr>
          <w:snapToGrid w:val="0"/>
        </w:rPr>
      </w:pPr>
      <w:r>
        <w:rPr>
          <w:snapToGrid w:val="0"/>
        </w:rPr>
        <w:tab/>
        <w:t>(1)</w:t>
      </w:r>
      <w:r>
        <w:rPr>
          <w:snapToGrid w:val="0"/>
        </w:rPr>
        <w:tab/>
        <w:t xml:space="preserve">Each session of bingo </w:t>
      </w:r>
      <w:r>
        <w:t>must</w:t>
      </w:r>
      <w:r>
        <w:rPr>
          <w:snapToGrid w:val="0"/>
        </w:rPr>
        <w:t xml:space="preserve">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keepNext/>
        <w:rPr>
          <w:snapToGrid w:val="0"/>
        </w:rPr>
      </w:pPr>
      <w:r>
        <w:rPr>
          <w:snapToGrid w:val="0"/>
        </w:rPr>
        <w:tab/>
        <w:t>(2)</w:t>
      </w:r>
      <w:r>
        <w:rPr>
          <w:snapToGrid w:val="0"/>
        </w:rPr>
        <w:tab/>
        <w:t xml:space="preserve">The person appointed by the permit holder under subregulation (1)(a) </w:t>
      </w:r>
      <w:r>
        <w:t>for a session of bingo must —</w:t>
      </w:r>
    </w:p>
    <w:p>
      <w:pPr>
        <w:pStyle w:val="Indenta"/>
        <w:keepNext/>
        <w:rPr>
          <w:snapToGrid w:val="0"/>
        </w:rPr>
      </w:pPr>
      <w:r>
        <w:rPr>
          <w:snapToGrid w:val="0"/>
        </w:rPr>
        <w:tab/>
        <w:t>(a)</w:t>
      </w:r>
      <w:r>
        <w:rPr>
          <w:snapToGrid w:val="0"/>
        </w:rPr>
        <w:tab/>
        <w:t xml:space="preserve">in respect of </w:t>
      </w:r>
      <w:r>
        <w:t>the session</w:t>
      </w:r>
      <w:r>
        <w:rPr>
          <w:snapToGrid w:val="0"/>
        </w:rPr>
        <w:t xml:space="preserve"> keep, or cause to be kept, an accurate record of —</w:t>
      </w:r>
    </w:p>
    <w:p>
      <w:pPr>
        <w:pStyle w:val="Indenti"/>
        <w:keepNext/>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pPr>
      <w:r>
        <w:tab/>
        <w:t>(b)</w:t>
      </w:r>
      <w:r>
        <w:tab/>
        <w:t>if the session has more than 100 participants — provide not less than 2 spotters for the session, who must not participate in the session; and</w:t>
      </w:r>
    </w:p>
    <w:p>
      <w:pPr>
        <w:pStyle w:val="Indenta"/>
        <w:keepNext/>
      </w:pPr>
      <w:r>
        <w:lastRenderedPageBreak/>
        <w:tab/>
        <w:t>(c)</w:t>
      </w:r>
      <w:r>
        <w:tab/>
        <w:t xml:space="preserve">at the conclusion of each game in the session, cause the winning card numbers to be — </w:t>
      </w:r>
    </w:p>
    <w:p>
      <w:pPr>
        <w:pStyle w:val="Indenti"/>
        <w:keepNext/>
      </w:pPr>
      <w:r>
        <w:tab/>
        <w:t>(i)</w:t>
      </w:r>
      <w:r>
        <w:tab/>
        <w:t>called back and checked with the drawn numbers by 2 unsuccessful players in the game; or</w:t>
      </w:r>
    </w:p>
    <w:p>
      <w:pPr>
        <w:pStyle w:val="Indenti"/>
        <w:keepNext/>
      </w:pPr>
      <w:r>
        <w:tab/>
        <w:t>(ii)</w:t>
      </w:r>
      <w:r>
        <w:tab/>
        <w:t>displayed to each player by means of approved electronic bingo equipment;</w:t>
      </w:r>
    </w:p>
    <w:p>
      <w:pPr>
        <w:pStyle w:val="Indenta"/>
      </w:pPr>
      <w:r>
        <w:tab/>
      </w:r>
      <w:r>
        <w:tab/>
        <w:t>and</w:t>
      </w:r>
    </w:p>
    <w:p>
      <w:pPr>
        <w:pStyle w:val="Indenta"/>
        <w:keepNext/>
      </w:pPr>
      <w:r>
        <w:tab/>
        <w:t>(d)</w:t>
      </w:r>
      <w:r>
        <w:tab/>
        <w:t>ensure that each player participates in no more than 1 call back under paragraph (c)(i) in the session.</w:t>
      </w:r>
    </w:p>
    <w:p>
      <w:pPr>
        <w:pStyle w:val="Footnotesection"/>
      </w:pPr>
      <w:r>
        <w:tab/>
        <w:t>[Regulation 23 amended: Gazette 6 Apr 1990 p. 1768; SL 2020/10 r. 4.]</w:t>
      </w:r>
    </w:p>
    <w:p>
      <w:pPr>
        <w:pStyle w:val="Heading5"/>
        <w:rPr>
          <w:snapToGrid w:val="0"/>
        </w:rPr>
      </w:pPr>
      <w:bookmarkStart w:id="63" w:name="_Toc213339507"/>
      <w:r>
        <w:rPr>
          <w:rStyle w:val="CharSectno"/>
        </w:rPr>
        <w:t>23A</w:t>
      </w:r>
      <w:r>
        <w:rPr>
          <w:snapToGrid w:val="0"/>
        </w:rPr>
        <w:t>.</w:t>
      </w:r>
      <w:r>
        <w:rPr>
          <w:snapToGrid w:val="0"/>
        </w:rPr>
        <w:tab/>
        <w:t>Advertising value of prizes prohibited</w:t>
      </w:r>
      <w:bookmarkEnd w:id="63"/>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pPr>
      <w:r>
        <w:tab/>
        <w:t>Penalty for this subregulation: a fine of $1 000.</w:t>
      </w:r>
    </w:p>
    <w:p>
      <w:pPr>
        <w:pStyle w:val="Subsection"/>
        <w:keepNext/>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Gazette 27 Feb 1991 p. 5068; amended: Gazette 22 Aug 2006 p. 3465</w:t>
      </w:r>
      <w:r>
        <w:noBreakHyphen/>
        <w:t>6; SL 2025/35 r. 30.]</w:t>
      </w:r>
    </w:p>
    <w:p>
      <w:pPr>
        <w:pStyle w:val="Heading5"/>
        <w:rPr>
          <w:snapToGrid w:val="0"/>
        </w:rPr>
      </w:pPr>
      <w:bookmarkStart w:id="64" w:name="_Toc213339508"/>
      <w:r>
        <w:rPr>
          <w:rStyle w:val="CharSectno"/>
        </w:rPr>
        <w:lastRenderedPageBreak/>
        <w:t>24</w:t>
      </w:r>
      <w:r>
        <w:rPr>
          <w:snapToGrid w:val="0"/>
        </w:rPr>
        <w:t>.</w:t>
      </w:r>
      <w:r>
        <w:rPr>
          <w:snapToGrid w:val="0"/>
        </w:rPr>
        <w:tab/>
        <w:t>Prizes, permitted value of</w:t>
      </w:r>
      <w:bookmarkEnd w:id="64"/>
    </w:p>
    <w:p>
      <w:pPr>
        <w:pStyle w:val="Subsection"/>
        <w:keepNext/>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7230" w:type="dxa"/>
        <w:tblLayout w:type="fixed"/>
        <w:tblCellMar>
          <w:left w:w="212" w:type="dxa"/>
          <w:right w:w="212" w:type="dxa"/>
        </w:tblCellMar>
        <w:tblLook w:val="0000" w:firstRow="0" w:lastRow="0" w:firstColumn="0" w:lastColumn="0" w:noHBand="0" w:noVBand="0"/>
      </w:tblPr>
      <w:tblGrid>
        <w:gridCol w:w="2400"/>
        <w:gridCol w:w="1144"/>
        <w:gridCol w:w="2126"/>
        <w:gridCol w:w="1560"/>
      </w:tblGrid>
      <w:tr>
        <w:trPr>
          <w:tblHeader/>
        </w:trPr>
        <w:tc>
          <w:tcPr>
            <w:tcW w:w="2400" w:type="dxa"/>
            <w:tcBorders>
              <w:top w:val="single" w:sz="4" w:space="0" w:color="auto"/>
              <w:bottom w:val="single" w:sz="4" w:space="0" w:color="auto"/>
            </w:tcBorders>
          </w:tcPr>
          <w:p>
            <w:pPr>
              <w:pStyle w:val="TableNAm"/>
              <w:keepNext/>
              <w:rPr>
                <w:b/>
                <w:bCs/>
                <w:szCs w:val="24"/>
              </w:rPr>
            </w:pPr>
            <w:r>
              <w:rPr>
                <w:b/>
                <w:bCs/>
                <w:szCs w:val="24"/>
              </w:rPr>
              <w:t>Gross receipts</w:t>
            </w:r>
          </w:p>
        </w:tc>
        <w:tc>
          <w:tcPr>
            <w:tcW w:w="1144" w:type="dxa"/>
            <w:tcBorders>
              <w:top w:val="single" w:sz="4" w:space="0" w:color="auto"/>
              <w:bottom w:val="single" w:sz="4" w:space="0" w:color="auto"/>
            </w:tcBorders>
          </w:tcPr>
          <w:p>
            <w:pPr>
              <w:pStyle w:val="TableNAm"/>
              <w:keepNext/>
              <w:rPr>
                <w:b/>
                <w:bCs/>
                <w:szCs w:val="24"/>
              </w:rPr>
            </w:pPr>
          </w:p>
        </w:tc>
        <w:tc>
          <w:tcPr>
            <w:tcW w:w="2126" w:type="dxa"/>
            <w:tcBorders>
              <w:top w:val="single" w:sz="4" w:space="0" w:color="auto"/>
              <w:bottom w:val="single" w:sz="4" w:space="0" w:color="auto"/>
            </w:tcBorders>
          </w:tcPr>
          <w:p>
            <w:pPr>
              <w:pStyle w:val="TableNAm"/>
              <w:keepNext/>
              <w:rPr>
                <w:b/>
                <w:bCs/>
                <w:szCs w:val="24"/>
              </w:rPr>
            </w:pPr>
            <w:r>
              <w:rPr>
                <w:b/>
                <w:bCs/>
                <w:szCs w:val="24"/>
              </w:rPr>
              <w:t>Total of prizes</w:t>
            </w:r>
          </w:p>
        </w:tc>
        <w:tc>
          <w:tcPr>
            <w:tcW w:w="1560" w:type="dxa"/>
            <w:tcBorders>
              <w:top w:val="single" w:sz="4" w:space="0" w:color="auto"/>
              <w:bottom w:val="single" w:sz="4" w:space="0" w:color="auto"/>
            </w:tcBorders>
          </w:tcPr>
          <w:p>
            <w:pPr>
              <w:pStyle w:val="TableNAm"/>
              <w:keepNext/>
              <w:rPr>
                <w:b/>
                <w:bCs/>
                <w:szCs w:val="24"/>
              </w:rPr>
            </w:pPr>
            <w:r>
              <w:rPr>
                <w:b/>
                <w:bCs/>
                <w:szCs w:val="24"/>
              </w:rPr>
              <w:t>Permitted variation</w:t>
            </w:r>
          </w:p>
        </w:tc>
      </w:tr>
      <w:tr>
        <w:tc>
          <w:tcPr>
            <w:tcW w:w="2400" w:type="dxa"/>
            <w:tcBorders>
              <w:top w:val="single" w:sz="4" w:space="0" w:color="auto"/>
            </w:tcBorders>
          </w:tcPr>
          <w:p>
            <w:pPr>
              <w:pStyle w:val="TableNAm"/>
              <w:keepNext/>
              <w:rPr>
                <w:szCs w:val="24"/>
              </w:rPr>
            </w:pPr>
            <w:r>
              <w:rPr>
                <w:szCs w:val="24"/>
              </w:rPr>
              <w:t>$5 000 and under</w:t>
            </w:r>
          </w:p>
        </w:tc>
        <w:tc>
          <w:tcPr>
            <w:tcW w:w="1144" w:type="dxa"/>
            <w:tcBorders>
              <w:top w:val="single" w:sz="4" w:space="0" w:color="auto"/>
            </w:tcBorders>
          </w:tcPr>
          <w:p>
            <w:pPr>
              <w:pStyle w:val="TableNAm"/>
              <w:keepNext/>
              <w:rPr>
                <w:szCs w:val="24"/>
              </w:rPr>
            </w:pPr>
          </w:p>
        </w:tc>
        <w:tc>
          <w:tcPr>
            <w:tcW w:w="2126" w:type="dxa"/>
            <w:tcBorders>
              <w:top w:val="single" w:sz="4" w:space="0" w:color="auto"/>
            </w:tcBorders>
          </w:tcPr>
          <w:p>
            <w:pPr>
              <w:pStyle w:val="TableNAm"/>
              <w:keepNext/>
              <w:rPr>
                <w:szCs w:val="24"/>
              </w:rPr>
            </w:pPr>
            <w:r>
              <w:rPr>
                <w:szCs w:val="24"/>
              </w:rPr>
              <w:t>no limit</w:t>
            </w:r>
          </w:p>
        </w:tc>
        <w:tc>
          <w:tcPr>
            <w:tcW w:w="1560" w:type="dxa"/>
            <w:tcBorders>
              <w:top w:val="single" w:sz="4" w:space="0" w:color="auto"/>
            </w:tcBorders>
          </w:tcPr>
          <w:p>
            <w:pPr>
              <w:pStyle w:val="TableNAm"/>
              <w:keepNext/>
              <w:rPr>
                <w:szCs w:val="24"/>
              </w:rPr>
            </w:pPr>
            <w:r>
              <w:rPr>
                <w:szCs w:val="24"/>
              </w:rPr>
              <w:t>—</w:t>
            </w:r>
          </w:p>
        </w:tc>
      </w:tr>
      <w:tr>
        <w:tc>
          <w:tcPr>
            <w:tcW w:w="2400" w:type="dxa"/>
            <w:tcBorders>
              <w:bottom w:val="single" w:sz="4" w:space="0" w:color="auto"/>
            </w:tcBorders>
          </w:tcPr>
          <w:p>
            <w:pPr>
              <w:pStyle w:val="TableNAm"/>
              <w:keepNext/>
              <w:rPr>
                <w:szCs w:val="24"/>
              </w:rPr>
            </w:pPr>
            <w:r>
              <w:t>Over $5 000</w:t>
            </w:r>
          </w:p>
        </w:tc>
        <w:tc>
          <w:tcPr>
            <w:tcW w:w="1144" w:type="dxa"/>
            <w:tcBorders>
              <w:bottom w:val="single" w:sz="4" w:space="0" w:color="auto"/>
            </w:tcBorders>
          </w:tcPr>
          <w:p>
            <w:pPr>
              <w:pStyle w:val="TableNAm"/>
              <w:keepNext/>
              <w:rPr>
                <w:szCs w:val="24"/>
              </w:rPr>
            </w:pPr>
          </w:p>
        </w:tc>
        <w:tc>
          <w:tcPr>
            <w:tcW w:w="2126" w:type="dxa"/>
            <w:tcBorders>
              <w:bottom w:val="single" w:sz="4" w:space="0" w:color="auto"/>
            </w:tcBorders>
          </w:tcPr>
          <w:p>
            <w:pPr>
              <w:pStyle w:val="TableNAm"/>
              <w:keepNext/>
              <w:rPr>
                <w:szCs w:val="24"/>
              </w:rPr>
            </w:pPr>
            <w:r>
              <w:rPr>
                <w:szCs w:val="24"/>
              </w:rPr>
              <w:t>60%</w:t>
            </w:r>
          </w:p>
        </w:tc>
        <w:tc>
          <w:tcPr>
            <w:tcW w:w="1560" w:type="dxa"/>
            <w:tcBorders>
              <w:bottom w:val="single" w:sz="4" w:space="0" w:color="auto"/>
            </w:tcBorders>
          </w:tcPr>
          <w:p>
            <w:pPr>
              <w:pStyle w:val="TableNAm"/>
              <w:keepNext/>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Gazette 15 Feb 1994 p. 552; 22 Aug 2006 p. 3466; 11 Jul 2017 p. 3834.]</w:t>
      </w:r>
    </w:p>
    <w:p>
      <w:pPr>
        <w:pStyle w:val="Heading5"/>
        <w:rPr>
          <w:snapToGrid w:val="0"/>
        </w:rPr>
      </w:pPr>
      <w:bookmarkStart w:id="65" w:name="_Toc213339509"/>
      <w:r>
        <w:rPr>
          <w:rStyle w:val="CharSectno"/>
        </w:rPr>
        <w:t>25</w:t>
      </w:r>
      <w:r>
        <w:rPr>
          <w:snapToGrid w:val="0"/>
        </w:rPr>
        <w:t>.</w:t>
      </w:r>
      <w:r>
        <w:rPr>
          <w:snapToGrid w:val="0"/>
        </w:rPr>
        <w:tab/>
        <w:t>Expenses, maximum and calculation of</w:t>
      </w:r>
      <w:bookmarkEnd w:id="65"/>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keepNext/>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lastRenderedPageBreak/>
        <w:tab/>
        <w:t>(2a)</w:t>
      </w:r>
      <w:r>
        <w:tab/>
        <w:t>If —</w:t>
      </w:r>
    </w:p>
    <w:p>
      <w:pPr>
        <w:pStyle w:val="Indenta"/>
        <w:spacing w:before="60"/>
      </w:pPr>
      <w:r>
        <w:tab/>
        <w:t>(a)</w:t>
      </w:r>
      <w:r>
        <w:tab/>
        <w:t>a jackpot prize is offered at a session of bingo; and</w:t>
      </w:r>
    </w:p>
    <w:p>
      <w:pPr>
        <w:pStyle w:val="Indenta"/>
        <w:keepNext/>
        <w:spacing w:before="60"/>
      </w:pPr>
      <w:r>
        <w:tab/>
        <w:t>(b)</w:t>
      </w:r>
      <w:r>
        <w:tab/>
        <w:t>any part of that prize is funded from sources other than receipts from that session of bingo,</w:t>
      </w:r>
    </w:p>
    <w:p>
      <w:pPr>
        <w:pStyle w:val="Subsection"/>
        <w:keepNext/>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Gazette 6 Apr 1990 p. 1768; amended: Gazette 22 Aug 2006 p. 3466</w:t>
      </w:r>
      <w:r>
        <w:noBreakHyphen/>
        <w:t>7.]</w:t>
      </w:r>
    </w:p>
    <w:p>
      <w:pPr>
        <w:pStyle w:val="Heading5"/>
        <w:rPr>
          <w:snapToGrid w:val="0"/>
        </w:rPr>
      </w:pPr>
      <w:bookmarkStart w:id="66" w:name="_Toc213339510"/>
      <w:r>
        <w:rPr>
          <w:rStyle w:val="CharSectno"/>
        </w:rPr>
        <w:t>26</w:t>
      </w:r>
      <w:r>
        <w:rPr>
          <w:snapToGrid w:val="0"/>
        </w:rPr>
        <w:t>.</w:t>
      </w:r>
      <w:r>
        <w:rPr>
          <w:snapToGrid w:val="0"/>
        </w:rPr>
        <w:tab/>
        <w:t>Playing other games of chance at bingo premises</w:t>
      </w:r>
      <w:bookmarkEnd w:id="66"/>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lastRenderedPageBreak/>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keepNext/>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Gazette 6 Apr 1990 p. 1768</w:t>
      </w:r>
      <w:r>
        <w:noBreakHyphen/>
        <w:t>9; amended: Gazette 22 Aug 2006 p. 3467.]</w:t>
      </w:r>
    </w:p>
    <w:p>
      <w:pPr>
        <w:pStyle w:val="Heading3"/>
      </w:pPr>
      <w:bookmarkStart w:id="67" w:name="_Toc213336830"/>
      <w:bookmarkStart w:id="68" w:name="_Toc213337532"/>
      <w:bookmarkStart w:id="69" w:name="_Toc213339511"/>
      <w:r>
        <w:rPr>
          <w:rStyle w:val="CharDivNo"/>
        </w:rPr>
        <w:t>Division 6</w:t>
      </w:r>
      <w:r>
        <w:rPr>
          <w:snapToGrid w:val="0"/>
        </w:rPr>
        <w:t> — </w:t>
      </w:r>
      <w:r>
        <w:rPr>
          <w:rStyle w:val="CharDivText"/>
        </w:rPr>
        <w:t>Lotteries, etc.</w:t>
      </w:r>
      <w:bookmarkEnd w:id="67"/>
      <w:bookmarkEnd w:id="68"/>
      <w:bookmarkEnd w:id="69"/>
    </w:p>
    <w:p>
      <w:pPr>
        <w:pStyle w:val="Heading4"/>
        <w:spacing w:before="220"/>
        <w:rPr>
          <w:snapToGrid w:val="0"/>
        </w:rPr>
      </w:pPr>
      <w:bookmarkStart w:id="70" w:name="_Toc213336831"/>
      <w:bookmarkStart w:id="71" w:name="_Toc213337533"/>
      <w:bookmarkStart w:id="72" w:name="_Toc213339512"/>
      <w:r>
        <w:rPr>
          <w:snapToGrid w:val="0"/>
        </w:rPr>
        <w:t>Subdivision 1 — Standard lotteries</w:t>
      </w:r>
      <w:bookmarkEnd w:id="70"/>
      <w:bookmarkEnd w:id="71"/>
      <w:bookmarkEnd w:id="72"/>
    </w:p>
    <w:p>
      <w:pPr>
        <w:pStyle w:val="Footnoteheading"/>
      </w:pPr>
      <w:r>
        <w:tab/>
        <w:t>[Heading amended: Gazette 6 Sep 2016 p. 3833.]</w:t>
      </w:r>
    </w:p>
    <w:p>
      <w:pPr>
        <w:pStyle w:val="Heading5"/>
        <w:rPr>
          <w:snapToGrid w:val="0"/>
        </w:rPr>
      </w:pPr>
      <w:bookmarkStart w:id="73" w:name="_Toc213339513"/>
      <w:r>
        <w:rPr>
          <w:rStyle w:val="CharSectno"/>
        </w:rPr>
        <w:t>27</w:t>
      </w:r>
      <w:r>
        <w:rPr>
          <w:snapToGrid w:val="0"/>
        </w:rPr>
        <w:t>.</w:t>
      </w:r>
      <w:r>
        <w:rPr>
          <w:snapToGrid w:val="0"/>
        </w:rPr>
        <w:tab/>
        <w:t>Rules for conducting standard lottery</w:t>
      </w:r>
      <w:bookmarkEnd w:id="73"/>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74" w:name="_Toc213339514"/>
      <w:r>
        <w:rPr>
          <w:rStyle w:val="CharSectno"/>
        </w:rPr>
        <w:t>28</w:t>
      </w:r>
      <w:r>
        <w:rPr>
          <w:snapToGrid w:val="0"/>
        </w:rPr>
        <w:t>.</w:t>
      </w:r>
      <w:r>
        <w:rPr>
          <w:snapToGrid w:val="0"/>
        </w:rPr>
        <w:tab/>
        <w:t>Conditions relating to standard lottery</w:t>
      </w:r>
      <w:bookmarkEnd w:id="74"/>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lastRenderedPageBreak/>
        <w:tab/>
        <w:t>(c)</w:t>
      </w:r>
      <w:r>
        <w:rPr>
          <w:snapToGrid w:val="0"/>
        </w:rPr>
        <w:tab/>
        <w:t>the dates between which chances may be sold or subscriptions called; and</w:t>
      </w:r>
    </w:p>
    <w:p>
      <w:pPr>
        <w:pStyle w:val="Indenta"/>
        <w:keepNext/>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Gazette 11 May 1993 p. 2397.]</w:t>
      </w:r>
    </w:p>
    <w:p>
      <w:pPr>
        <w:pStyle w:val="Ednotesection"/>
      </w:pPr>
      <w:r>
        <w:t>[</w:t>
      </w:r>
      <w:r>
        <w:rPr>
          <w:b/>
        </w:rPr>
        <w:t>28A, 28B.</w:t>
      </w:r>
      <w:r>
        <w:tab/>
        <w:t>Deleted: Gazette 6 Jul 1993 p. 3312.]</w:t>
      </w:r>
    </w:p>
    <w:p>
      <w:pPr>
        <w:pStyle w:val="Heading5"/>
        <w:rPr>
          <w:snapToGrid w:val="0"/>
        </w:rPr>
      </w:pPr>
      <w:bookmarkStart w:id="75" w:name="_Toc213339515"/>
      <w:r>
        <w:rPr>
          <w:rStyle w:val="CharSectno"/>
        </w:rPr>
        <w:t>28C</w:t>
      </w:r>
      <w:r>
        <w:rPr>
          <w:snapToGrid w:val="0"/>
        </w:rPr>
        <w:t>.</w:t>
      </w:r>
      <w:r>
        <w:rPr>
          <w:snapToGrid w:val="0"/>
        </w:rPr>
        <w:tab/>
        <w:t>Lottery tickets etc. not to be sent etc. to persons for sale etc. without their consent</w:t>
      </w:r>
      <w:bookmarkEnd w:id="75"/>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Gazette 11 May 1993 p. 2398.]</w:t>
      </w:r>
    </w:p>
    <w:p>
      <w:pPr>
        <w:pStyle w:val="Heading5"/>
        <w:rPr>
          <w:snapToGrid w:val="0"/>
        </w:rPr>
      </w:pPr>
      <w:bookmarkStart w:id="76" w:name="_Toc213339516"/>
      <w:r>
        <w:rPr>
          <w:rStyle w:val="CharSectno"/>
        </w:rPr>
        <w:t>29</w:t>
      </w:r>
      <w:r>
        <w:rPr>
          <w:snapToGrid w:val="0"/>
        </w:rPr>
        <w:t>.</w:t>
      </w:r>
      <w:r>
        <w:rPr>
          <w:snapToGrid w:val="0"/>
        </w:rPr>
        <w:tab/>
        <w:t>When standard lottery must be drawn</w:t>
      </w:r>
      <w:bookmarkEnd w:id="76"/>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Gazette 11 May 1993 p. 2398; amended: Gazette 23 Feb 1996 p. 674.]</w:t>
      </w:r>
    </w:p>
    <w:p>
      <w:pPr>
        <w:pStyle w:val="Heading5"/>
        <w:rPr>
          <w:snapToGrid w:val="0"/>
        </w:rPr>
      </w:pPr>
      <w:bookmarkStart w:id="77" w:name="_Toc213339517"/>
      <w:r>
        <w:rPr>
          <w:rStyle w:val="CharSectno"/>
        </w:rPr>
        <w:lastRenderedPageBreak/>
        <w:t>30</w:t>
      </w:r>
      <w:r>
        <w:rPr>
          <w:snapToGrid w:val="0"/>
        </w:rPr>
        <w:t>.</w:t>
      </w:r>
      <w:r>
        <w:rPr>
          <w:snapToGrid w:val="0"/>
        </w:rPr>
        <w:tab/>
        <w:t>Unclaimed prizes in standard lotteries</w:t>
      </w:r>
      <w:bookmarkEnd w:id="77"/>
    </w:p>
    <w:p>
      <w:pPr>
        <w:pStyle w:val="Subsection"/>
        <w:keepNext/>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keepNext/>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78" w:name="_Toc213339518"/>
      <w:r>
        <w:rPr>
          <w:rStyle w:val="CharSectno"/>
        </w:rPr>
        <w:t>30A</w:t>
      </w:r>
      <w:r>
        <w:rPr>
          <w:snapToGrid w:val="0"/>
        </w:rPr>
        <w:t>.</w:t>
      </w:r>
      <w:r>
        <w:rPr>
          <w:snapToGrid w:val="0"/>
        </w:rPr>
        <w:tab/>
        <w:t>Prizes from donor organizations</w:t>
      </w:r>
      <w:bookmarkEnd w:id="78"/>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 xml:space="preserve">the permit holder may, after first obtaining the written approval of the Commission, pay the equivalent cash value of the prize, </w:t>
      </w:r>
      <w:r>
        <w:rPr>
          <w:snapToGrid w:val="0"/>
        </w:rPr>
        <w:lastRenderedPageBreak/>
        <w:t>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Gazette 27 Sep 1991 p. 5069.]</w:t>
      </w:r>
    </w:p>
    <w:p>
      <w:pPr>
        <w:pStyle w:val="Heading5"/>
        <w:rPr>
          <w:snapToGrid w:val="0"/>
        </w:rPr>
      </w:pPr>
      <w:bookmarkStart w:id="79" w:name="_Toc213339519"/>
      <w:r>
        <w:rPr>
          <w:rStyle w:val="CharSectno"/>
        </w:rPr>
        <w:t>30B</w:t>
      </w:r>
      <w:r>
        <w:rPr>
          <w:snapToGrid w:val="0"/>
        </w:rPr>
        <w:t>.</w:t>
      </w:r>
      <w:r>
        <w:rPr>
          <w:snapToGrid w:val="0"/>
        </w:rPr>
        <w:tab/>
        <w:t>Body not to buy ticket etc. in its own lottery</w:t>
      </w:r>
      <w:bookmarkEnd w:id="79"/>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Gazette 11 May 1993 p. 2398.]</w:t>
      </w:r>
    </w:p>
    <w:p>
      <w:pPr>
        <w:pStyle w:val="Heading5"/>
        <w:rPr>
          <w:snapToGrid w:val="0"/>
        </w:rPr>
      </w:pPr>
      <w:bookmarkStart w:id="80" w:name="_Toc213339520"/>
      <w:r>
        <w:rPr>
          <w:rStyle w:val="CharSectno"/>
        </w:rPr>
        <w:t>31</w:t>
      </w:r>
      <w:r>
        <w:rPr>
          <w:snapToGrid w:val="0"/>
        </w:rPr>
        <w:t>.</w:t>
      </w:r>
      <w:r>
        <w:rPr>
          <w:snapToGrid w:val="0"/>
        </w:rPr>
        <w:tab/>
        <w:t>Small private lotteries (Act s. 103)</w:t>
      </w:r>
      <w:bookmarkEnd w:id="80"/>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Gazette 16 May 1997 p. 2393; 22 Aug 2006 p. 3467</w:t>
      </w:r>
      <w:r>
        <w:noBreakHyphen/>
        <w:t>8.]</w:t>
      </w:r>
    </w:p>
    <w:p>
      <w:pPr>
        <w:pStyle w:val="Heading4"/>
        <w:rPr>
          <w:snapToGrid w:val="0"/>
        </w:rPr>
      </w:pPr>
      <w:bookmarkStart w:id="81" w:name="_Toc213336840"/>
      <w:bookmarkStart w:id="82" w:name="_Toc213337542"/>
      <w:bookmarkStart w:id="83" w:name="_Toc213339521"/>
      <w:r>
        <w:rPr>
          <w:snapToGrid w:val="0"/>
        </w:rPr>
        <w:lastRenderedPageBreak/>
        <w:t>Subdivision 2 — Continuing lotteries</w:t>
      </w:r>
      <w:bookmarkEnd w:id="81"/>
      <w:bookmarkEnd w:id="82"/>
      <w:bookmarkEnd w:id="83"/>
    </w:p>
    <w:p>
      <w:pPr>
        <w:pStyle w:val="Footnoteheading"/>
        <w:keepNext/>
      </w:pPr>
      <w:r>
        <w:tab/>
        <w:t>[Heading amended: Gazette 6 Sep 2016 p. 3833.]</w:t>
      </w:r>
    </w:p>
    <w:p>
      <w:pPr>
        <w:pStyle w:val="Heading5"/>
        <w:rPr>
          <w:snapToGrid w:val="0"/>
        </w:rPr>
      </w:pPr>
      <w:bookmarkStart w:id="84" w:name="_Toc213339522"/>
      <w:r>
        <w:rPr>
          <w:rStyle w:val="CharSectno"/>
        </w:rPr>
        <w:t>32</w:t>
      </w:r>
      <w:r>
        <w:rPr>
          <w:snapToGrid w:val="0"/>
        </w:rPr>
        <w:t>.</w:t>
      </w:r>
      <w:r>
        <w:rPr>
          <w:snapToGrid w:val="0"/>
        </w:rPr>
        <w:tab/>
        <w:t>Rules for conducting continuing lotteries</w:t>
      </w:r>
      <w:bookmarkEnd w:id="84"/>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85" w:name="_Toc213339523"/>
      <w:r>
        <w:rPr>
          <w:rStyle w:val="CharSectno"/>
        </w:rPr>
        <w:t>33</w:t>
      </w:r>
      <w:r>
        <w:rPr>
          <w:snapToGrid w:val="0"/>
        </w:rPr>
        <w:t>.</w:t>
      </w:r>
      <w:r>
        <w:rPr>
          <w:snapToGrid w:val="0"/>
        </w:rPr>
        <w:tab/>
        <w:t>Conditions relating to continuing lottery</w:t>
      </w:r>
      <w:bookmarkEnd w:id="85"/>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Gazette 1 Dec 2015 p. 4824.]</w:t>
      </w:r>
    </w:p>
    <w:p>
      <w:pPr>
        <w:pStyle w:val="Heading5"/>
        <w:rPr>
          <w:snapToGrid w:val="0"/>
        </w:rPr>
      </w:pPr>
      <w:bookmarkStart w:id="86" w:name="_Toc213339524"/>
      <w:r>
        <w:rPr>
          <w:rStyle w:val="CharSectno"/>
        </w:rPr>
        <w:lastRenderedPageBreak/>
        <w:t>34</w:t>
      </w:r>
      <w:r>
        <w:rPr>
          <w:snapToGrid w:val="0"/>
        </w:rPr>
        <w:t>.</w:t>
      </w:r>
      <w:r>
        <w:rPr>
          <w:snapToGrid w:val="0"/>
        </w:rPr>
        <w:tab/>
        <w:t>Vending machines for continuing lotteries, location of and conditions as to (Act s. 105(2))</w:t>
      </w:r>
      <w:bookmarkEnd w:id="86"/>
    </w:p>
    <w:p>
      <w:pPr>
        <w:pStyle w:val="Subsection"/>
        <w:keepNext/>
      </w:pPr>
      <w:r>
        <w:tab/>
        <w:t>(1)</w:t>
      </w:r>
      <w:r>
        <w:tab/>
        <w:t>For the purposes of section 105(2), the following premises are premises of a prescribed kind —</w:t>
      </w:r>
    </w:p>
    <w:p>
      <w:pPr>
        <w:pStyle w:val="Indenta"/>
        <w:keepNext/>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Gazette 4 Aug 1998 p. 3989; 21 Dec 2001 p. 6551.]</w:t>
      </w:r>
    </w:p>
    <w:p>
      <w:pPr>
        <w:pStyle w:val="Heading5"/>
        <w:rPr>
          <w:snapToGrid w:val="0"/>
        </w:rPr>
      </w:pPr>
      <w:bookmarkStart w:id="87" w:name="_Toc213339525"/>
      <w:r>
        <w:rPr>
          <w:rStyle w:val="CharSectno"/>
        </w:rPr>
        <w:t>35</w:t>
      </w:r>
      <w:r>
        <w:rPr>
          <w:snapToGrid w:val="0"/>
        </w:rPr>
        <w:t>.</w:t>
      </w:r>
      <w:r>
        <w:rPr>
          <w:snapToGrid w:val="0"/>
        </w:rPr>
        <w:tab/>
        <w:t>Accounts etc. of continuing lottery to be available for inspection</w:t>
      </w:r>
      <w:bookmarkEnd w:id="87"/>
    </w:p>
    <w:p>
      <w:pPr>
        <w:pStyle w:val="Subsection"/>
        <w:keepNext/>
        <w:rPr>
          <w:snapToGrid w:val="0"/>
        </w:rPr>
      </w:pPr>
      <w:r>
        <w:rPr>
          <w:snapToGrid w:val="0"/>
        </w:rPr>
        <w:tab/>
      </w:r>
      <w:r>
        <w:rPr>
          <w:snapToGrid w:val="0"/>
        </w:rPr>
        <w:tab/>
        <w:t xml:space="preserve">With respect to a continuing lottery, all accounts, tickets, vouchers and things relating to the lottery shall at all times be </w:t>
      </w:r>
      <w:r>
        <w:rPr>
          <w:snapToGrid w:val="0"/>
        </w:rPr>
        <w:lastRenderedPageBreak/>
        <w:t>kept readily accessible by the permit holder for inspection or audit as provided by the Act.</w:t>
      </w:r>
    </w:p>
    <w:p>
      <w:pPr>
        <w:pStyle w:val="Footnotesection"/>
      </w:pPr>
      <w:r>
        <w:tab/>
        <w:t>[Regulation 35 inserted: Gazette 16 May 1997 p. 2393.]</w:t>
      </w:r>
    </w:p>
    <w:p>
      <w:pPr>
        <w:pStyle w:val="Heading5"/>
        <w:rPr>
          <w:snapToGrid w:val="0"/>
        </w:rPr>
      </w:pPr>
      <w:bookmarkStart w:id="88" w:name="_Toc213339526"/>
      <w:r>
        <w:rPr>
          <w:rStyle w:val="CharSectno"/>
        </w:rPr>
        <w:t>36</w:t>
      </w:r>
      <w:r>
        <w:rPr>
          <w:snapToGrid w:val="0"/>
        </w:rPr>
        <w:t>.</w:t>
      </w:r>
      <w:r>
        <w:rPr>
          <w:snapToGrid w:val="0"/>
        </w:rPr>
        <w:tab/>
        <w:t>Distribution of benefit</w:t>
      </w:r>
      <w:bookmarkEnd w:id="88"/>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89" w:name="_Toc213336846"/>
      <w:bookmarkStart w:id="90" w:name="_Toc213337548"/>
      <w:bookmarkStart w:id="91" w:name="_Toc213339527"/>
      <w:r>
        <w:t>Subdivision 3 — Trade promotion lotteries</w:t>
      </w:r>
      <w:bookmarkEnd w:id="89"/>
      <w:bookmarkEnd w:id="90"/>
      <w:bookmarkEnd w:id="91"/>
    </w:p>
    <w:p>
      <w:pPr>
        <w:pStyle w:val="Footnoteheading"/>
        <w:keepNext/>
      </w:pPr>
      <w:r>
        <w:tab/>
        <w:t>[Heading inserted: Gazette 6 Sep 2016 p. 3831.]</w:t>
      </w:r>
    </w:p>
    <w:p>
      <w:pPr>
        <w:pStyle w:val="Heading5"/>
        <w:keepLines w:val="0"/>
      </w:pPr>
      <w:bookmarkStart w:id="92" w:name="_Toc213339528"/>
      <w:r>
        <w:rPr>
          <w:rStyle w:val="CharSectno"/>
        </w:rPr>
        <w:t>36A</w:t>
      </w:r>
      <w:r>
        <w:t>.</w:t>
      </w:r>
      <w:r>
        <w:tab/>
        <w:t>Prescribed conditions for trade promotion lottery (Act s. 102)</w:t>
      </w:r>
      <w:bookmarkEnd w:id="92"/>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Gazette 6 Sep 2016 p. 3831-2.]</w:t>
      </w:r>
    </w:p>
    <w:p>
      <w:pPr>
        <w:pStyle w:val="Heading4"/>
        <w:rPr>
          <w:snapToGrid w:val="0"/>
        </w:rPr>
      </w:pPr>
      <w:bookmarkStart w:id="93" w:name="_Toc213336848"/>
      <w:bookmarkStart w:id="94" w:name="_Toc213337550"/>
      <w:bookmarkStart w:id="95" w:name="_Toc213339529"/>
      <w:r>
        <w:rPr>
          <w:snapToGrid w:val="0"/>
        </w:rPr>
        <w:t>Subdivision 4 — Lotteries generally</w:t>
      </w:r>
      <w:bookmarkEnd w:id="93"/>
      <w:bookmarkEnd w:id="94"/>
      <w:bookmarkEnd w:id="95"/>
    </w:p>
    <w:p>
      <w:pPr>
        <w:pStyle w:val="Footnoteheading"/>
        <w:keepNext/>
      </w:pPr>
      <w:r>
        <w:tab/>
        <w:t>[Heading amended: Gazette 6 Sep 2016 p. 3833.]</w:t>
      </w:r>
    </w:p>
    <w:p>
      <w:pPr>
        <w:pStyle w:val="Heading5"/>
        <w:rPr>
          <w:snapToGrid w:val="0"/>
        </w:rPr>
      </w:pPr>
      <w:bookmarkStart w:id="96" w:name="_Toc213339530"/>
      <w:r>
        <w:rPr>
          <w:rStyle w:val="CharSectno"/>
        </w:rPr>
        <w:t>37</w:t>
      </w:r>
      <w:r>
        <w:rPr>
          <w:snapToGrid w:val="0"/>
        </w:rPr>
        <w:t>.</w:t>
      </w:r>
      <w:r>
        <w:rPr>
          <w:snapToGrid w:val="0"/>
        </w:rPr>
        <w:tab/>
        <w:t>Account book, form of (Act s. 104(3)(a))</w:t>
      </w:r>
      <w:bookmarkEnd w:id="96"/>
    </w:p>
    <w:p>
      <w:pPr>
        <w:pStyle w:val="Subsection"/>
        <w:spacing w:before="120"/>
        <w:rPr>
          <w:snapToGrid w:val="0"/>
        </w:rPr>
      </w:pPr>
      <w:r>
        <w:rPr>
          <w:snapToGrid w:val="0"/>
        </w:rPr>
        <w:tab/>
      </w:r>
      <w:r>
        <w:rPr>
          <w:snapToGrid w:val="0"/>
        </w:rPr>
        <w:tab/>
        <w:t xml:space="preserve">An account book required to be kept by the permit holder under section 104(3)(a) in relation to a standard lottery, or required to be kept by the permit holder under a condition imposed in respect of a continuing lottery, shall be in a form agreed with </w:t>
      </w:r>
      <w:r>
        <w:rPr>
          <w:snapToGrid w:val="0"/>
        </w:rPr>
        <w:lastRenderedPageBreak/>
        <w:t>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97" w:name="_Toc213339531"/>
      <w:r>
        <w:rPr>
          <w:rStyle w:val="CharSectno"/>
        </w:rPr>
        <w:t>38</w:t>
      </w:r>
      <w:r>
        <w:rPr>
          <w:snapToGrid w:val="0"/>
        </w:rPr>
        <w:t>.</w:t>
      </w:r>
      <w:r>
        <w:rPr>
          <w:snapToGrid w:val="0"/>
        </w:rPr>
        <w:tab/>
        <w:t>Prohibition as to private gain etc.</w:t>
      </w:r>
      <w:bookmarkEnd w:id="97"/>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98" w:name="_Toc213339532"/>
      <w:r>
        <w:rPr>
          <w:rStyle w:val="CharSectno"/>
        </w:rPr>
        <w:lastRenderedPageBreak/>
        <w:t>38A</w:t>
      </w:r>
      <w:r>
        <w:rPr>
          <w:snapToGrid w:val="0"/>
        </w:rPr>
        <w:t>.</w:t>
      </w:r>
      <w:r>
        <w:rPr>
          <w:snapToGrid w:val="0"/>
        </w:rPr>
        <w:tab/>
        <w:t>Offences related to permitted lotteries</w:t>
      </w:r>
      <w:bookmarkEnd w:id="98"/>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pPr>
      <w:r>
        <w:tab/>
        <w:t>Penalty for this subregulation: a fine of $1 000.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keepNext/>
        <w:rPr>
          <w:snapToGrid w:val="0"/>
        </w:rPr>
      </w:pPr>
      <w:r>
        <w:rPr>
          <w:snapToGrid w:val="0"/>
        </w:rPr>
        <w:tab/>
      </w:r>
      <w:r>
        <w:rPr>
          <w:snapToGrid w:val="0"/>
        </w:rPr>
        <w:tab/>
        <w:t>commits an offence.</w:t>
      </w:r>
    </w:p>
    <w:p>
      <w:pPr>
        <w:pStyle w:val="Penstart"/>
        <w:keepNext/>
      </w:pPr>
      <w:r>
        <w:tab/>
        <w:t>Penalty for this subregulation: a fine of $1 000.</w:t>
      </w:r>
    </w:p>
    <w:p>
      <w:pPr>
        <w:pStyle w:val="Footnotesection"/>
      </w:pPr>
      <w:r>
        <w:tab/>
        <w:t>[Regulation 38A inserted: Gazette 11 May 1993 p. 2398; amended: SL 2025/35 r. 30.].]</w:t>
      </w:r>
    </w:p>
    <w:p>
      <w:pPr>
        <w:pStyle w:val="Heading4"/>
        <w:rPr>
          <w:snapToGrid w:val="0"/>
        </w:rPr>
      </w:pPr>
      <w:bookmarkStart w:id="99" w:name="_Toc213336852"/>
      <w:bookmarkStart w:id="100" w:name="_Toc213337554"/>
      <w:bookmarkStart w:id="101" w:name="_Toc213339533"/>
      <w:r>
        <w:rPr>
          <w:snapToGrid w:val="0"/>
        </w:rPr>
        <w:t>Subdivision 5 — Amusements, etc.</w:t>
      </w:r>
      <w:bookmarkEnd w:id="99"/>
      <w:bookmarkEnd w:id="100"/>
      <w:bookmarkEnd w:id="101"/>
    </w:p>
    <w:p>
      <w:pPr>
        <w:pStyle w:val="Footnoteheading"/>
      </w:pPr>
      <w:r>
        <w:tab/>
        <w:t>[Heading amended: Gazette 6 Sep 2016 p. 3833.]</w:t>
      </w:r>
    </w:p>
    <w:p>
      <w:pPr>
        <w:pStyle w:val="Heading5"/>
        <w:rPr>
          <w:snapToGrid w:val="0"/>
        </w:rPr>
      </w:pPr>
      <w:bookmarkStart w:id="102" w:name="_Toc213339534"/>
      <w:r>
        <w:rPr>
          <w:rStyle w:val="CharSectno"/>
        </w:rPr>
        <w:t>39</w:t>
      </w:r>
      <w:r>
        <w:rPr>
          <w:snapToGrid w:val="0"/>
        </w:rPr>
        <w:t>.</w:t>
      </w:r>
      <w:r>
        <w:rPr>
          <w:snapToGrid w:val="0"/>
        </w:rPr>
        <w:tab/>
        <w:t>Amusements with prizes at agricultural shows etc., matters prescribed for (Act s. 107(4))</w:t>
      </w:r>
      <w:bookmarkEnd w:id="102"/>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 xml:space="preserve">the amount paid for a chance to win a prize shall not exceed </w:t>
      </w:r>
      <w:r>
        <w:t>$10; and</w:t>
      </w:r>
    </w:p>
    <w:p>
      <w:pPr>
        <w:pStyle w:val="Indenta"/>
        <w:rPr>
          <w:snapToGrid w:val="0"/>
        </w:rPr>
      </w:pPr>
      <w:r>
        <w:rPr>
          <w:snapToGrid w:val="0"/>
        </w:rPr>
        <w:tab/>
        <w:t>(b)</w:t>
      </w:r>
      <w:r>
        <w:rPr>
          <w:snapToGrid w:val="0"/>
        </w:rPr>
        <w:tab/>
        <w:t xml:space="preserve">no money prize shall be distributed or offered of an amount exceeding </w:t>
      </w:r>
      <w:r>
        <w:t>$100.</w:t>
      </w:r>
    </w:p>
    <w:p>
      <w:pPr>
        <w:pStyle w:val="Footnotesection"/>
      </w:pPr>
      <w:r>
        <w:tab/>
        <w:t>[Regulation 39 amended: Gazette 8 Feb 1991 p. 651; 2 Mar 2018 p. 672.]</w:t>
      </w:r>
    </w:p>
    <w:p>
      <w:pPr>
        <w:pStyle w:val="Heading5"/>
        <w:rPr>
          <w:snapToGrid w:val="0"/>
        </w:rPr>
      </w:pPr>
      <w:bookmarkStart w:id="103" w:name="_Toc213339535"/>
      <w:r>
        <w:rPr>
          <w:rStyle w:val="CharSectno"/>
        </w:rPr>
        <w:t>39A</w:t>
      </w:r>
      <w:r>
        <w:rPr>
          <w:snapToGrid w:val="0"/>
        </w:rPr>
        <w:t>.</w:t>
      </w:r>
      <w:r>
        <w:rPr>
          <w:snapToGrid w:val="0"/>
        </w:rPr>
        <w:tab/>
        <w:t>Amusements with prizes at sporting events etc., matters prescribed for (Act s. 107(1))</w:t>
      </w:r>
      <w:bookmarkEnd w:id="103"/>
    </w:p>
    <w:p>
      <w:pPr>
        <w:pStyle w:val="Subsection"/>
        <w:rPr>
          <w:snapToGrid w:val="0"/>
        </w:rPr>
      </w:pPr>
      <w:r>
        <w:rPr>
          <w:snapToGrid w:val="0"/>
        </w:rPr>
        <w:tab/>
      </w:r>
      <w:r>
        <w:rPr>
          <w:snapToGrid w:val="0"/>
        </w:rPr>
        <w:tab/>
        <w:t xml:space="preserve">For the purposes of section 107(1), an amusement with prizes which constitutes gaming or a lottery or both which is provided </w:t>
      </w:r>
      <w:r>
        <w:rPr>
          <w:snapToGrid w:val="0"/>
        </w:rPr>
        <w:lastRenderedPageBreak/>
        <w:t>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Gazette 30 Apr 1993 p. 2282</w:t>
      </w:r>
      <w:r>
        <w:noBreakHyphen/>
        <w:t>3.]</w:t>
      </w:r>
    </w:p>
    <w:p>
      <w:pPr>
        <w:pStyle w:val="Heading5"/>
        <w:rPr>
          <w:snapToGrid w:val="0"/>
        </w:rPr>
      </w:pPr>
      <w:bookmarkStart w:id="104" w:name="_Toc213339536"/>
      <w:r>
        <w:rPr>
          <w:rStyle w:val="CharSectno"/>
        </w:rPr>
        <w:t>40</w:t>
      </w:r>
      <w:r>
        <w:rPr>
          <w:snapToGrid w:val="0"/>
        </w:rPr>
        <w:t>.</w:t>
      </w:r>
      <w:r>
        <w:rPr>
          <w:snapToGrid w:val="0"/>
        </w:rPr>
        <w:tab/>
        <w:t>Minor fund raising activities (Act s. 108)</w:t>
      </w:r>
      <w:bookmarkEnd w:id="104"/>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Gazette 23 Jun 2000 p. 3208.]</w:t>
      </w:r>
    </w:p>
    <w:p>
      <w:pPr>
        <w:pStyle w:val="Heading5"/>
      </w:pPr>
      <w:bookmarkStart w:id="105" w:name="_Toc213339537"/>
      <w:r>
        <w:rPr>
          <w:rStyle w:val="CharSectno"/>
        </w:rPr>
        <w:t>40A</w:t>
      </w:r>
      <w:r>
        <w:t>.</w:t>
      </w:r>
      <w:r>
        <w:tab/>
        <w:t>Football tipping competitions (Act s. 108)</w:t>
      </w:r>
      <w:bookmarkEnd w:id="105"/>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Gazette 15 Mar 2002 p. 1313.]</w:t>
      </w:r>
    </w:p>
    <w:p>
      <w:pPr>
        <w:pStyle w:val="Heading2"/>
      </w:pPr>
      <w:bookmarkStart w:id="106" w:name="_Toc213336857"/>
      <w:bookmarkStart w:id="107" w:name="_Toc213337559"/>
      <w:bookmarkStart w:id="108" w:name="_Toc213339538"/>
      <w:r>
        <w:rPr>
          <w:rStyle w:val="CharPartNo"/>
        </w:rPr>
        <w:lastRenderedPageBreak/>
        <w:t>Part 4A</w:t>
      </w:r>
      <w:r>
        <w:t> —</w:t>
      </w:r>
      <w:r>
        <w:rPr>
          <w:rStyle w:val="CharPartText"/>
        </w:rPr>
        <w:t> Consumer protection</w:t>
      </w:r>
      <w:bookmarkEnd w:id="106"/>
      <w:bookmarkEnd w:id="107"/>
      <w:bookmarkEnd w:id="108"/>
    </w:p>
    <w:p>
      <w:pPr>
        <w:pStyle w:val="Footnoteheading"/>
      </w:pPr>
      <w:r>
        <w:tab/>
        <w:t>[Heading inserted: SL 2025/30 r. 6.]</w:t>
      </w:r>
    </w:p>
    <w:p>
      <w:pPr>
        <w:pStyle w:val="Heading3"/>
      </w:pPr>
      <w:bookmarkStart w:id="109" w:name="_Toc213336858"/>
      <w:bookmarkStart w:id="110" w:name="_Toc213337560"/>
      <w:bookmarkStart w:id="111" w:name="_Toc213339539"/>
      <w:r>
        <w:rPr>
          <w:rStyle w:val="CharDivNo"/>
        </w:rPr>
        <w:t>Division 1</w:t>
      </w:r>
      <w:r>
        <w:t> —</w:t>
      </w:r>
      <w:r>
        <w:rPr>
          <w:rStyle w:val="CharDivText"/>
        </w:rPr>
        <w:t> Preliminary</w:t>
      </w:r>
      <w:bookmarkEnd w:id="109"/>
      <w:bookmarkEnd w:id="110"/>
      <w:bookmarkEnd w:id="111"/>
    </w:p>
    <w:p>
      <w:pPr>
        <w:pStyle w:val="Footnoteheading"/>
      </w:pPr>
      <w:r>
        <w:tab/>
        <w:t>[Heading inserted: SL 2025/30 r. 6.]</w:t>
      </w:r>
    </w:p>
    <w:p>
      <w:pPr>
        <w:pStyle w:val="Heading5"/>
      </w:pPr>
      <w:bookmarkStart w:id="112" w:name="_Toc213339540"/>
      <w:r>
        <w:rPr>
          <w:rStyle w:val="CharSectno"/>
        </w:rPr>
        <w:t>40B</w:t>
      </w:r>
      <w:r>
        <w:t>.</w:t>
      </w:r>
      <w:r>
        <w:tab/>
        <w:t>Purpose of Part</w:t>
      </w:r>
      <w:bookmarkEnd w:id="112"/>
    </w:p>
    <w:p>
      <w:pPr>
        <w:pStyle w:val="Subsection"/>
      </w:pPr>
      <w:r>
        <w:tab/>
      </w:r>
      <w:r>
        <w:tab/>
        <w:t>The purpose of this Part is to give effect to the National Consumer Protection Framework for Online Wagering in Australia — National Policy Statement.</w:t>
      </w:r>
    </w:p>
    <w:p>
      <w:pPr>
        <w:pStyle w:val="Footnotesection"/>
      </w:pPr>
      <w:r>
        <w:tab/>
        <w:t>[Regulation 40B inserted: SL 2025/30 r. 6.]</w:t>
      </w:r>
    </w:p>
    <w:p>
      <w:pPr>
        <w:pStyle w:val="Heading5"/>
      </w:pPr>
      <w:bookmarkStart w:id="113" w:name="_Toc213339541"/>
      <w:r>
        <w:rPr>
          <w:rStyle w:val="CharSectno"/>
        </w:rPr>
        <w:t>40C</w:t>
      </w:r>
      <w:r>
        <w:t>.</w:t>
      </w:r>
      <w:r>
        <w:tab/>
        <w:t>Application of Part</w:t>
      </w:r>
      <w:bookmarkEnd w:id="113"/>
    </w:p>
    <w:p>
      <w:pPr>
        <w:pStyle w:val="Subsection"/>
      </w:pPr>
      <w:r>
        <w:tab/>
      </w:r>
      <w:r>
        <w:tab/>
        <w:t>This Part applies to RWWA in relation to RWWA providing interactive wagering services in carrying out its functions under the RWWA Act Part 5.</w:t>
      </w:r>
    </w:p>
    <w:p>
      <w:pPr>
        <w:pStyle w:val="Footnotesection"/>
      </w:pPr>
      <w:r>
        <w:tab/>
        <w:t>[Regulation 40C inserted: SL 2025/30 r. 6.]</w:t>
      </w:r>
    </w:p>
    <w:p>
      <w:pPr>
        <w:pStyle w:val="Heading5"/>
      </w:pPr>
      <w:bookmarkStart w:id="114" w:name="_Toc213339542"/>
      <w:r>
        <w:rPr>
          <w:rStyle w:val="CharSectno"/>
        </w:rPr>
        <w:t>40D</w:t>
      </w:r>
      <w:r>
        <w:t>.</w:t>
      </w:r>
      <w:r>
        <w:tab/>
        <w:t>Terms used</w:t>
      </w:r>
      <w:bookmarkEnd w:id="114"/>
    </w:p>
    <w:p>
      <w:pPr>
        <w:pStyle w:val="Subsection"/>
      </w:pPr>
      <w:r>
        <w:tab/>
      </w:r>
      <w:r>
        <w:tab/>
        <w:t xml:space="preserve">In this Part — </w:t>
      </w:r>
    </w:p>
    <w:p>
      <w:pPr>
        <w:pStyle w:val="Defstart"/>
      </w:pPr>
      <w:r>
        <w:tab/>
      </w:r>
      <w:r>
        <w:rPr>
          <w:rStyle w:val="CharDefText"/>
        </w:rPr>
        <w:t>account</w:t>
      </w:r>
      <w:r>
        <w:t xml:space="preserve"> means a wagering account established with RWWA under the RWWA Act section 64(1);</w:t>
      </w:r>
    </w:p>
    <w:p>
      <w:pPr>
        <w:pStyle w:val="Defstart"/>
      </w:pPr>
      <w:r>
        <w:tab/>
      </w:r>
      <w:r>
        <w:rPr>
          <w:rStyle w:val="CharDefText"/>
        </w:rPr>
        <w:t>account holder</w:t>
      </w:r>
      <w:r>
        <w:t>, in relation to RWWA, means a person who holds an account with RWWA;</w:t>
      </w:r>
    </w:p>
    <w:p>
      <w:pPr>
        <w:pStyle w:val="Defstart"/>
      </w:pPr>
      <w:r>
        <w:tab/>
      </w:r>
      <w:r>
        <w:rPr>
          <w:rStyle w:val="CharDefText"/>
        </w:rPr>
        <w:t>deposit limit</w:t>
      </w:r>
      <w:r>
        <w:t>, in relation to an account, means the maximum amount of money the account holder may deposit into the account in a particular period;</w:t>
      </w:r>
    </w:p>
    <w:p>
      <w:pPr>
        <w:pStyle w:val="Defstart"/>
      </w:pPr>
      <w:r>
        <w:tab/>
      </w:r>
      <w:r>
        <w:rPr>
          <w:rStyle w:val="CharDefText"/>
        </w:rPr>
        <w:t>interactive wagering service</w:t>
      </w:r>
      <w:r>
        <w:t xml:space="preserve"> means a wagering service that enables a person to wager using — </w:t>
      </w:r>
    </w:p>
    <w:p>
      <w:pPr>
        <w:pStyle w:val="Defpara"/>
      </w:pPr>
      <w:r>
        <w:tab/>
        <w:t>(a)</w:t>
      </w:r>
      <w:r>
        <w:tab/>
        <w:t>a telephone; or</w:t>
      </w:r>
    </w:p>
    <w:p>
      <w:pPr>
        <w:pStyle w:val="Defpara"/>
      </w:pPr>
      <w:r>
        <w:tab/>
        <w:t>(b)</w:t>
      </w:r>
      <w:r>
        <w:tab/>
        <w:t>an Internet application; or</w:t>
      </w:r>
    </w:p>
    <w:p>
      <w:pPr>
        <w:pStyle w:val="Defpara"/>
      </w:pPr>
      <w:r>
        <w:tab/>
        <w:t>(c)</w:t>
      </w:r>
      <w:r>
        <w:tab/>
        <w:t>a website; or</w:t>
      </w:r>
    </w:p>
    <w:p>
      <w:pPr>
        <w:pStyle w:val="Defpara"/>
      </w:pPr>
      <w:r>
        <w:lastRenderedPageBreak/>
        <w:tab/>
        <w:t>(d)</w:t>
      </w:r>
      <w:r>
        <w:tab/>
        <w:t>a datacasting service; or</w:t>
      </w:r>
    </w:p>
    <w:p>
      <w:pPr>
        <w:pStyle w:val="Defpara"/>
      </w:pPr>
      <w:r>
        <w:tab/>
        <w:t>(e)</w:t>
      </w:r>
      <w:r>
        <w:tab/>
        <w:t>a broadcasting service;</w:t>
      </w:r>
    </w:p>
    <w:p>
      <w:pPr>
        <w:pStyle w:val="Defstart"/>
      </w:pPr>
      <w:r>
        <w:tab/>
      </w:r>
      <w:r>
        <w:rPr>
          <w:rStyle w:val="CharDefText"/>
        </w:rPr>
        <w:t>National Consumer Protection Framework for Online Wagering in Australia — National Policy Statement</w:t>
      </w:r>
      <w:r>
        <w:t xml:space="preserve"> means the document of that name dated 26 November 2018;</w:t>
      </w:r>
    </w:p>
    <w:p>
      <w:pPr>
        <w:pStyle w:val="PermNoteHeading"/>
      </w:pPr>
      <w:r>
        <w:tab/>
        <w:t>Note for this definition:</w:t>
      </w:r>
    </w:p>
    <w:p>
      <w:pPr>
        <w:pStyle w:val="PermNoteText"/>
      </w:pPr>
      <w:r>
        <w:tab/>
      </w:r>
      <w:r>
        <w:tab/>
        <w:t>A copy of the National Consumer Protection Framework for Online Wagering in Australia — National Policy Statement is available on the Parliament of Western Australia’s website under Tabled Papers for the Legislative Council.</w:t>
      </w:r>
    </w:p>
    <w:p>
      <w:pPr>
        <w:pStyle w:val="Defstart"/>
      </w:pPr>
      <w:r>
        <w:tab/>
      </w:r>
      <w:r>
        <w:rPr>
          <w:rStyle w:val="CharDefText"/>
        </w:rPr>
        <w:t>RWWA key employee</w:t>
      </w:r>
      <w:r>
        <w:t xml:space="preserve"> has the meaning given in the RWWA Act section 24(2);</w:t>
      </w:r>
    </w:p>
    <w:p>
      <w:pPr>
        <w:pStyle w:val="Defstart"/>
      </w:pPr>
      <w:r>
        <w:tab/>
      </w:r>
      <w:r>
        <w:rPr>
          <w:rStyle w:val="CharDefText"/>
        </w:rPr>
        <w:t>transaction</w:t>
      </w:r>
      <w:r>
        <w:t xml:space="preserve">, in relation to an account, means — </w:t>
      </w:r>
    </w:p>
    <w:p>
      <w:pPr>
        <w:pStyle w:val="Defpara"/>
      </w:pPr>
      <w:r>
        <w:tab/>
        <w:t>(a)</w:t>
      </w:r>
      <w:r>
        <w:tab/>
        <w:t>a deposit into the account; or</w:t>
      </w:r>
    </w:p>
    <w:p>
      <w:pPr>
        <w:pStyle w:val="Defpara"/>
      </w:pPr>
      <w:r>
        <w:tab/>
        <w:t>(b)</w:t>
      </w:r>
      <w:r>
        <w:tab/>
        <w:t>a withdrawal from the account; or</w:t>
      </w:r>
    </w:p>
    <w:p>
      <w:pPr>
        <w:pStyle w:val="Defpara"/>
      </w:pPr>
      <w:r>
        <w:tab/>
        <w:t>(c)</w:t>
      </w:r>
      <w:r>
        <w:tab/>
        <w:t>a wager made using the account.</w:t>
      </w:r>
    </w:p>
    <w:p>
      <w:pPr>
        <w:pStyle w:val="Footnotesection"/>
      </w:pPr>
      <w:r>
        <w:tab/>
        <w:t>[Regulation 40D inserted: SL 2025/30 r. 6.]</w:t>
      </w:r>
    </w:p>
    <w:p>
      <w:pPr>
        <w:pStyle w:val="Heading5"/>
      </w:pPr>
      <w:bookmarkStart w:id="115" w:name="_Toc213339543"/>
      <w:r>
        <w:rPr>
          <w:rStyle w:val="CharSectno"/>
        </w:rPr>
        <w:t>40E</w:t>
      </w:r>
      <w:r>
        <w:t>.</w:t>
      </w:r>
      <w:r>
        <w:tab/>
        <w:t>Liability of RWWA</w:t>
      </w:r>
      <w:bookmarkEnd w:id="115"/>
    </w:p>
    <w:p>
      <w:pPr>
        <w:pStyle w:val="Subsection"/>
      </w:pPr>
      <w:r>
        <w:tab/>
        <w:t>(1)</w:t>
      </w:r>
      <w:r>
        <w:tab/>
        <w:t xml:space="preserve">In this regulation — </w:t>
      </w:r>
    </w:p>
    <w:p>
      <w:pPr>
        <w:pStyle w:val="Defstart"/>
      </w:pPr>
      <w:r>
        <w:tab/>
      </w:r>
      <w:r>
        <w:rPr>
          <w:rStyle w:val="CharDefText"/>
        </w:rPr>
        <w:t>responsible person</w:t>
      </w:r>
      <w:r>
        <w:t xml:space="preserve">, of RWWA, means — </w:t>
      </w:r>
    </w:p>
    <w:p>
      <w:pPr>
        <w:pStyle w:val="Defpara"/>
      </w:pPr>
      <w:r>
        <w:tab/>
        <w:t>(a)</w:t>
      </w:r>
      <w:r>
        <w:tab/>
        <w:t>a person who is the CEO, a director, a RWWA key employee or other staff member, or contractor of RWWA; or</w:t>
      </w:r>
    </w:p>
    <w:p>
      <w:pPr>
        <w:pStyle w:val="Defpara"/>
      </w:pPr>
      <w:r>
        <w:tab/>
        <w:t>(b)</w:t>
      </w:r>
      <w:r>
        <w:tab/>
        <w:t>a person, other than a person referred to in paragraph (a), who is engaged in providing RWWA’s interactive wagering services, including being involved in decisions affecting the provision of those services.</w:t>
      </w:r>
    </w:p>
    <w:p>
      <w:pPr>
        <w:pStyle w:val="Subsection"/>
        <w:keepNext/>
      </w:pPr>
      <w:r>
        <w:tab/>
        <w:t>(2)</w:t>
      </w:r>
      <w:r>
        <w:tab/>
        <w:t xml:space="preserve">If a responsible person of RWWA does an act or makes an omission that would constitute an offence under this Part if the act or omission were done or made by RWWA, RWWA is </w:t>
      </w:r>
      <w:r>
        <w:lastRenderedPageBreak/>
        <w:t>taken to have committed the offence and is liable to the penalty prescribed for the offence.</w:t>
      </w:r>
    </w:p>
    <w:p>
      <w:pPr>
        <w:pStyle w:val="Footnotesection"/>
      </w:pPr>
      <w:r>
        <w:tab/>
        <w:t>[Regulation 40E inserted: SL 2025/30 r. 6.]</w:t>
      </w:r>
    </w:p>
    <w:p>
      <w:pPr>
        <w:pStyle w:val="Heading3"/>
      </w:pPr>
      <w:bookmarkStart w:id="116" w:name="_Toc213336863"/>
      <w:bookmarkStart w:id="117" w:name="_Toc213337565"/>
      <w:bookmarkStart w:id="118" w:name="_Toc213339544"/>
      <w:r>
        <w:rPr>
          <w:rStyle w:val="CharDivNo"/>
        </w:rPr>
        <w:t>Division 2</w:t>
      </w:r>
      <w:r>
        <w:t> —</w:t>
      </w:r>
      <w:r>
        <w:rPr>
          <w:rStyle w:val="CharDivText"/>
        </w:rPr>
        <w:t> Inducements and direct marketing</w:t>
      </w:r>
      <w:bookmarkEnd w:id="116"/>
      <w:bookmarkEnd w:id="117"/>
      <w:bookmarkEnd w:id="118"/>
    </w:p>
    <w:p>
      <w:pPr>
        <w:pStyle w:val="Footnoteheading"/>
      </w:pPr>
      <w:r>
        <w:tab/>
        <w:t>[Heading inserted: SL 2025/30 r. 6.]</w:t>
      </w:r>
    </w:p>
    <w:p>
      <w:pPr>
        <w:pStyle w:val="Heading5"/>
      </w:pPr>
      <w:bookmarkStart w:id="119" w:name="_Toc213339545"/>
      <w:r>
        <w:rPr>
          <w:rStyle w:val="CharSectno"/>
        </w:rPr>
        <w:t>40F</w:t>
      </w:r>
      <w:r>
        <w:t>.</w:t>
      </w:r>
      <w:r>
        <w:tab/>
        <w:t>Inducements prohibited in relation to establishing accounts</w:t>
      </w:r>
      <w:bookmarkEnd w:id="119"/>
    </w:p>
    <w:p>
      <w:pPr>
        <w:pStyle w:val="Subsection"/>
      </w:pPr>
      <w:r>
        <w:tab/>
      </w:r>
      <w:r>
        <w:tab/>
        <w:t xml:space="preserve">RWWA must not offer any credit, voucher, reward or other benefit as an inducement for a person — </w:t>
      </w:r>
    </w:p>
    <w:p>
      <w:pPr>
        <w:pStyle w:val="Indenta"/>
      </w:pPr>
      <w:r>
        <w:tab/>
        <w:t>(a)</w:t>
      </w:r>
      <w:r>
        <w:tab/>
        <w:t>to establish an account with RWWA; or</w:t>
      </w:r>
    </w:p>
    <w:p>
      <w:pPr>
        <w:pStyle w:val="Indenta"/>
      </w:pPr>
      <w:r>
        <w:tab/>
        <w:t>(b)</w:t>
      </w:r>
      <w:r>
        <w:tab/>
        <w:t>to refer another person to establish an account with RWWA.</w:t>
      </w:r>
    </w:p>
    <w:p>
      <w:pPr>
        <w:pStyle w:val="Penstart"/>
      </w:pPr>
      <w:r>
        <w:tab/>
        <w:t>Penalty: a fine of $1 000.</w:t>
      </w:r>
    </w:p>
    <w:p>
      <w:pPr>
        <w:pStyle w:val="Footnotesection"/>
      </w:pPr>
      <w:r>
        <w:tab/>
        <w:t>[Regulation 40F inserted: SL 2025/30 r. 6.]</w:t>
      </w:r>
    </w:p>
    <w:p>
      <w:pPr>
        <w:pStyle w:val="Heading5"/>
      </w:pPr>
      <w:bookmarkStart w:id="120" w:name="_Toc213339546"/>
      <w:r>
        <w:rPr>
          <w:rStyle w:val="CharSectno"/>
        </w:rPr>
        <w:t>40G</w:t>
      </w:r>
      <w:r>
        <w:t>.</w:t>
      </w:r>
      <w:r>
        <w:tab/>
        <w:t>Complimentary betting credits and tokens</w:t>
      </w:r>
      <w:bookmarkEnd w:id="120"/>
    </w:p>
    <w:p>
      <w:pPr>
        <w:pStyle w:val="Subsection"/>
      </w:pPr>
      <w:r>
        <w:tab/>
      </w:r>
      <w:r>
        <w:tab/>
        <w:t xml:space="preserve">RWWA must not offer or give a complimentary betting credit or token (including a thing commonly known as a bonus bet or matched bet) to an account holder unless — </w:t>
      </w:r>
    </w:p>
    <w:p>
      <w:pPr>
        <w:pStyle w:val="Indenta"/>
      </w:pPr>
      <w:r>
        <w:tab/>
        <w:t>(a)</w:t>
      </w:r>
      <w:r>
        <w:tab/>
        <w:t>the holder can withdraw from their account winnings from a wager placed with the credit or token; and</w:t>
      </w:r>
    </w:p>
    <w:p>
      <w:pPr>
        <w:pStyle w:val="Indenta"/>
      </w:pPr>
      <w:r>
        <w:tab/>
        <w:t>(b)</w:t>
      </w:r>
      <w:r>
        <w:tab/>
        <w:t>the withdrawal is not subject to a requirement that the holder continue to wager with the winnings.</w:t>
      </w:r>
    </w:p>
    <w:p>
      <w:pPr>
        <w:pStyle w:val="Penstart"/>
      </w:pPr>
      <w:r>
        <w:tab/>
        <w:t>Penalty: a fine of $1 000.</w:t>
      </w:r>
    </w:p>
    <w:p>
      <w:pPr>
        <w:pStyle w:val="Footnotesection"/>
      </w:pPr>
      <w:r>
        <w:tab/>
        <w:t>[Regulation 40G inserted: SL 2025/30 r. 6.]</w:t>
      </w:r>
    </w:p>
    <w:p>
      <w:pPr>
        <w:pStyle w:val="Heading5"/>
      </w:pPr>
      <w:bookmarkStart w:id="121" w:name="_Toc213339547"/>
      <w:r>
        <w:rPr>
          <w:rStyle w:val="CharSectno"/>
        </w:rPr>
        <w:lastRenderedPageBreak/>
        <w:t>40H</w:t>
      </w:r>
      <w:r>
        <w:t>.</w:t>
      </w:r>
      <w:r>
        <w:tab/>
        <w:t>Direct marketing</w:t>
      </w:r>
      <w:bookmarkEnd w:id="121"/>
      <w:r>
        <w:t xml:space="preserve"> </w:t>
      </w:r>
    </w:p>
    <w:p>
      <w:pPr>
        <w:pStyle w:val="Subsection"/>
        <w:keepNext/>
      </w:pPr>
      <w:r>
        <w:tab/>
        <w:t>(1)</w:t>
      </w:r>
      <w:r>
        <w:tab/>
        <w:t xml:space="preserve">RWWA must not send promotional or advertising material directly to an account holder unless — </w:t>
      </w:r>
    </w:p>
    <w:p>
      <w:pPr>
        <w:pStyle w:val="Indenta"/>
      </w:pPr>
      <w:r>
        <w:tab/>
        <w:t>(a)</w:t>
      </w:r>
      <w:r>
        <w:tab/>
        <w:t>the holder has given RWWA express consent to receive promotional or advertising material directly and has not withdrawn their consent; and</w:t>
      </w:r>
    </w:p>
    <w:p>
      <w:pPr>
        <w:pStyle w:val="Indenta"/>
      </w:pPr>
      <w:r>
        <w:tab/>
        <w:t>(b)</w:t>
      </w:r>
      <w:r>
        <w:tab/>
        <w:t>if the promotional or advertising material is sent by email — the holder can withdraw their consent or opt out of receiving promotional or advertising material directly by clicking on a single link that is prominently displayed in the email; and</w:t>
      </w:r>
    </w:p>
    <w:p>
      <w:pPr>
        <w:pStyle w:val="Indenta"/>
      </w:pPr>
      <w:r>
        <w:tab/>
        <w:t>(c)</w:t>
      </w:r>
      <w:r>
        <w:tab/>
        <w:t>if the promotional or advertising material is sent other than by email — RWWA gives the holder a means by which the holder can easily withdraw their consent or opt out of receiving promotional or advertising material directly.</w:t>
      </w:r>
    </w:p>
    <w:p>
      <w:pPr>
        <w:pStyle w:val="Penstart"/>
      </w:pPr>
      <w:r>
        <w:tab/>
        <w:t>Penalty for this subregulation: a fine of $1 000.</w:t>
      </w:r>
    </w:p>
    <w:p>
      <w:pPr>
        <w:pStyle w:val="Subsection"/>
      </w:pPr>
      <w:r>
        <w:tab/>
        <w:t>(2)</w:t>
      </w:r>
      <w:r>
        <w:tab/>
        <w:t xml:space="preserve">For the purposes of subregulation (1)(a), an account holder is taken to have withdrawn their consent — </w:t>
      </w:r>
    </w:p>
    <w:p>
      <w:pPr>
        <w:pStyle w:val="Indenta"/>
      </w:pPr>
      <w:r>
        <w:tab/>
        <w:t>(a)</w:t>
      </w:r>
      <w:r>
        <w:tab/>
        <w:t>if the holder requests RWWA to close their account — 24 hours after the request was made; or</w:t>
      </w:r>
    </w:p>
    <w:p>
      <w:pPr>
        <w:pStyle w:val="Indenta"/>
      </w:pPr>
      <w:r>
        <w:tab/>
        <w:t>(b)</w:t>
      </w:r>
      <w:r>
        <w:tab/>
        <w:t>if the holder does not access their account for a period of 12 months — at the end of that period.</w:t>
      </w:r>
    </w:p>
    <w:p>
      <w:pPr>
        <w:pStyle w:val="Subsection"/>
      </w:pPr>
      <w:r>
        <w:tab/>
        <w:t>(3)</w:t>
      </w:r>
      <w:r>
        <w:tab/>
        <w:t xml:space="preserve">RWWA must not offer any credit, voucher, reward or other benefit as an inducement for an account holder to — </w:t>
      </w:r>
    </w:p>
    <w:p>
      <w:pPr>
        <w:pStyle w:val="Indenta"/>
      </w:pPr>
      <w:r>
        <w:tab/>
        <w:t>(a)</w:t>
      </w:r>
      <w:r>
        <w:tab/>
        <w:t>consent to receive promotional or advertising material directly; or</w:t>
      </w:r>
    </w:p>
    <w:p>
      <w:pPr>
        <w:pStyle w:val="Indenta"/>
      </w:pPr>
      <w:r>
        <w:tab/>
        <w:t>(b)</w:t>
      </w:r>
      <w:r>
        <w:tab/>
        <w:t>not withdraw their consent to receive promotional or advertising material directly or opt out of receiving promotional or advertising material directly.</w:t>
      </w:r>
    </w:p>
    <w:p>
      <w:pPr>
        <w:pStyle w:val="Penstart"/>
      </w:pPr>
      <w:r>
        <w:tab/>
        <w:t>Penalty for this subregulation: a fine of $1 000.</w:t>
      </w:r>
    </w:p>
    <w:p>
      <w:pPr>
        <w:pStyle w:val="Subsection"/>
      </w:pPr>
      <w:r>
        <w:lastRenderedPageBreak/>
        <w:tab/>
        <w:t>(4)</w:t>
      </w:r>
      <w:r>
        <w:tab/>
        <w:t xml:space="preserve">RWWA must not require a person to consent to receive promotional or advertising material directly in order to — </w:t>
      </w:r>
    </w:p>
    <w:p>
      <w:pPr>
        <w:pStyle w:val="Indenta"/>
      </w:pPr>
      <w:r>
        <w:tab/>
        <w:t>(a)</w:t>
      </w:r>
      <w:r>
        <w:tab/>
        <w:t>establish an account with RWWA; or</w:t>
      </w:r>
    </w:p>
    <w:p>
      <w:pPr>
        <w:pStyle w:val="Indenta"/>
      </w:pPr>
      <w:r>
        <w:tab/>
        <w:t>(b)</w:t>
      </w:r>
      <w:r>
        <w:tab/>
        <w:t xml:space="preserve">if the person is an account holder — </w:t>
      </w:r>
    </w:p>
    <w:p>
      <w:pPr>
        <w:pStyle w:val="Indenti"/>
      </w:pPr>
      <w:r>
        <w:tab/>
        <w:t>(i)</w:t>
      </w:r>
      <w:r>
        <w:tab/>
        <w:t>access their account; or</w:t>
      </w:r>
    </w:p>
    <w:p>
      <w:pPr>
        <w:pStyle w:val="Indenti"/>
      </w:pPr>
      <w:r>
        <w:tab/>
        <w:t>(ii)</w:t>
      </w:r>
      <w:r>
        <w:tab/>
        <w:t>use their account; or</w:t>
      </w:r>
    </w:p>
    <w:p>
      <w:pPr>
        <w:pStyle w:val="Indenti"/>
      </w:pPr>
      <w:r>
        <w:tab/>
        <w:t>(iii)</w:t>
      </w:r>
      <w:r>
        <w:tab/>
        <w:t>use a function associated with their account.</w:t>
      </w:r>
    </w:p>
    <w:p>
      <w:pPr>
        <w:pStyle w:val="Penstart"/>
      </w:pPr>
      <w:r>
        <w:tab/>
        <w:t>Penalty for this subregulation: a fine of $1 000.</w:t>
      </w:r>
    </w:p>
    <w:p>
      <w:pPr>
        <w:pStyle w:val="Subsection"/>
      </w:pPr>
      <w:r>
        <w:tab/>
        <w:t>(5)</w:t>
      </w:r>
      <w:r>
        <w:tab/>
        <w:t xml:space="preserve">In this regulation — </w:t>
      </w:r>
    </w:p>
    <w:p>
      <w:pPr>
        <w:pStyle w:val="Indenta"/>
      </w:pPr>
      <w:r>
        <w:tab/>
        <w:t>(a)</w:t>
      </w:r>
      <w:r>
        <w:tab/>
        <w:t>a reference to RWWA sending promotional or advertising material directly to an account holder includes a reference to RWWA, by using the holder’s social media platform account name in a post or comment on the platform (commonly known as tagging or mentioning), causing a notification to be sent to the holder that directs the holder to promotional or advertising material; and</w:t>
      </w:r>
    </w:p>
    <w:p>
      <w:pPr>
        <w:pStyle w:val="Indenta"/>
      </w:pPr>
      <w:r>
        <w:tab/>
        <w:t>(b)</w:t>
      </w:r>
      <w:r>
        <w:tab/>
        <w:t>a reference to an account holder receiving promotional or advertising material directly includes a reference to the holder receiving a notification referred to in paragraph (a).</w:t>
      </w:r>
    </w:p>
    <w:p>
      <w:pPr>
        <w:pStyle w:val="Footnotesection"/>
      </w:pPr>
      <w:r>
        <w:tab/>
        <w:t>[Regulation 40H inserted: SL 2025/30 r. 6.]</w:t>
      </w:r>
    </w:p>
    <w:p>
      <w:pPr>
        <w:pStyle w:val="Heading3"/>
      </w:pPr>
      <w:bookmarkStart w:id="122" w:name="_Toc213336867"/>
      <w:bookmarkStart w:id="123" w:name="_Toc213337569"/>
      <w:bookmarkStart w:id="124" w:name="_Toc213339548"/>
      <w:r>
        <w:rPr>
          <w:rStyle w:val="CharDivNo"/>
        </w:rPr>
        <w:t>Division 3</w:t>
      </w:r>
      <w:r>
        <w:t> —</w:t>
      </w:r>
      <w:r>
        <w:rPr>
          <w:rStyle w:val="CharDivText"/>
        </w:rPr>
        <w:t> Closing accounts</w:t>
      </w:r>
      <w:bookmarkEnd w:id="122"/>
      <w:bookmarkEnd w:id="123"/>
      <w:bookmarkEnd w:id="124"/>
    </w:p>
    <w:p>
      <w:pPr>
        <w:pStyle w:val="Footnoteheading"/>
      </w:pPr>
      <w:r>
        <w:tab/>
        <w:t>[Heading inserted: SL 2025/30 r. 6.]</w:t>
      </w:r>
    </w:p>
    <w:p>
      <w:pPr>
        <w:pStyle w:val="Heading5"/>
      </w:pPr>
      <w:bookmarkStart w:id="125" w:name="_Toc213339549"/>
      <w:r>
        <w:rPr>
          <w:rStyle w:val="CharSectno"/>
        </w:rPr>
        <w:t>40I</w:t>
      </w:r>
      <w:r>
        <w:t>.</w:t>
      </w:r>
      <w:r>
        <w:tab/>
        <w:t>Process for closing accounts</w:t>
      </w:r>
      <w:bookmarkEnd w:id="125"/>
    </w:p>
    <w:p>
      <w:pPr>
        <w:pStyle w:val="Subsection"/>
      </w:pPr>
      <w:r>
        <w:tab/>
        <w:t>(1)</w:t>
      </w:r>
      <w:r>
        <w:tab/>
        <w:t>RWWA must ensure that the process for closing an account is simple and easy for a reasonable person to use.</w:t>
      </w:r>
    </w:p>
    <w:p>
      <w:pPr>
        <w:pStyle w:val="Penstart"/>
      </w:pPr>
      <w:r>
        <w:tab/>
        <w:t>Penalty for this subregulation: a fine of $1 000.</w:t>
      </w:r>
    </w:p>
    <w:p>
      <w:pPr>
        <w:pStyle w:val="Subsection"/>
        <w:keepNext/>
      </w:pPr>
      <w:r>
        <w:lastRenderedPageBreak/>
        <w:tab/>
        <w:t>(2)</w:t>
      </w:r>
      <w:r>
        <w:tab/>
        <w:t xml:space="preserve">RWWA must ensure that the process for closing an account allows the holder to close the account by — </w:t>
      </w:r>
    </w:p>
    <w:p>
      <w:pPr>
        <w:pStyle w:val="Indenta"/>
      </w:pPr>
      <w:r>
        <w:tab/>
        <w:t>(a)</w:t>
      </w:r>
      <w:r>
        <w:tab/>
        <w:t>telephone; or</w:t>
      </w:r>
    </w:p>
    <w:p>
      <w:pPr>
        <w:pStyle w:val="Indenta"/>
      </w:pPr>
      <w:r>
        <w:tab/>
        <w:t>(b)</w:t>
      </w:r>
      <w:r>
        <w:tab/>
        <w:t>email; or</w:t>
      </w:r>
    </w:p>
    <w:p>
      <w:pPr>
        <w:pStyle w:val="Indenta"/>
      </w:pPr>
      <w:r>
        <w:tab/>
        <w:t>(c)</w:t>
      </w:r>
      <w:r>
        <w:tab/>
        <w:t>any other means by which the holder may use the account to wager.</w:t>
      </w:r>
    </w:p>
    <w:p>
      <w:pPr>
        <w:pStyle w:val="Penstart"/>
      </w:pPr>
      <w:r>
        <w:tab/>
        <w:t>Penalty for this subregulation: a fine of $1 000.</w:t>
      </w:r>
    </w:p>
    <w:p>
      <w:pPr>
        <w:pStyle w:val="Subsection"/>
      </w:pPr>
      <w:r>
        <w:tab/>
        <w:t>(3)</w:t>
      </w:r>
      <w:r>
        <w:tab/>
        <w:t xml:space="preserve">RWWA must prominently display the process for closing an account — </w:t>
      </w:r>
    </w:p>
    <w:p>
      <w:pPr>
        <w:pStyle w:val="Indenta"/>
      </w:pPr>
      <w:r>
        <w:tab/>
        <w:t>(a)</w:t>
      </w:r>
      <w:r>
        <w:tab/>
        <w:t>on RWWA’s website; and</w:t>
      </w:r>
    </w:p>
    <w:p>
      <w:pPr>
        <w:pStyle w:val="Indenta"/>
      </w:pPr>
      <w:r>
        <w:tab/>
        <w:t>(b)</w:t>
      </w:r>
      <w:r>
        <w:tab/>
        <w:t>if an account holder is able to access their account using the Internet — at the location on the Internet at which the holder accesses the account.</w:t>
      </w:r>
    </w:p>
    <w:p>
      <w:pPr>
        <w:pStyle w:val="Penstart"/>
      </w:pPr>
      <w:r>
        <w:tab/>
        <w:t>Penalty for this subregulation: a fine of $1 000.</w:t>
      </w:r>
    </w:p>
    <w:p>
      <w:pPr>
        <w:pStyle w:val="Subsection"/>
      </w:pPr>
      <w:r>
        <w:tab/>
        <w:t>(4)</w:t>
      </w:r>
      <w:r>
        <w:tab/>
        <w:t>Subregulation (5) applies if an account holder’s account only allows the holder to use the account to place a bet using a telephone.</w:t>
      </w:r>
    </w:p>
    <w:p>
      <w:pPr>
        <w:pStyle w:val="Subsection"/>
      </w:pPr>
      <w:r>
        <w:tab/>
        <w:t>(5)</w:t>
      </w:r>
      <w:r>
        <w:tab/>
        <w:t>If the account holder so requests by telephone, RWWA must, by telephone, give the holder details of the process for closing the account.</w:t>
      </w:r>
    </w:p>
    <w:p>
      <w:pPr>
        <w:pStyle w:val="Penstart"/>
      </w:pPr>
      <w:r>
        <w:tab/>
        <w:t>Penalty for this subregulation: a fine of $1 000.</w:t>
      </w:r>
    </w:p>
    <w:p>
      <w:pPr>
        <w:pStyle w:val="Footnotesection"/>
      </w:pPr>
      <w:r>
        <w:tab/>
        <w:t>[Regulation 40I inserted: SL 2025/30 r. 6.]</w:t>
      </w:r>
    </w:p>
    <w:p>
      <w:pPr>
        <w:pStyle w:val="Heading5"/>
      </w:pPr>
      <w:bookmarkStart w:id="126" w:name="_Toc213339550"/>
      <w:r>
        <w:rPr>
          <w:rStyle w:val="CharSectno"/>
        </w:rPr>
        <w:t>40J</w:t>
      </w:r>
      <w:r>
        <w:t>.</w:t>
      </w:r>
      <w:r>
        <w:tab/>
        <w:t>Account closure</w:t>
      </w:r>
      <w:bookmarkEnd w:id="126"/>
    </w:p>
    <w:p>
      <w:pPr>
        <w:pStyle w:val="Subsection"/>
      </w:pPr>
      <w:r>
        <w:tab/>
      </w:r>
      <w:r>
        <w:tab/>
        <w:t xml:space="preserve">If an account holder requests that RWWA close their account, RWWA must — </w:t>
      </w:r>
    </w:p>
    <w:p>
      <w:pPr>
        <w:pStyle w:val="Indenta"/>
      </w:pPr>
      <w:r>
        <w:tab/>
        <w:t>(a)</w:t>
      </w:r>
      <w:r>
        <w:tab/>
        <w:t>immediately cease to accept new wagers from the holder; and</w:t>
      </w:r>
    </w:p>
    <w:p>
      <w:pPr>
        <w:pStyle w:val="Indenta"/>
        <w:keepNext/>
      </w:pPr>
      <w:r>
        <w:lastRenderedPageBreak/>
        <w:tab/>
        <w:t>(b)</w:t>
      </w:r>
      <w:r>
        <w:tab/>
        <w:t>close the account as soon as practicable after any existing wager is settled.</w:t>
      </w:r>
    </w:p>
    <w:p>
      <w:pPr>
        <w:pStyle w:val="Penstart"/>
        <w:keepNext/>
      </w:pPr>
      <w:r>
        <w:tab/>
        <w:t>Penalty: a fine of $1 000.</w:t>
      </w:r>
    </w:p>
    <w:p>
      <w:pPr>
        <w:pStyle w:val="Footnotesection"/>
      </w:pPr>
      <w:r>
        <w:tab/>
        <w:t>[Regulation 40J inserted: SL 2025/30 r. 6.]</w:t>
      </w:r>
    </w:p>
    <w:p>
      <w:pPr>
        <w:pStyle w:val="Heading5"/>
      </w:pPr>
      <w:bookmarkStart w:id="127" w:name="_Toc213339551"/>
      <w:r>
        <w:rPr>
          <w:rStyle w:val="CharSectno"/>
        </w:rPr>
        <w:t>40K</w:t>
      </w:r>
      <w:r>
        <w:t>.</w:t>
      </w:r>
      <w:r>
        <w:tab/>
        <w:t>Inducements and encouragement prohibited in relation to closing accounts</w:t>
      </w:r>
      <w:bookmarkEnd w:id="127"/>
    </w:p>
    <w:p>
      <w:pPr>
        <w:pStyle w:val="Subsection"/>
      </w:pPr>
      <w:r>
        <w:tab/>
        <w:t>(1)</w:t>
      </w:r>
      <w:r>
        <w:tab/>
        <w:t xml:space="preserve">If an account holder asks RWWA to close their account, RWWA must not — </w:t>
      </w:r>
    </w:p>
    <w:p>
      <w:pPr>
        <w:pStyle w:val="Indenta"/>
      </w:pPr>
      <w:r>
        <w:tab/>
        <w:t>(a)</w:t>
      </w:r>
      <w:r>
        <w:tab/>
        <w:t>offer any credit, voucher, reward or other benefit as an inducement for the holder to not close their account; or</w:t>
      </w:r>
    </w:p>
    <w:p>
      <w:pPr>
        <w:pStyle w:val="Indenta"/>
      </w:pPr>
      <w:r>
        <w:tab/>
        <w:t>(b)</w:t>
      </w:r>
      <w:r>
        <w:tab/>
        <w:t>encourage the holder to not close their account.</w:t>
      </w:r>
    </w:p>
    <w:p>
      <w:pPr>
        <w:pStyle w:val="Penstart"/>
      </w:pPr>
      <w:r>
        <w:tab/>
        <w:t>Penalty for this subregulation: a fine of $1 000.</w:t>
      </w:r>
    </w:p>
    <w:p>
      <w:pPr>
        <w:pStyle w:val="Subsection"/>
      </w:pPr>
      <w:r>
        <w:tab/>
        <w:t>(2)</w:t>
      </w:r>
      <w:r>
        <w:tab/>
        <w:t xml:space="preserve">RWWA does not contravene subregulation (1) if RWWA merely — </w:t>
      </w:r>
    </w:p>
    <w:p>
      <w:pPr>
        <w:pStyle w:val="Indenta"/>
      </w:pPr>
      <w:r>
        <w:tab/>
        <w:t>(a)</w:t>
      </w:r>
      <w:r>
        <w:tab/>
        <w:t>explains to the account holder the consequences of closing the account; and</w:t>
      </w:r>
    </w:p>
    <w:p>
      <w:pPr>
        <w:pStyle w:val="Indenta"/>
      </w:pPr>
      <w:r>
        <w:tab/>
        <w:t>(b)</w:t>
      </w:r>
      <w:r>
        <w:tab/>
        <w:t>asks if the holder wishes to proceed with closing the account.</w:t>
      </w:r>
    </w:p>
    <w:p>
      <w:pPr>
        <w:pStyle w:val="Footnotesection"/>
      </w:pPr>
      <w:r>
        <w:tab/>
        <w:t>[Regulation 40K inserted: SL 2025/30 r. 6.]</w:t>
      </w:r>
    </w:p>
    <w:p>
      <w:pPr>
        <w:pStyle w:val="Heading3"/>
      </w:pPr>
      <w:bookmarkStart w:id="128" w:name="_Toc213336871"/>
      <w:bookmarkStart w:id="129" w:name="_Toc213337573"/>
      <w:bookmarkStart w:id="130" w:name="_Toc213339552"/>
      <w:r>
        <w:rPr>
          <w:rStyle w:val="CharDivNo"/>
        </w:rPr>
        <w:t>Division 4</w:t>
      </w:r>
      <w:r>
        <w:t> —</w:t>
      </w:r>
      <w:r>
        <w:rPr>
          <w:rStyle w:val="CharDivText"/>
        </w:rPr>
        <w:t> Deposit limits</w:t>
      </w:r>
      <w:bookmarkEnd w:id="128"/>
      <w:bookmarkEnd w:id="129"/>
      <w:bookmarkEnd w:id="130"/>
    </w:p>
    <w:p>
      <w:pPr>
        <w:pStyle w:val="Footnoteheading"/>
      </w:pPr>
      <w:r>
        <w:tab/>
        <w:t>[Heading inserted: SL 2025/30 r. 6.]</w:t>
      </w:r>
    </w:p>
    <w:p>
      <w:pPr>
        <w:pStyle w:val="Heading5"/>
      </w:pPr>
      <w:bookmarkStart w:id="131" w:name="_Toc213339553"/>
      <w:r>
        <w:rPr>
          <w:rStyle w:val="CharSectno"/>
        </w:rPr>
        <w:t>40L</w:t>
      </w:r>
      <w:r>
        <w:t>.</w:t>
      </w:r>
      <w:r>
        <w:tab/>
        <w:t>Deposit limits</w:t>
      </w:r>
      <w:bookmarkEnd w:id="131"/>
    </w:p>
    <w:p>
      <w:pPr>
        <w:pStyle w:val="Subsection"/>
      </w:pPr>
      <w:r>
        <w:tab/>
        <w:t>(1)</w:t>
      </w:r>
      <w:r>
        <w:tab/>
        <w:t xml:space="preserve">Before RWWA establishes an account for a person, RWWA must — </w:t>
      </w:r>
    </w:p>
    <w:p>
      <w:pPr>
        <w:pStyle w:val="Indenta"/>
      </w:pPr>
      <w:r>
        <w:tab/>
        <w:t>(a)</w:t>
      </w:r>
      <w:r>
        <w:tab/>
        <w:t>require the person to set a deposit limit for the account or indicate they do not wish to set a deposit limit for the account; and</w:t>
      </w:r>
    </w:p>
    <w:p>
      <w:pPr>
        <w:pStyle w:val="Indenta"/>
        <w:keepNext/>
      </w:pPr>
      <w:r>
        <w:lastRenderedPageBreak/>
        <w:tab/>
        <w:t>(b)</w:t>
      </w:r>
      <w:r>
        <w:tab/>
        <w:t xml:space="preserve">if the person indicates they do not wish to set a deposit limit for the account — </w:t>
      </w:r>
    </w:p>
    <w:p>
      <w:pPr>
        <w:pStyle w:val="Indenti"/>
      </w:pPr>
      <w:r>
        <w:tab/>
        <w:t>(i)</w:t>
      </w:r>
      <w:r>
        <w:tab/>
        <w:t>give the person information about the benefits of setting a deposit limit for an account; and</w:t>
      </w:r>
    </w:p>
    <w:p>
      <w:pPr>
        <w:pStyle w:val="Indenti"/>
      </w:pPr>
      <w:r>
        <w:tab/>
        <w:t>(ii)</w:t>
      </w:r>
      <w:r>
        <w:tab/>
        <w:t>ask the person if they wish to proceed with not setting a deposit limit for the account.</w:t>
      </w:r>
    </w:p>
    <w:p>
      <w:pPr>
        <w:pStyle w:val="Penstart"/>
      </w:pPr>
      <w:r>
        <w:tab/>
        <w:t>Penalty for this subregulation: a fine of $1 000.</w:t>
      </w:r>
    </w:p>
    <w:p>
      <w:pPr>
        <w:pStyle w:val="Subsection"/>
      </w:pPr>
      <w:r>
        <w:tab/>
        <w:t>(2)</w:t>
      </w:r>
      <w:r>
        <w:tab/>
        <w:t>If a person sets a deposit limit for an account established for the person, RWWA must make the account subject to the deposit limit.</w:t>
      </w:r>
    </w:p>
    <w:p>
      <w:pPr>
        <w:pStyle w:val="Penstart"/>
      </w:pPr>
      <w:r>
        <w:tab/>
        <w:t>Penalty for this subregulation: a fine of $1 000.</w:t>
      </w:r>
    </w:p>
    <w:p>
      <w:pPr>
        <w:pStyle w:val="Subsection"/>
      </w:pPr>
      <w:r>
        <w:tab/>
        <w:t>(3)</w:t>
      </w:r>
      <w:r>
        <w:tab/>
        <w:t xml:space="preserve">RWWA must not allow an account holder to deposit money into their account if the account is subject to a deposit limit and — </w:t>
      </w:r>
    </w:p>
    <w:p>
      <w:pPr>
        <w:pStyle w:val="Indenta"/>
      </w:pPr>
      <w:r>
        <w:tab/>
        <w:t>(a)</w:t>
      </w:r>
      <w:r>
        <w:tab/>
        <w:t>the deposit limit has been reached; or</w:t>
      </w:r>
    </w:p>
    <w:p>
      <w:pPr>
        <w:pStyle w:val="Indenta"/>
      </w:pPr>
      <w:r>
        <w:tab/>
        <w:t>(b)</w:t>
      </w:r>
      <w:r>
        <w:tab/>
        <w:t>the deposit limit would be exceeded if the money were deposited.</w:t>
      </w:r>
    </w:p>
    <w:p>
      <w:pPr>
        <w:pStyle w:val="Penstart"/>
      </w:pPr>
      <w:r>
        <w:tab/>
        <w:t>Penalty for this subregulation: a fine of $1 000.</w:t>
      </w:r>
    </w:p>
    <w:p>
      <w:pPr>
        <w:pStyle w:val="Footnotesection"/>
      </w:pPr>
      <w:r>
        <w:tab/>
        <w:t>[Regulation 40L inserted: SL 2025/30 r. 6.]</w:t>
      </w:r>
    </w:p>
    <w:p>
      <w:pPr>
        <w:pStyle w:val="Heading5"/>
      </w:pPr>
      <w:bookmarkStart w:id="132" w:name="_Toc213339554"/>
      <w:r>
        <w:rPr>
          <w:rStyle w:val="CharSectno"/>
        </w:rPr>
        <w:t>40M</w:t>
      </w:r>
      <w:r>
        <w:t>.</w:t>
      </w:r>
      <w:r>
        <w:tab/>
        <w:t>Review of deposit limits</w:t>
      </w:r>
      <w:bookmarkEnd w:id="132"/>
    </w:p>
    <w:p>
      <w:pPr>
        <w:pStyle w:val="Subsection"/>
      </w:pPr>
      <w:r>
        <w:tab/>
        <w:t>(1)</w:t>
      </w:r>
      <w:r>
        <w:tab/>
        <w:t xml:space="preserve">In this regulation — </w:t>
      </w:r>
    </w:p>
    <w:p>
      <w:pPr>
        <w:pStyle w:val="Defstart"/>
      </w:pPr>
      <w:r>
        <w:tab/>
      </w:r>
      <w:r>
        <w:rPr>
          <w:rStyle w:val="CharDefText"/>
        </w:rPr>
        <w:t>relevant time</w:t>
      </w:r>
      <w:r>
        <w:t>, for asking an account holder, means at the time the holder makes their first wager with RWWA after each anniversary of the day on which the holder made their first wager with RWWA using their account;</w:t>
      </w:r>
    </w:p>
    <w:p>
      <w:pPr>
        <w:pStyle w:val="Defstart"/>
      </w:pPr>
      <w:r>
        <w:tab/>
      </w:r>
      <w:r>
        <w:rPr>
          <w:rStyle w:val="CharDefText"/>
        </w:rPr>
        <w:t>relevant way</w:t>
      </w:r>
      <w:r>
        <w:t xml:space="preserve">, for asking an account holder, means — </w:t>
      </w:r>
    </w:p>
    <w:p>
      <w:pPr>
        <w:pStyle w:val="Defpara"/>
      </w:pPr>
      <w:r>
        <w:tab/>
        <w:t>(a)</w:t>
      </w:r>
      <w:r>
        <w:tab/>
        <w:t>if the holder is making their wager using a telephone — by telephone; or</w:t>
      </w:r>
    </w:p>
    <w:p>
      <w:pPr>
        <w:pStyle w:val="Defpara"/>
      </w:pPr>
      <w:r>
        <w:tab/>
        <w:t>(b)</w:t>
      </w:r>
      <w:r>
        <w:tab/>
        <w:t>if the holder is making their wager using another means — in writing using that means.</w:t>
      </w:r>
    </w:p>
    <w:p>
      <w:pPr>
        <w:pStyle w:val="Subsection"/>
      </w:pPr>
      <w:r>
        <w:lastRenderedPageBreak/>
        <w:tab/>
        <w:t>(2)</w:t>
      </w:r>
      <w:r>
        <w:tab/>
        <w:t>RWWA must, at the relevant time and in the relevant way, ask an account holder whether the holder wishes to set a deposit limit or change the deposit limit (as the case may be) for the holder’s account.</w:t>
      </w:r>
    </w:p>
    <w:p>
      <w:pPr>
        <w:pStyle w:val="Penstart"/>
      </w:pPr>
      <w:r>
        <w:tab/>
        <w:t>Penalty for this subregulation: a fine of $1 000.</w:t>
      </w:r>
    </w:p>
    <w:p>
      <w:pPr>
        <w:pStyle w:val="Subsection"/>
      </w:pPr>
      <w:r>
        <w:tab/>
        <w:t>(3)</w:t>
      </w:r>
      <w:r>
        <w:tab/>
        <w:t>Subregulation (2) does not apply if the account holder has not used their account to wager within the previous 12 months.</w:t>
      </w:r>
    </w:p>
    <w:p>
      <w:pPr>
        <w:pStyle w:val="Footnotesection"/>
      </w:pPr>
      <w:r>
        <w:tab/>
        <w:t>[Regulation 40M inserted: SL 2025/30 r. 6.]</w:t>
      </w:r>
    </w:p>
    <w:p>
      <w:pPr>
        <w:pStyle w:val="Heading5"/>
      </w:pPr>
      <w:bookmarkStart w:id="133" w:name="_Toc213339555"/>
      <w:r>
        <w:rPr>
          <w:rStyle w:val="CharSectno"/>
        </w:rPr>
        <w:t>40N</w:t>
      </w:r>
      <w:r>
        <w:t>.</w:t>
      </w:r>
      <w:r>
        <w:tab/>
        <w:t>Process for account holder to set or change deposit limit</w:t>
      </w:r>
      <w:bookmarkEnd w:id="133"/>
    </w:p>
    <w:p>
      <w:pPr>
        <w:pStyle w:val="Subsection"/>
      </w:pPr>
      <w:r>
        <w:tab/>
        <w:t>(1)</w:t>
      </w:r>
      <w:r>
        <w:tab/>
        <w:t>RWWA must ensure that the process for an account holder to set or change the deposit limit to which their account is subject is simple and easy for a reasonable person to use.</w:t>
      </w:r>
    </w:p>
    <w:p>
      <w:pPr>
        <w:pStyle w:val="Penstart"/>
      </w:pPr>
      <w:r>
        <w:tab/>
        <w:t>Penalty for this subregulation: a fine of $1 000.</w:t>
      </w:r>
    </w:p>
    <w:p>
      <w:pPr>
        <w:pStyle w:val="Subsection"/>
      </w:pPr>
      <w:r>
        <w:tab/>
        <w:t>(2)</w:t>
      </w:r>
      <w:r>
        <w:tab/>
        <w:t xml:space="preserve">RWWA must ensure that the process for an account holder to set or change the deposit limit to which their account is subject — </w:t>
      </w:r>
    </w:p>
    <w:p>
      <w:pPr>
        <w:pStyle w:val="Indenta"/>
      </w:pPr>
      <w:r>
        <w:tab/>
        <w:t>(a)</w:t>
      </w:r>
      <w:r>
        <w:tab/>
        <w:t xml:space="preserve">allows the holder to choose the duration for which the deposit limit applies from at least 2 options offered by RWWA, including, for example, the following — </w:t>
      </w:r>
    </w:p>
    <w:p>
      <w:pPr>
        <w:pStyle w:val="Indenti"/>
      </w:pPr>
      <w:r>
        <w:tab/>
        <w:t>(i)</w:t>
      </w:r>
      <w:r>
        <w:tab/>
        <w:t>1 day;</w:t>
      </w:r>
    </w:p>
    <w:p>
      <w:pPr>
        <w:pStyle w:val="Indenti"/>
      </w:pPr>
      <w:r>
        <w:tab/>
        <w:t>(ii)</w:t>
      </w:r>
      <w:r>
        <w:tab/>
        <w:t>1 week;</w:t>
      </w:r>
    </w:p>
    <w:p>
      <w:pPr>
        <w:pStyle w:val="Indenti"/>
      </w:pPr>
      <w:r>
        <w:tab/>
        <w:t>(iii)</w:t>
      </w:r>
      <w:r>
        <w:tab/>
        <w:t>1 fortnight;</w:t>
      </w:r>
    </w:p>
    <w:p>
      <w:pPr>
        <w:pStyle w:val="Indenti"/>
      </w:pPr>
      <w:r>
        <w:tab/>
        <w:t>(iv)</w:t>
      </w:r>
      <w:r>
        <w:tab/>
        <w:t>1 month;</w:t>
      </w:r>
    </w:p>
    <w:p>
      <w:pPr>
        <w:pStyle w:val="Indenta"/>
      </w:pPr>
      <w:r>
        <w:tab/>
      </w:r>
      <w:r>
        <w:tab/>
        <w:t>and</w:t>
      </w:r>
    </w:p>
    <w:p>
      <w:pPr>
        <w:pStyle w:val="Indenta"/>
      </w:pPr>
      <w:r>
        <w:tab/>
        <w:t>(b)</w:t>
      </w:r>
      <w:r>
        <w:tab/>
        <w:t>does not allow the holder to choose the duration for which the deposit limit applies of more than 1 month; and</w:t>
      </w:r>
    </w:p>
    <w:p>
      <w:pPr>
        <w:pStyle w:val="Indenta"/>
      </w:pPr>
      <w:r>
        <w:tab/>
        <w:t>(c)</w:t>
      </w:r>
      <w:r>
        <w:tab/>
        <w:t>allows the holder to set or change the deposit limit themselves by any means by which the holder may use the account to wager; and</w:t>
      </w:r>
    </w:p>
    <w:p>
      <w:pPr>
        <w:pStyle w:val="Indenta"/>
      </w:pPr>
      <w:r>
        <w:lastRenderedPageBreak/>
        <w:tab/>
        <w:t>(d)</w:t>
      </w:r>
      <w:r>
        <w:tab/>
        <w:t>allows the holder to request, in person or by telephone or email, that RWWA set or change the deposit limit.</w:t>
      </w:r>
    </w:p>
    <w:p>
      <w:pPr>
        <w:pStyle w:val="Penstart"/>
      </w:pPr>
      <w:r>
        <w:tab/>
        <w:t>Penalty for this subregulation: a fine of $1 000.</w:t>
      </w:r>
    </w:p>
    <w:p>
      <w:pPr>
        <w:pStyle w:val="Subsection"/>
      </w:pPr>
      <w:r>
        <w:tab/>
        <w:t>(3)</w:t>
      </w:r>
      <w:r>
        <w:tab/>
        <w:t xml:space="preserve">RWWA must prominently display the process for an account holder to set or change the deposit limit to which their account is subject — </w:t>
      </w:r>
    </w:p>
    <w:p>
      <w:pPr>
        <w:pStyle w:val="Indenta"/>
      </w:pPr>
      <w:r>
        <w:tab/>
        <w:t>(a)</w:t>
      </w:r>
      <w:r>
        <w:tab/>
        <w:t>on RWWA’s website; and</w:t>
      </w:r>
    </w:p>
    <w:p>
      <w:pPr>
        <w:pStyle w:val="Indenta"/>
      </w:pPr>
      <w:r>
        <w:tab/>
        <w:t>(b)</w:t>
      </w:r>
      <w:r>
        <w:tab/>
        <w:t>if an account holder is able to access their account using the Internet — at the location on the Internet at which the holder accesses the account.</w:t>
      </w:r>
    </w:p>
    <w:p>
      <w:pPr>
        <w:pStyle w:val="Penstart"/>
      </w:pPr>
      <w:r>
        <w:tab/>
        <w:t>Penalty for this subregulation: a fine of $1 000.</w:t>
      </w:r>
    </w:p>
    <w:p>
      <w:pPr>
        <w:pStyle w:val="Footnotesection"/>
      </w:pPr>
      <w:r>
        <w:tab/>
        <w:t>[Regulation 40N inserted: SL 2025/30 r. 6.]</w:t>
      </w:r>
    </w:p>
    <w:p>
      <w:pPr>
        <w:pStyle w:val="Heading5"/>
      </w:pPr>
      <w:bookmarkStart w:id="134" w:name="_Toc213339556"/>
      <w:r>
        <w:rPr>
          <w:rStyle w:val="CharSectno"/>
        </w:rPr>
        <w:t>40O</w:t>
      </w:r>
      <w:r>
        <w:t>.</w:t>
      </w:r>
      <w:r>
        <w:tab/>
        <w:t>RWWA must give effect to changed deposit limit</w:t>
      </w:r>
      <w:bookmarkEnd w:id="134"/>
    </w:p>
    <w:p>
      <w:pPr>
        <w:pStyle w:val="Subsection"/>
      </w:pPr>
      <w:r>
        <w:tab/>
        <w:t>(1)</w:t>
      </w:r>
      <w:r>
        <w:tab/>
        <w:t>If an account holder requests that RWWA decrease the deposit limit to which their account is subject, RWWA must give immediate effect to the request.</w:t>
      </w:r>
    </w:p>
    <w:p>
      <w:pPr>
        <w:pStyle w:val="Penstart"/>
      </w:pPr>
      <w:r>
        <w:tab/>
        <w:t>Penalty for this subregulation: a fine of $1 000.</w:t>
      </w:r>
    </w:p>
    <w:p>
      <w:pPr>
        <w:pStyle w:val="Subsection"/>
      </w:pPr>
      <w:r>
        <w:tab/>
        <w:t>(2)</w:t>
      </w:r>
      <w:r>
        <w:tab/>
        <w:t>If an account holder requests that RWWA increase the deposit limit to which their account is subject, RWWA must give effect to the request, but no earlier than 7 days after the request is made.</w:t>
      </w:r>
    </w:p>
    <w:p>
      <w:pPr>
        <w:pStyle w:val="Penstart"/>
      </w:pPr>
      <w:r>
        <w:tab/>
        <w:t>Penalty for this subregulation: a fine of $1 000.</w:t>
      </w:r>
    </w:p>
    <w:p>
      <w:pPr>
        <w:pStyle w:val="Footnotesection"/>
      </w:pPr>
      <w:r>
        <w:tab/>
        <w:t>[Regulation 40O inserted: SL 2025/30 r. 6.]</w:t>
      </w:r>
    </w:p>
    <w:p>
      <w:pPr>
        <w:pStyle w:val="Heading5"/>
      </w:pPr>
      <w:bookmarkStart w:id="135" w:name="_Toc213339557"/>
      <w:r>
        <w:rPr>
          <w:rStyle w:val="CharSectno"/>
        </w:rPr>
        <w:t>40P</w:t>
      </w:r>
      <w:r>
        <w:t>.</w:t>
      </w:r>
      <w:r>
        <w:tab/>
        <w:t>RWWA must promote availability of deposit limits</w:t>
      </w:r>
      <w:bookmarkEnd w:id="135"/>
    </w:p>
    <w:p>
      <w:pPr>
        <w:pStyle w:val="Subsection"/>
      </w:pPr>
      <w:r>
        <w:tab/>
      </w:r>
      <w:r>
        <w:tab/>
        <w:t xml:space="preserve">RWWA must promote the availability of deposit limits for accounts — </w:t>
      </w:r>
    </w:p>
    <w:p>
      <w:pPr>
        <w:pStyle w:val="Indenta"/>
      </w:pPr>
      <w:r>
        <w:tab/>
        <w:t>(a)</w:t>
      </w:r>
      <w:r>
        <w:tab/>
        <w:t>on any brochure, pamphlet or other marketing material (other than an advertisement) that gives information about how to establish an account with RWWA; and</w:t>
      </w:r>
    </w:p>
    <w:p>
      <w:pPr>
        <w:pStyle w:val="Indenta"/>
      </w:pPr>
      <w:r>
        <w:lastRenderedPageBreak/>
        <w:tab/>
        <w:t>(b)</w:t>
      </w:r>
      <w:r>
        <w:tab/>
        <w:t>as part of any “welcome pack” (however described) given to an account holder upon the establishment of the holder’s account; and</w:t>
      </w:r>
    </w:p>
    <w:p>
      <w:pPr>
        <w:pStyle w:val="Indenta"/>
      </w:pPr>
      <w:r>
        <w:tab/>
        <w:t>(c)</w:t>
      </w:r>
      <w:r>
        <w:tab/>
        <w:t>on RWWA’s website’s home page and any point</w:t>
      </w:r>
      <w:r>
        <w:noBreakHyphen/>
        <w:t>of</w:t>
      </w:r>
      <w:r>
        <w:noBreakHyphen/>
        <w:t>sale page; and</w:t>
      </w:r>
    </w:p>
    <w:p>
      <w:pPr>
        <w:pStyle w:val="Indenta"/>
      </w:pPr>
      <w:r>
        <w:tab/>
        <w:t>(d)</w:t>
      </w:r>
      <w:r>
        <w:tab/>
        <w:t>on any activity statement or transaction history for an account that RWWA gives, or makes available to, the account holder under Division 5 or 6.</w:t>
      </w:r>
    </w:p>
    <w:p>
      <w:pPr>
        <w:pStyle w:val="Penstart"/>
      </w:pPr>
      <w:r>
        <w:tab/>
        <w:t>Penalty: a fine of $1 000.</w:t>
      </w:r>
    </w:p>
    <w:p>
      <w:pPr>
        <w:pStyle w:val="Footnotesection"/>
      </w:pPr>
      <w:r>
        <w:tab/>
        <w:t>[Regulation 40P inserted: SL 2025/30 r. 6.]</w:t>
      </w:r>
    </w:p>
    <w:p>
      <w:pPr>
        <w:pStyle w:val="Heading3"/>
      </w:pPr>
      <w:bookmarkStart w:id="136" w:name="_Toc213336877"/>
      <w:bookmarkStart w:id="137" w:name="_Toc213337579"/>
      <w:bookmarkStart w:id="138" w:name="_Toc213339558"/>
      <w:r>
        <w:rPr>
          <w:rStyle w:val="CharDivNo"/>
        </w:rPr>
        <w:t>Division 5</w:t>
      </w:r>
      <w:r>
        <w:t> —</w:t>
      </w:r>
      <w:r>
        <w:rPr>
          <w:rStyle w:val="CharDivText"/>
        </w:rPr>
        <w:t> Activity statements</w:t>
      </w:r>
      <w:bookmarkEnd w:id="136"/>
      <w:bookmarkEnd w:id="137"/>
      <w:bookmarkEnd w:id="138"/>
    </w:p>
    <w:p>
      <w:pPr>
        <w:pStyle w:val="Footnoteheading"/>
      </w:pPr>
      <w:r>
        <w:tab/>
        <w:t>[Heading inserted: SL 2025/30 r. 6.]</w:t>
      </w:r>
    </w:p>
    <w:p>
      <w:pPr>
        <w:pStyle w:val="Heading5"/>
      </w:pPr>
      <w:bookmarkStart w:id="139" w:name="_Toc213339559"/>
      <w:r>
        <w:rPr>
          <w:rStyle w:val="CharSectno"/>
        </w:rPr>
        <w:t>40Q</w:t>
      </w:r>
      <w:r>
        <w:t>.</w:t>
      </w:r>
      <w:r>
        <w:tab/>
        <w:t>Term used: activity statement</w:t>
      </w:r>
      <w:bookmarkEnd w:id="139"/>
    </w:p>
    <w:p>
      <w:pPr>
        <w:pStyle w:val="Subsection"/>
      </w:pPr>
      <w:r>
        <w:tab/>
      </w:r>
      <w:r>
        <w:tab/>
        <w:t xml:space="preserve">In this Division — </w:t>
      </w:r>
    </w:p>
    <w:p>
      <w:pPr>
        <w:pStyle w:val="Defstart"/>
      </w:pPr>
      <w:r>
        <w:tab/>
      </w:r>
      <w:r>
        <w:rPr>
          <w:rStyle w:val="CharDefText"/>
        </w:rPr>
        <w:t>activity statement</w:t>
      </w:r>
      <w:r>
        <w:t xml:space="preserve">, for an account, for a month, means a document about the account that — </w:t>
      </w:r>
    </w:p>
    <w:p>
      <w:pPr>
        <w:pStyle w:val="Indenta"/>
      </w:pPr>
      <w:r>
        <w:tab/>
        <w:t>(a)</w:t>
      </w:r>
      <w:r>
        <w:tab/>
        <w:t xml:space="preserve">sets out the following for the month — </w:t>
      </w:r>
    </w:p>
    <w:p>
      <w:pPr>
        <w:pStyle w:val="Indenti"/>
      </w:pPr>
      <w:r>
        <w:tab/>
        <w:t>(i)</w:t>
      </w:r>
      <w:r>
        <w:tab/>
        <w:t>the amount spent;</w:t>
      </w:r>
    </w:p>
    <w:p>
      <w:pPr>
        <w:pStyle w:val="Indenti"/>
      </w:pPr>
      <w:r>
        <w:tab/>
        <w:t>(ii)</w:t>
      </w:r>
      <w:r>
        <w:tab/>
        <w:t>the number of wagers made;</w:t>
      </w:r>
    </w:p>
    <w:p>
      <w:pPr>
        <w:pStyle w:val="Indenti"/>
      </w:pPr>
      <w:r>
        <w:tab/>
        <w:t>(iii)</w:t>
      </w:r>
      <w:r>
        <w:tab/>
        <w:t>the wins and losses;</w:t>
      </w:r>
    </w:p>
    <w:p>
      <w:pPr>
        <w:pStyle w:val="Indenti"/>
      </w:pPr>
      <w:r>
        <w:tab/>
        <w:t>(iv)</w:t>
      </w:r>
      <w:r>
        <w:tab/>
        <w:t>the overall net win/loss;</w:t>
      </w:r>
    </w:p>
    <w:p>
      <w:pPr>
        <w:pStyle w:val="Indenti"/>
      </w:pPr>
      <w:r>
        <w:tab/>
        <w:t>(v)</w:t>
      </w:r>
      <w:r>
        <w:tab/>
        <w:t>the opening balance and closing balance;</w:t>
      </w:r>
    </w:p>
    <w:p>
      <w:pPr>
        <w:pStyle w:val="Indenti"/>
      </w:pPr>
      <w:r>
        <w:tab/>
        <w:t>(vi)</w:t>
      </w:r>
      <w:r>
        <w:tab/>
        <w:t>the deposits and withdrawals;</w:t>
      </w:r>
    </w:p>
    <w:p>
      <w:pPr>
        <w:pStyle w:val="Indenta"/>
      </w:pPr>
      <w:r>
        <w:tab/>
      </w:r>
      <w:r>
        <w:tab/>
        <w:t>and</w:t>
      </w:r>
    </w:p>
    <w:p>
      <w:pPr>
        <w:pStyle w:val="Indenta"/>
      </w:pPr>
      <w:r>
        <w:tab/>
        <w:t>(b)</w:t>
      </w:r>
      <w:r>
        <w:tab/>
        <w:t xml:space="preserve">includes a column graph that illustrates — </w:t>
      </w:r>
    </w:p>
    <w:p>
      <w:pPr>
        <w:pStyle w:val="Indenti"/>
      </w:pPr>
      <w:r>
        <w:tab/>
        <w:t>(i)</w:t>
      </w:r>
      <w:r>
        <w:tab/>
        <w:t xml:space="preserve">the total amount spent in the period of 6 months that is made up of the month and the preceding 5 months (the </w:t>
      </w:r>
      <w:r>
        <w:rPr>
          <w:rStyle w:val="CharDefText"/>
        </w:rPr>
        <w:t>6</w:t>
      </w:r>
      <w:r>
        <w:rPr>
          <w:rStyle w:val="CharDefText"/>
        </w:rPr>
        <w:noBreakHyphen/>
        <w:t>month period</w:t>
      </w:r>
      <w:r>
        <w:t>); and</w:t>
      </w:r>
    </w:p>
    <w:p>
      <w:pPr>
        <w:pStyle w:val="Indenti"/>
      </w:pPr>
      <w:r>
        <w:lastRenderedPageBreak/>
        <w:tab/>
        <w:t>(ii)</w:t>
      </w:r>
      <w:r>
        <w:tab/>
        <w:t>the overall net win/loss for the 6</w:t>
      </w:r>
      <w:r>
        <w:noBreakHyphen/>
        <w:t>month period; and</w:t>
      </w:r>
    </w:p>
    <w:p>
      <w:pPr>
        <w:pStyle w:val="Indenti"/>
      </w:pPr>
      <w:r>
        <w:tab/>
        <w:t>(iii)</w:t>
      </w:r>
      <w:r>
        <w:tab/>
        <w:t>the information referred to in subparagraphs (i) and (ii) compared to the same 6</w:t>
      </w:r>
      <w:r>
        <w:noBreakHyphen/>
        <w:t>month period in the previous year;</w:t>
      </w:r>
    </w:p>
    <w:p>
      <w:pPr>
        <w:pStyle w:val="Indenta"/>
      </w:pPr>
      <w:r>
        <w:tab/>
      </w:r>
      <w:r>
        <w:tab/>
        <w:t>and</w:t>
      </w:r>
    </w:p>
    <w:p>
      <w:pPr>
        <w:pStyle w:val="Indenta"/>
      </w:pPr>
      <w:r>
        <w:tab/>
        <w:t>(c)</w:t>
      </w:r>
      <w:r>
        <w:tab/>
        <w:t>if the activity statement is given by email — includes a link to a list of transactions for the account for the month; and</w:t>
      </w:r>
    </w:p>
    <w:p>
      <w:pPr>
        <w:pStyle w:val="Indenta"/>
      </w:pPr>
      <w:r>
        <w:tab/>
        <w:t>(d)</w:t>
      </w:r>
      <w:r>
        <w:tab/>
        <w:t>only uses red text or red shading to show losses; and</w:t>
      </w:r>
    </w:p>
    <w:p>
      <w:pPr>
        <w:pStyle w:val="Indenta"/>
      </w:pPr>
      <w:r>
        <w:tab/>
        <w:t>(e)</w:t>
      </w:r>
      <w:r>
        <w:tab/>
        <w:t>only uses black text to show wins; and</w:t>
      </w:r>
    </w:p>
    <w:p>
      <w:pPr>
        <w:pStyle w:val="Indenta"/>
      </w:pPr>
      <w:r>
        <w:tab/>
        <w:t>(f)</w:t>
      </w:r>
      <w:r>
        <w:tab/>
        <w:t>does not use any shading to show wins; and</w:t>
      </w:r>
    </w:p>
    <w:p>
      <w:pPr>
        <w:pStyle w:val="Indenta"/>
      </w:pPr>
      <w:r>
        <w:tab/>
        <w:t>(g)</w:t>
      </w:r>
      <w:r>
        <w:tab/>
        <w:t>includes information, or if the activity statement is given by email, a link to information, about support services for gambling; and</w:t>
      </w:r>
    </w:p>
    <w:p>
      <w:pPr>
        <w:pStyle w:val="Indenta"/>
      </w:pPr>
      <w:r>
        <w:tab/>
        <w:t>(h)</w:t>
      </w:r>
      <w:r>
        <w:tab/>
        <w:t>includes a message that promotes consumer protection tools; and</w:t>
      </w:r>
    </w:p>
    <w:p>
      <w:pPr>
        <w:pStyle w:val="Indenta"/>
      </w:pPr>
      <w:r>
        <w:tab/>
        <w:t>(i)</w:t>
      </w:r>
      <w:r>
        <w:tab/>
        <w:t>does not include any promotional or advertising material.</w:t>
      </w:r>
    </w:p>
    <w:p>
      <w:pPr>
        <w:pStyle w:val="PermNoteHeading"/>
      </w:pPr>
      <w:r>
        <w:tab/>
        <w:t>Examples for this definition:</w:t>
      </w:r>
    </w:p>
    <w:p>
      <w:pPr>
        <w:pStyle w:val="PermNoteText"/>
      </w:pPr>
      <w:r>
        <w:tab/>
      </w:r>
      <w:r>
        <w:tab/>
        <w:t>For the purposes of paragraph (h), examples of consumer protection tools are —</w:t>
      </w:r>
    </w:p>
    <w:p>
      <w:pPr>
        <w:pStyle w:val="PermNotePara"/>
      </w:pPr>
      <w:r>
        <w:tab/>
        <w:t>(a)</w:t>
      </w:r>
      <w:r>
        <w:tab/>
        <w:t>a self</w:t>
      </w:r>
      <w:r>
        <w:noBreakHyphen/>
        <w:t>exclusion register;</w:t>
      </w:r>
    </w:p>
    <w:p>
      <w:pPr>
        <w:pStyle w:val="PermNotePara"/>
      </w:pPr>
      <w:r>
        <w:tab/>
        <w:t>(b)</w:t>
      </w:r>
      <w:r>
        <w:tab/>
        <w:t>a deposit limit on an account.</w:t>
      </w:r>
    </w:p>
    <w:p>
      <w:pPr>
        <w:pStyle w:val="Footnotesection"/>
      </w:pPr>
      <w:r>
        <w:tab/>
        <w:t>[Regulation 40Q inserted: SL 2025/30 r. 6.]</w:t>
      </w:r>
    </w:p>
    <w:p>
      <w:pPr>
        <w:pStyle w:val="Heading5"/>
      </w:pPr>
      <w:bookmarkStart w:id="140" w:name="_Toc213339560"/>
      <w:r>
        <w:rPr>
          <w:rStyle w:val="CharSectno"/>
        </w:rPr>
        <w:t>40R</w:t>
      </w:r>
      <w:r>
        <w:t>.</w:t>
      </w:r>
      <w:r>
        <w:tab/>
        <w:t>RWWA must give activity statements</w:t>
      </w:r>
      <w:bookmarkEnd w:id="140"/>
    </w:p>
    <w:p>
      <w:pPr>
        <w:pStyle w:val="Subsection"/>
      </w:pPr>
      <w:r>
        <w:tab/>
        <w:t>(1)</w:t>
      </w:r>
      <w:r>
        <w:tab/>
        <w:t xml:space="preserve">RWWA must give an account holder who is active in a month an activity statement for their account for the month — </w:t>
      </w:r>
    </w:p>
    <w:p>
      <w:pPr>
        <w:pStyle w:val="Indenta"/>
      </w:pPr>
      <w:r>
        <w:tab/>
        <w:t>(a)</w:t>
      </w:r>
      <w:r>
        <w:tab/>
        <w:t>if the holder accesses their account using the Internet — by email within 7 days after the month ends; or</w:t>
      </w:r>
    </w:p>
    <w:p>
      <w:pPr>
        <w:pStyle w:val="Indenta"/>
      </w:pPr>
      <w:r>
        <w:lastRenderedPageBreak/>
        <w:tab/>
        <w:t>(b)</w:t>
      </w:r>
      <w:r>
        <w:tab/>
        <w:t>otherwise — by email or post within 7 days after the month ends.</w:t>
      </w:r>
    </w:p>
    <w:p>
      <w:pPr>
        <w:pStyle w:val="Penstart"/>
      </w:pPr>
      <w:r>
        <w:tab/>
        <w:t>Penalty for this subregulation: a fine of $1 000.</w:t>
      </w:r>
    </w:p>
    <w:p>
      <w:pPr>
        <w:pStyle w:val="Subsection"/>
      </w:pPr>
      <w:r>
        <w:tab/>
        <w:t>(2)</w:t>
      </w:r>
      <w:r>
        <w:tab/>
        <w:t>RWWA must not give an account holder an activity statement for their account for a month if the holder is not active in that month.</w:t>
      </w:r>
    </w:p>
    <w:p>
      <w:pPr>
        <w:pStyle w:val="Penstart"/>
      </w:pPr>
      <w:r>
        <w:tab/>
        <w:t>Penalty for this subregulation: a fine of $1 000.</w:t>
      </w:r>
    </w:p>
    <w:p>
      <w:pPr>
        <w:pStyle w:val="Subsection"/>
      </w:pPr>
      <w:r>
        <w:tab/>
        <w:t>(3)</w:t>
      </w:r>
      <w:r>
        <w:tab/>
        <w:t>For the purposes of subregulations (1) and (2), an account holder is active in a month if the holder has made at least 1 transaction in their account during the month.</w:t>
      </w:r>
    </w:p>
    <w:p>
      <w:pPr>
        <w:pStyle w:val="Footnotesection"/>
      </w:pPr>
      <w:r>
        <w:tab/>
        <w:t>[Regulation 40R inserted: SL 2025/30 r. 6.]</w:t>
      </w:r>
    </w:p>
    <w:p>
      <w:pPr>
        <w:pStyle w:val="Heading5"/>
      </w:pPr>
      <w:bookmarkStart w:id="141" w:name="_Toc213339561"/>
      <w:r>
        <w:rPr>
          <w:rStyle w:val="CharSectno"/>
        </w:rPr>
        <w:t>40S</w:t>
      </w:r>
      <w:r>
        <w:t>.</w:t>
      </w:r>
      <w:r>
        <w:tab/>
        <w:t>RWWA must make available and give copies of activity statements</w:t>
      </w:r>
      <w:bookmarkEnd w:id="141"/>
    </w:p>
    <w:p>
      <w:pPr>
        <w:pStyle w:val="Subsection"/>
      </w:pPr>
      <w:r>
        <w:tab/>
        <w:t>(1)</w:t>
      </w:r>
      <w:r>
        <w:tab/>
        <w:t>If an account holder accesses their account using the Internet, RWWA must make all activity statements for the account easily available to be viewed at any time through the account.</w:t>
      </w:r>
    </w:p>
    <w:p>
      <w:pPr>
        <w:pStyle w:val="Penstart"/>
      </w:pPr>
      <w:r>
        <w:tab/>
        <w:t>Penalty for this subregulation: a fine of $1 000.</w:t>
      </w:r>
    </w:p>
    <w:p>
      <w:pPr>
        <w:pStyle w:val="Subsection"/>
      </w:pPr>
      <w:r>
        <w:tab/>
        <w:t>(2)</w:t>
      </w:r>
      <w:r>
        <w:tab/>
        <w:t xml:space="preserve">For the purposes of subregulation (1), an activity statement is not </w:t>
      </w:r>
      <w:r>
        <w:rPr>
          <w:bCs/>
          <w:iCs/>
        </w:rPr>
        <w:t>easily available</w:t>
      </w:r>
      <w:r>
        <w:t xml:space="preserve"> to be viewed if the account holder must enter a password to view the statement once the holder has accessed the account. </w:t>
      </w:r>
    </w:p>
    <w:p>
      <w:pPr>
        <w:pStyle w:val="Subsection"/>
      </w:pPr>
      <w:r>
        <w:tab/>
        <w:t>(3)</w:t>
      </w:r>
      <w:r>
        <w:tab/>
        <w:t xml:space="preserve">If an account holder requests a copy of an activity statement for their account, RWWA must give the holder the copy — </w:t>
      </w:r>
    </w:p>
    <w:p>
      <w:pPr>
        <w:pStyle w:val="Indenta"/>
      </w:pPr>
      <w:r>
        <w:tab/>
        <w:t>(a)</w:t>
      </w:r>
      <w:r>
        <w:tab/>
        <w:t>by email within 2 days after the request; or</w:t>
      </w:r>
    </w:p>
    <w:p>
      <w:pPr>
        <w:pStyle w:val="Indenta"/>
      </w:pPr>
      <w:r>
        <w:tab/>
        <w:t>(b)</w:t>
      </w:r>
      <w:r>
        <w:tab/>
        <w:t>by post within 7 days after the request.</w:t>
      </w:r>
    </w:p>
    <w:p>
      <w:pPr>
        <w:pStyle w:val="Penstart"/>
      </w:pPr>
      <w:r>
        <w:tab/>
        <w:t>Penalty for this subregulation: a fine of $1 000.</w:t>
      </w:r>
    </w:p>
    <w:p>
      <w:pPr>
        <w:pStyle w:val="Subsection"/>
      </w:pPr>
      <w:r>
        <w:tab/>
        <w:t>(4)</w:t>
      </w:r>
      <w:r>
        <w:tab/>
        <w:t>If RWWA gives the copy of the activity statement to the account holder by post, RWWA may charge the holder the costs associated with the postage.</w:t>
      </w:r>
    </w:p>
    <w:p>
      <w:pPr>
        <w:pStyle w:val="Footnotesection"/>
      </w:pPr>
      <w:r>
        <w:tab/>
        <w:t>[Regulation 40S inserted: SL 2025/30 r. 6.]</w:t>
      </w:r>
    </w:p>
    <w:p>
      <w:pPr>
        <w:pStyle w:val="Heading5"/>
      </w:pPr>
      <w:bookmarkStart w:id="142" w:name="_Toc213339562"/>
      <w:r>
        <w:rPr>
          <w:rStyle w:val="CharSectno"/>
        </w:rPr>
        <w:lastRenderedPageBreak/>
        <w:t>40T</w:t>
      </w:r>
      <w:r>
        <w:t>.</w:t>
      </w:r>
      <w:r>
        <w:tab/>
        <w:t>Form of activity statements</w:t>
      </w:r>
      <w:bookmarkEnd w:id="142"/>
    </w:p>
    <w:p>
      <w:pPr>
        <w:pStyle w:val="Subsection"/>
      </w:pPr>
      <w:r>
        <w:tab/>
      </w:r>
      <w:r>
        <w:tab/>
        <w:t>RWWA must ensure that an activity statement is written in a way that is simple and easy for a reasonable person to understand.</w:t>
      </w:r>
    </w:p>
    <w:p>
      <w:pPr>
        <w:pStyle w:val="Penstart"/>
      </w:pPr>
      <w:r>
        <w:tab/>
        <w:t>Penalty: a fine of $1 000.</w:t>
      </w:r>
    </w:p>
    <w:p>
      <w:pPr>
        <w:pStyle w:val="Footnotesection"/>
      </w:pPr>
      <w:r>
        <w:tab/>
        <w:t>[Regulation 40T inserted: SL 2025/30 r. 6.]</w:t>
      </w:r>
    </w:p>
    <w:p>
      <w:pPr>
        <w:pStyle w:val="Heading3"/>
      </w:pPr>
      <w:bookmarkStart w:id="143" w:name="_Toc213336882"/>
      <w:bookmarkStart w:id="144" w:name="_Toc213337584"/>
      <w:bookmarkStart w:id="145" w:name="_Toc213339563"/>
      <w:r>
        <w:rPr>
          <w:rStyle w:val="CharDivNo"/>
        </w:rPr>
        <w:t>Division 6</w:t>
      </w:r>
      <w:r>
        <w:t> —</w:t>
      </w:r>
      <w:r>
        <w:rPr>
          <w:rStyle w:val="CharDivText"/>
        </w:rPr>
        <w:t> Transaction histories</w:t>
      </w:r>
      <w:bookmarkEnd w:id="143"/>
      <w:bookmarkEnd w:id="144"/>
      <w:bookmarkEnd w:id="145"/>
    </w:p>
    <w:p>
      <w:pPr>
        <w:pStyle w:val="Footnoteheading"/>
      </w:pPr>
      <w:r>
        <w:tab/>
        <w:t>[Heading inserted: SL 2025/30 r. 6.]</w:t>
      </w:r>
    </w:p>
    <w:p>
      <w:pPr>
        <w:pStyle w:val="Heading5"/>
      </w:pPr>
      <w:bookmarkStart w:id="146" w:name="_Toc213339564"/>
      <w:r>
        <w:rPr>
          <w:rStyle w:val="CharSectno"/>
        </w:rPr>
        <w:t>40U</w:t>
      </w:r>
      <w:r>
        <w:t>.</w:t>
      </w:r>
      <w:r>
        <w:tab/>
        <w:t>RWWA must make transaction histories available to account holders who use Internet</w:t>
      </w:r>
      <w:bookmarkEnd w:id="146"/>
    </w:p>
    <w:p>
      <w:pPr>
        <w:pStyle w:val="Subsection"/>
      </w:pPr>
      <w:r>
        <w:tab/>
        <w:t>(1)</w:t>
      </w:r>
      <w:r>
        <w:tab/>
        <w:t xml:space="preserve">In this regulation — </w:t>
      </w:r>
    </w:p>
    <w:p>
      <w:pPr>
        <w:pStyle w:val="Defstart"/>
      </w:pPr>
      <w:r>
        <w:tab/>
      </w:r>
      <w:r>
        <w:rPr>
          <w:rStyle w:val="CharDefText"/>
        </w:rPr>
        <w:t>relevant period</w:t>
      </w:r>
      <w:r>
        <w:t xml:space="preserve"> means — </w:t>
      </w:r>
    </w:p>
    <w:p>
      <w:pPr>
        <w:pStyle w:val="Defpara"/>
      </w:pPr>
      <w:r>
        <w:tab/>
        <w:t>(a)</w:t>
      </w:r>
      <w:r>
        <w:tab/>
        <w:t>if a period is specified by the account holder — that period; or</w:t>
      </w:r>
    </w:p>
    <w:p>
      <w:pPr>
        <w:pStyle w:val="Defpara"/>
      </w:pPr>
      <w:r>
        <w:tab/>
        <w:t>(b)</w:t>
      </w:r>
      <w:r>
        <w:tab/>
        <w:t>otherwise — the period beginning on the day the account was established and ending at the time at which the transaction history is being viewed.</w:t>
      </w:r>
    </w:p>
    <w:p>
      <w:pPr>
        <w:pStyle w:val="Subsection"/>
      </w:pPr>
      <w:r>
        <w:tab/>
        <w:t>(2)</w:t>
      </w:r>
      <w:r>
        <w:tab/>
        <w:t xml:space="preserve">If an account holder accesses their account using the Internet, RWWA must make a list of transactions (a </w:t>
      </w:r>
      <w:r>
        <w:rPr>
          <w:rStyle w:val="CharDefText"/>
        </w:rPr>
        <w:t>transaction history</w:t>
      </w:r>
      <w:r>
        <w:t>) for the account for the relevant period easily available to be viewed at any time through the account.</w:t>
      </w:r>
    </w:p>
    <w:p>
      <w:pPr>
        <w:pStyle w:val="Penstart"/>
      </w:pPr>
      <w:r>
        <w:tab/>
        <w:t>Penalty for this subregulation: a fine of $1 000.</w:t>
      </w:r>
    </w:p>
    <w:p>
      <w:pPr>
        <w:pStyle w:val="Subsection"/>
      </w:pPr>
      <w:r>
        <w:tab/>
        <w:t>(3)</w:t>
      </w:r>
      <w:r>
        <w:tab/>
        <w:t>For the purposes of subregulation (2), a transaction history is not easily available to be viewed if the account holder must enter a password to view the history once the holder has accessed the account.</w:t>
      </w:r>
    </w:p>
    <w:p>
      <w:pPr>
        <w:pStyle w:val="Subsection"/>
        <w:keepNext/>
      </w:pPr>
      <w:r>
        <w:lastRenderedPageBreak/>
        <w:tab/>
        <w:t>(4)</w:t>
      </w:r>
      <w:r>
        <w:tab/>
        <w:t>Nothing in this regulation requires RWWA to provide a transaction history for a period that begins more than 7 years before the time at which the transaction history is being viewed.</w:t>
      </w:r>
    </w:p>
    <w:p>
      <w:pPr>
        <w:pStyle w:val="Footnotesection"/>
      </w:pPr>
      <w:r>
        <w:tab/>
        <w:t>[Regulation 40U inserted: SL 2025/30 r. 6.]</w:t>
      </w:r>
    </w:p>
    <w:p>
      <w:pPr>
        <w:pStyle w:val="Heading5"/>
      </w:pPr>
      <w:bookmarkStart w:id="147" w:name="_Toc213339565"/>
      <w:r>
        <w:rPr>
          <w:rStyle w:val="CharSectno"/>
        </w:rPr>
        <w:t>40V</w:t>
      </w:r>
      <w:r>
        <w:t>.</w:t>
      </w:r>
      <w:r>
        <w:tab/>
        <w:t>RWWA must give transaction histories on request to relevant persons</w:t>
      </w:r>
      <w:bookmarkEnd w:id="147"/>
    </w:p>
    <w:p>
      <w:pPr>
        <w:pStyle w:val="Subsection"/>
      </w:pPr>
      <w:r>
        <w:tab/>
        <w:t>(1)</w:t>
      </w:r>
      <w:r>
        <w:tab/>
        <w:t xml:space="preserve">In this regulation — </w:t>
      </w:r>
    </w:p>
    <w:p>
      <w:pPr>
        <w:pStyle w:val="Defstart"/>
      </w:pPr>
      <w:r>
        <w:tab/>
      </w:r>
      <w:r>
        <w:rPr>
          <w:rStyle w:val="CharDefText"/>
        </w:rPr>
        <w:t>relevant period</w:t>
      </w:r>
      <w:r>
        <w:t xml:space="preserve"> means — </w:t>
      </w:r>
    </w:p>
    <w:p>
      <w:pPr>
        <w:pStyle w:val="Defpara"/>
      </w:pPr>
      <w:r>
        <w:tab/>
        <w:t>(a)</w:t>
      </w:r>
      <w:r>
        <w:tab/>
        <w:t>if a period is specified by the relevant person — that period; or</w:t>
      </w:r>
    </w:p>
    <w:p>
      <w:pPr>
        <w:pStyle w:val="Defpara"/>
      </w:pPr>
      <w:r>
        <w:tab/>
        <w:t>(b)</w:t>
      </w:r>
      <w:r>
        <w:tab/>
        <w:t>otherwise — the period beginning on the day the account was established and ending on the day of the request;</w:t>
      </w:r>
    </w:p>
    <w:p>
      <w:pPr>
        <w:pStyle w:val="Defstart"/>
      </w:pPr>
      <w:r>
        <w:tab/>
      </w:r>
      <w:r>
        <w:rPr>
          <w:rStyle w:val="CharDefText"/>
        </w:rPr>
        <w:t>relevant person</w:t>
      </w:r>
      <w:r>
        <w:t xml:space="preserve"> means — </w:t>
      </w:r>
    </w:p>
    <w:p>
      <w:pPr>
        <w:pStyle w:val="Defpara"/>
      </w:pPr>
      <w:r>
        <w:tab/>
        <w:t>(a)</w:t>
      </w:r>
      <w:r>
        <w:tab/>
        <w:t>an account holder who accesses their account other than by using the Internet; or</w:t>
      </w:r>
    </w:p>
    <w:p>
      <w:pPr>
        <w:pStyle w:val="Defpara"/>
      </w:pPr>
      <w:r>
        <w:tab/>
        <w:t>(b)</w:t>
      </w:r>
      <w:r>
        <w:tab/>
        <w:t>a person who was formerly an account holder, but whose account has been closed.</w:t>
      </w:r>
    </w:p>
    <w:p>
      <w:pPr>
        <w:pStyle w:val="Subsection"/>
      </w:pPr>
      <w:r>
        <w:tab/>
        <w:t>(2)</w:t>
      </w:r>
      <w:r>
        <w:tab/>
        <w:t xml:space="preserve">If a relevant person so requests, RWWA must give the person a list of transactions (a </w:t>
      </w:r>
      <w:r>
        <w:rPr>
          <w:rStyle w:val="CharDefText"/>
        </w:rPr>
        <w:t>transaction history</w:t>
      </w:r>
      <w:r>
        <w:t xml:space="preserve">) for their account for the relevant period by email or post within 14 days after the request. </w:t>
      </w:r>
    </w:p>
    <w:p>
      <w:pPr>
        <w:pStyle w:val="Penstart"/>
      </w:pPr>
      <w:r>
        <w:tab/>
        <w:t>Penalty for this subregulation: a fine of $1 000.</w:t>
      </w:r>
    </w:p>
    <w:p>
      <w:pPr>
        <w:pStyle w:val="Subsection"/>
      </w:pPr>
      <w:r>
        <w:tab/>
        <w:t>(3)</w:t>
      </w:r>
      <w:r>
        <w:tab/>
        <w:t>Nothing in this regulation requires RWWA to provide a transaction history for a period that begins more than 7 years before the request.</w:t>
      </w:r>
    </w:p>
    <w:p>
      <w:pPr>
        <w:pStyle w:val="Footnotesection"/>
      </w:pPr>
      <w:r>
        <w:tab/>
        <w:t>[Regulation 40V inserted: SL 2025/30 r. 6.]</w:t>
      </w:r>
    </w:p>
    <w:p>
      <w:pPr>
        <w:pStyle w:val="Heading3"/>
      </w:pPr>
      <w:bookmarkStart w:id="148" w:name="_Toc213336885"/>
      <w:bookmarkStart w:id="149" w:name="_Toc213337587"/>
      <w:bookmarkStart w:id="150" w:name="_Toc213339566"/>
      <w:r>
        <w:rPr>
          <w:rStyle w:val="CharDivNo"/>
        </w:rPr>
        <w:lastRenderedPageBreak/>
        <w:t>Division 7</w:t>
      </w:r>
      <w:r>
        <w:t> —</w:t>
      </w:r>
      <w:r>
        <w:rPr>
          <w:rStyle w:val="CharDivText"/>
        </w:rPr>
        <w:t> Consistent gambling messaging</w:t>
      </w:r>
      <w:bookmarkEnd w:id="148"/>
      <w:bookmarkEnd w:id="149"/>
      <w:bookmarkEnd w:id="150"/>
    </w:p>
    <w:p>
      <w:pPr>
        <w:pStyle w:val="Footnoteheading"/>
        <w:keepNext/>
      </w:pPr>
      <w:r>
        <w:tab/>
        <w:t>[Heading inserted: SL 2025/30 r. 6.]</w:t>
      </w:r>
    </w:p>
    <w:p>
      <w:pPr>
        <w:pStyle w:val="Heading5"/>
      </w:pPr>
      <w:bookmarkStart w:id="151" w:name="_Toc213339567"/>
      <w:r>
        <w:rPr>
          <w:rStyle w:val="CharSectno"/>
        </w:rPr>
        <w:t>40W</w:t>
      </w:r>
      <w:r>
        <w:t>.</w:t>
      </w:r>
      <w:r>
        <w:tab/>
        <w:t>Commission may set out and require use of consistent gambling messaging</w:t>
      </w:r>
      <w:bookmarkEnd w:id="151"/>
    </w:p>
    <w:p>
      <w:pPr>
        <w:pStyle w:val="Subsection"/>
      </w:pPr>
      <w:r>
        <w:tab/>
        <w:t>(1)</w:t>
      </w:r>
      <w:r>
        <w:tab/>
        <w:t xml:space="preserve">In this regulation — </w:t>
      </w:r>
    </w:p>
    <w:p>
      <w:pPr>
        <w:pStyle w:val="Defstart"/>
      </w:pPr>
      <w:r>
        <w:tab/>
      </w:r>
      <w:r>
        <w:rPr>
          <w:rStyle w:val="CharDefText"/>
        </w:rPr>
        <w:t>consistent gambling messaging</w:t>
      </w:r>
      <w:r>
        <w:t xml:space="preserve"> means statements about the risks of, and potential harm from, gambling. </w:t>
      </w:r>
    </w:p>
    <w:p>
      <w:pPr>
        <w:pStyle w:val="Subsection"/>
      </w:pPr>
      <w:r>
        <w:tab/>
        <w:t>(2)</w:t>
      </w:r>
      <w:r>
        <w:tab/>
        <w:t xml:space="preserve">The Commission may, by notice published in the </w:t>
      </w:r>
      <w:r>
        <w:rPr>
          <w:i/>
          <w:iCs/>
        </w:rPr>
        <w:t>Gazette</w:t>
      </w:r>
      <w:r>
        <w:t xml:space="preserve"> or on the Department’s website — </w:t>
      </w:r>
    </w:p>
    <w:p>
      <w:pPr>
        <w:pStyle w:val="Indenta"/>
      </w:pPr>
      <w:r>
        <w:tab/>
        <w:t>(a)</w:t>
      </w:r>
      <w:r>
        <w:tab/>
        <w:t>set out consistent gambling messaging; and</w:t>
      </w:r>
    </w:p>
    <w:p>
      <w:pPr>
        <w:pStyle w:val="Indenta"/>
      </w:pPr>
      <w:r>
        <w:tab/>
        <w:t>(b)</w:t>
      </w:r>
      <w:r>
        <w:tab/>
        <w:t>specify the circumstances in which RWWA is required to use consistent gambling messaging.</w:t>
      </w:r>
    </w:p>
    <w:p>
      <w:pPr>
        <w:pStyle w:val="Subsection"/>
      </w:pPr>
      <w:r>
        <w:tab/>
        <w:t>(3)</w:t>
      </w:r>
      <w:r>
        <w:tab/>
        <w:t xml:space="preserve">In acting under subregulation (2), the Commission must have regard to — </w:t>
      </w:r>
    </w:p>
    <w:p>
      <w:pPr>
        <w:pStyle w:val="Indenta"/>
      </w:pPr>
      <w:r>
        <w:tab/>
        <w:t>(a)</w:t>
      </w:r>
      <w:r>
        <w:tab/>
        <w:t>Part 8 of the National Consumer Protection Framework for Online Wagering in Australia — National Policy Statement; and</w:t>
      </w:r>
    </w:p>
    <w:p>
      <w:pPr>
        <w:pStyle w:val="Indenta"/>
      </w:pPr>
      <w:r>
        <w:tab/>
        <w:t>(b)</w:t>
      </w:r>
      <w:r>
        <w:tab/>
        <w:t>consistent gambling messaging that other States and Territories have adopted in giving effect to that Part.</w:t>
      </w:r>
    </w:p>
    <w:p>
      <w:pPr>
        <w:pStyle w:val="Footnotesection"/>
      </w:pPr>
      <w:r>
        <w:tab/>
        <w:t>[Regulation 40W inserted: SL 2025/30 r. 6.]</w:t>
      </w:r>
    </w:p>
    <w:p>
      <w:pPr>
        <w:pStyle w:val="Heading5"/>
      </w:pPr>
      <w:bookmarkStart w:id="152" w:name="_Toc213339568"/>
      <w:r>
        <w:rPr>
          <w:rStyle w:val="CharSectno"/>
        </w:rPr>
        <w:t>40X</w:t>
      </w:r>
      <w:r>
        <w:t>.</w:t>
      </w:r>
      <w:r>
        <w:tab/>
        <w:t>RWWA must comply with notice published under r. 40W</w:t>
      </w:r>
      <w:bookmarkEnd w:id="152"/>
    </w:p>
    <w:p>
      <w:pPr>
        <w:pStyle w:val="Subsection"/>
      </w:pPr>
      <w:r>
        <w:tab/>
      </w:r>
      <w:r>
        <w:tab/>
        <w:t>RWWA must comply with any requirement that applies to RWWA under a notice published by the Commission under regulation 40W(2).</w:t>
      </w:r>
    </w:p>
    <w:p>
      <w:pPr>
        <w:pStyle w:val="Penstart"/>
      </w:pPr>
      <w:r>
        <w:tab/>
        <w:t>Penalty: a fine of $1 000.</w:t>
      </w:r>
    </w:p>
    <w:p>
      <w:pPr>
        <w:pStyle w:val="Footnotesection"/>
      </w:pPr>
      <w:r>
        <w:tab/>
        <w:t>[Regulation 40X inserted: SL 2025/30 r. 6.]</w:t>
      </w:r>
    </w:p>
    <w:p>
      <w:pPr>
        <w:pStyle w:val="Heading3"/>
      </w:pPr>
      <w:bookmarkStart w:id="153" w:name="_Toc213336888"/>
      <w:bookmarkStart w:id="154" w:name="_Toc213337590"/>
      <w:bookmarkStart w:id="155" w:name="_Toc213339569"/>
      <w:r>
        <w:rPr>
          <w:rStyle w:val="CharDivNo"/>
        </w:rPr>
        <w:lastRenderedPageBreak/>
        <w:t>Division 8 </w:t>
      </w:r>
      <w:r>
        <w:t>—</w:t>
      </w:r>
      <w:r>
        <w:rPr>
          <w:rStyle w:val="CharDivText"/>
        </w:rPr>
        <w:t> Staff training</w:t>
      </w:r>
      <w:bookmarkEnd w:id="153"/>
      <w:bookmarkEnd w:id="154"/>
      <w:bookmarkEnd w:id="155"/>
    </w:p>
    <w:p>
      <w:pPr>
        <w:pStyle w:val="Footnoteheading"/>
        <w:keepNext/>
      </w:pPr>
      <w:r>
        <w:tab/>
        <w:t>[Heading inserted: SL 2025/30 r. 6.]</w:t>
      </w:r>
    </w:p>
    <w:p>
      <w:pPr>
        <w:pStyle w:val="Heading5"/>
      </w:pPr>
      <w:bookmarkStart w:id="156" w:name="_Toc213339570"/>
      <w:r>
        <w:rPr>
          <w:rStyle w:val="CharSectno"/>
        </w:rPr>
        <w:t>40Y</w:t>
      </w:r>
      <w:r>
        <w:t>.</w:t>
      </w:r>
      <w:r>
        <w:tab/>
        <w:t>Term used: relevant individual</w:t>
      </w:r>
      <w:bookmarkEnd w:id="156"/>
    </w:p>
    <w:p>
      <w:pPr>
        <w:pStyle w:val="Subsection"/>
      </w:pPr>
      <w:r>
        <w:tab/>
      </w:r>
      <w:r>
        <w:tab/>
        <w:t xml:space="preserve">In this Division — </w:t>
      </w:r>
    </w:p>
    <w:p>
      <w:pPr>
        <w:pStyle w:val="Defstart"/>
      </w:pPr>
      <w:r>
        <w:tab/>
      </w:r>
      <w:r>
        <w:rPr>
          <w:rStyle w:val="CharDefText"/>
        </w:rPr>
        <w:t>relevant individual</w:t>
      </w:r>
      <w:r>
        <w:t xml:space="preserve">, of RWWA, means — </w:t>
      </w:r>
    </w:p>
    <w:p>
      <w:pPr>
        <w:pStyle w:val="Defpara"/>
      </w:pPr>
      <w:r>
        <w:tab/>
        <w:t>(a)</w:t>
      </w:r>
      <w:r>
        <w:tab/>
        <w:t>an individual who is the CEO, a director, a RWWA key employee or other staff member of RWWA; or</w:t>
      </w:r>
    </w:p>
    <w:p>
      <w:pPr>
        <w:pStyle w:val="Defpara"/>
      </w:pPr>
      <w:r>
        <w:tab/>
        <w:t>(b)</w:t>
      </w:r>
      <w:r>
        <w:tab/>
        <w:t xml:space="preserve">an individual, other than an individual referred to in paragraph (a), who — </w:t>
      </w:r>
    </w:p>
    <w:p>
      <w:pPr>
        <w:pStyle w:val="Defsubpara"/>
      </w:pPr>
      <w:r>
        <w:tab/>
        <w:t>(i)</w:t>
      </w:r>
      <w:r>
        <w:tab/>
        <w:t>is engaged in providing RWWA’s interactive wagering services; or</w:t>
      </w:r>
    </w:p>
    <w:p>
      <w:pPr>
        <w:pStyle w:val="Defsubpara"/>
      </w:pPr>
      <w:r>
        <w:tab/>
        <w:t>(ii)</w:t>
      </w:r>
      <w:r>
        <w:tab/>
        <w:t>has the capacity to influence the provision of those services.</w:t>
      </w:r>
    </w:p>
    <w:p>
      <w:pPr>
        <w:pStyle w:val="Footnotesection"/>
      </w:pPr>
      <w:r>
        <w:tab/>
        <w:t>[Regulation 40Y inserted: SL 2025/30 r. 6.]</w:t>
      </w:r>
    </w:p>
    <w:p>
      <w:pPr>
        <w:pStyle w:val="Heading5"/>
      </w:pPr>
      <w:bookmarkStart w:id="157" w:name="_Toc213339571"/>
      <w:r>
        <w:rPr>
          <w:rStyle w:val="CharSectno"/>
        </w:rPr>
        <w:t>40Z</w:t>
      </w:r>
      <w:r>
        <w:t>.</w:t>
      </w:r>
      <w:r>
        <w:tab/>
        <w:t>RWWA must ensure relevant individuals receive training</w:t>
      </w:r>
      <w:bookmarkEnd w:id="157"/>
    </w:p>
    <w:p>
      <w:pPr>
        <w:pStyle w:val="Subsection"/>
      </w:pPr>
      <w:r>
        <w:tab/>
        <w:t>(1)</w:t>
      </w:r>
      <w:r>
        <w:tab/>
        <w:t xml:space="preserve">In this regulation — </w:t>
      </w:r>
    </w:p>
    <w:p>
      <w:pPr>
        <w:pStyle w:val="Defstart"/>
      </w:pPr>
      <w:r>
        <w:tab/>
      </w:r>
      <w:r>
        <w:rPr>
          <w:rStyle w:val="CharDefText"/>
        </w:rPr>
        <w:t>responsible gambling training</w:t>
      </w:r>
      <w:r>
        <w:t xml:space="preserve"> means training approved by the Commission under subregulation (4).</w:t>
      </w:r>
    </w:p>
    <w:p>
      <w:pPr>
        <w:pStyle w:val="Subsection"/>
      </w:pPr>
      <w:r>
        <w:tab/>
        <w:t>(2)</w:t>
      </w:r>
      <w:r>
        <w:tab/>
        <w:t xml:space="preserve">RWWA must ensure that each relevant individual of RWWA receives responsible gambling training that comprises — </w:t>
      </w:r>
    </w:p>
    <w:p>
      <w:pPr>
        <w:pStyle w:val="Indenta"/>
      </w:pPr>
      <w:r>
        <w:tab/>
        <w:t>(a)</w:t>
      </w:r>
      <w:r>
        <w:tab/>
        <w:t>initial training within 1 month after the individual becomes a relevant individual of RWWA; and</w:t>
      </w:r>
    </w:p>
    <w:p>
      <w:pPr>
        <w:pStyle w:val="Indenta"/>
      </w:pPr>
      <w:r>
        <w:tab/>
        <w:t>(b)</w:t>
      </w:r>
      <w:r>
        <w:tab/>
        <w:t xml:space="preserve">refresher training within 12 months after — </w:t>
      </w:r>
    </w:p>
    <w:p>
      <w:pPr>
        <w:pStyle w:val="Indenti"/>
      </w:pPr>
      <w:r>
        <w:tab/>
        <w:t>(i)</w:t>
      </w:r>
      <w:r>
        <w:tab/>
        <w:t>the initial training; or</w:t>
      </w:r>
    </w:p>
    <w:p>
      <w:pPr>
        <w:pStyle w:val="Indenti"/>
      </w:pPr>
      <w:r>
        <w:tab/>
        <w:t>(ii)</w:t>
      </w:r>
      <w:r>
        <w:tab/>
        <w:t>for an individual who has received refresher training — the previous refresher training.</w:t>
      </w:r>
    </w:p>
    <w:p>
      <w:pPr>
        <w:pStyle w:val="Penstart"/>
      </w:pPr>
      <w:r>
        <w:tab/>
        <w:t>Penalty for this subregulation: a fine of $1 000.</w:t>
      </w:r>
    </w:p>
    <w:p>
      <w:pPr>
        <w:pStyle w:val="Subsection"/>
      </w:pPr>
      <w:r>
        <w:lastRenderedPageBreak/>
        <w:tab/>
        <w:t>(3)</w:t>
      </w:r>
      <w:r>
        <w:tab/>
        <w:t>RWWA must ensure that a relevant individual of RWWA does not interact with an account holder unless the individual has received initial training under subregulation (2)(a).</w:t>
      </w:r>
    </w:p>
    <w:p>
      <w:pPr>
        <w:pStyle w:val="Penstart"/>
      </w:pPr>
      <w:r>
        <w:tab/>
        <w:t>Penalty for this subregulation: a fine of $1 000.</w:t>
      </w:r>
    </w:p>
    <w:p>
      <w:pPr>
        <w:pStyle w:val="Subsection"/>
      </w:pPr>
      <w:r>
        <w:tab/>
        <w:t>(4)</w:t>
      </w:r>
      <w:r>
        <w:tab/>
        <w:t xml:space="preserve">The Commission may, by notice published in the </w:t>
      </w:r>
      <w:r>
        <w:rPr>
          <w:i/>
          <w:iCs/>
        </w:rPr>
        <w:t>Gazette</w:t>
      </w:r>
      <w:r>
        <w:t xml:space="preserve"> or on the Department’s website, approve training about responsible gambling for the purposes of this regulation.</w:t>
      </w:r>
    </w:p>
    <w:p>
      <w:pPr>
        <w:pStyle w:val="Footnotesection"/>
      </w:pPr>
      <w:r>
        <w:tab/>
        <w:t>[Regulation 40Z inserted: SL 2025/30 r. 6.]</w:t>
      </w:r>
    </w:p>
    <w:p>
      <w:pPr>
        <w:pStyle w:val="Heading5"/>
      </w:pPr>
      <w:bookmarkStart w:id="158" w:name="_Toc213339572"/>
      <w:r>
        <w:rPr>
          <w:rStyle w:val="CharSectno"/>
        </w:rPr>
        <w:t>40ZA</w:t>
      </w:r>
      <w:r>
        <w:t>.</w:t>
      </w:r>
      <w:r>
        <w:tab/>
        <w:t>RWWA must make and keep records of training</w:t>
      </w:r>
      <w:bookmarkEnd w:id="158"/>
    </w:p>
    <w:p>
      <w:pPr>
        <w:pStyle w:val="Subsection"/>
      </w:pPr>
      <w:r>
        <w:tab/>
        <w:t>(1)</w:t>
      </w:r>
      <w:r>
        <w:tab/>
        <w:t xml:space="preserve">RWWA must make a record in relation to each relevant individual of RWWA that — </w:t>
      </w:r>
    </w:p>
    <w:p>
      <w:pPr>
        <w:pStyle w:val="Indenta"/>
      </w:pPr>
      <w:r>
        <w:tab/>
        <w:t>(a)</w:t>
      </w:r>
      <w:r>
        <w:tab/>
        <w:t xml:space="preserve">specifies — </w:t>
      </w:r>
    </w:p>
    <w:p>
      <w:pPr>
        <w:pStyle w:val="Indenti"/>
      </w:pPr>
      <w:r>
        <w:tab/>
        <w:t>(i)</w:t>
      </w:r>
      <w:r>
        <w:tab/>
        <w:t>the date the individual became a relevant individual of RWWA; and</w:t>
      </w:r>
    </w:p>
    <w:p>
      <w:pPr>
        <w:pStyle w:val="Indenti"/>
      </w:pPr>
      <w:r>
        <w:tab/>
        <w:t>(ii)</w:t>
      </w:r>
      <w:r>
        <w:tab/>
        <w:t>the training the individual has completed under regulation 40Z; and</w:t>
      </w:r>
    </w:p>
    <w:p>
      <w:pPr>
        <w:pStyle w:val="Indenti"/>
      </w:pPr>
      <w:r>
        <w:tab/>
        <w:t>(iii)</w:t>
      </w:r>
      <w:r>
        <w:tab/>
        <w:t>the date the training was completed;</w:t>
      </w:r>
    </w:p>
    <w:p>
      <w:pPr>
        <w:pStyle w:val="Indenta"/>
      </w:pPr>
      <w:r>
        <w:tab/>
      </w:r>
      <w:r>
        <w:tab/>
        <w:t>and</w:t>
      </w:r>
    </w:p>
    <w:p>
      <w:pPr>
        <w:pStyle w:val="Indenta"/>
      </w:pPr>
      <w:r>
        <w:tab/>
        <w:t>(b)</w:t>
      </w:r>
      <w:r>
        <w:tab/>
        <w:t>is written; and</w:t>
      </w:r>
    </w:p>
    <w:p>
      <w:pPr>
        <w:pStyle w:val="Indenta"/>
      </w:pPr>
      <w:r>
        <w:tab/>
        <w:t>(c)</w:t>
      </w:r>
      <w:r>
        <w:tab/>
        <w:t>is accurate; and</w:t>
      </w:r>
    </w:p>
    <w:p>
      <w:pPr>
        <w:pStyle w:val="Indenta"/>
      </w:pPr>
      <w:r>
        <w:tab/>
        <w:t>(d)</w:t>
      </w:r>
      <w:r>
        <w:tab/>
        <w:t>as far as practicable, is up to date; and</w:t>
      </w:r>
    </w:p>
    <w:p>
      <w:pPr>
        <w:pStyle w:val="Indenta"/>
      </w:pPr>
      <w:r>
        <w:tab/>
        <w:t>(e)</w:t>
      </w:r>
      <w:r>
        <w:tab/>
        <w:t>is kept in a form that can be reasonably inspected and copied by an authorised officer.</w:t>
      </w:r>
    </w:p>
    <w:p>
      <w:pPr>
        <w:pStyle w:val="Penstart"/>
      </w:pPr>
      <w:r>
        <w:tab/>
        <w:t>Penalty for this subregulation: a fine of $1 000.</w:t>
      </w:r>
    </w:p>
    <w:p>
      <w:pPr>
        <w:pStyle w:val="Subsection"/>
      </w:pPr>
      <w:r>
        <w:tab/>
        <w:t>(2)</w:t>
      </w:r>
      <w:r>
        <w:tab/>
        <w:t>RWWA must keep a record made under subregulation (1) for at least 7 years after the training to which the record relates was completed.</w:t>
      </w:r>
    </w:p>
    <w:p>
      <w:pPr>
        <w:pStyle w:val="Penstart"/>
      </w:pPr>
      <w:r>
        <w:tab/>
        <w:t>Penalty for this subregulation: a fine of $1 000.</w:t>
      </w:r>
    </w:p>
    <w:p>
      <w:pPr>
        <w:pStyle w:val="Footnotesection"/>
      </w:pPr>
      <w:r>
        <w:tab/>
        <w:t>[Regulation 40ZA inserted: SL 2025/30 r. 6.]</w:t>
      </w:r>
    </w:p>
    <w:p>
      <w:pPr>
        <w:pStyle w:val="Heading5"/>
      </w:pPr>
      <w:bookmarkStart w:id="159" w:name="_Toc213339573"/>
      <w:r>
        <w:rPr>
          <w:rStyle w:val="CharSectno"/>
        </w:rPr>
        <w:lastRenderedPageBreak/>
        <w:t>40ZB</w:t>
      </w:r>
      <w:r>
        <w:t>.</w:t>
      </w:r>
      <w:r>
        <w:tab/>
        <w:t>RWWA must produce records to authorised officers</w:t>
      </w:r>
      <w:bookmarkEnd w:id="159"/>
    </w:p>
    <w:p>
      <w:pPr>
        <w:pStyle w:val="Subsection"/>
      </w:pPr>
      <w:r>
        <w:tab/>
        <w:t>(1)</w:t>
      </w:r>
      <w:r>
        <w:tab/>
        <w:t>An authorised officer may require RWWA to produce a record made under regulation 40ZA(1) to the officer for inspection and copying.</w:t>
      </w:r>
    </w:p>
    <w:p>
      <w:pPr>
        <w:pStyle w:val="Subsection"/>
      </w:pPr>
      <w:r>
        <w:tab/>
        <w:t>(2)</w:t>
      </w:r>
      <w:r>
        <w:tab/>
        <w:t>RWWA must comply with a requirement made of RWWA under subregulation (1).</w:t>
      </w:r>
    </w:p>
    <w:p>
      <w:pPr>
        <w:pStyle w:val="Penstart"/>
      </w:pPr>
      <w:r>
        <w:tab/>
        <w:t>Penalty for this subregulation: a fine of $1 000.</w:t>
      </w:r>
    </w:p>
    <w:p>
      <w:pPr>
        <w:pStyle w:val="Footnotesection"/>
      </w:pPr>
      <w:r>
        <w:tab/>
        <w:t>[Regulation 40ZB inserted: SL 2025/30 r. 6.]</w:t>
      </w:r>
    </w:p>
    <w:p>
      <w:pPr>
        <w:pStyle w:val="Heading3"/>
      </w:pPr>
      <w:bookmarkStart w:id="160" w:name="_Toc213336893"/>
      <w:bookmarkStart w:id="161" w:name="_Toc213337595"/>
      <w:bookmarkStart w:id="162" w:name="_Toc213339574"/>
      <w:r>
        <w:rPr>
          <w:rStyle w:val="CharDivNo"/>
        </w:rPr>
        <w:t>Division 9 </w:t>
      </w:r>
      <w:r>
        <w:t>—</w:t>
      </w:r>
      <w:r>
        <w:rPr>
          <w:rStyle w:val="CharDivText"/>
        </w:rPr>
        <w:t> Consumer protection plan</w:t>
      </w:r>
      <w:bookmarkEnd w:id="160"/>
      <w:bookmarkEnd w:id="161"/>
      <w:bookmarkEnd w:id="162"/>
    </w:p>
    <w:p>
      <w:pPr>
        <w:pStyle w:val="Footnoteheading"/>
      </w:pPr>
      <w:r>
        <w:tab/>
        <w:t>[Heading inserted: SL 2025/30 r. 6.]</w:t>
      </w:r>
    </w:p>
    <w:p>
      <w:pPr>
        <w:pStyle w:val="Heading5"/>
      </w:pPr>
      <w:bookmarkStart w:id="163" w:name="_Toc213339575"/>
      <w:r>
        <w:rPr>
          <w:rStyle w:val="CharSectno"/>
        </w:rPr>
        <w:t>40ZC</w:t>
      </w:r>
      <w:r>
        <w:t>.</w:t>
      </w:r>
      <w:r>
        <w:tab/>
        <w:t>RWWA must have consumer protection plan</w:t>
      </w:r>
      <w:bookmarkEnd w:id="163"/>
    </w:p>
    <w:p>
      <w:pPr>
        <w:pStyle w:val="Subsection"/>
      </w:pPr>
      <w:r>
        <w:tab/>
      </w:r>
      <w:r>
        <w:tab/>
        <w:t xml:space="preserve">RWWA must develop and maintain a plan, to be called a consumer protection plan, that includes — </w:t>
      </w:r>
    </w:p>
    <w:p>
      <w:pPr>
        <w:pStyle w:val="Indenta"/>
      </w:pPr>
      <w:r>
        <w:tab/>
        <w:t>(a)</w:t>
      </w:r>
      <w:r>
        <w:tab/>
        <w:t>a statement of RWWA’s commitment to following the National Consumer Protection Framework for Online Wagering in Australia — National Policy Statement; and</w:t>
      </w:r>
    </w:p>
    <w:p>
      <w:pPr>
        <w:pStyle w:val="Indenta"/>
      </w:pPr>
      <w:r>
        <w:tab/>
        <w:t>(b)</w:t>
      </w:r>
      <w:r>
        <w:tab/>
        <w:t>a statement of RWWA’s commitment to complying with this Part; and</w:t>
      </w:r>
    </w:p>
    <w:p>
      <w:pPr>
        <w:pStyle w:val="Indenta"/>
      </w:pPr>
      <w:r>
        <w:tab/>
        <w:t>(c)</w:t>
      </w:r>
      <w:r>
        <w:tab/>
        <w:t>a description of the measures and systems RWWA has established to enable RWWA to follow the National Consumer Protection Framework for Online Wagering in Australia — National Policy Statement and comply with this Part.</w:t>
      </w:r>
    </w:p>
    <w:p>
      <w:pPr>
        <w:pStyle w:val="Penstart"/>
      </w:pPr>
      <w:r>
        <w:tab/>
        <w:t>Penalty: a fine of $1 000.</w:t>
      </w:r>
    </w:p>
    <w:p>
      <w:pPr>
        <w:pStyle w:val="Footnotesection"/>
      </w:pPr>
      <w:r>
        <w:tab/>
        <w:t>[Regulation 40ZC inserted: SL 2025/30 r. 6.]</w:t>
      </w:r>
    </w:p>
    <w:p>
      <w:pPr>
        <w:pStyle w:val="Heading2"/>
      </w:pPr>
      <w:bookmarkStart w:id="164" w:name="_Toc213336895"/>
      <w:bookmarkStart w:id="165" w:name="_Toc213337597"/>
      <w:bookmarkStart w:id="166" w:name="_Toc213339576"/>
      <w:r>
        <w:rPr>
          <w:rStyle w:val="CharPartNo"/>
        </w:rPr>
        <w:lastRenderedPageBreak/>
        <w:t>Part 5</w:t>
      </w:r>
      <w:r>
        <w:rPr>
          <w:rStyle w:val="CharDivText"/>
        </w:rPr>
        <w:t> </w:t>
      </w:r>
      <w:r>
        <w:t>—</w:t>
      </w:r>
      <w:r>
        <w:rPr>
          <w:rStyle w:val="CharDivNo"/>
        </w:rPr>
        <w:t xml:space="preserve"> </w:t>
      </w:r>
      <w:r>
        <w:rPr>
          <w:rStyle w:val="CharPartText"/>
        </w:rPr>
        <w:t>Miscellaneous</w:t>
      </w:r>
      <w:bookmarkEnd w:id="164"/>
      <w:bookmarkEnd w:id="165"/>
      <w:bookmarkEnd w:id="166"/>
    </w:p>
    <w:p>
      <w:pPr>
        <w:pStyle w:val="Footnoteheading"/>
      </w:pPr>
      <w:r>
        <w:tab/>
        <w:t>[Heading inserted: Gazette 4 Aug 1998 p. 3989.]</w:t>
      </w:r>
    </w:p>
    <w:p>
      <w:pPr>
        <w:pStyle w:val="Heading5"/>
      </w:pPr>
      <w:bookmarkStart w:id="167" w:name="_Toc213339577"/>
      <w:r>
        <w:rPr>
          <w:rStyle w:val="CharSectno"/>
        </w:rPr>
        <w:t>41</w:t>
      </w:r>
      <w:r>
        <w:t>.</w:t>
      </w:r>
      <w:r>
        <w:tab/>
        <w:t>Premises where amusement machines are permitted (Act s. 39(2)(e))</w:t>
      </w:r>
      <w:bookmarkEnd w:id="167"/>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Gazette 4 Aug 1998 p. 3989.]</w:t>
      </w:r>
    </w:p>
    <w:p>
      <w:pPr>
        <w:pStyle w:val="Heading5"/>
      </w:pPr>
      <w:bookmarkStart w:id="168" w:name="_Toc213339578"/>
      <w:r>
        <w:rPr>
          <w:rStyle w:val="CharSectno"/>
        </w:rPr>
        <w:t>42</w:t>
      </w:r>
      <w:r>
        <w:t>.</w:t>
      </w:r>
      <w:r>
        <w:tab/>
        <w:t>Unclaimed winnings (Act s. 109B(1))</w:t>
      </w:r>
      <w:bookmarkEnd w:id="168"/>
    </w:p>
    <w:p>
      <w:pPr>
        <w:pStyle w:val="Subsection"/>
      </w:pPr>
      <w:r>
        <w:tab/>
      </w:r>
      <w:r>
        <w:tab/>
        <w:t>For the purposes of section 109B(1)(a) and (b), the prescribed amount is 99 cents.</w:t>
      </w:r>
    </w:p>
    <w:p>
      <w:pPr>
        <w:pStyle w:val="Footnotesection"/>
      </w:pPr>
      <w:r>
        <w:tab/>
        <w:t>[Regulation 42 inserted: Gazette 4 Aug 1998 p. 3989.]</w:t>
      </w:r>
    </w:p>
    <w:p>
      <w:pPr>
        <w:pStyle w:val="Heading5"/>
      </w:pPr>
      <w:bookmarkStart w:id="169" w:name="_Toc213339579"/>
      <w:r>
        <w:rPr>
          <w:rStyle w:val="CharSectno"/>
        </w:rPr>
        <w:t>43</w:t>
      </w:r>
      <w:r>
        <w:t>.</w:t>
      </w:r>
      <w:r>
        <w:tab/>
        <w:t>Certain advertisements and inducements prohibited</w:t>
      </w:r>
      <w:bookmarkEnd w:id="169"/>
    </w:p>
    <w:p>
      <w:pPr>
        <w:pStyle w:val="Subsection"/>
      </w:pPr>
      <w:r>
        <w:tab/>
        <w:t>(1)</w:t>
      </w:r>
      <w:r>
        <w:tab/>
        <w:t xml:space="preserve">In this regulation — </w:t>
      </w:r>
    </w:p>
    <w:p>
      <w:pPr>
        <w:pStyle w:val="Defstart"/>
      </w:pPr>
      <w:r>
        <w:tab/>
      </w:r>
      <w:r>
        <w:rPr>
          <w:rStyle w:val="CharDefText"/>
        </w:rPr>
        <w:t>gambling advertisement</w:t>
      </w:r>
      <w:r>
        <w:t xml:space="preserve"> means an advertisement that — </w:t>
      </w:r>
    </w:p>
    <w:p>
      <w:pPr>
        <w:pStyle w:val="Defpara"/>
      </w:pPr>
      <w:r>
        <w:tab/>
        <w:t>(a)</w:t>
      </w:r>
      <w:r>
        <w:tab/>
        <w:t>conveys, or is likely to be understood as conveying, the existence in this State or elsewhere of a gambling operator; and</w:t>
      </w:r>
    </w:p>
    <w:p>
      <w:pPr>
        <w:pStyle w:val="Defpara"/>
      </w:pPr>
      <w:r>
        <w:tab/>
        <w:t>(b)</w:t>
      </w:r>
      <w:r>
        <w:tab/>
        <w:t>gives publicity to, or otherwise promotes or is intended to promote, participation in gambling;</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lastRenderedPageBreak/>
        <w:tab/>
        <w:t>(2)</w:t>
      </w:r>
      <w:r>
        <w:tab/>
        <w:t>A person must not publish, or cause to be published, in this State a gambling advertisement that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a gambling operator will be successful; or</w:t>
      </w:r>
    </w:p>
    <w:p>
      <w:pPr>
        <w:pStyle w:val="Indenta"/>
      </w:pPr>
      <w:r>
        <w:tab/>
        <w:t>(e)</w:t>
      </w:r>
      <w:r>
        <w:tab/>
        <w:t>offers a benefit, consideration or reward in return for a person —</w:t>
      </w:r>
    </w:p>
    <w:p>
      <w:pPr>
        <w:pStyle w:val="Indenti"/>
      </w:pPr>
      <w:r>
        <w:tab/>
        <w:t>(i)</w:t>
      </w:r>
      <w:r>
        <w:tab/>
        <w:t>participating in gambling; or</w:t>
      </w:r>
    </w:p>
    <w:p>
      <w:pPr>
        <w:pStyle w:val="Indenti"/>
      </w:pPr>
      <w:r>
        <w:tab/>
        <w:t>(ii)</w:t>
      </w:r>
      <w:r>
        <w:tab/>
        <w:t>continuing to gamble; or</w:t>
      </w:r>
    </w:p>
    <w:p>
      <w:pPr>
        <w:pStyle w:val="Indenti"/>
      </w:pPr>
      <w:r>
        <w:tab/>
        <w:t>(iii)</w:t>
      </w:r>
      <w:r>
        <w:tab/>
        <w:t xml:space="preserve">opening a betting account with a gambling operator; or </w:t>
      </w:r>
    </w:p>
    <w:p>
      <w:pPr>
        <w:pStyle w:val="Indenti"/>
      </w:pPr>
      <w:r>
        <w:tab/>
        <w:t>(iv)</w:t>
      </w:r>
      <w:r>
        <w:tab/>
        <w:t>referring another person to open a betting account with a gambling operator;</w:t>
      </w:r>
    </w:p>
    <w:p>
      <w:pPr>
        <w:pStyle w:val="Indenta"/>
      </w:pPr>
      <w:r>
        <w:tab/>
      </w:r>
      <w:r>
        <w:tab/>
        <w:t>or</w:t>
      </w:r>
    </w:p>
    <w:p>
      <w:pPr>
        <w:pStyle w:val="Indenta"/>
      </w:pPr>
      <w:r>
        <w:tab/>
        <w:t>(f)</w:t>
      </w:r>
      <w:r>
        <w:tab/>
        <w:t>contains an express or implied inducement for a person to contact a gambling operator other than in relation to food, accommodation or other non</w:t>
      </w:r>
      <w:r>
        <w:noBreakHyphen/>
        <w:t>gambling goods or services provided by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lastRenderedPageBreak/>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Subsection"/>
      </w:pPr>
      <w:r>
        <w:tab/>
        <w:t>(3)</w:t>
      </w:r>
      <w:r>
        <w:tab/>
        <w:t xml:space="preserve">Subregulation (2)(a) to (g) does not apply to a person who publishes, or causes to be published, a gambling advertisement if the person — </w:t>
      </w:r>
    </w:p>
    <w:p>
      <w:pPr>
        <w:pStyle w:val="Indenta"/>
      </w:pPr>
      <w:r>
        <w:tab/>
        <w:t>(a)</w:t>
      </w:r>
      <w:r>
        <w:tab/>
        <w:t>is not the gambling operator to which the advertisement relates; and</w:t>
      </w:r>
    </w:p>
    <w:p>
      <w:pPr>
        <w:pStyle w:val="Indenta"/>
      </w:pPr>
      <w:r>
        <w:tab/>
        <w:t>(b)</w:t>
      </w:r>
      <w:r>
        <w:tab/>
        <w:t>has written approval to publish the advertisement from the gambling operator to which the advertisement relates.</w:t>
      </w:r>
    </w:p>
    <w:p>
      <w:pPr>
        <w:pStyle w:val="Subsection"/>
      </w:pPr>
      <w:r>
        <w:tab/>
        <w:t>(4)</w:t>
      </w:r>
      <w:r>
        <w:tab/>
        <w:t xml:space="preserve">Subregulation (2)(e)(i) and (ii)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w:t>
      </w:r>
    </w:p>
    <w:p>
      <w:pPr>
        <w:pStyle w:val="Subsection"/>
      </w:pPr>
      <w:r>
        <w:tab/>
        <w:t>(5)</w:t>
      </w:r>
      <w:r>
        <w:tab/>
        <w:t xml:space="preserve">Subregulation (2)(e)(i) and (ii) and (f) does not apply to a gambling advertisement if — </w:t>
      </w:r>
    </w:p>
    <w:p>
      <w:pPr>
        <w:pStyle w:val="Indenta"/>
      </w:pPr>
      <w:r>
        <w:tab/>
        <w:t>(a)</w:t>
      </w:r>
      <w:r>
        <w:tab/>
        <w:t>it is published by the gambling operator to which the advertisement relates; and</w:t>
      </w:r>
    </w:p>
    <w:p>
      <w:pPr>
        <w:pStyle w:val="Indenta"/>
        <w:keepNext/>
      </w:pPr>
      <w:r>
        <w:tab/>
        <w:t>(b)</w:t>
      </w:r>
      <w:r>
        <w:tab/>
        <w:t xml:space="preserve">it is published only by sending it to persons who — </w:t>
      </w:r>
    </w:p>
    <w:p>
      <w:pPr>
        <w:pStyle w:val="Indenti"/>
      </w:pPr>
      <w:r>
        <w:tab/>
        <w:t>(i)</w:t>
      </w:r>
      <w:r>
        <w:tab/>
        <w:t>are existing customers of the gambling operator; and</w:t>
      </w:r>
    </w:p>
    <w:p>
      <w:pPr>
        <w:pStyle w:val="Indenti"/>
      </w:pPr>
      <w:r>
        <w:lastRenderedPageBreak/>
        <w:tab/>
        <w:t>(ii)</w:t>
      </w:r>
      <w:r>
        <w:tab/>
        <w:t>have consented to the gambling operator sending gambling advertisements to them;</w:t>
      </w:r>
    </w:p>
    <w:p>
      <w:pPr>
        <w:pStyle w:val="Indenta"/>
      </w:pPr>
      <w:r>
        <w:tab/>
      </w:r>
      <w:r>
        <w:tab/>
        <w:t>and</w:t>
      </w:r>
    </w:p>
    <w:p>
      <w:pPr>
        <w:pStyle w:val="Indenta"/>
      </w:pPr>
      <w:r>
        <w:tab/>
        <w:t>(c)</w:t>
      </w:r>
      <w:r>
        <w:tab/>
        <w:t>it includes instructions on how a person can withdraw their consent to, or otherwise stop, the gambling operator sending gambling advertisements to them.</w:t>
      </w:r>
    </w:p>
    <w:p>
      <w:pPr>
        <w:pStyle w:val="Subsection"/>
      </w:pPr>
      <w:r>
        <w:tab/>
        <w:t>(6)</w:t>
      </w:r>
      <w:r>
        <w:tab/>
        <w:t xml:space="preserve">A gambling operator who publishes, or causes to be published, a gambling advertisement in this State must ensure that — </w:t>
      </w:r>
    </w:p>
    <w:p>
      <w:pPr>
        <w:pStyle w:val="Indenta"/>
      </w:pPr>
      <w:r>
        <w:tab/>
        <w:t>(a)</w:t>
      </w:r>
      <w:r>
        <w:tab/>
        <w:t>if it is published in audio or audio</w:t>
      </w:r>
      <w:r>
        <w:noBreakHyphen/>
        <w:t xml:space="preserve">visual form, it clearly and audibly includes — </w:t>
      </w:r>
    </w:p>
    <w:p>
      <w:pPr>
        <w:pStyle w:val="Indenti"/>
      </w:pPr>
      <w:r>
        <w:tab/>
        <w:t>(i)</w:t>
      </w:r>
      <w:r>
        <w:tab/>
        <w:t>the telephone number of the national problem gambling helpline or details of the national problem on</w:t>
      </w:r>
      <w:r>
        <w:noBreakHyphen/>
        <w:t>line counselling website; and</w:t>
      </w:r>
    </w:p>
    <w:p>
      <w:pPr>
        <w:pStyle w:val="Indenti"/>
      </w:pPr>
      <w:r>
        <w:tab/>
        <w:t>(ii)</w:t>
      </w:r>
      <w:r>
        <w:tab/>
        <w:t>the words “gamble responsibly” or a similar responsible gambling message;</w:t>
      </w:r>
    </w:p>
    <w:p>
      <w:pPr>
        <w:pStyle w:val="Indenta"/>
      </w:pPr>
      <w:r>
        <w:tab/>
      </w:r>
      <w:r>
        <w:tab/>
        <w:t>or</w:t>
      </w:r>
    </w:p>
    <w:p>
      <w:pPr>
        <w:pStyle w:val="Indenta"/>
      </w:pPr>
      <w:r>
        <w:tab/>
        <w:t>(b)</w:t>
      </w:r>
      <w:r>
        <w:tab/>
        <w:t>in any other case, it prominently displays the telephone number of the national problem gambling helpline and details of the national problem on</w:t>
      </w:r>
      <w:r>
        <w:noBreakHyphen/>
        <w:t>line counselling website.</w:t>
      </w:r>
    </w:p>
    <w:p>
      <w:pPr>
        <w:pStyle w:val="Subsection"/>
      </w:pPr>
      <w:r>
        <w:tab/>
        <w:t>(7)</w:t>
      </w:r>
      <w:r>
        <w:tab/>
        <w:t xml:space="preserve">A person must not offer or provide, or cause to be offered or provided, to another person (the </w:t>
      </w:r>
      <w:r>
        <w:rPr>
          <w:rStyle w:val="CharDefText"/>
        </w:rPr>
        <w:t>second person</w:t>
      </w:r>
      <w:r>
        <w:t xml:space="preserve">) a benefit, consideration or reward in return for the second person — </w:t>
      </w:r>
    </w:p>
    <w:p>
      <w:pPr>
        <w:pStyle w:val="Indenta"/>
      </w:pPr>
      <w:r>
        <w:tab/>
        <w:t>(a)</w:t>
      </w:r>
      <w:r>
        <w:tab/>
        <w:t>participating in gambling; or</w:t>
      </w:r>
    </w:p>
    <w:p>
      <w:pPr>
        <w:pStyle w:val="Indenta"/>
      </w:pPr>
      <w:r>
        <w:tab/>
        <w:t>(b)</w:t>
      </w:r>
      <w:r>
        <w:tab/>
        <w:t>continuing to gamble; or</w:t>
      </w:r>
    </w:p>
    <w:p>
      <w:pPr>
        <w:pStyle w:val="Indenta"/>
      </w:pPr>
      <w:r>
        <w:tab/>
        <w:t>(c)</w:t>
      </w:r>
      <w:r>
        <w:tab/>
        <w:t>opening a betting account with a gambling operator; or</w:t>
      </w:r>
    </w:p>
    <w:p>
      <w:pPr>
        <w:pStyle w:val="Indenta"/>
      </w:pPr>
      <w:r>
        <w:tab/>
        <w:t>(d)</w:t>
      </w:r>
      <w:r>
        <w:tab/>
        <w:t>referring another person to open a betting account with a gambling operator.</w:t>
      </w:r>
    </w:p>
    <w:p>
      <w:pPr>
        <w:pStyle w:val="Subsection"/>
        <w:keepNext/>
      </w:pPr>
      <w:r>
        <w:lastRenderedPageBreak/>
        <w:tab/>
        <w:t>(8)</w:t>
      </w:r>
      <w:r>
        <w:tab/>
        <w:t xml:space="preserve">Subregulation (7)(a) and (b)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 or</w:t>
      </w:r>
    </w:p>
    <w:p>
      <w:pPr>
        <w:pStyle w:val="Indenta"/>
      </w:pPr>
      <w:r>
        <w:tab/>
        <w:t>(c)</w:t>
      </w:r>
      <w:r>
        <w:tab/>
        <w:t>it is offered or provided to a person who is an existing customer of a gambling operator in return for participating in gambling, or continuing to gamble, with the gambling operator.</w:t>
      </w:r>
    </w:p>
    <w:p>
      <w:pPr>
        <w:pStyle w:val="Subsection"/>
      </w:pPr>
      <w:r>
        <w:tab/>
        <w:t>(9)</w:t>
      </w:r>
      <w:r>
        <w:tab/>
        <w:t>A person who contravenes subsection (2) or (7) commits an offence.</w:t>
      </w:r>
    </w:p>
    <w:p>
      <w:pPr>
        <w:pStyle w:val="Subsection"/>
      </w:pPr>
      <w:r>
        <w:tab/>
        <w:t>(10)</w:t>
      </w:r>
      <w:r>
        <w:tab/>
        <w:t>A gambling operator who contravenes subsection (6) commits an offence.</w:t>
      </w:r>
    </w:p>
    <w:p>
      <w:pPr>
        <w:pStyle w:val="Footnotesection"/>
      </w:pPr>
      <w:r>
        <w:tab/>
        <w:t>[Regulation 43 inserted: Gazette 8 Jan 2010 p. 17</w:t>
      </w:r>
      <w:r>
        <w:noBreakHyphen/>
        <w:t>19; amended: Gazette 31 May 2019 p. 1718</w:t>
      </w:r>
      <w:r>
        <w:noBreakHyphen/>
        <w:t>20; SL 2025/35 r. 27.]</w:t>
      </w:r>
    </w:p>
    <w:p>
      <w:pPr>
        <w:pStyle w:val="Heading5"/>
      </w:pPr>
      <w:bookmarkStart w:id="170" w:name="_Toc213339580"/>
      <w:r>
        <w:rPr>
          <w:rStyle w:val="CharSectno"/>
        </w:rPr>
        <w:t>44</w:t>
      </w:r>
      <w:r>
        <w:t>.</w:t>
      </w:r>
      <w:r>
        <w:tab/>
        <w:t>Prescribed interval (Act s. 110B(4)(b))</w:t>
      </w:r>
      <w:bookmarkEnd w:id="170"/>
    </w:p>
    <w:p>
      <w:pPr>
        <w:pStyle w:val="Subsection"/>
      </w:pPr>
      <w:r>
        <w:tab/>
      </w:r>
      <w:r>
        <w:tab/>
        <w:t>For the purposes of section 110B(4)(b) of the Act, the prescribed interval is one month.</w:t>
      </w:r>
    </w:p>
    <w:p>
      <w:pPr>
        <w:pStyle w:val="Footnotesection"/>
      </w:pPr>
      <w:r>
        <w:tab/>
        <w:t>[Regulation 44 inserted: Gazette 8 Jan 2010 p. 19.]</w:t>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71" w:name="_Toc213336900"/>
      <w:bookmarkStart w:id="172" w:name="_Toc213337602"/>
      <w:bookmarkStart w:id="173" w:name="_Toc213339581"/>
      <w:r>
        <w:rPr>
          <w:rStyle w:val="CharSchNo"/>
        </w:rPr>
        <w:lastRenderedPageBreak/>
        <w:t>Schedule 1</w:t>
      </w:r>
      <w:r>
        <w:t> — </w:t>
      </w:r>
      <w:r>
        <w:rPr>
          <w:rStyle w:val="CharSchText"/>
        </w:rPr>
        <w:t>Prescribed fees</w:t>
      </w:r>
      <w:bookmarkEnd w:id="171"/>
      <w:bookmarkEnd w:id="172"/>
      <w:bookmarkEnd w:id="173"/>
    </w:p>
    <w:p>
      <w:pPr>
        <w:pStyle w:val="yShoulderClause"/>
        <w:spacing w:before="0"/>
      </w:pPr>
      <w:r>
        <w:t>[r. 4]</w:t>
      </w:r>
    </w:p>
    <w:p>
      <w:pPr>
        <w:pStyle w:val="yFootnoteheading"/>
        <w:spacing w:beforeLines="80" w:before="192" w:afterLines="80" w:after="192"/>
      </w:pPr>
      <w:r>
        <w:tab/>
        <w:t>[Heading inserted: SL 2024/213 r. 10.]</w:t>
      </w:r>
    </w:p>
    <w:tbl>
      <w:tblPr>
        <w:tblW w:w="69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yTableNAm"/>
              <w:jc w:val="center"/>
              <w:rPr>
                <w:b/>
                <w:bCs/>
              </w:rPr>
            </w:pPr>
            <w:r>
              <w:rPr>
                <w:b/>
                <w:bCs/>
              </w:rPr>
              <w:t>Item</w:t>
            </w:r>
          </w:p>
        </w:tc>
        <w:tc>
          <w:tcPr>
            <w:tcW w:w="5245" w:type="dxa"/>
          </w:tcPr>
          <w:p>
            <w:pPr>
              <w:pStyle w:val="yTableNAm"/>
              <w:jc w:val="center"/>
              <w:rPr>
                <w:b/>
                <w:bCs/>
              </w:rPr>
            </w:pPr>
            <w:r>
              <w:rPr>
                <w:b/>
                <w:bCs/>
              </w:rPr>
              <w:t>Description</w:t>
            </w:r>
          </w:p>
        </w:tc>
        <w:tc>
          <w:tcPr>
            <w:tcW w:w="992" w:type="dxa"/>
          </w:tcPr>
          <w:p>
            <w:pPr>
              <w:pStyle w:val="yTableNAm"/>
              <w:jc w:val="center"/>
              <w:rPr>
                <w:b/>
                <w:bCs/>
              </w:rPr>
            </w:pPr>
            <w:r>
              <w:rPr>
                <w:b/>
                <w:bCs/>
              </w:rPr>
              <w:t>Fee</w:t>
            </w:r>
            <w:r>
              <w:rPr>
                <w:b/>
                <w:bCs/>
              </w:rPr>
              <w:br/>
              <w:t>$</w:t>
            </w:r>
          </w:p>
        </w:tc>
      </w:tr>
      <w:tr>
        <w:tc>
          <w:tcPr>
            <w:tcW w:w="709" w:type="dxa"/>
          </w:tcPr>
          <w:p>
            <w:pPr>
              <w:pStyle w:val="yTableNAm"/>
            </w:pPr>
            <w:r>
              <w:t>1.</w:t>
            </w:r>
          </w:p>
        </w:tc>
        <w:tc>
          <w:tcPr>
            <w:tcW w:w="5245" w:type="dxa"/>
          </w:tcPr>
          <w:p>
            <w:pPr>
              <w:pStyle w:val="yTableNAm"/>
            </w:pPr>
            <w:r>
              <w:t>Search of the register for an identified entry</w:t>
            </w:r>
          </w:p>
        </w:tc>
        <w:tc>
          <w:tcPr>
            <w:tcW w:w="992" w:type="dxa"/>
            <w:vAlign w:val="bottom"/>
          </w:tcPr>
          <w:p>
            <w:pPr>
              <w:pStyle w:val="yTableNAm"/>
              <w:jc w:val="right"/>
            </w:pPr>
            <w:r>
              <w:t>9.50</w:t>
            </w:r>
          </w:p>
        </w:tc>
      </w:tr>
      <w:tr>
        <w:tc>
          <w:tcPr>
            <w:tcW w:w="709" w:type="dxa"/>
          </w:tcPr>
          <w:p>
            <w:pPr>
              <w:pStyle w:val="yTableNAm"/>
            </w:pPr>
            <w:r>
              <w:t>2.</w:t>
            </w:r>
          </w:p>
        </w:tc>
        <w:tc>
          <w:tcPr>
            <w:tcW w:w="5245" w:type="dxa"/>
          </w:tcPr>
          <w:p>
            <w:pPr>
              <w:pStyle w:val="yTableNAm"/>
            </w:pPr>
            <w:r>
              <w:t>Copy of extract from register</w:t>
            </w:r>
          </w:p>
        </w:tc>
        <w:tc>
          <w:tcPr>
            <w:tcW w:w="992" w:type="dxa"/>
            <w:vAlign w:val="bottom"/>
          </w:tcPr>
          <w:p>
            <w:pPr>
              <w:pStyle w:val="yTableNAm"/>
              <w:jc w:val="right"/>
            </w:pPr>
            <w:r>
              <w:t>17.50</w:t>
            </w:r>
          </w:p>
        </w:tc>
      </w:tr>
      <w:tr>
        <w:tc>
          <w:tcPr>
            <w:tcW w:w="709" w:type="dxa"/>
          </w:tcPr>
          <w:p>
            <w:pPr>
              <w:pStyle w:val="yTableNAm"/>
            </w:pPr>
            <w:r>
              <w:t>3.</w:t>
            </w:r>
          </w:p>
        </w:tc>
        <w:tc>
          <w:tcPr>
            <w:tcW w:w="5245" w:type="dxa"/>
          </w:tcPr>
          <w:p>
            <w:pPr>
              <w:pStyle w:val="yTableNAm"/>
            </w:pPr>
            <w:r>
              <w:t xml:space="preserve">Application for a function permit for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pPr>
            <w:r>
              <w:t>(a)</w:t>
            </w:r>
            <w:r>
              <w:tab/>
              <w:t>an item of gaming equipment (r. 18B(2)(a))</w:t>
            </w:r>
          </w:p>
        </w:tc>
        <w:tc>
          <w:tcPr>
            <w:tcW w:w="992" w:type="dxa"/>
            <w:vAlign w:val="bottom"/>
          </w:tcPr>
          <w:p>
            <w:pPr>
              <w:pStyle w:val="yTableNAm"/>
              <w:jc w:val="right"/>
            </w:pPr>
            <w:r>
              <w:t>39.00</w:t>
            </w:r>
          </w:p>
        </w:tc>
      </w:tr>
      <w:tr>
        <w:tc>
          <w:tcPr>
            <w:tcW w:w="709" w:type="dxa"/>
          </w:tcPr>
          <w:p>
            <w:pPr>
              <w:pStyle w:val="yTableNAm"/>
            </w:pPr>
          </w:p>
        </w:tc>
        <w:tc>
          <w:tcPr>
            <w:tcW w:w="5245" w:type="dxa"/>
          </w:tcPr>
          <w:p>
            <w:pPr>
              <w:pStyle w:val="yTableNAm"/>
            </w:pPr>
            <w:r>
              <w:t>(b)</w:t>
            </w:r>
            <w:r>
              <w:tab/>
              <w:t>a class of gaming equipment (r. 18B(2)(b))</w:t>
            </w:r>
          </w:p>
        </w:tc>
        <w:tc>
          <w:tcPr>
            <w:tcW w:w="992" w:type="dxa"/>
            <w:vAlign w:val="bottom"/>
          </w:tcPr>
          <w:p>
            <w:pPr>
              <w:pStyle w:val="yTableNAm"/>
              <w:jc w:val="right"/>
            </w:pPr>
            <w:r>
              <w:t>68.00</w:t>
            </w:r>
          </w:p>
        </w:tc>
      </w:tr>
      <w:tr>
        <w:tc>
          <w:tcPr>
            <w:tcW w:w="709" w:type="dxa"/>
          </w:tcPr>
          <w:p>
            <w:pPr>
              <w:pStyle w:val="yTableNAm"/>
            </w:pPr>
            <w:r>
              <w:t>4.</w:t>
            </w:r>
          </w:p>
        </w:tc>
        <w:tc>
          <w:tcPr>
            <w:tcW w:w="5245" w:type="dxa"/>
          </w:tcPr>
          <w:p>
            <w:pPr>
              <w:pStyle w:val="yTableNAm"/>
            </w:pPr>
            <w:r>
              <w:t xml:space="preserve">Application for a permit of a continuing nature for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pPr>
            <w:r>
              <w:t>(a)</w:t>
            </w:r>
            <w:r>
              <w:tab/>
              <w:t>a video lottery terminal (r. 18AA(7))</w:t>
            </w:r>
          </w:p>
        </w:tc>
        <w:tc>
          <w:tcPr>
            <w:tcW w:w="992" w:type="dxa"/>
            <w:vAlign w:val="bottom"/>
          </w:tcPr>
          <w:p>
            <w:pPr>
              <w:pStyle w:val="yTableNAm"/>
              <w:jc w:val="right"/>
            </w:pPr>
            <w:r>
              <w:t>39.00</w:t>
            </w:r>
          </w:p>
        </w:tc>
      </w:tr>
      <w:tr>
        <w:tc>
          <w:tcPr>
            <w:tcW w:w="709" w:type="dxa"/>
          </w:tcPr>
          <w:p>
            <w:pPr>
              <w:pStyle w:val="yTableNAm"/>
            </w:pPr>
          </w:p>
        </w:tc>
        <w:tc>
          <w:tcPr>
            <w:tcW w:w="5245" w:type="dxa"/>
          </w:tcPr>
          <w:p>
            <w:pPr>
              <w:pStyle w:val="yTableNAm"/>
            </w:pPr>
            <w:r>
              <w:t>(b)</w:t>
            </w:r>
            <w:r>
              <w:tab/>
              <w:t>an item of gaming equipment (r. 18B(2)(a))</w:t>
            </w:r>
          </w:p>
        </w:tc>
        <w:tc>
          <w:tcPr>
            <w:tcW w:w="992" w:type="dxa"/>
            <w:vAlign w:val="bottom"/>
          </w:tcPr>
          <w:p>
            <w:pPr>
              <w:pStyle w:val="yTableNAm"/>
              <w:jc w:val="right"/>
            </w:pPr>
            <w:r>
              <w:t>73.50</w:t>
            </w:r>
          </w:p>
        </w:tc>
      </w:tr>
      <w:tr>
        <w:tc>
          <w:tcPr>
            <w:tcW w:w="709" w:type="dxa"/>
          </w:tcPr>
          <w:p>
            <w:pPr>
              <w:pStyle w:val="yTableNAm"/>
            </w:pPr>
          </w:p>
        </w:tc>
        <w:tc>
          <w:tcPr>
            <w:tcW w:w="5245" w:type="dxa"/>
          </w:tcPr>
          <w:p>
            <w:pPr>
              <w:pStyle w:val="yTableNAm"/>
            </w:pPr>
            <w:r>
              <w:t>(c)</w:t>
            </w:r>
            <w:r>
              <w:tab/>
              <w:t>a class of gaming equipment (r. 18B(2)(b))</w:t>
            </w:r>
          </w:p>
        </w:tc>
        <w:tc>
          <w:tcPr>
            <w:tcW w:w="992" w:type="dxa"/>
            <w:vAlign w:val="bottom"/>
          </w:tcPr>
          <w:p>
            <w:pPr>
              <w:pStyle w:val="yTableNAm"/>
              <w:jc w:val="right"/>
            </w:pPr>
            <w:r>
              <w:t>132.00</w:t>
            </w:r>
          </w:p>
        </w:tc>
      </w:tr>
      <w:tr>
        <w:tc>
          <w:tcPr>
            <w:tcW w:w="709" w:type="dxa"/>
          </w:tcPr>
          <w:p>
            <w:pPr>
              <w:pStyle w:val="yTableNAm"/>
            </w:pPr>
            <w:r>
              <w:t>5.</w:t>
            </w:r>
          </w:p>
        </w:tc>
        <w:tc>
          <w:tcPr>
            <w:tcW w:w="5245" w:type="dxa"/>
          </w:tcPr>
          <w:p>
            <w:pPr>
              <w:pStyle w:val="yTableNAm"/>
            </w:pPr>
            <w:r>
              <w:t xml:space="preserve">Application for a function permit for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pPr>
            <w:r>
              <w:t>(a)</w:t>
            </w:r>
            <w:r>
              <w:tab/>
              <w:t>bingo</w:t>
            </w:r>
          </w:p>
        </w:tc>
        <w:tc>
          <w:tcPr>
            <w:tcW w:w="992" w:type="dxa"/>
            <w:vAlign w:val="bottom"/>
          </w:tcPr>
          <w:p>
            <w:pPr>
              <w:pStyle w:val="yTableNAm"/>
              <w:jc w:val="right"/>
            </w:pPr>
            <w:r>
              <w:t>25.00</w:t>
            </w:r>
          </w:p>
        </w:tc>
      </w:tr>
      <w:tr>
        <w:tc>
          <w:tcPr>
            <w:tcW w:w="709" w:type="dxa"/>
          </w:tcPr>
          <w:p>
            <w:pPr>
              <w:pStyle w:val="yTableNAm"/>
            </w:pPr>
          </w:p>
        </w:tc>
        <w:tc>
          <w:tcPr>
            <w:tcW w:w="5245" w:type="dxa"/>
          </w:tcPr>
          <w:p>
            <w:pPr>
              <w:pStyle w:val="yTableNAm"/>
            </w:pPr>
            <w:r>
              <w:t>(b)</w:t>
            </w:r>
            <w:r>
              <w:tab/>
              <w:t>multiple bingo, for each premises</w:t>
            </w:r>
          </w:p>
        </w:tc>
        <w:tc>
          <w:tcPr>
            <w:tcW w:w="992" w:type="dxa"/>
            <w:vAlign w:val="bottom"/>
          </w:tcPr>
          <w:p>
            <w:pPr>
              <w:pStyle w:val="yTableNAm"/>
              <w:jc w:val="right"/>
            </w:pPr>
            <w:r>
              <w:t>25.00</w:t>
            </w:r>
          </w:p>
        </w:tc>
      </w:tr>
      <w:tr>
        <w:tc>
          <w:tcPr>
            <w:tcW w:w="709" w:type="dxa"/>
          </w:tcPr>
          <w:p>
            <w:pPr>
              <w:pStyle w:val="yTableNAm"/>
            </w:pPr>
          </w:p>
        </w:tc>
        <w:tc>
          <w:tcPr>
            <w:tcW w:w="5245" w:type="dxa"/>
          </w:tcPr>
          <w:p>
            <w:pPr>
              <w:pStyle w:val="yTableNAm"/>
            </w:pPr>
            <w:r>
              <w:t>(c)</w:t>
            </w:r>
            <w:r>
              <w:tab/>
              <w:t>simultaneous bingo, for each premises</w:t>
            </w:r>
          </w:p>
        </w:tc>
        <w:tc>
          <w:tcPr>
            <w:tcW w:w="992" w:type="dxa"/>
            <w:vAlign w:val="bottom"/>
          </w:tcPr>
          <w:p>
            <w:pPr>
              <w:pStyle w:val="yTableNAm"/>
              <w:jc w:val="right"/>
            </w:pPr>
            <w:r>
              <w:t>25.00</w:t>
            </w:r>
          </w:p>
        </w:tc>
      </w:tr>
      <w:tr>
        <w:tc>
          <w:tcPr>
            <w:tcW w:w="709" w:type="dxa"/>
          </w:tcPr>
          <w:p>
            <w:pPr>
              <w:pStyle w:val="yTableNAm"/>
            </w:pPr>
          </w:p>
        </w:tc>
        <w:tc>
          <w:tcPr>
            <w:tcW w:w="5245" w:type="dxa"/>
          </w:tcPr>
          <w:p>
            <w:pPr>
              <w:pStyle w:val="yTableNAm"/>
            </w:pPr>
            <w:r>
              <w:t>(d)</w:t>
            </w:r>
            <w:r>
              <w:tab/>
              <w:t xml:space="preserve">a standard lottery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where the total retail value of the prizes or prize money does not exceed $5 000</w:t>
            </w:r>
          </w:p>
        </w:tc>
        <w:tc>
          <w:tcPr>
            <w:tcW w:w="992" w:type="dxa"/>
            <w:vAlign w:val="bottom"/>
          </w:tcPr>
          <w:p>
            <w:pPr>
              <w:pStyle w:val="yTableNAm"/>
              <w:jc w:val="right"/>
            </w:pPr>
            <w:r>
              <w:t>39.00</w:t>
            </w:r>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otherwise</w:t>
            </w:r>
          </w:p>
        </w:tc>
        <w:tc>
          <w:tcPr>
            <w:tcW w:w="992" w:type="dxa"/>
            <w:vAlign w:val="bottom"/>
          </w:tcPr>
          <w:p>
            <w:pPr>
              <w:pStyle w:val="yTableNAm"/>
              <w:jc w:val="right"/>
            </w:pPr>
            <w:r>
              <w:t>85.50</w:t>
            </w:r>
          </w:p>
        </w:tc>
      </w:tr>
      <w:tr>
        <w:tc>
          <w:tcPr>
            <w:tcW w:w="709" w:type="dxa"/>
          </w:tcPr>
          <w:p>
            <w:pPr>
              <w:pStyle w:val="yTableNAm"/>
            </w:pPr>
          </w:p>
        </w:tc>
        <w:tc>
          <w:tcPr>
            <w:tcW w:w="5245" w:type="dxa"/>
          </w:tcPr>
          <w:p>
            <w:pPr>
              <w:pStyle w:val="yTableNAm"/>
              <w:ind w:left="567" w:hanging="567"/>
            </w:pPr>
            <w:r>
              <w:t>(e)</w:t>
            </w:r>
            <w:r>
              <w:tab/>
              <w:t>a standard lottery of a kind generally known or described as a Calcutta</w:t>
            </w:r>
          </w:p>
        </w:tc>
        <w:tc>
          <w:tcPr>
            <w:tcW w:w="992" w:type="dxa"/>
            <w:vAlign w:val="bottom"/>
          </w:tcPr>
          <w:p>
            <w:pPr>
              <w:pStyle w:val="yTableNAm"/>
              <w:jc w:val="right"/>
            </w:pPr>
            <w:r>
              <w:t>85.50</w:t>
            </w:r>
          </w:p>
        </w:tc>
      </w:tr>
      <w:tr>
        <w:tc>
          <w:tcPr>
            <w:tcW w:w="709" w:type="dxa"/>
          </w:tcPr>
          <w:p>
            <w:pPr>
              <w:pStyle w:val="yTableNAm"/>
            </w:pPr>
          </w:p>
        </w:tc>
        <w:tc>
          <w:tcPr>
            <w:tcW w:w="5245" w:type="dxa"/>
          </w:tcPr>
          <w:p>
            <w:pPr>
              <w:pStyle w:val="yTableNAm"/>
            </w:pPr>
            <w:r>
              <w:t>(f)</w:t>
            </w:r>
            <w:r>
              <w:tab/>
              <w:t>a continuing lottery</w:t>
            </w:r>
          </w:p>
        </w:tc>
        <w:tc>
          <w:tcPr>
            <w:tcW w:w="992" w:type="dxa"/>
            <w:vAlign w:val="bottom"/>
          </w:tcPr>
          <w:p>
            <w:pPr>
              <w:pStyle w:val="yTableNAm"/>
              <w:jc w:val="right"/>
            </w:pPr>
            <w:r>
              <w:t>18.50</w:t>
            </w:r>
          </w:p>
        </w:tc>
      </w:tr>
      <w:tr>
        <w:tc>
          <w:tcPr>
            <w:tcW w:w="709" w:type="dxa"/>
          </w:tcPr>
          <w:p>
            <w:pPr>
              <w:pStyle w:val="yTableNAm"/>
            </w:pPr>
          </w:p>
        </w:tc>
        <w:tc>
          <w:tcPr>
            <w:tcW w:w="5245" w:type="dxa"/>
          </w:tcPr>
          <w:p>
            <w:pPr>
              <w:pStyle w:val="yTableNAm"/>
            </w:pPr>
            <w:r>
              <w:t>(g)</w:t>
            </w:r>
            <w:r>
              <w:tab/>
              <w:t xml:space="preserve">gaming (per day authorised)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1</w:t>
            </w:r>
            <w:r>
              <w:noBreakHyphen/>
              <w:t>5 tables</w:t>
            </w:r>
          </w:p>
        </w:tc>
        <w:tc>
          <w:tcPr>
            <w:tcW w:w="992" w:type="dxa"/>
            <w:vAlign w:val="bottom"/>
          </w:tcPr>
          <w:p>
            <w:pPr>
              <w:pStyle w:val="yTableNAm"/>
              <w:jc w:val="right"/>
            </w:pPr>
            <w:r>
              <w:t>260.50</w:t>
            </w:r>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over 5 tables</w:t>
            </w:r>
          </w:p>
        </w:tc>
        <w:tc>
          <w:tcPr>
            <w:tcW w:w="992" w:type="dxa"/>
            <w:vAlign w:val="bottom"/>
          </w:tcPr>
          <w:p>
            <w:pPr>
              <w:pStyle w:val="yTableNAm"/>
              <w:jc w:val="right"/>
            </w:pPr>
            <w:r>
              <w:t>417.50</w:t>
            </w:r>
          </w:p>
        </w:tc>
      </w:tr>
      <w:tr>
        <w:tc>
          <w:tcPr>
            <w:tcW w:w="709" w:type="dxa"/>
          </w:tcPr>
          <w:p>
            <w:pPr>
              <w:pStyle w:val="yTableNAm"/>
              <w:keepNext/>
            </w:pPr>
          </w:p>
        </w:tc>
        <w:tc>
          <w:tcPr>
            <w:tcW w:w="5245" w:type="dxa"/>
          </w:tcPr>
          <w:p>
            <w:pPr>
              <w:pStyle w:val="yTableNAm"/>
            </w:pPr>
            <w:r>
              <w:t>(h)</w:t>
            </w:r>
            <w:r>
              <w:tab/>
              <w:t>two</w:t>
            </w:r>
            <w:r>
              <w:noBreakHyphen/>
              <w:t xml:space="preserve">up — </w:t>
            </w:r>
          </w:p>
        </w:tc>
        <w:tc>
          <w:tcPr>
            <w:tcW w:w="992" w:type="dxa"/>
            <w:vAlign w:val="bottom"/>
          </w:tcPr>
          <w:p>
            <w:pPr>
              <w:pStyle w:val="yTableNAm"/>
              <w:keepNext/>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by a country race club</w:t>
            </w:r>
          </w:p>
        </w:tc>
        <w:tc>
          <w:tcPr>
            <w:tcW w:w="992" w:type="dxa"/>
            <w:vAlign w:val="bottom"/>
          </w:tcPr>
          <w:p>
            <w:pPr>
              <w:pStyle w:val="yTableNAm"/>
              <w:jc w:val="right"/>
            </w:pPr>
            <w:r>
              <w:t>175.00</w:t>
            </w:r>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otherwise</w:t>
            </w:r>
          </w:p>
        </w:tc>
        <w:tc>
          <w:tcPr>
            <w:tcW w:w="992" w:type="dxa"/>
            <w:vAlign w:val="bottom"/>
          </w:tcPr>
          <w:p>
            <w:pPr>
              <w:pStyle w:val="yTableNAm"/>
              <w:jc w:val="right"/>
            </w:pPr>
            <w:r>
              <w:t>260.50</w:t>
            </w:r>
          </w:p>
        </w:tc>
      </w:tr>
      <w:tr>
        <w:tc>
          <w:tcPr>
            <w:tcW w:w="709" w:type="dxa"/>
          </w:tcPr>
          <w:p>
            <w:pPr>
              <w:pStyle w:val="yTableNAm"/>
            </w:pPr>
            <w:r>
              <w:t>6.</w:t>
            </w:r>
          </w:p>
        </w:tc>
        <w:tc>
          <w:tcPr>
            <w:tcW w:w="5245" w:type="dxa"/>
          </w:tcPr>
          <w:p>
            <w:pPr>
              <w:pStyle w:val="yTableNAm"/>
            </w:pPr>
            <w:r>
              <w:t xml:space="preserve">Application for a permit of a continuing nature for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pPr>
            <w:r>
              <w:t>(a)</w:t>
            </w:r>
            <w:r>
              <w:tab/>
              <w:t>bingo</w:t>
            </w:r>
          </w:p>
        </w:tc>
        <w:tc>
          <w:tcPr>
            <w:tcW w:w="992" w:type="dxa"/>
            <w:vAlign w:val="bottom"/>
          </w:tcPr>
          <w:p>
            <w:pPr>
              <w:pStyle w:val="yTableNAm"/>
              <w:jc w:val="right"/>
            </w:pPr>
            <w:r>
              <w:t>39.00</w:t>
            </w:r>
          </w:p>
        </w:tc>
      </w:tr>
      <w:tr>
        <w:tc>
          <w:tcPr>
            <w:tcW w:w="709" w:type="dxa"/>
          </w:tcPr>
          <w:p>
            <w:pPr>
              <w:pStyle w:val="yTableNAm"/>
            </w:pPr>
          </w:p>
        </w:tc>
        <w:tc>
          <w:tcPr>
            <w:tcW w:w="5245" w:type="dxa"/>
          </w:tcPr>
          <w:p>
            <w:pPr>
              <w:pStyle w:val="yTableNAm"/>
            </w:pPr>
            <w:r>
              <w:t>(b)</w:t>
            </w:r>
            <w:r>
              <w:tab/>
              <w:t>multiple bingo, for each premises</w:t>
            </w:r>
          </w:p>
        </w:tc>
        <w:tc>
          <w:tcPr>
            <w:tcW w:w="992" w:type="dxa"/>
            <w:vAlign w:val="bottom"/>
          </w:tcPr>
          <w:p>
            <w:pPr>
              <w:pStyle w:val="yTableNAm"/>
              <w:jc w:val="right"/>
            </w:pPr>
            <w:r>
              <w:t>39.00</w:t>
            </w:r>
          </w:p>
        </w:tc>
      </w:tr>
      <w:tr>
        <w:tc>
          <w:tcPr>
            <w:tcW w:w="709" w:type="dxa"/>
          </w:tcPr>
          <w:p>
            <w:pPr>
              <w:pStyle w:val="yTableNAm"/>
            </w:pPr>
          </w:p>
        </w:tc>
        <w:tc>
          <w:tcPr>
            <w:tcW w:w="5245" w:type="dxa"/>
          </w:tcPr>
          <w:p>
            <w:pPr>
              <w:pStyle w:val="yTableNAm"/>
            </w:pPr>
            <w:r>
              <w:t>(c)</w:t>
            </w:r>
            <w:r>
              <w:tab/>
              <w:t>simultaneous bingo, for each premises</w:t>
            </w:r>
          </w:p>
        </w:tc>
        <w:tc>
          <w:tcPr>
            <w:tcW w:w="992" w:type="dxa"/>
            <w:vAlign w:val="bottom"/>
          </w:tcPr>
          <w:p>
            <w:pPr>
              <w:pStyle w:val="yTableNAm"/>
              <w:jc w:val="right"/>
            </w:pPr>
            <w:r>
              <w:t>39.00</w:t>
            </w:r>
          </w:p>
        </w:tc>
      </w:tr>
      <w:tr>
        <w:tc>
          <w:tcPr>
            <w:tcW w:w="709" w:type="dxa"/>
          </w:tcPr>
          <w:p>
            <w:pPr>
              <w:pStyle w:val="yTableNAm"/>
            </w:pPr>
          </w:p>
        </w:tc>
        <w:tc>
          <w:tcPr>
            <w:tcW w:w="5245" w:type="dxa"/>
          </w:tcPr>
          <w:p>
            <w:pPr>
              <w:pStyle w:val="yTableNAm"/>
              <w:ind w:left="567" w:hanging="567"/>
            </w:pPr>
            <w:r>
              <w:t>(d)</w:t>
            </w:r>
            <w:r>
              <w:tab/>
              <w:t xml:space="preserve">a standard lottery, where the total retail value of prizes or prize money is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not more than $5 000</w:t>
            </w:r>
          </w:p>
        </w:tc>
        <w:tc>
          <w:tcPr>
            <w:tcW w:w="992" w:type="dxa"/>
            <w:vAlign w:val="bottom"/>
          </w:tcPr>
          <w:p>
            <w:pPr>
              <w:pStyle w:val="yTableNAm"/>
              <w:jc w:val="right"/>
            </w:pPr>
            <w:r>
              <w:t>54.50</w:t>
            </w:r>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more than $5 000 but not more than $50 000</w:t>
            </w:r>
          </w:p>
        </w:tc>
        <w:tc>
          <w:tcPr>
            <w:tcW w:w="992" w:type="dxa"/>
            <w:vAlign w:val="bottom"/>
          </w:tcPr>
          <w:p>
            <w:pPr>
              <w:pStyle w:val="yTableNAm"/>
              <w:jc w:val="right"/>
            </w:pPr>
            <w:r>
              <w:t>132.00</w:t>
            </w:r>
          </w:p>
        </w:tc>
      </w:tr>
      <w:tr>
        <w:tc>
          <w:tcPr>
            <w:tcW w:w="709" w:type="dxa"/>
          </w:tcPr>
          <w:p>
            <w:pPr>
              <w:pStyle w:val="yTableNAm"/>
            </w:pPr>
          </w:p>
        </w:tc>
        <w:tc>
          <w:tcPr>
            <w:tcW w:w="5245" w:type="dxa"/>
          </w:tcPr>
          <w:p>
            <w:pPr>
              <w:pStyle w:val="yTableNAm"/>
              <w:tabs>
                <w:tab w:val="clear" w:pos="567"/>
                <w:tab w:val="right" w:pos="878"/>
              </w:tabs>
              <w:ind w:left="1162" w:hanging="1128"/>
            </w:pPr>
            <w:r>
              <w:tab/>
              <w:t>(iii)</w:t>
            </w:r>
            <w:r>
              <w:tab/>
              <w:t>more than $50 000 but not more than $100 000</w:t>
            </w:r>
          </w:p>
        </w:tc>
        <w:tc>
          <w:tcPr>
            <w:tcW w:w="992" w:type="dxa"/>
            <w:vAlign w:val="bottom"/>
          </w:tcPr>
          <w:p>
            <w:pPr>
              <w:pStyle w:val="yTableNAm"/>
              <w:jc w:val="right"/>
            </w:pPr>
            <w:r>
              <w:t>255.50</w:t>
            </w:r>
          </w:p>
        </w:tc>
      </w:tr>
      <w:tr>
        <w:tc>
          <w:tcPr>
            <w:tcW w:w="709" w:type="dxa"/>
          </w:tcPr>
          <w:p>
            <w:pPr>
              <w:pStyle w:val="yTableNAm"/>
            </w:pPr>
          </w:p>
        </w:tc>
        <w:tc>
          <w:tcPr>
            <w:tcW w:w="5245" w:type="dxa"/>
          </w:tcPr>
          <w:p>
            <w:pPr>
              <w:pStyle w:val="yTableNAm"/>
              <w:tabs>
                <w:tab w:val="clear" w:pos="567"/>
                <w:tab w:val="right" w:pos="878"/>
              </w:tabs>
              <w:ind w:left="1162" w:hanging="1128"/>
            </w:pPr>
            <w:r>
              <w:tab/>
              <w:t>(iv)</w:t>
            </w:r>
            <w:r>
              <w:tab/>
              <w:t>more than $100 000 but not more than $200 000</w:t>
            </w:r>
          </w:p>
        </w:tc>
        <w:tc>
          <w:tcPr>
            <w:tcW w:w="992" w:type="dxa"/>
            <w:vAlign w:val="bottom"/>
          </w:tcPr>
          <w:p>
            <w:pPr>
              <w:pStyle w:val="yTableNAm"/>
              <w:jc w:val="right"/>
            </w:pPr>
            <w:r>
              <w:t>488.50</w:t>
            </w:r>
          </w:p>
        </w:tc>
      </w:tr>
      <w:tr>
        <w:tc>
          <w:tcPr>
            <w:tcW w:w="709" w:type="dxa"/>
          </w:tcPr>
          <w:p>
            <w:pPr>
              <w:pStyle w:val="yTableNAm"/>
            </w:pPr>
          </w:p>
        </w:tc>
        <w:tc>
          <w:tcPr>
            <w:tcW w:w="5245" w:type="dxa"/>
          </w:tcPr>
          <w:p>
            <w:pPr>
              <w:pStyle w:val="yTableNAm"/>
              <w:tabs>
                <w:tab w:val="clear" w:pos="567"/>
                <w:tab w:val="right" w:pos="878"/>
              </w:tabs>
              <w:ind w:left="1162" w:hanging="1128"/>
            </w:pPr>
            <w:r>
              <w:tab/>
              <w:t>(v)</w:t>
            </w:r>
            <w:r>
              <w:tab/>
              <w:t>more than $200 000</w:t>
            </w:r>
          </w:p>
        </w:tc>
        <w:tc>
          <w:tcPr>
            <w:tcW w:w="992" w:type="dxa"/>
            <w:vAlign w:val="bottom"/>
          </w:tcPr>
          <w:p>
            <w:pPr>
              <w:pStyle w:val="yTableNAm"/>
              <w:jc w:val="right"/>
            </w:pPr>
            <w:r>
              <w:t>721.00</w:t>
            </w:r>
          </w:p>
        </w:tc>
      </w:tr>
      <w:tr>
        <w:tc>
          <w:tcPr>
            <w:tcW w:w="709" w:type="dxa"/>
          </w:tcPr>
          <w:p>
            <w:pPr>
              <w:pStyle w:val="yTableNAm"/>
            </w:pPr>
          </w:p>
        </w:tc>
        <w:tc>
          <w:tcPr>
            <w:tcW w:w="5245" w:type="dxa"/>
          </w:tcPr>
          <w:p>
            <w:pPr>
              <w:pStyle w:val="yTableNAm"/>
              <w:ind w:left="567" w:hanging="567"/>
            </w:pPr>
            <w:r>
              <w:t>(e)</w:t>
            </w:r>
            <w:r>
              <w:tab/>
              <w:t>a standard lottery of a kind generally known or described as a Calcutta</w:t>
            </w:r>
          </w:p>
        </w:tc>
        <w:tc>
          <w:tcPr>
            <w:tcW w:w="992" w:type="dxa"/>
            <w:vAlign w:val="bottom"/>
          </w:tcPr>
          <w:p>
            <w:pPr>
              <w:pStyle w:val="yTableNAm"/>
              <w:jc w:val="right"/>
            </w:pPr>
            <w:r>
              <w:t>175.00</w:t>
            </w:r>
          </w:p>
        </w:tc>
      </w:tr>
      <w:tr>
        <w:tc>
          <w:tcPr>
            <w:tcW w:w="709" w:type="dxa"/>
          </w:tcPr>
          <w:p>
            <w:pPr>
              <w:pStyle w:val="yTableNAm"/>
            </w:pPr>
          </w:p>
        </w:tc>
        <w:tc>
          <w:tcPr>
            <w:tcW w:w="5245" w:type="dxa"/>
          </w:tcPr>
          <w:p>
            <w:pPr>
              <w:pStyle w:val="yTableNAm"/>
              <w:ind w:left="567" w:hanging="567"/>
            </w:pPr>
            <w:r>
              <w:t>(f)</w:t>
            </w:r>
            <w:r>
              <w:tab/>
              <w:t xml:space="preserve">a continuing lottery </w:t>
            </w:r>
          </w:p>
        </w:tc>
        <w:tc>
          <w:tcPr>
            <w:tcW w:w="992" w:type="dxa"/>
            <w:vAlign w:val="bottom"/>
          </w:tcPr>
          <w:p>
            <w:pPr>
              <w:pStyle w:val="yTableNAm"/>
              <w:jc w:val="right"/>
            </w:pPr>
            <w:r>
              <w:t>30.50</w:t>
            </w:r>
          </w:p>
        </w:tc>
      </w:tr>
      <w:tr>
        <w:tc>
          <w:tcPr>
            <w:tcW w:w="709" w:type="dxa"/>
          </w:tcPr>
          <w:p>
            <w:pPr>
              <w:pStyle w:val="yTableNAm"/>
              <w:keepNext/>
            </w:pPr>
          </w:p>
        </w:tc>
        <w:tc>
          <w:tcPr>
            <w:tcW w:w="5245" w:type="dxa"/>
          </w:tcPr>
          <w:p>
            <w:pPr>
              <w:pStyle w:val="yTableNAm"/>
              <w:ind w:left="567" w:hanging="567"/>
            </w:pPr>
            <w:r>
              <w:t>(g)</w:t>
            </w:r>
            <w:r>
              <w:tab/>
              <w:t xml:space="preserve">gaming (per day authorised) — </w:t>
            </w:r>
          </w:p>
        </w:tc>
        <w:tc>
          <w:tcPr>
            <w:tcW w:w="992" w:type="dxa"/>
            <w:vAlign w:val="bottom"/>
          </w:tcPr>
          <w:p>
            <w:pPr>
              <w:pStyle w:val="yTableNAm"/>
              <w:keepNext/>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1</w:t>
            </w:r>
            <w:r>
              <w:noBreakHyphen/>
              <w:t>5 tables</w:t>
            </w:r>
          </w:p>
        </w:tc>
        <w:tc>
          <w:tcPr>
            <w:tcW w:w="992" w:type="dxa"/>
            <w:vAlign w:val="bottom"/>
          </w:tcPr>
          <w:p>
            <w:pPr>
              <w:pStyle w:val="yTableNAm"/>
              <w:jc w:val="right"/>
            </w:pPr>
            <w:r>
              <w:t>210.00</w:t>
            </w:r>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6</w:t>
            </w:r>
            <w:r>
              <w:noBreakHyphen/>
              <w:t>10 tables</w:t>
            </w:r>
          </w:p>
        </w:tc>
        <w:tc>
          <w:tcPr>
            <w:tcW w:w="992" w:type="dxa"/>
            <w:vAlign w:val="bottom"/>
          </w:tcPr>
          <w:p>
            <w:pPr>
              <w:pStyle w:val="yTableNAm"/>
              <w:jc w:val="right"/>
            </w:pPr>
            <w:r>
              <w:t>387.00</w:t>
            </w:r>
          </w:p>
        </w:tc>
      </w:tr>
      <w:tr>
        <w:tc>
          <w:tcPr>
            <w:tcW w:w="709" w:type="dxa"/>
          </w:tcPr>
          <w:p>
            <w:pPr>
              <w:pStyle w:val="yTableNAm"/>
            </w:pPr>
          </w:p>
        </w:tc>
        <w:tc>
          <w:tcPr>
            <w:tcW w:w="5245" w:type="dxa"/>
          </w:tcPr>
          <w:p>
            <w:pPr>
              <w:pStyle w:val="yTableNAm"/>
              <w:tabs>
                <w:tab w:val="clear" w:pos="567"/>
                <w:tab w:val="right" w:pos="878"/>
              </w:tabs>
              <w:ind w:left="1162" w:hanging="1128"/>
            </w:pPr>
            <w:r>
              <w:tab/>
              <w:t>(iii)</w:t>
            </w:r>
            <w:r>
              <w:tab/>
              <w:t>over 10 tables</w:t>
            </w:r>
          </w:p>
        </w:tc>
        <w:tc>
          <w:tcPr>
            <w:tcW w:w="992" w:type="dxa"/>
            <w:vAlign w:val="bottom"/>
          </w:tcPr>
          <w:p>
            <w:pPr>
              <w:pStyle w:val="yTableNAm"/>
              <w:jc w:val="right"/>
            </w:pPr>
            <w:r>
              <w:t>483.50</w:t>
            </w:r>
          </w:p>
        </w:tc>
      </w:tr>
      <w:tr>
        <w:tc>
          <w:tcPr>
            <w:tcW w:w="709" w:type="dxa"/>
          </w:tcPr>
          <w:p>
            <w:pPr>
              <w:pStyle w:val="yTableNAm"/>
            </w:pPr>
          </w:p>
        </w:tc>
        <w:tc>
          <w:tcPr>
            <w:tcW w:w="5245" w:type="dxa"/>
          </w:tcPr>
          <w:p>
            <w:pPr>
              <w:pStyle w:val="yTableNAm"/>
              <w:ind w:left="567" w:hanging="567"/>
            </w:pPr>
            <w:r>
              <w:t>(h)</w:t>
            </w:r>
            <w:r>
              <w:tab/>
              <w:t>two</w:t>
            </w:r>
            <w:r>
              <w:noBreakHyphen/>
              <w:t xml:space="preserve">up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by a country race club, per day authorised</w:t>
            </w:r>
          </w:p>
        </w:tc>
        <w:tc>
          <w:tcPr>
            <w:tcW w:w="992" w:type="dxa"/>
            <w:vAlign w:val="bottom"/>
          </w:tcPr>
          <w:p>
            <w:pPr>
              <w:pStyle w:val="yTableNAm"/>
              <w:jc w:val="right"/>
            </w:pPr>
            <w:r>
              <w:t>139.00</w:t>
            </w:r>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otherwise, per day authorised</w:t>
            </w:r>
          </w:p>
        </w:tc>
        <w:tc>
          <w:tcPr>
            <w:tcW w:w="992" w:type="dxa"/>
            <w:vAlign w:val="bottom"/>
          </w:tcPr>
          <w:p>
            <w:pPr>
              <w:pStyle w:val="yTableNAm"/>
              <w:jc w:val="right"/>
            </w:pPr>
            <w:r>
              <w:t>210.00</w:t>
            </w:r>
          </w:p>
        </w:tc>
      </w:tr>
      <w:tr>
        <w:tc>
          <w:tcPr>
            <w:tcW w:w="709" w:type="dxa"/>
          </w:tcPr>
          <w:p>
            <w:pPr>
              <w:pStyle w:val="yTableNAm"/>
            </w:pPr>
            <w:r>
              <w:t>7.</w:t>
            </w:r>
          </w:p>
        </w:tc>
        <w:tc>
          <w:tcPr>
            <w:tcW w:w="5245" w:type="dxa"/>
          </w:tcPr>
          <w:p>
            <w:pPr>
              <w:pStyle w:val="yTableNAm"/>
            </w:pPr>
            <w:r>
              <w:t xml:space="preserve">Application for approval of premises for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ind w:left="567" w:hanging="567"/>
            </w:pPr>
            <w:r>
              <w:t>(a)</w:t>
            </w:r>
            <w:r>
              <w:tab/>
              <w:t>a specific function</w:t>
            </w:r>
          </w:p>
        </w:tc>
        <w:tc>
          <w:tcPr>
            <w:tcW w:w="992" w:type="dxa"/>
            <w:vAlign w:val="bottom"/>
          </w:tcPr>
          <w:p>
            <w:pPr>
              <w:pStyle w:val="yTableNAm"/>
              <w:jc w:val="right"/>
            </w:pPr>
            <w:r>
              <w:t>25.00</w:t>
            </w:r>
          </w:p>
        </w:tc>
      </w:tr>
      <w:tr>
        <w:tc>
          <w:tcPr>
            <w:tcW w:w="709" w:type="dxa"/>
          </w:tcPr>
          <w:p>
            <w:pPr>
              <w:pStyle w:val="yTableNAm"/>
            </w:pPr>
          </w:p>
        </w:tc>
        <w:tc>
          <w:tcPr>
            <w:tcW w:w="5245" w:type="dxa"/>
          </w:tcPr>
          <w:p>
            <w:pPr>
              <w:pStyle w:val="yTableNAm"/>
              <w:ind w:left="567" w:hanging="567"/>
            </w:pPr>
            <w:r>
              <w:t>(b)</w:t>
            </w:r>
            <w:r>
              <w:tab/>
              <w:t>functions from time to time</w:t>
            </w:r>
          </w:p>
        </w:tc>
        <w:tc>
          <w:tcPr>
            <w:tcW w:w="992" w:type="dxa"/>
            <w:vAlign w:val="bottom"/>
          </w:tcPr>
          <w:p>
            <w:pPr>
              <w:pStyle w:val="yTableNAm"/>
              <w:jc w:val="right"/>
            </w:pPr>
            <w:r>
              <w:t>85.50</w:t>
            </w:r>
          </w:p>
        </w:tc>
      </w:tr>
      <w:tr>
        <w:tc>
          <w:tcPr>
            <w:tcW w:w="709" w:type="dxa"/>
          </w:tcPr>
          <w:p>
            <w:pPr>
              <w:pStyle w:val="yTableNAm"/>
            </w:pPr>
          </w:p>
        </w:tc>
        <w:tc>
          <w:tcPr>
            <w:tcW w:w="5245" w:type="dxa"/>
          </w:tcPr>
          <w:p>
            <w:pPr>
              <w:pStyle w:val="yTableNAm"/>
              <w:ind w:left="567" w:hanging="567"/>
            </w:pPr>
            <w:r>
              <w:t>(c)</w:t>
            </w:r>
            <w:r>
              <w:tab/>
              <w:t>permit of a continuing nature</w:t>
            </w:r>
          </w:p>
        </w:tc>
        <w:tc>
          <w:tcPr>
            <w:tcW w:w="992" w:type="dxa"/>
            <w:vAlign w:val="bottom"/>
          </w:tcPr>
          <w:p>
            <w:pPr>
              <w:pStyle w:val="yTableNAm"/>
              <w:jc w:val="right"/>
            </w:pPr>
            <w:r>
              <w:t>85.50</w:t>
            </w:r>
          </w:p>
        </w:tc>
      </w:tr>
      <w:tr>
        <w:tc>
          <w:tcPr>
            <w:tcW w:w="709" w:type="dxa"/>
          </w:tcPr>
          <w:p>
            <w:pPr>
              <w:pStyle w:val="yTableNAm"/>
            </w:pPr>
            <w:r>
              <w:t>8.</w:t>
            </w:r>
          </w:p>
        </w:tc>
        <w:tc>
          <w:tcPr>
            <w:tcW w:w="5245" w:type="dxa"/>
          </w:tcPr>
          <w:p>
            <w:pPr>
              <w:pStyle w:val="yTableNAm"/>
            </w:pPr>
            <w:r>
              <w:t xml:space="preserve">Issue of a certificate under section 92 relating to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ind w:left="567" w:hanging="567"/>
            </w:pPr>
            <w:r>
              <w:t>(a)</w:t>
            </w:r>
            <w:r>
              <w:tab/>
              <w:t>multiple bingo</w:t>
            </w:r>
          </w:p>
        </w:tc>
        <w:tc>
          <w:tcPr>
            <w:tcW w:w="992" w:type="dxa"/>
            <w:vAlign w:val="bottom"/>
          </w:tcPr>
          <w:p>
            <w:pPr>
              <w:pStyle w:val="yTableNAm"/>
              <w:jc w:val="right"/>
            </w:pPr>
            <w:r>
              <w:t>175.00</w:t>
            </w:r>
          </w:p>
        </w:tc>
      </w:tr>
      <w:tr>
        <w:tc>
          <w:tcPr>
            <w:tcW w:w="709" w:type="dxa"/>
          </w:tcPr>
          <w:p>
            <w:pPr>
              <w:pStyle w:val="yTableNAm"/>
            </w:pPr>
          </w:p>
        </w:tc>
        <w:tc>
          <w:tcPr>
            <w:tcW w:w="5245" w:type="dxa"/>
          </w:tcPr>
          <w:p>
            <w:pPr>
              <w:pStyle w:val="yTableNAm"/>
              <w:ind w:left="567" w:hanging="567"/>
            </w:pPr>
            <w:r>
              <w:t>(b)</w:t>
            </w:r>
            <w:r>
              <w:tab/>
              <w:t>simultaneous bingo</w:t>
            </w:r>
          </w:p>
        </w:tc>
        <w:tc>
          <w:tcPr>
            <w:tcW w:w="992" w:type="dxa"/>
            <w:vAlign w:val="bottom"/>
          </w:tcPr>
          <w:p>
            <w:pPr>
              <w:pStyle w:val="yTableNAm"/>
              <w:jc w:val="right"/>
            </w:pPr>
            <w:r>
              <w:t>175.00</w:t>
            </w:r>
          </w:p>
        </w:tc>
      </w:tr>
      <w:tr>
        <w:tc>
          <w:tcPr>
            <w:tcW w:w="709" w:type="dxa"/>
          </w:tcPr>
          <w:p>
            <w:pPr>
              <w:pStyle w:val="yTableNAm"/>
            </w:pPr>
          </w:p>
        </w:tc>
        <w:tc>
          <w:tcPr>
            <w:tcW w:w="5245" w:type="dxa"/>
          </w:tcPr>
          <w:p>
            <w:pPr>
              <w:pStyle w:val="yTableNAm"/>
              <w:ind w:left="567" w:hanging="567"/>
            </w:pPr>
            <w:r>
              <w:t>(c)</w:t>
            </w:r>
            <w:r>
              <w:tab/>
              <w:t>assisting in the conduct of bingo, for hire or reward</w:t>
            </w:r>
          </w:p>
        </w:tc>
        <w:tc>
          <w:tcPr>
            <w:tcW w:w="992" w:type="dxa"/>
            <w:vAlign w:val="bottom"/>
          </w:tcPr>
          <w:p>
            <w:pPr>
              <w:pStyle w:val="yTableNAm"/>
              <w:jc w:val="right"/>
            </w:pPr>
            <w:r>
              <w:t>175.00</w:t>
            </w:r>
          </w:p>
        </w:tc>
      </w:tr>
      <w:tr>
        <w:tc>
          <w:tcPr>
            <w:tcW w:w="709" w:type="dxa"/>
          </w:tcPr>
          <w:p>
            <w:pPr>
              <w:pStyle w:val="yTableNAm"/>
            </w:pPr>
            <w:r>
              <w:t>9.</w:t>
            </w:r>
          </w:p>
        </w:tc>
        <w:tc>
          <w:tcPr>
            <w:tcW w:w="5245" w:type="dxa"/>
          </w:tcPr>
          <w:p>
            <w:pPr>
              <w:pStyle w:val="yTableNAm"/>
            </w:pPr>
            <w:r>
              <w:t>Issue of an approved operator’s certificate</w:t>
            </w:r>
          </w:p>
        </w:tc>
        <w:tc>
          <w:tcPr>
            <w:tcW w:w="992" w:type="dxa"/>
            <w:vAlign w:val="bottom"/>
          </w:tcPr>
          <w:p>
            <w:pPr>
              <w:pStyle w:val="yTableNAm"/>
              <w:jc w:val="right"/>
            </w:pPr>
            <w:r>
              <w:t>289.50</w:t>
            </w:r>
          </w:p>
        </w:tc>
      </w:tr>
      <w:tr>
        <w:tc>
          <w:tcPr>
            <w:tcW w:w="709" w:type="dxa"/>
          </w:tcPr>
          <w:p>
            <w:pPr>
              <w:pStyle w:val="yTableNAm"/>
            </w:pPr>
            <w:r>
              <w:t>10.</w:t>
            </w:r>
          </w:p>
        </w:tc>
        <w:tc>
          <w:tcPr>
            <w:tcW w:w="5245" w:type="dxa"/>
          </w:tcPr>
          <w:p>
            <w:pPr>
              <w:pStyle w:val="yTableNAm"/>
            </w:pPr>
            <w:r>
              <w:t>Issue of a certificate under section 88(5)</w:t>
            </w:r>
          </w:p>
        </w:tc>
        <w:tc>
          <w:tcPr>
            <w:tcW w:w="992" w:type="dxa"/>
            <w:vAlign w:val="bottom"/>
          </w:tcPr>
          <w:p>
            <w:pPr>
              <w:pStyle w:val="yTableNAm"/>
              <w:jc w:val="right"/>
            </w:pPr>
            <w:r>
              <w:t>365.50</w:t>
            </w:r>
          </w:p>
        </w:tc>
      </w:tr>
      <w:tr>
        <w:tc>
          <w:tcPr>
            <w:tcW w:w="709" w:type="dxa"/>
          </w:tcPr>
          <w:p>
            <w:pPr>
              <w:pStyle w:val="yTableNAm"/>
            </w:pPr>
            <w:r>
              <w:t>11.</w:t>
            </w:r>
          </w:p>
        </w:tc>
        <w:tc>
          <w:tcPr>
            <w:tcW w:w="5245" w:type="dxa"/>
          </w:tcPr>
          <w:p>
            <w:pPr>
              <w:pStyle w:val="yTableNAm"/>
            </w:pPr>
            <w:r>
              <w:t>Application to be a licensed supplier</w:t>
            </w:r>
          </w:p>
        </w:tc>
        <w:tc>
          <w:tcPr>
            <w:tcW w:w="992" w:type="dxa"/>
            <w:vAlign w:val="bottom"/>
          </w:tcPr>
          <w:p>
            <w:pPr>
              <w:pStyle w:val="yTableNAm"/>
              <w:jc w:val="right"/>
            </w:pPr>
            <w:r>
              <w:t>354.00</w:t>
            </w:r>
          </w:p>
        </w:tc>
      </w:tr>
      <w:tr>
        <w:tc>
          <w:tcPr>
            <w:tcW w:w="709" w:type="dxa"/>
          </w:tcPr>
          <w:p>
            <w:pPr>
              <w:pStyle w:val="yTableNAm"/>
            </w:pPr>
            <w:r>
              <w:t>12.</w:t>
            </w:r>
          </w:p>
        </w:tc>
        <w:tc>
          <w:tcPr>
            <w:tcW w:w="5245" w:type="dxa"/>
          </w:tcPr>
          <w:p>
            <w:pPr>
              <w:pStyle w:val="yTableNAm"/>
            </w:pPr>
            <w:r>
              <w:t>Approval to operate, or remove money from, gaming equipment</w:t>
            </w:r>
          </w:p>
        </w:tc>
        <w:tc>
          <w:tcPr>
            <w:tcW w:w="992" w:type="dxa"/>
            <w:vAlign w:val="bottom"/>
          </w:tcPr>
          <w:p>
            <w:pPr>
              <w:pStyle w:val="yTableNAm"/>
              <w:jc w:val="right"/>
            </w:pPr>
            <w:r>
              <w:t>30.50</w:t>
            </w:r>
          </w:p>
        </w:tc>
      </w:tr>
    </w:tbl>
    <w:p>
      <w:pPr>
        <w:pStyle w:val="yFootnotesection"/>
        <w:spacing w:before="80"/>
      </w:pPr>
      <w:r>
        <w:tab/>
        <w:t>[Schedule 1 inserted: SL 2024/213 r. 10.]</w:t>
      </w:r>
    </w:p>
    <w:p>
      <w:pPr>
        <w:pStyle w:val="yScheduleHeading"/>
      </w:pPr>
      <w:bookmarkStart w:id="174" w:name="_Toc213336901"/>
      <w:bookmarkStart w:id="175" w:name="_Toc213337603"/>
      <w:bookmarkStart w:id="176" w:name="_Toc213339582"/>
      <w:r>
        <w:rPr>
          <w:rStyle w:val="CharSchNo"/>
        </w:rPr>
        <w:lastRenderedPageBreak/>
        <w:t>Schedule 2</w:t>
      </w:r>
      <w:r>
        <w:t> —</w:t>
      </w:r>
      <w:r>
        <w:rPr>
          <w:rStyle w:val="CharSchText"/>
        </w:rPr>
        <w:t> Prescribed offences and modified penalties</w:t>
      </w:r>
      <w:bookmarkEnd w:id="174"/>
      <w:bookmarkEnd w:id="175"/>
      <w:bookmarkEnd w:id="176"/>
    </w:p>
    <w:p>
      <w:pPr>
        <w:pStyle w:val="yShoulderClause"/>
      </w:pPr>
      <w:r>
        <w:t>[r. 5A]</w:t>
      </w:r>
    </w:p>
    <w:p>
      <w:pPr>
        <w:pStyle w:val="yFootnoteheading"/>
      </w:pPr>
      <w:r>
        <w:tab/>
        <w:t>[Heading inserted: SL 2025/35 r. 28.]</w:t>
      </w:r>
    </w:p>
    <w:p>
      <w:pPr>
        <w:pStyle w:val="yHeading3"/>
      </w:pPr>
      <w:bookmarkStart w:id="177" w:name="_Toc213336902"/>
      <w:bookmarkStart w:id="178" w:name="_Toc213337604"/>
      <w:bookmarkStart w:id="179" w:name="_Toc213339583"/>
      <w:r>
        <w:rPr>
          <w:rStyle w:val="CharSDivNo"/>
        </w:rPr>
        <w:t>Division 1</w:t>
      </w:r>
      <w:r>
        <w:t> —</w:t>
      </w:r>
      <w:r>
        <w:rPr>
          <w:rStyle w:val="CharDivText"/>
        </w:rPr>
        <w:t> </w:t>
      </w:r>
      <w:r>
        <w:rPr>
          <w:rStyle w:val="CharSDivText"/>
        </w:rPr>
        <w:t>Offences under Act</w:t>
      </w:r>
      <w:bookmarkEnd w:id="177"/>
      <w:bookmarkEnd w:id="178"/>
      <w:bookmarkEnd w:id="179"/>
    </w:p>
    <w:p>
      <w:pPr>
        <w:pStyle w:val="yFootnoteheading"/>
        <w:spacing w:after="60"/>
      </w:pPr>
      <w:r>
        <w:tab/>
        <w:t>[Heading inserted: SL 2025/35 r. 28.]</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3685"/>
        <w:gridCol w:w="1905"/>
      </w:tblGrid>
      <w:tr>
        <w:trPr>
          <w:cantSplit/>
          <w:tblHeader/>
        </w:trPr>
        <w:tc>
          <w:tcPr>
            <w:tcW w:w="1072" w:type="dxa"/>
            <w:noWrap/>
          </w:tcPr>
          <w:p>
            <w:pPr>
              <w:pStyle w:val="yTableNAm"/>
              <w:ind w:firstLine="140"/>
              <w:rPr>
                <w:b/>
              </w:rPr>
            </w:pPr>
            <w:r>
              <w:rPr>
                <w:b/>
              </w:rPr>
              <w:t>Item</w:t>
            </w:r>
          </w:p>
        </w:tc>
        <w:tc>
          <w:tcPr>
            <w:tcW w:w="3685" w:type="dxa"/>
          </w:tcPr>
          <w:p>
            <w:pPr>
              <w:pStyle w:val="yTableNAm"/>
              <w:jc w:val="center"/>
              <w:rPr>
                <w:b/>
              </w:rPr>
            </w:pPr>
            <w:r>
              <w:rPr>
                <w:b/>
              </w:rPr>
              <w:t>Section</w:t>
            </w:r>
          </w:p>
        </w:tc>
        <w:tc>
          <w:tcPr>
            <w:tcW w:w="1905" w:type="dxa"/>
            <w:noWrap/>
          </w:tcPr>
          <w:p>
            <w:pPr>
              <w:pStyle w:val="yTableNAm"/>
              <w:jc w:val="center"/>
              <w:rPr>
                <w:b/>
              </w:rPr>
            </w:pPr>
            <w:r>
              <w:rPr>
                <w:b/>
              </w:rPr>
              <w:t>Modified penalty</w:t>
            </w:r>
          </w:p>
        </w:tc>
      </w:tr>
      <w:tr>
        <w:trPr>
          <w:cantSplit/>
        </w:trPr>
        <w:tc>
          <w:tcPr>
            <w:tcW w:w="1072" w:type="dxa"/>
            <w:noWrap/>
          </w:tcPr>
          <w:p>
            <w:pPr>
              <w:pStyle w:val="yTableNAm"/>
              <w:ind w:firstLine="140"/>
              <w:rPr>
                <w:bCs/>
              </w:rPr>
            </w:pPr>
            <w:r>
              <w:rPr>
                <w:bCs/>
              </w:rPr>
              <w:t>1.</w:t>
            </w:r>
          </w:p>
        </w:tc>
        <w:tc>
          <w:tcPr>
            <w:tcW w:w="3685" w:type="dxa"/>
            <w:noWrap/>
          </w:tcPr>
          <w:p>
            <w:pPr>
              <w:pStyle w:val="yTableNAm"/>
            </w:pPr>
            <w:r>
              <w:t>s. 22(5)</w:t>
            </w:r>
          </w:p>
        </w:tc>
        <w:tc>
          <w:tcPr>
            <w:tcW w:w="1905" w:type="dxa"/>
            <w:noWrap/>
            <w:vAlign w:val="bottom"/>
          </w:tcPr>
          <w:p>
            <w:pPr>
              <w:pStyle w:val="yTableNAm"/>
              <w:tabs>
                <w:tab w:val="clear" w:pos="567"/>
                <w:tab w:val="left" w:pos="590"/>
              </w:tabs>
              <w:ind w:right="283"/>
              <w:jc w:val="right"/>
              <w:rPr>
                <w:rStyle w:val="DraftersNotes"/>
                <w:b w:val="0"/>
                <w:i w:val="0"/>
              </w:rPr>
            </w:pPr>
            <w:r>
              <w:t>$1 000</w:t>
            </w:r>
          </w:p>
        </w:tc>
      </w:tr>
      <w:tr>
        <w:trPr>
          <w:cantSplit/>
        </w:trPr>
        <w:tc>
          <w:tcPr>
            <w:tcW w:w="1072" w:type="dxa"/>
            <w:noWrap/>
          </w:tcPr>
          <w:p>
            <w:pPr>
              <w:pStyle w:val="yTableNAm"/>
              <w:ind w:firstLine="140"/>
              <w:rPr>
                <w:bCs/>
              </w:rPr>
            </w:pPr>
            <w:r>
              <w:rPr>
                <w:bCs/>
              </w:rPr>
              <w:t>2.</w:t>
            </w:r>
          </w:p>
        </w:tc>
        <w:tc>
          <w:tcPr>
            <w:tcW w:w="3685" w:type="dxa"/>
            <w:noWrap/>
          </w:tcPr>
          <w:p>
            <w:pPr>
              <w:pStyle w:val="yTableNAm"/>
            </w:pPr>
            <w:r>
              <w:t>s. 41(6)</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3.</w:t>
            </w:r>
          </w:p>
        </w:tc>
        <w:tc>
          <w:tcPr>
            <w:tcW w:w="3685" w:type="dxa"/>
            <w:noWrap/>
          </w:tcPr>
          <w:p>
            <w:pPr>
              <w:pStyle w:val="yTableNAm"/>
            </w:pPr>
            <w:r>
              <w:t>s. 42(5)</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4.</w:t>
            </w:r>
          </w:p>
        </w:tc>
        <w:tc>
          <w:tcPr>
            <w:tcW w:w="3685" w:type="dxa"/>
            <w:noWrap/>
          </w:tcPr>
          <w:p>
            <w:pPr>
              <w:pStyle w:val="yTableNAm"/>
            </w:pPr>
            <w:r>
              <w:t>s. 44(1) in the circumstances that the money or the value of the prize, property, benefit or detriment the subject of the alleged offence is no more than $500</w:t>
            </w:r>
          </w:p>
        </w:tc>
        <w:tc>
          <w:tcPr>
            <w:tcW w:w="1905" w:type="dxa"/>
            <w:noWrap/>
            <w:vAlign w:val="bottom"/>
          </w:tcPr>
          <w:p>
            <w:pPr>
              <w:pStyle w:val="yTableNAm"/>
              <w:tabs>
                <w:tab w:val="clear" w:pos="567"/>
                <w:tab w:val="left" w:pos="590"/>
              </w:tabs>
              <w:ind w:right="283"/>
              <w:jc w:val="right"/>
            </w:pPr>
            <w:r>
              <w:t>$1 000</w:t>
            </w:r>
          </w:p>
        </w:tc>
      </w:tr>
      <w:tr>
        <w:trPr>
          <w:cantSplit/>
        </w:trPr>
        <w:tc>
          <w:tcPr>
            <w:tcW w:w="1072" w:type="dxa"/>
            <w:noWrap/>
          </w:tcPr>
          <w:p>
            <w:pPr>
              <w:pStyle w:val="yTableNAm"/>
              <w:ind w:firstLine="140"/>
              <w:rPr>
                <w:bCs/>
              </w:rPr>
            </w:pPr>
            <w:r>
              <w:rPr>
                <w:bCs/>
              </w:rPr>
              <w:t>5.</w:t>
            </w:r>
          </w:p>
        </w:tc>
        <w:tc>
          <w:tcPr>
            <w:tcW w:w="3685" w:type="dxa"/>
            <w:noWrap/>
          </w:tcPr>
          <w:p>
            <w:pPr>
              <w:pStyle w:val="yTableNAm"/>
            </w:pPr>
            <w:r>
              <w:t>s. 45(4)</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6.</w:t>
            </w:r>
          </w:p>
        </w:tc>
        <w:tc>
          <w:tcPr>
            <w:tcW w:w="3685" w:type="dxa"/>
            <w:noWrap/>
          </w:tcPr>
          <w:p>
            <w:pPr>
              <w:pStyle w:val="yTableNAm"/>
              <w:rPr>
                <w:rStyle w:val="DraftersNotes"/>
                <w:b w:val="0"/>
                <w:i w:val="0"/>
              </w:rPr>
            </w:pPr>
            <w:r>
              <w:t>s. 57(4)</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7.</w:t>
            </w:r>
          </w:p>
        </w:tc>
        <w:tc>
          <w:tcPr>
            <w:tcW w:w="3685" w:type="dxa"/>
            <w:noWrap/>
          </w:tcPr>
          <w:p>
            <w:pPr>
              <w:pStyle w:val="yTableNAm"/>
            </w:pPr>
            <w:r>
              <w:t>s. 58(4)</w:t>
            </w:r>
          </w:p>
        </w:tc>
        <w:tc>
          <w:tcPr>
            <w:tcW w:w="1905" w:type="dxa"/>
            <w:noWrap/>
            <w:vAlign w:val="bottom"/>
          </w:tcPr>
          <w:p>
            <w:pPr>
              <w:pStyle w:val="yTableNAm"/>
              <w:tabs>
                <w:tab w:val="clear" w:pos="567"/>
                <w:tab w:val="left" w:pos="590"/>
              </w:tabs>
              <w:ind w:right="283"/>
              <w:jc w:val="right"/>
            </w:pPr>
            <w:r>
              <w:t>$1 000</w:t>
            </w:r>
          </w:p>
        </w:tc>
      </w:tr>
      <w:tr>
        <w:trPr>
          <w:cantSplit/>
        </w:trPr>
        <w:tc>
          <w:tcPr>
            <w:tcW w:w="1072" w:type="dxa"/>
            <w:noWrap/>
          </w:tcPr>
          <w:p>
            <w:pPr>
              <w:pStyle w:val="yTableNAm"/>
              <w:ind w:firstLine="140"/>
              <w:rPr>
                <w:bCs/>
              </w:rPr>
            </w:pPr>
            <w:r>
              <w:rPr>
                <w:bCs/>
              </w:rPr>
              <w:t>8.</w:t>
            </w:r>
          </w:p>
        </w:tc>
        <w:tc>
          <w:tcPr>
            <w:tcW w:w="3685" w:type="dxa"/>
            <w:noWrap/>
          </w:tcPr>
          <w:p>
            <w:pPr>
              <w:pStyle w:val="yTableNAm"/>
              <w:rPr>
                <w:rStyle w:val="DraftersNotes"/>
                <w:b w:val="0"/>
                <w:i w:val="0"/>
              </w:rPr>
            </w:pPr>
            <w:r>
              <w:t>s. 86</w:t>
            </w:r>
          </w:p>
        </w:tc>
        <w:tc>
          <w:tcPr>
            <w:tcW w:w="1905" w:type="dxa"/>
            <w:noWrap/>
            <w:vAlign w:val="bottom"/>
          </w:tcPr>
          <w:p>
            <w:pPr>
              <w:pStyle w:val="yTableNAm"/>
              <w:tabs>
                <w:tab w:val="clear" w:pos="567"/>
                <w:tab w:val="left" w:pos="590"/>
              </w:tabs>
              <w:ind w:right="283"/>
              <w:jc w:val="right"/>
            </w:pPr>
            <w:r>
              <w:t>$200</w:t>
            </w:r>
          </w:p>
        </w:tc>
      </w:tr>
      <w:tr>
        <w:trPr>
          <w:cantSplit/>
        </w:trPr>
        <w:tc>
          <w:tcPr>
            <w:tcW w:w="1072" w:type="dxa"/>
            <w:noWrap/>
          </w:tcPr>
          <w:p>
            <w:pPr>
              <w:pStyle w:val="yTableNAm"/>
              <w:ind w:firstLine="140"/>
              <w:rPr>
                <w:bCs/>
              </w:rPr>
            </w:pPr>
            <w:r>
              <w:rPr>
                <w:bCs/>
              </w:rPr>
              <w:t>9.</w:t>
            </w:r>
          </w:p>
        </w:tc>
        <w:tc>
          <w:tcPr>
            <w:tcW w:w="3685" w:type="dxa"/>
            <w:noWrap/>
          </w:tcPr>
          <w:p>
            <w:pPr>
              <w:pStyle w:val="yTableNAm"/>
            </w:pPr>
            <w:r>
              <w:t>s. 91(1)</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10.</w:t>
            </w:r>
          </w:p>
        </w:tc>
        <w:tc>
          <w:tcPr>
            <w:tcW w:w="3685" w:type="dxa"/>
            <w:noWrap/>
          </w:tcPr>
          <w:p>
            <w:pPr>
              <w:pStyle w:val="yTableNAm"/>
              <w:rPr>
                <w:rStyle w:val="DraftersNotes"/>
                <w:b w:val="0"/>
                <w:i w:val="0"/>
              </w:rPr>
            </w:pPr>
            <w:r>
              <w:t>s. 91(4)</w:t>
            </w:r>
          </w:p>
        </w:tc>
        <w:tc>
          <w:tcPr>
            <w:tcW w:w="1905" w:type="dxa"/>
            <w:noWrap/>
            <w:vAlign w:val="bottom"/>
          </w:tcPr>
          <w:p>
            <w:pPr>
              <w:pStyle w:val="yTableNAm"/>
              <w:tabs>
                <w:tab w:val="clear" w:pos="567"/>
                <w:tab w:val="left" w:pos="590"/>
              </w:tabs>
              <w:ind w:right="283"/>
              <w:jc w:val="right"/>
            </w:pPr>
            <w:r>
              <w:t>$750</w:t>
            </w:r>
          </w:p>
        </w:tc>
      </w:tr>
      <w:tr>
        <w:trPr>
          <w:cantSplit/>
        </w:trPr>
        <w:tc>
          <w:tcPr>
            <w:tcW w:w="1072" w:type="dxa"/>
            <w:noWrap/>
          </w:tcPr>
          <w:p>
            <w:pPr>
              <w:pStyle w:val="yTableNAm"/>
              <w:ind w:firstLine="140"/>
              <w:rPr>
                <w:bCs/>
              </w:rPr>
            </w:pPr>
            <w:r>
              <w:rPr>
                <w:bCs/>
              </w:rPr>
              <w:t>11.</w:t>
            </w:r>
          </w:p>
        </w:tc>
        <w:tc>
          <w:tcPr>
            <w:tcW w:w="3685" w:type="dxa"/>
            <w:noWrap/>
          </w:tcPr>
          <w:p>
            <w:pPr>
              <w:pStyle w:val="yTableNAm"/>
            </w:pPr>
            <w:r>
              <w:t>s. 93(a) to the extent that it applies to a contravention of s. 91</w:t>
            </w:r>
          </w:p>
        </w:tc>
        <w:tc>
          <w:tcPr>
            <w:tcW w:w="1905" w:type="dxa"/>
            <w:noWrap/>
            <w:vAlign w:val="bottom"/>
          </w:tcPr>
          <w:p>
            <w:pPr>
              <w:pStyle w:val="yTableNAm"/>
              <w:tabs>
                <w:tab w:val="clear" w:pos="567"/>
                <w:tab w:val="left" w:pos="590"/>
              </w:tabs>
              <w:ind w:right="283"/>
              <w:jc w:val="right"/>
            </w:pPr>
            <w:r>
              <w:t>$1 000</w:t>
            </w:r>
          </w:p>
        </w:tc>
      </w:tr>
      <w:tr>
        <w:trPr>
          <w:cantSplit/>
        </w:trPr>
        <w:tc>
          <w:tcPr>
            <w:tcW w:w="1072" w:type="dxa"/>
            <w:noWrap/>
          </w:tcPr>
          <w:p>
            <w:pPr>
              <w:pStyle w:val="yTableNAm"/>
              <w:ind w:firstLine="140"/>
              <w:rPr>
                <w:bCs/>
              </w:rPr>
            </w:pPr>
            <w:r>
              <w:rPr>
                <w:bCs/>
              </w:rPr>
              <w:t>12.</w:t>
            </w:r>
          </w:p>
        </w:tc>
        <w:tc>
          <w:tcPr>
            <w:tcW w:w="3685" w:type="dxa"/>
            <w:noWrap/>
          </w:tcPr>
          <w:p>
            <w:pPr>
              <w:pStyle w:val="yTableNAm"/>
            </w:pPr>
            <w:r>
              <w:t>s. 93(b) to the extent that it applies to a contravention of s. 91</w:t>
            </w:r>
          </w:p>
        </w:tc>
        <w:tc>
          <w:tcPr>
            <w:tcW w:w="1905" w:type="dxa"/>
            <w:noWrap/>
            <w:vAlign w:val="bottom"/>
          </w:tcPr>
          <w:p>
            <w:pPr>
              <w:pStyle w:val="yTableNAm"/>
              <w:tabs>
                <w:tab w:val="clear" w:pos="567"/>
                <w:tab w:val="left" w:pos="590"/>
              </w:tabs>
              <w:ind w:right="283"/>
              <w:jc w:val="right"/>
            </w:pPr>
            <w:r>
              <w:t>$1 000</w:t>
            </w:r>
          </w:p>
        </w:tc>
      </w:tr>
      <w:tr>
        <w:trPr>
          <w:cantSplit/>
        </w:trPr>
        <w:tc>
          <w:tcPr>
            <w:tcW w:w="1072" w:type="dxa"/>
            <w:noWrap/>
          </w:tcPr>
          <w:p>
            <w:pPr>
              <w:pStyle w:val="yTableNAm"/>
              <w:ind w:firstLine="140"/>
              <w:rPr>
                <w:bCs/>
              </w:rPr>
            </w:pPr>
            <w:r>
              <w:rPr>
                <w:bCs/>
              </w:rPr>
              <w:lastRenderedPageBreak/>
              <w:t>13.</w:t>
            </w:r>
          </w:p>
        </w:tc>
        <w:tc>
          <w:tcPr>
            <w:tcW w:w="3685" w:type="dxa"/>
            <w:noWrap/>
          </w:tcPr>
          <w:p>
            <w:pPr>
              <w:pStyle w:val="yTableNAm"/>
            </w:pPr>
            <w:r>
              <w:t>s. 93B(2)</w:t>
            </w:r>
          </w:p>
        </w:tc>
        <w:tc>
          <w:tcPr>
            <w:tcW w:w="1905" w:type="dxa"/>
            <w:noWrap/>
            <w:vAlign w:val="bottom"/>
          </w:tcPr>
          <w:p>
            <w:pPr>
              <w:pStyle w:val="yTableNAm"/>
              <w:tabs>
                <w:tab w:val="clear" w:pos="567"/>
                <w:tab w:val="left" w:pos="590"/>
              </w:tabs>
              <w:ind w:right="283"/>
              <w:jc w:val="right"/>
            </w:pPr>
            <w:r>
              <w:t>$250</w:t>
            </w:r>
          </w:p>
        </w:tc>
      </w:tr>
      <w:tr>
        <w:trPr>
          <w:cantSplit/>
        </w:trPr>
        <w:tc>
          <w:tcPr>
            <w:tcW w:w="1072" w:type="dxa"/>
            <w:noWrap/>
          </w:tcPr>
          <w:p>
            <w:pPr>
              <w:pStyle w:val="yTableNAm"/>
              <w:ind w:firstLine="140"/>
              <w:rPr>
                <w:bCs/>
              </w:rPr>
            </w:pPr>
            <w:r>
              <w:rPr>
                <w:bCs/>
              </w:rPr>
              <w:t>14.</w:t>
            </w:r>
          </w:p>
        </w:tc>
        <w:tc>
          <w:tcPr>
            <w:tcW w:w="3685" w:type="dxa"/>
            <w:noWrap/>
          </w:tcPr>
          <w:p>
            <w:pPr>
              <w:pStyle w:val="yTableNAm"/>
            </w:pPr>
            <w:r>
              <w:t>s. 95(4)</w:t>
            </w:r>
          </w:p>
        </w:tc>
        <w:tc>
          <w:tcPr>
            <w:tcW w:w="1905" w:type="dxa"/>
            <w:noWrap/>
            <w:vAlign w:val="bottom"/>
          </w:tcPr>
          <w:p>
            <w:pPr>
              <w:pStyle w:val="yTableNAm"/>
              <w:tabs>
                <w:tab w:val="clear" w:pos="567"/>
                <w:tab w:val="left" w:pos="590"/>
              </w:tabs>
              <w:ind w:right="283"/>
              <w:jc w:val="right"/>
            </w:pPr>
            <w:r>
              <w:t>$200</w:t>
            </w:r>
          </w:p>
        </w:tc>
      </w:tr>
      <w:tr>
        <w:trPr>
          <w:cantSplit/>
        </w:trPr>
        <w:tc>
          <w:tcPr>
            <w:tcW w:w="1072" w:type="dxa"/>
            <w:noWrap/>
          </w:tcPr>
          <w:p>
            <w:pPr>
              <w:pStyle w:val="yTableNAm"/>
              <w:ind w:firstLine="140"/>
              <w:rPr>
                <w:bCs/>
              </w:rPr>
            </w:pPr>
            <w:r>
              <w:rPr>
                <w:bCs/>
              </w:rPr>
              <w:t>15.</w:t>
            </w:r>
          </w:p>
        </w:tc>
        <w:tc>
          <w:tcPr>
            <w:tcW w:w="3685" w:type="dxa"/>
            <w:noWrap/>
          </w:tcPr>
          <w:p>
            <w:pPr>
              <w:pStyle w:val="yTableNAm"/>
            </w:pPr>
            <w:r>
              <w:t>s. 96(3)</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16.</w:t>
            </w:r>
          </w:p>
        </w:tc>
        <w:tc>
          <w:tcPr>
            <w:tcW w:w="3685" w:type="dxa"/>
            <w:noWrap/>
          </w:tcPr>
          <w:p>
            <w:pPr>
              <w:pStyle w:val="yTableNAm"/>
            </w:pPr>
            <w:r>
              <w:t>s. 97(3)</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17.</w:t>
            </w:r>
          </w:p>
        </w:tc>
        <w:tc>
          <w:tcPr>
            <w:tcW w:w="3685" w:type="dxa"/>
            <w:noWrap/>
          </w:tcPr>
          <w:p>
            <w:pPr>
              <w:pStyle w:val="yTableNAm"/>
            </w:pPr>
            <w:r>
              <w:t>s. 98</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18.</w:t>
            </w:r>
          </w:p>
        </w:tc>
        <w:tc>
          <w:tcPr>
            <w:tcW w:w="3685" w:type="dxa"/>
            <w:noWrap/>
          </w:tcPr>
          <w:p>
            <w:pPr>
              <w:pStyle w:val="yTableNAm"/>
            </w:pPr>
            <w:r>
              <w:t>s. 104(4)</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19.</w:t>
            </w:r>
          </w:p>
        </w:tc>
        <w:tc>
          <w:tcPr>
            <w:tcW w:w="3685" w:type="dxa"/>
            <w:noWrap/>
          </w:tcPr>
          <w:p>
            <w:pPr>
              <w:pStyle w:val="yTableNAm"/>
            </w:pPr>
            <w:r>
              <w:t>s. 104(5)</w:t>
            </w:r>
          </w:p>
        </w:tc>
        <w:tc>
          <w:tcPr>
            <w:tcW w:w="1905" w:type="dxa"/>
            <w:noWrap/>
            <w:vAlign w:val="bottom"/>
          </w:tcPr>
          <w:p>
            <w:pPr>
              <w:pStyle w:val="yTableNAm"/>
              <w:tabs>
                <w:tab w:val="clear" w:pos="567"/>
                <w:tab w:val="left" w:pos="590"/>
              </w:tabs>
              <w:ind w:right="283"/>
              <w:jc w:val="right"/>
            </w:pPr>
            <w:r>
              <w:t>$250</w:t>
            </w:r>
          </w:p>
        </w:tc>
      </w:tr>
      <w:tr>
        <w:trPr>
          <w:cantSplit/>
        </w:trPr>
        <w:tc>
          <w:tcPr>
            <w:tcW w:w="1072" w:type="dxa"/>
            <w:noWrap/>
          </w:tcPr>
          <w:p>
            <w:pPr>
              <w:pStyle w:val="yTableNAm"/>
              <w:ind w:firstLine="140"/>
              <w:rPr>
                <w:bCs/>
              </w:rPr>
            </w:pPr>
            <w:r>
              <w:rPr>
                <w:bCs/>
              </w:rPr>
              <w:t>20.</w:t>
            </w:r>
          </w:p>
        </w:tc>
        <w:tc>
          <w:tcPr>
            <w:tcW w:w="3685" w:type="dxa"/>
            <w:noWrap/>
          </w:tcPr>
          <w:p>
            <w:pPr>
              <w:pStyle w:val="yTableNAm"/>
            </w:pPr>
            <w:r>
              <w:t>s. 104C(4)</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21.</w:t>
            </w:r>
          </w:p>
        </w:tc>
        <w:tc>
          <w:tcPr>
            <w:tcW w:w="3685" w:type="dxa"/>
            <w:noWrap/>
          </w:tcPr>
          <w:p>
            <w:pPr>
              <w:pStyle w:val="yTableNAm"/>
            </w:pPr>
            <w:r>
              <w:t>s. 104E(1)</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22.</w:t>
            </w:r>
          </w:p>
        </w:tc>
        <w:tc>
          <w:tcPr>
            <w:tcW w:w="3685" w:type="dxa"/>
            <w:noWrap/>
          </w:tcPr>
          <w:p>
            <w:pPr>
              <w:pStyle w:val="yTableNAm"/>
            </w:pPr>
            <w:r>
              <w:t>s. 104E(2)</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23.</w:t>
            </w:r>
          </w:p>
        </w:tc>
        <w:tc>
          <w:tcPr>
            <w:tcW w:w="3685" w:type="dxa"/>
            <w:noWrap/>
          </w:tcPr>
          <w:p>
            <w:pPr>
              <w:pStyle w:val="yTableNAm"/>
            </w:pPr>
            <w:r>
              <w:t>s. 104E(3)</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24.</w:t>
            </w:r>
          </w:p>
        </w:tc>
        <w:tc>
          <w:tcPr>
            <w:tcW w:w="3685" w:type="dxa"/>
            <w:noWrap/>
          </w:tcPr>
          <w:p>
            <w:pPr>
              <w:pStyle w:val="yTableNAm"/>
            </w:pPr>
            <w:r>
              <w:t>s. 104F(1)</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25.</w:t>
            </w:r>
          </w:p>
        </w:tc>
        <w:tc>
          <w:tcPr>
            <w:tcW w:w="3685" w:type="dxa"/>
            <w:noWrap/>
          </w:tcPr>
          <w:p>
            <w:pPr>
              <w:pStyle w:val="yTableNAm"/>
            </w:pPr>
            <w:r>
              <w:t>s. 104F(4)</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26.</w:t>
            </w:r>
          </w:p>
        </w:tc>
        <w:tc>
          <w:tcPr>
            <w:tcW w:w="3685" w:type="dxa"/>
            <w:noWrap/>
          </w:tcPr>
          <w:p>
            <w:pPr>
              <w:pStyle w:val="yTableNAm"/>
            </w:pPr>
            <w:r>
              <w:t>s. 104L(1)</w:t>
            </w:r>
          </w:p>
        </w:tc>
        <w:tc>
          <w:tcPr>
            <w:tcW w:w="1905" w:type="dxa"/>
            <w:noWrap/>
            <w:vAlign w:val="bottom"/>
          </w:tcPr>
          <w:p>
            <w:pPr>
              <w:pStyle w:val="yTableNAm"/>
              <w:tabs>
                <w:tab w:val="clear" w:pos="567"/>
                <w:tab w:val="left" w:pos="590"/>
              </w:tabs>
              <w:ind w:right="283"/>
              <w:jc w:val="right"/>
            </w:pPr>
            <w:r>
              <w:t>$2 500</w:t>
            </w:r>
          </w:p>
        </w:tc>
      </w:tr>
      <w:tr>
        <w:trPr>
          <w:cantSplit/>
        </w:trPr>
        <w:tc>
          <w:tcPr>
            <w:tcW w:w="1072" w:type="dxa"/>
            <w:noWrap/>
          </w:tcPr>
          <w:p>
            <w:pPr>
              <w:pStyle w:val="yTableNAm"/>
              <w:ind w:firstLine="140"/>
              <w:rPr>
                <w:bCs/>
              </w:rPr>
            </w:pPr>
            <w:r>
              <w:rPr>
                <w:bCs/>
              </w:rPr>
              <w:t>27.</w:t>
            </w:r>
          </w:p>
        </w:tc>
        <w:tc>
          <w:tcPr>
            <w:tcW w:w="3685" w:type="dxa"/>
            <w:noWrap/>
          </w:tcPr>
          <w:p>
            <w:pPr>
              <w:pStyle w:val="yTableNAm"/>
            </w:pPr>
            <w:r>
              <w:t>s. 104L(2)</w:t>
            </w:r>
          </w:p>
        </w:tc>
        <w:tc>
          <w:tcPr>
            <w:tcW w:w="1905" w:type="dxa"/>
            <w:noWrap/>
            <w:vAlign w:val="bottom"/>
          </w:tcPr>
          <w:p>
            <w:pPr>
              <w:pStyle w:val="yTableNAm"/>
              <w:tabs>
                <w:tab w:val="clear" w:pos="567"/>
                <w:tab w:val="left" w:pos="590"/>
              </w:tabs>
              <w:ind w:right="283"/>
              <w:jc w:val="right"/>
            </w:pPr>
            <w:r>
              <w:t>$2 500</w:t>
            </w:r>
          </w:p>
        </w:tc>
      </w:tr>
      <w:tr>
        <w:trPr>
          <w:cantSplit/>
        </w:trPr>
        <w:tc>
          <w:tcPr>
            <w:tcW w:w="1072" w:type="dxa"/>
            <w:noWrap/>
          </w:tcPr>
          <w:p>
            <w:pPr>
              <w:pStyle w:val="yTableNAm"/>
              <w:ind w:firstLine="140"/>
              <w:rPr>
                <w:bCs/>
              </w:rPr>
            </w:pPr>
            <w:r>
              <w:rPr>
                <w:bCs/>
              </w:rPr>
              <w:t>28.</w:t>
            </w:r>
          </w:p>
        </w:tc>
        <w:tc>
          <w:tcPr>
            <w:tcW w:w="3685" w:type="dxa"/>
            <w:noWrap/>
          </w:tcPr>
          <w:p>
            <w:pPr>
              <w:pStyle w:val="yTableNAm"/>
            </w:pPr>
            <w:r>
              <w:t>s. 104L(3)</w:t>
            </w:r>
          </w:p>
        </w:tc>
        <w:tc>
          <w:tcPr>
            <w:tcW w:w="1905" w:type="dxa"/>
            <w:noWrap/>
            <w:vAlign w:val="bottom"/>
          </w:tcPr>
          <w:p>
            <w:pPr>
              <w:pStyle w:val="yTableNAm"/>
              <w:tabs>
                <w:tab w:val="clear" w:pos="567"/>
                <w:tab w:val="left" w:pos="590"/>
              </w:tabs>
              <w:ind w:right="283"/>
              <w:jc w:val="right"/>
            </w:pPr>
            <w:r>
              <w:t>$2 500</w:t>
            </w:r>
          </w:p>
        </w:tc>
      </w:tr>
      <w:tr>
        <w:trPr>
          <w:cantSplit/>
        </w:trPr>
        <w:tc>
          <w:tcPr>
            <w:tcW w:w="1072" w:type="dxa"/>
            <w:noWrap/>
          </w:tcPr>
          <w:p>
            <w:pPr>
              <w:pStyle w:val="yTableNAm"/>
              <w:ind w:firstLine="140"/>
              <w:rPr>
                <w:bCs/>
              </w:rPr>
            </w:pPr>
            <w:r>
              <w:rPr>
                <w:bCs/>
              </w:rPr>
              <w:t>29.</w:t>
            </w:r>
          </w:p>
        </w:tc>
        <w:tc>
          <w:tcPr>
            <w:tcW w:w="3685" w:type="dxa"/>
            <w:noWrap/>
          </w:tcPr>
          <w:p>
            <w:pPr>
              <w:pStyle w:val="yTableNAm"/>
            </w:pPr>
            <w:r>
              <w:t>s. 104M(1)</w:t>
            </w:r>
          </w:p>
        </w:tc>
        <w:tc>
          <w:tcPr>
            <w:tcW w:w="1905" w:type="dxa"/>
            <w:noWrap/>
            <w:vAlign w:val="bottom"/>
          </w:tcPr>
          <w:p>
            <w:pPr>
              <w:pStyle w:val="yTableNAm"/>
              <w:tabs>
                <w:tab w:val="clear" w:pos="567"/>
                <w:tab w:val="left" w:pos="590"/>
              </w:tabs>
              <w:ind w:right="283"/>
              <w:jc w:val="right"/>
            </w:pPr>
            <w:r>
              <w:t>$2 500</w:t>
            </w:r>
          </w:p>
        </w:tc>
      </w:tr>
      <w:tr>
        <w:trPr>
          <w:cantSplit/>
        </w:trPr>
        <w:tc>
          <w:tcPr>
            <w:tcW w:w="1072" w:type="dxa"/>
            <w:noWrap/>
          </w:tcPr>
          <w:p>
            <w:pPr>
              <w:pStyle w:val="yTableNAm"/>
              <w:ind w:firstLine="140"/>
              <w:rPr>
                <w:bCs/>
              </w:rPr>
            </w:pPr>
            <w:r>
              <w:rPr>
                <w:bCs/>
              </w:rPr>
              <w:t>30.</w:t>
            </w:r>
          </w:p>
        </w:tc>
        <w:tc>
          <w:tcPr>
            <w:tcW w:w="3685" w:type="dxa"/>
            <w:noWrap/>
          </w:tcPr>
          <w:p>
            <w:pPr>
              <w:pStyle w:val="yTableNAm"/>
            </w:pPr>
            <w:r>
              <w:t>s. 104M(2)</w:t>
            </w:r>
          </w:p>
        </w:tc>
        <w:tc>
          <w:tcPr>
            <w:tcW w:w="1905" w:type="dxa"/>
            <w:noWrap/>
            <w:vAlign w:val="bottom"/>
          </w:tcPr>
          <w:p>
            <w:pPr>
              <w:pStyle w:val="yTableNAm"/>
              <w:tabs>
                <w:tab w:val="clear" w:pos="567"/>
                <w:tab w:val="left" w:pos="590"/>
              </w:tabs>
              <w:ind w:right="283"/>
              <w:jc w:val="right"/>
            </w:pPr>
            <w:r>
              <w:t>$1 000</w:t>
            </w:r>
          </w:p>
        </w:tc>
      </w:tr>
      <w:tr>
        <w:trPr>
          <w:cantSplit/>
        </w:trPr>
        <w:tc>
          <w:tcPr>
            <w:tcW w:w="1072" w:type="dxa"/>
            <w:noWrap/>
          </w:tcPr>
          <w:p>
            <w:pPr>
              <w:pStyle w:val="yTableNAm"/>
              <w:ind w:firstLine="140"/>
              <w:rPr>
                <w:bCs/>
              </w:rPr>
            </w:pPr>
            <w:r>
              <w:rPr>
                <w:bCs/>
              </w:rPr>
              <w:t>31.</w:t>
            </w:r>
          </w:p>
        </w:tc>
        <w:tc>
          <w:tcPr>
            <w:tcW w:w="3685" w:type="dxa"/>
            <w:noWrap/>
          </w:tcPr>
          <w:p>
            <w:pPr>
              <w:pStyle w:val="yTableNAm"/>
            </w:pPr>
            <w:r>
              <w:t>s. 104M(3)</w:t>
            </w:r>
          </w:p>
        </w:tc>
        <w:tc>
          <w:tcPr>
            <w:tcW w:w="1905" w:type="dxa"/>
            <w:noWrap/>
            <w:vAlign w:val="bottom"/>
          </w:tcPr>
          <w:p>
            <w:pPr>
              <w:pStyle w:val="yTableNAm"/>
              <w:tabs>
                <w:tab w:val="clear" w:pos="567"/>
                <w:tab w:val="left" w:pos="590"/>
              </w:tabs>
              <w:ind w:right="283"/>
              <w:jc w:val="right"/>
            </w:pPr>
            <w:r>
              <w:t>$1 000</w:t>
            </w:r>
          </w:p>
        </w:tc>
      </w:tr>
      <w:tr>
        <w:trPr>
          <w:cantSplit/>
        </w:trPr>
        <w:tc>
          <w:tcPr>
            <w:tcW w:w="1072" w:type="dxa"/>
            <w:noWrap/>
          </w:tcPr>
          <w:p>
            <w:pPr>
              <w:pStyle w:val="yTableNAm"/>
              <w:ind w:firstLine="140"/>
              <w:rPr>
                <w:bCs/>
              </w:rPr>
            </w:pPr>
            <w:r>
              <w:rPr>
                <w:bCs/>
              </w:rPr>
              <w:lastRenderedPageBreak/>
              <w:t>32.</w:t>
            </w:r>
          </w:p>
        </w:tc>
        <w:tc>
          <w:tcPr>
            <w:tcW w:w="3685" w:type="dxa"/>
            <w:noWrap/>
          </w:tcPr>
          <w:p>
            <w:pPr>
              <w:pStyle w:val="yTableNAm"/>
            </w:pPr>
            <w:r>
              <w:t>s. 108(4)</w:t>
            </w:r>
          </w:p>
        </w:tc>
        <w:tc>
          <w:tcPr>
            <w:tcW w:w="1905" w:type="dxa"/>
            <w:noWrap/>
            <w:vAlign w:val="bottom"/>
          </w:tcPr>
          <w:p>
            <w:pPr>
              <w:pStyle w:val="yTableNAm"/>
              <w:tabs>
                <w:tab w:val="clear" w:pos="567"/>
                <w:tab w:val="left" w:pos="590"/>
              </w:tabs>
              <w:ind w:right="283"/>
              <w:jc w:val="right"/>
            </w:pPr>
            <w:r>
              <w:t>$1 000</w:t>
            </w:r>
          </w:p>
        </w:tc>
      </w:tr>
    </w:tbl>
    <w:p>
      <w:pPr>
        <w:pStyle w:val="yFootnotesection"/>
      </w:pPr>
      <w:r>
        <w:tab/>
        <w:t>[Division 1 inserted: SL 2025/35 r. 28.]</w:t>
      </w:r>
    </w:p>
    <w:p>
      <w:pPr>
        <w:pStyle w:val="yHeading3"/>
      </w:pPr>
      <w:bookmarkStart w:id="180" w:name="_Toc213336903"/>
      <w:bookmarkStart w:id="181" w:name="_Toc213337605"/>
      <w:bookmarkStart w:id="182" w:name="_Toc213339584"/>
      <w:r>
        <w:rPr>
          <w:rStyle w:val="CharSDivNo"/>
        </w:rPr>
        <w:t>Division 2</w:t>
      </w:r>
      <w:r>
        <w:t> —</w:t>
      </w:r>
      <w:r>
        <w:rPr>
          <w:rStyle w:val="CharDivText"/>
        </w:rPr>
        <w:t> </w:t>
      </w:r>
      <w:r>
        <w:rPr>
          <w:rStyle w:val="CharSDivText"/>
        </w:rPr>
        <w:t>Offences under regulations</w:t>
      </w:r>
      <w:bookmarkEnd w:id="180"/>
      <w:bookmarkEnd w:id="181"/>
      <w:bookmarkEnd w:id="182"/>
    </w:p>
    <w:p>
      <w:pPr>
        <w:pStyle w:val="yFootnoteheading"/>
        <w:spacing w:after="60"/>
      </w:pPr>
      <w:r>
        <w:tab/>
        <w:t>[Heading inserted: SL 2025/35 r. 28.]</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4314"/>
        <w:gridCol w:w="1276"/>
      </w:tblGrid>
      <w:tr>
        <w:trPr>
          <w:cantSplit/>
          <w:tblHeader/>
        </w:trPr>
        <w:tc>
          <w:tcPr>
            <w:tcW w:w="1072" w:type="dxa"/>
            <w:noWrap/>
          </w:tcPr>
          <w:p>
            <w:pPr>
              <w:pStyle w:val="yTableNAm"/>
              <w:ind w:firstLine="140"/>
              <w:rPr>
                <w:b/>
              </w:rPr>
            </w:pPr>
            <w:r>
              <w:rPr>
                <w:b/>
              </w:rPr>
              <w:t>Item</w:t>
            </w:r>
          </w:p>
        </w:tc>
        <w:tc>
          <w:tcPr>
            <w:tcW w:w="4314" w:type="dxa"/>
          </w:tcPr>
          <w:p>
            <w:pPr>
              <w:pStyle w:val="yTableNAm"/>
              <w:jc w:val="center"/>
              <w:rPr>
                <w:b/>
              </w:rPr>
            </w:pPr>
            <w:r>
              <w:rPr>
                <w:b/>
              </w:rPr>
              <w:t>Regulation</w:t>
            </w:r>
          </w:p>
        </w:tc>
        <w:tc>
          <w:tcPr>
            <w:tcW w:w="1276" w:type="dxa"/>
            <w:noWrap/>
          </w:tcPr>
          <w:p>
            <w:pPr>
              <w:pStyle w:val="yTableNAm"/>
              <w:jc w:val="center"/>
              <w:rPr>
                <w:b/>
              </w:rPr>
            </w:pPr>
            <w:r>
              <w:rPr>
                <w:b/>
              </w:rPr>
              <w:t>Modified penalty</w:t>
            </w:r>
          </w:p>
        </w:tc>
      </w:tr>
      <w:tr>
        <w:trPr>
          <w:cantSplit/>
        </w:trPr>
        <w:tc>
          <w:tcPr>
            <w:tcW w:w="1072" w:type="dxa"/>
            <w:noWrap/>
          </w:tcPr>
          <w:p>
            <w:pPr>
              <w:pStyle w:val="yTableNAm"/>
              <w:ind w:firstLine="140"/>
              <w:rPr>
                <w:bCs/>
              </w:rPr>
            </w:pPr>
            <w:r>
              <w:rPr>
                <w:bCs/>
              </w:rPr>
              <w:t>1.</w:t>
            </w:r>
          </w:p>
        </w:tc>
        <w:tc>
          <w:tcPr>
            <w:tcW w:w="4314" w:type="dxa"/>
            <w:noWrap/>
          </w:tcPr>
          <w:p>
            <w:pPr>
              <w:pStyle w:val="yTableNAm"/>
            </w:pPr>
            <w:r>
              <w:t>r. 23A(1)</w:t>
            </w:r>
          </w:p>
        </w:tc>
        <w:tc>
          <w:tcPr>
            <w:tcW w:w="1276" w:type="dxa"/>
            <w:noWrap/>
            <w:vAlign w:val="bottom"/>
          </w:tcPr>
          <w:p>
            <w:pPr>
              <w:pStyle w:val="yTableNAm"/>
              <w:tabs>
                <w:tab w:val="clear" w:pos="567"/>
              </w:tabs>
              <w:ind w:right="283"/>
              <w:jc w:val="right"/>
              <w:rPr>
                <w:rStyle w:val="DraftersNotes"/>
                <w:b w:val="0"/>
                <w:i w:val="0"/>
              </w:rPr>
            </w:pPr>
            <w:r>
              <w:t>$200</w:t>
            </w:r>
          </w:p>
        </w:tc>
      </w:tr>
      <w:tr>
        <w:trPr>
          <w:cantSplit/>
        </w:trPr>
        <w:tc>
          <w:tcPr>
            <w:tcW w:w="1072" w:type="dxa"/>
            <w:noWrap/>
          </w:tcPr>
          <w:p>
            <w:pPr>
              <w:pStyle w:val="yTableNAm"/>
              <w:ind w:firstLine="140"/>
              <w:rPr>
                <w:bCs/>
              </w:rPr>
            </w:pPr>
            <w:r>
              <w:rPr>
                <w:bCs/>
              </w:rPr>
              <w:t>2.</w:t>
            </w:r>
          </w:p>
        </w:tc>
        <w:tc>
          <w:tcPr>
            <w:tcW w:w="4314" w:type="dxa"/>
            <w:noWrap/>
          </w:tcPr>
          <w:p>
            <w:pPr>
              <w:pStyle w:val="yTableNAm"/>
            </w:pPr>
            <w:r>
              <w:t>r. 38A(1)</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3.</w:t>
            </w:r>
          </w:p>
        </w:tc>
        <w:tc>
          <w:tcPr>
            <w:tcW w:w="4314" w:type="dxa"/>
            <w:noWrap/>
          </w:tcPr>
          <w:p>
            <w:pPr>
              <w:pStyle w:val="yTableNAm"/>
            </w:pPr>
            <w:r>
              <w:t>r. 38A(2)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4.</w:t>
            </w:r>
          </w:p>
        </w:tc>
        <w:tc>
          <w:tcPr>
            <w:tcW w:w="4314" w:type="dxa"/>
            <w:noWrap/>
          </w:tcPr>
          <w:p>
            <w:pPr>
              <w:pStyle w:val="yTableNAm"/>
            </w:pPr>
            <w:r>
              <w:t>r. 40F</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5.</w:t>
            </w:r>
          </w:p>
        </w:tc>
        <w:tc>
          <w:tcPr>
            <w:tcW w:w="4314" w:type="dxa"/>
            <w:noWrap/>
          </w:tcPr>
          <w:p>
            <w:pPr>
              <w:pStyle w:val="yTableNAm"/>
            </w:pPr>
            <w:r>
              <w:t>r. 40G</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6.</w:t>
            </w:r>
          </w:p>
        </w:tc>
        <w:tc>
          <w:tcPr>
            <w:tcW w:w="4314" w:type="dxa"/>
            <w:noWrap/>
          </w:tcPr>
          <w:p>
            <w:pPr>
              <w:pStyle w:val="yTableNAm"/>
            </w:pPr>
            <w:r>
              <w:t>r. 40H(1)</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7.</w:t>
            </w:r>
          </w:p>
        </w:tc>
        <w:tc>
          <w:tcPr>
            <w:tcW w:w="4314" w:type="dxa"/>
            <w:noWrap/>
          </w:tcPr>
          <w:p>
            <w:pPr>
              <w:pStyle w:val="yTableNAm"/>
            </w:pPr>
            <w:r>
              <w:t>r. 40H(3)</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8.</w:t>
            </w:r>
          </w:p>
        </w:tc>
        <w:tc>
          <w:tcPr>
            <w:tcW w:w="4314" w:type="dxa"/>
            <w:noWrap/>
          </w:tcPr>
          <w:p>
            <w:pPr>
              <w:pStyle w:val="yTableNAm"/>
            </w:pPr>
            <w:r>
              <w:t>r. 40H(4)</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9.</w:t>
            </w:r>
          </w:p>
        </w:tc>
        <w:tc>
          <w:tcPr>
            <w:tcW w:w="4314" w:type="dxa"/>
            <w:noWrap/>
          </w:tcPr>
          <w:p>
            <w:pPr>
              <w:pStyle w:val="yTableNAm"/>
            </w:pPr>
            <w:r>
              <w:t>r. 40I(2)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10.</w:t>
            </w:r>
          </w:p>
        </w:tc>
        <w:tc>
          <w:tcPr>
            <w:tcW w:w="4314" w:type="dxa"/>
            <w:noWrap/>
          </w:tcPr>
          <w:p>
            <w:pPr>
              <w:pStyle w:val="yTableNAm"/>
            </w:pPr>
            <w:r>
              <w:t>r. 40I(3)</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11.</w:t>
            </w:r>
          </w:p>
        </w:tc>
        <w:tc>
          <w:tcPr>
            <w:tcW w:w="4314" w:type="dxa"/>
            <w:noWrap/>
          </w:tcPr>
          <w:p>
            <w:pPr>
              <w:pStyle w:val="yTableNAm"/>
            </w:pPr>
            <w:r>
              <w:t>r. 40I(5)</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12.</w:t>
            </w:r>
          </w:p>
        </w:tc>
        <w:tc>
          <w:tcPr>
            <w:tcW w:w="4314" w:type="dxa"/>
            <w:noWrap/>
          </w:tcPr>
          <w:p>
            <w:pPr>
              <w:pStyle w:val="yTableNAm"/>
            </w:pPr>
            <w:r>
              <w:t>r. 40J</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13.</w:t>
            </w:r>
          </w:p>
        </w:tc>
        <w:tc>
          <w:tcPr>
            <w:tcW w:w="4314" w:type="dxa"/>
            <w:noWrap/>
          </w:tcPr>
          <w:p>
            <w:pPr>
              <w:pStyle w:val="yTableNAm"/>
            </w:pPr>
            <w:r>
              <w:t>r. 40K(1)</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14.</w:t>
            </w:r>
          </w:p>
        </w:tc>
        <w:tc>
          <w:tcPr>
            <w:tcW w:w="4314" w:type="dxa"/>
            <w:noWrap/>
          </w:tcPr>
          <w:p>
            <w:pPr>
              <w:pStyle w:val="yTableNAm"/>
            </w:pPr>
            <w:r>
              <w:t>r. 40L(1)</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lastRenderedPageBreak/>
              <w:t>15.</w:t>
            </w:r>
          </w:p>
        </w:tc>
        <w:tc>
          <w:tcPr>
            <w:tcW w:w="4314" w:type="dxa"/>
            <w:noWrap/>
          </w:tcPr>
          <w:p>
            <w:pPr>
              <w:pStyle w:val="yTableNAm"/>
            </w:pPr>
            <w:r>
              <w:t>r. 40L(2)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16.</w:t>
            </w:r>
          </w:p>
        </w:tc>
        <w:tc>
          <w:tcPr>
            <w:tcW w:w="4314" w:type="dxa"/>
            <w:noWrap/>
          </w:tcPr>
          <w:p>
            <w:pPr>
              <w:pStyle w:val="yTableNAm"/>
            </w:pPr>
            <w:r>
              <w:t>r. 40L(3)</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17.</w:t>
            </w:r>
          </w:p>
        </w:tc>
        <w:tc>
          <w:tcPr>
            <w:tcW w:w="4314" w:type="dxa"/>
            <w:noWrap/>
          </w:tcPr>
          <w:p>
            <w:pPr>
              <w:pStyle w:val="yTableNAm"/>
            </w:pPr>
            <w:r>
              <w:t>r. 40M(2)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18.</w:t>
            </w:r>
          </w:p>
        </w:tc>
        <w:tc>
          <w:tcPr>
            <w:tcW w:w="4314" w:type="dxa"/>
            <w:noWrap/>
          </w:tcPr>
          <w:p>
            <w:pPr>
              <w:pStyle w:val="yTableNAm"/>
            </w:pPr>
            <w:r>
              <w:t>r. 40N(2)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19.</w:t>
            </w:r>
          </w:p>
        </w:tc>
        <w:tc>
          <w:tcPr>
            <w:tcW w:w="4314" w:type="dxa"/>
            <w:noWrap/>
          </w:tcPr>
          <w:p>
            <w:pPr>
              <w:pStyle w:val="yTableNAm"/>
            </w:pPr>
            <w:r>
              <w:t>r. 40N(3)</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20.</w:t>
            </w:r>
          </w:p>
        </w:tc>
        <w:tc>
          <w:tcPr>
            <w:tcW w:w="4314" w:type="dxa"/>
            <w:noWrap/>
          </w:tcPr>
          <w:p>
            <w:pPr>
              <w:pStyle w:val="yTableNAm"/>
            </w:pPr>
            <w:r>
              <w:t>r. 40O(1)</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21.</w:t>
            </w:r>
          </w:p>
        </w:tc>
        <w:tc>
          <w:tcPr>
            <w:tcW w:w="4314" w:type="dxa"/>
            <w:noWrap/>
          </w:tcPr>
          <w:p>
            <w:pPr>
              <w:pStyle w:val="yTableNAm"/>
            </w:pPr>
            <w:r>
              <w:t>r. 40O(2)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22.</w:t>
            </w:r>
          </w:p>
        </w:tc>
        <w:tc>
          <w:tcPr>
            <w:tcW w:w="4314" w:type="dxa"/>
            <w:noWrap/>
          </w:tcPr>
          <w:p>
            <w:pPr>
              <w:pStyle w:val="yTableNAm"/>
            </w:pPr>
            <w:r>
              <w:t>r. 40P</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23.</w:t>
            </w:r>
          </w:p>
        </w:tc>
        <w:tc>
          <w:tcPr>
            <w:tcW w:w="4314" w:type="dxa"/>
            <w:noWrap/>
          </w:tcPr>
          <w:p>
            <w:pPr>
              <w:pStyle w:val="yTableNAm"/>
            </w:pPr>
            <w:r>
              <w:t>r. 40R(1)</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24.</w:t>
            </w:r>
          </w:p>
        </w:tc>
        <w:tc>
          <w:tcPr>
            <w:tcW w:w="4314" w:type="dxa"/>
            <w:noWrap/>
          </w:tcPr>
          <w:p>
            <w:pPr>
              <w:pStyle w:val="yTableNAm"/>
            </w:pPr>
            <w:r>
              <w:t>r. 40R(2)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25.</w:t>
            </w:r>
          </w:p>
        </w:tc>
        <w:tc>
          <w:tcPr>
            <w:tcW w:w="4314" w:type="dxa"/>
            <w:noWrap/>
          </w:tcPr>
          <w:p>
            <w:pPr>
              <w:pStyle w:val="yTableNAm"/>
              <w:rPr>
                <w:rStyle w:val="DraftersNotes"/>
                <w:b w:val="0"/>
                <w:i w:val="0"/>
              </w:rPr>
            </w:pPr>
            <w:r>
              <w:t>r. 40S(1)</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26.</w:t>
            </w:r>
          </w:p>
        </w:tc>
        <w:tc>
          <w:tcPr>
            <w:tcW w:w="4314" w:type="dxa"/>
            <w:noWrap/>
          </w:tcPr>
          <w:p>
            <w:pPr>
              <w:pStyle w:val="yTableNAm"/>
            </w:pPr>
            <w:r>
              <w:t>r. 40S(3)</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27.</w:t>
            </w:r>
          </w:p>
        </w:tc>
        <w:tc>
          <w:tcPr>
            <w:tcW w:w="4314" w:type="dxa"/>
            <w:noWrap/>
          </w:tcPr>
          <w:p>
            <w:pPr>
              <w:pStyle w:val="yTableNAm"/>
            </w:pPr>
            <w:r>
              <w:t>r. 40U(2)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28.</w:t>
            </w:r>
          </w:p>
        </w:tc>
        <w:tc>
          <w:tcPr>
            <w:tcW w:w="4314" w:type="dxa"/>
            <w:noWrap/>
          </w:tcPr>
          <w:p>
            <w:pPr>
              <w:pStyle w:val="yTableNAm"/>
            </w:pPr>
            <w:r>
              <w:t>r. 40V(2)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29.</w:t>
            </w:r>
          </w:p>
        </w:tc>
        <w:tc>
          <w:tcPr>
            <w:tcW w:w="4314" w:type="dxa"/>
            <w:noWrap/>
          </w:tcPr>
          <w:p>
            <w:pPr>
              <w:pStyle w:val="yTableNAm"/>
            </w:pPr>
            <w:r>
              <w:t>r. 40X</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30.</w:t>
            </w:r>
          </w:p>
        </w:tc>
        <w:tc>
          <w:tcPr>
            <w:tcW w:w="4314" w:type="dxa"/>
            <w:noWrap/>
          </w:tcPr>
          <w:p>
            <w:pPr>
              <w:pStyle w:val="yTableNAm"/>
            </w:pPr>
            <w:r>
              <w:t>r. 40Z(2)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31.</w:t>
            </w:r>
          </w:p>
        </w:tc>
        <w:tc>
          <w:tcPr>
            <w:tcW w:w="4314" w:type="dxa"/>
            <w:noWrap/>
          </w:tcPr>
          <w:p>
            <w:pPr>
              <w:pStyle w:val="yTableNAm"/>
            </w:pPr>
            <w:r>
              <w:t>r. 40Z(3)</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32.</w:t>
            </w:r>
          </w:p>
        </w:tc>
        <w:tc>
          <w:tcPr>
            <w:tcW w:w="4314" w:type="dxa"/>
            <w:noWrap/>
          </w:tcPr>
          <w:p>
            <w:pPr>
              <w:pStyle w:val="yTableNAm"/>
            </w:pPr>
            <w:r>
              <w:t>r. 40ZA(1)</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33.</w:t>
            </w:r>
          </w:p>
        </w:tc>
        <w:tc>
          <w:tcPr>
            <w:tcW w:w="4314" w:type="dxa"/>
            <w:noWrap/>
          </w:tcPr>
          <w:p>
            <w:pPr>
              <w:pStyle w:val="yTableNAm"/>
            </w:pPr>
            <w:r>
              <w:t>r. 40ZA(2)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lastRenderedPageBreak/>
              <w:t>34.</w:t>
            </w:r>
          </w:p>
        </w:tc>
        <w:tc>
          <w:tcPr>
            <w:tcW w:w="4314" w:type="dxa"/>
            <w:noWrap/>
          </w:tcPr>
          <w:p>
            <w:pPr>
              <w:pStyle w:val="yTableNAm"/>
            </w:pPr>
            <w:r>
              <w:t>r. 40ZB(2)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35.</w:t>
            </w:r>
          </w:p>
        </w:tc>
        <w:tc>
          <w:tcPr>
            <w:tcW w:w="4314" w:type="dxa"/>
            <w:noWrap/>
          </w:tcPr>
          <w:p>
            <w:pPr>
              <w:pStyle w:val="yTableNAm"/>
            </w:pPr>
            <w:r>
              <w:t>r. 40ZC</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36.</w:t>
            </w:r>
          </w:p>
        </w:tc>
        <w:tc>
          <w:tcPr>
            <w:tcW w:w="4314" w:type="dxa"/>
            <w:noWrap/>
          </w:tcPr>
          <w:p>
            <w:pPr>
              <w:pStyle w:val="yTableNAm"/>
              <w:rPr>
                <w:rStyle w:val="DraftersNotes"/>
                <w:b w:val="0"/>
                <w:i w:val="0"/>
              </w:rPr>
            </w:pPr>
            <w:r>
              <w:t>r. 43(6) and (10)</w:t>
            </w:r>
          </w:p>
        </w:tc>
        <w:tc>
          <w:tcPr>
            <w:tcW w:w="1276" w:type="dxa"/>
            <w:noWrap/>
            <w:vAlign w:val="bottom"/>
          </w:tcPr>
          <w:p>
            <w:pPr>
              <w:pStyle w:val="yTableNAm"/>
              <w:tabs>
                <w:tab w:val="clear" w:pos="567"/>
              </w:tabs>
              <w:ind w:right="283"/>
              <w:jc w:val="right"/>
            </w:pPr>
            <w:r>
              <w:t>$1 000</w:t>
            </w:r>
          </w:p>
        </w:tc>
      </w:tr>
    </w:tbl>
    <w:p>
      <w:pPr>
        <w:pStyle w:val="yFootnotesection"/>
      </w:pPr>
      <w:r>
        <w:tab/>
        <w:t>[Division 2 inserted: SL 2025/35 r. 28.]</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184" w:name="_Toc213336904"/>
      <w:bookmarkStart w:id="185" w:name="_Toc213337606"/>
      <w:bookmarkStart w:id="186" w:name="_Toc213339585"/>
      <w:r>
        <w:rPr>
          <w:rStyle w:val="CharSchNo"/>
        </w:rPr>
        <w:lastRenderedPageBreak/>
        <w:t>Schedule 3</w:t>
      </w:r>
      <w:bookmarkEnd w:id="184"/>
      <w:bookmarkEnd w:id="185"/>
      <w:bookmarkEnd w:id="186"/>
    </w:p>
    <w:p>
      <w:pPr>
        <w:pStyle w:val="yHeading2"/>
        <w:outlineLvl w:val="9"/>
      </w:pPr>
      <w:bookmarkStart w:id="187" w:name="_Toc213336905"/>
      <w:bookmarkStart w:id="188" w:name="_Toc213337607"/>
      <w:bookmarkStart w:id="189" w:name="_Toc213339586"/>
      <w:r>
        <w:rPr>
          <w:rStyle w:val="CharSchText"/>
        </w:rPr>
        <w:t>Forms</w:t>
      </w:r>
      <w:bookmarkEnd w:id="187"/>
      <w:bookmarkEnd w:id="188"/>
      <w:bookmarkEnd w:id="189"/>
    </w:p>
    <w:p>
      <w:pPr>
        <w:pStyle w:val="yMiscellaneousHeadingBold"/>
      </w:pPr>
      <w:r>
        <w:rPr>
          <w:rStyle w:val="CharSClsNo"/>
          <w:bCs/>
        </w:rPr>
        <w:t>Form 1</w:t>
      </w:r>
      <w:r>
        <w:rPr>
          <w:rStyle w:val="CharSDivNo"/>
        </w:rPr>
        <w:t> </w:t>
      </w:r>
      <w:r>
        <w:t>—</w:t>
      </w:r>
      <w:r>
        <w:rPr>
          <w:rStyle w:val="CharSDivText"/>
        </w:rPr>
        <w:t xml:space="preserve"> </w:t>
      </w:r>
      <w:r>
        <w:t>Infringement notice</w:t>
      </w:r>
    </w:p>
    <w:p>
      <w:pPr>
        <w:pStyle w:val="yShoulderClause"/>
        <w:spacing w:after="60"/>
      </w:pPr>
      <w:r>
        <w:t>[r. 6(1)]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559"/>
        <w:gridCol w:w="29"/>
        <w:gridCol w:w="2098"/>
        <w:gridCol w:w="1984"/>
      </w:tblGrid>
      <w:tr>
        <w:trPr>
          <w:trHeight w:val="282"/>
        </w:trPr>
        <w:tc>
          <w:tcPr>
            <w:tcW w:w="4820" w:type="dxa"/>
            <w:gridSpan w:val="4"/>
            <w:noWrap/>
          </w:tcPr>
          <w:p>
            <w:pPr>
              <w:pStyle w:val="yTableNAm"/>
              <w:spacing w:before="0"/>
              <w:jc w:val="center"/>
              <w:rPr>
                <w:i/>
              </w:rPr>
            </w:pPr>
            <w:r>
              <w:rPr>
                <w:i/>
              </w:rPr>
              <w:t>Gaming and Wagering Commission Act 1987</w:t>
            </w:r>
          </w:p>
          <w:p>
            <w:pPr>
              <w:pStyle w:val="yTableNAm"/>
              <w:jc w:val="center"/>
              <w:rPr>
                <w:b/>
                <w:sz w:val="28"/>
              </w:rPr>
            </w:pPr>
            <w:r>
              <w:rPr>
                <w:b/>
                <w:sz w:val="28"/>
              </w:rPr>
              <w:t>INFRINGEMENT NOTICE</w:t>
            </w:r>
          </w:p>
        </w:tc>
        <w:tc>
          <w:tcPr>
            <w:tcW w:w="1984" w:type="dxa"/>
            <w:noWrap/>
          </w:tcPr>
          <w:p>
            <w:pPr>
              <w:pStyle w:val="yTableNAm"/>
            </w:pPr>
            <w:r>
              <w:t xml:space="preserve">Infringement </w:t>
            </w:r>
            <w:r>
              <w:br/>
              <w:t>notice no.</w:t>
            </w:r>
          </w:p>
        </w:tc>
      </w:tr>
      <w:tr>
        <w:trPr>
          <w:trHeight w:val="150"/>
        </w:trPr>
        <w:tc>
          <w:tcPr>
            <w:tcW w:w="1134" w:type="dxa"/>
            <w:vMerge w:val="restart"/>
            <w:noWrap/>
          </w:tcPr>
          <w:p>
            <w:pPr>
              <w:pStyle w:val="yTableNAm"/>
              <w:rPr>
                <w:b/>
              </w:rPr>
            </w:pPr>
            <w:r>
              <w:rPr>
                <w:b/>
              </w:rPr>
              <w:t>Alleged offender</w:t>
            </w:r>
          </w:p>
        </w:tc>
        <w:tc>
          <w:tcPr>
            <w:tcW w:w="1559" w:type="dxa"/>
            <w:vMerge w:val="restart"/>
            <w:noWrap/>
          </w:tcPr>
          <w:p>
            <w:pPr>
              <w:pStyle w:val="yTableNAm"/>
            </w:pPr>
            <w:r>
              <w:t>Name</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vMerge/>
            <w:noWrap/>
          </w:tcPr>
          <w:p>
            <w:pPr>
              <w:pStyle w:val="yTableNAm"/>
            </w:pP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vMerge w:val="restart"/>
            <w:noWrap/>
          </w:tcPr>
          <w:p>
            <w:pPr>
              <w:pStyle w:val="yTableNAm"/>
            </w:pPr>
            <w:r>
              <w:t>Address</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vMerge/>
            <w:noWrap/>
          </w:tcPr>
          <w:p>
            <w:pPr>
              <w:pStyle w:val="yTableNAm"/>
            </w:pPr>
          </w:p>
        </w:tc>
        <w:tc>
          <w:tcPr>
            <w:tcW w:w="4111" w:type="dxa"/>
            <w:gridSpan w:val="3"/>
            <w:noWrap/>
          </w:tcPr>
          <w:p>
            <w:pPr>
              <w:pStyle w:val="yTableNAm"/>
            </w:pPr>
          </w:p>
        </w:tc>
      </w:tr>
      <w:tr>
        <w:trPr>
          <w:trHeight w:val="150"/>
        </w:trPr>
        <w:tc>
          <w:tcPr>
            <w:tcW w:w="1134" w:type="dxa"/>
            <w:vMerge w:val="restart"/>
            <w:noWrap/>
          </w:tcPr>
          <w:p>
            <w:pPr>
              <w:pStyle w:val="yTableNAm"/>
              <w:rPr>
                <w:b/>
              </w:rPr>
            </w:pPr>
            <w:r>
              <w:rPr>
                <w:b/>
              </w:rPr>
              <w:t>Alleged offence</w:t>
            </w:r>
          </w:p>
        </w:tc>
        <w:tc>
          <w:tcPr>
            <w:tcW w:w="1559" w:type="dxa"/>
            <w:shd w:val="clear" w:color="auto" w:fill="auto"/>
            <w:noWrap/>
          </w:tcPr>
          <w:p>
            <w:pPr>
              <w:pStyle w:val="yTableNAm"/>
            </w:pPr>
            <w:r>
              <w:t>Date or period</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shd w:val="clear" w:color="auto" w:fill="auto"/>
            <w:noWrap/>
          </w:tcPr>
          <w:p>
            <w:pPr>
              <w:pStyle w:val="yTableNAm"/>
            </w:pPr>
            <w:r>
              <w:t>Time</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shd w:val="clear" w:color="auto" w:fill="auto"/>
            <w:noWrap/>
          </w:tcPr>
          <w:p>
            <w:pPr>
              <w:pStyle w:val="yTableNAm"/>
            </w:pPr>
            <w:r>
              <w:t>Place</w:t>
            </w:r>
          </w:p>
        </w:tc>
        <w:tc>
          <w:tcPr>
            <w:tcW w:w="4111" w:type="dxa"/>
            <w:gridSpan w:val="3"/>
            <w:noWrap/>
          </w:tcPr>
          <w:p>
            <w:pPr>
              <w:pStyle w:val="yTableNAm"/>
            </w:pPr>
          </w:p>
        </w:tc>
      </w:tr>
      <w:tr>
        <w:trPr>
          <w:trHeight w:val="310"/>
        </w:trPr>
        <w:tc>
          <w:tcPr>
            <w:tcW w:w="1134" w:type="dxa"/>
            <w:vMerge/>
            <w:noWrap/>
          </w:tcPr>
          <w:p>
            <w:pPr>
              <w:pStyle w:val="yTableNAm"/>
              <w:rPr>
                <w:b/>
              </w:rPr>
            </w:pPr>
          </w:p>
        </w:tc>
        <w:tc>
          <w:tcPr>
            <w:tcW w:w="1559" w:type="dxa"/>
            <w:vMerge w:val="restart"/>
            <w:shd w:val="clear" w:color="auto" w:fill="auto"/>
            <w:noWrap/>
          </w:tcPr>
          <w:p>
            <w:pPr>
              <w:pStyle w:val="yTableNAm"/>
            </w:pPr>
            <w:r>
              <w:t>Details of offence</w:t>
            </w:r>
          </w:p>
        </w:tc>
        <w:tc>
          <w:tcPr>
            <w:tcW w:w="4111" w:type="dxa"/>
            <w:gridSpan w:val="3"/>
            <w:noWrap/>
          </w:tcPr>
          <w:p>
            <w:pPr>
              <w:pStyle w:val="yTableNAm"/>
            </w:pPr>
          </w:p>
        </w:tc>
      </w:tr>
      <w:tr>
        <w:trPr>
          <w:trHeight w:val="310"/>
        </w:trPr>
        <w:tc>
          <w:tcPr>
            <w:tcW w:w="1134" w:type="dxa"/>
            <w:vMerge/>
            <w:noWrap/>
          </w:tcPr>
          <w:p>
            <w:pPr>
              <w:pStyle w:val="yTableNAm"/>
              <w:rPr>
                <w:b/>
              </w:rPr>
            </w:pPr>
          </w:p>
        </w:tc>
        <w:tc>
          <w:tcPr>
            <w:tcW w:w="1559" w:type="dxa"/>
            <w:vMerge/>
            <w:noWrap/>
          </w:tcPr>
          <w:p>
            <w:pPr>
              <w:pStyle w:val="yTableNAm"/>
            </w:pPr>
          </w:p>
        </w:tc>
        <w:tc>
          <w:tcPr>
            <w:tcW w:w="4111" w:type="dxa"/>
            <w:gridSpan w:val="3"/>
            <w:noWrap/>
          </w:tcPr>
          <w:p>
            <w:pPr>
              <w:pStyle w:val="yTableNAm"/>
            </w:pPr>
          </w:p>
        </w:tc>
      </w:tr>
      <w:tr>
        <w:trPr>
          <w:trHeight w:val="306"/>
        </w:trPr>
        <w:tc>
          <w:tcPr>
            <w:tcW w:w="1134" w:type="dxa"/>
            <w:vMerge/>
            <w:noWrap/>
          </w:tcPr>
          <w:p>
            <w:pPr>
              <w:pStyle w:val="yTableNAm"/>
              <w:rPr>
                <w:b/>
              </w:rPr>
            </w:pPr>
          </w:p>
        </w:tc>
        <w:tc>
          <w:tcPr>
            <w:tcW w:w="1559" w:type="dxa"/>
            <w:vMerge w:val="restart"/>
            <w:shd w:val="clear" w:color="auto" w:fill="auto"/>
            <w:noWrap/>
          </w:tcPr>
          <w:p>
            <w:pPr>
              <w:pStyle w:val="yTableNAm"/>
            </w:pPr>
            <w:r>
              <w:t>Written law contravened</w:t>
            </w:r>
          </w:p>
        </w:tc>
        <w:tc>
          <w:tcPr>
            <w:tcW w:w="4111" w:type="dxa"/>
            <w:gridSpan w:val="3"/>
            <w:noWrap/>
          </w:tcPr>
          <w:p>
            <w:pPr>
              <w:pStyle w:val="yTableNAm"/>
            </w:pPr>
          </w:p>
        </w:tc>
      </w:tr>
      <w:tr>
        <w:trPr>
          <w:trHeight w:val="306"/>
        </w:trPr>
        <w:tc>
          <w:tcPr>
            <w:tcW w:w="1134" w:type="dxa"/>
            <w:vMerge/>
            <w:noWrap/>
          </w:tcPr>
          <w:p>
            <w:pPr>
              <w:pStyle w:val="yTableNAm"/>
              <w:rPr>
                <w:b/>
              </w:rPr>
            </w:pPr>
          </w:p>
        </w:tc>
        <w:tc>
          <w:tcPr>
            <w:tcW w:w="1559" w:type="dxa"/>
            <w:vMerge/>
            <w:shd w:val="clear" w:color="auto" w:fill="auto"/>
            <w:noWrap/>
          </w:tcPr>
          <w:p>
            <w:pPr>
              <w:pStyle w:val="yTableNAm"/>
            </w:pPr>
          </w:p>
        </w:tc>
        <w:tc>
          <w:tcPr>
            <w:tcW w:w="4111" w:type="dxa"/>
            <w:gridSpan w:val="3"/>
            <w:noWrap/>
          </w:tcPr>
          <w:p>
            <w:pPr>
              <w:pStyle w:val="yTableNAm"/>
            </w:pPr>
          </w:p>
        </w:tc>
      </w:tr>
      <w:tr>
        <w:trPr>
          <w:trHeight w:val="306"/>
        </w:trPr>
        <w:tc>
          <w:tcPr>
            <w:tcW w:w="1134" w:type="dxa"/>
            <w:noWrap/>
          </w:tcPr>
          <w:p>
            <w:pPr>
              <w:pStyle w:val="yTableNAm"/>
              <w:rPr>
                <w:b/>
              </w:rPr>
            </w:pPr>
            <w:r>
              <w:rPr>
                <w:b/>
              </w:rPr>
              <w:t>Modified penalty</w:t>
            </w:r>
          </w:p>
        </w:tc>
        <w:tc>
          <w:tcPr>
            <w:tcW w:w="5670" w:type="dxa"/>
            <w:gridSpan w:val="4"/>
            <w:shd w:val="clear" w:color="auto" w:fill="auto"/>
            <w:noWrap/>
          </w:tcPr>
          <w:p>
            <w:pPr>
              <w:pStyle w:val="yTableNAm"/>
            </w:pPr>
            <w:r>
              <w:t>$</w:t>
            </w:r>
          </w:p>
        </w:tc>
      </w:tr>
      <w:tr>
        <w:tc>
          <w:tcPr>
            <w:tcW w:w="1134" w:type="dxa"/>
            <w:noWrap/>
          </w:tcPr>
          <w:p>
            <w:pPr>
              <w:pStyle w:val="yTableNAm"/>
              <w:rPr>
                <w:b/>
              </w:rPr>
            </w:pPr>
            <w:r>
              <w:rPr>
                <w:b/>
              </w:rPr>
              <w:t>Date</w:t>
            </w:r>
          </w:p>
        </w:tc>
        <w:tc>
          <w:tcPr>
            <w:tcW w:w="1559" w:type="dxa"/>
            <w:noWrap/>
          </w:tcPr>
          <w:p>
            <w:pPr>
              <w:pStyle w:val="yTableNAm"/>
            </w:pPr>
            <w:r>
              <w:t>Date of notice</w:t>
            </w:r>
          </w:p>
        </w:tc>
        <w:tc>
          <w:tcPr>
            <w:tcW w:w="4111" w:type="dxa"/>
            <w:gridSpan w:val="3"/>
            <w:noWrap/>
          </w:tcPr>
          <w:p>
            <w:pPr>
              <w:pStyle w:val="yTableNAm"/>
            </w:pPr>
          </w:p>
        </w:tc>
      </w:tr>
      <w:tr>
        <w:tc>
          <w:tcPr>
            <w:tcW w:w="1134" w:type="dxa"/>
            <w:vMerge w:val="restart"/>
            <w:noWrap/>
          </w:tcPr>
          <w:p>
            <w:pPr>
              <w:pStyle w:val="yTableNAm"/>
              <w:rPr>
                <w:b/>
              </w:rPr>
            </w:pPr>
            <w:r>
              <w:rPr>
                <w:b/>
              </w:rPr>
              <w:t>Issuing officer</w:t>
            </w:r>
          </w:p>
        </w:tc>
        <w:tc>
          <w:tcPr>
            <w:tcW w:w="1559" w:type="dxa"/>
            <w:noWrap/>
          </w:tcPr>
          <w:p>
            <w:pPr>
              <w:pStyle w:val="yTableNAm"/>
            </w:pPr>
            <w:r>
              <w:t>Name</w:t>
            </w:r>
          </w:p>
        </w:tc>
        <w:tc>
          <w:tcPr>
            <w:tcW w:w="4111" w:type="dxa"/>
            <w:gridSpan w:val="3"/>
            <w:noWrap/>
          </w:tcPr>
          <w:p>
            <w:pPr>
              <w:pStyle w:val="yTableNAm"/>
            </w:pPr>
          </w:p>
        </w:tc>
      </w:tr>
      <w:tr>
        <w:tc>
          <w:tcPr>
            <w:tcW w:w="1134" w:type="dxa"/>
            <w:vMerge/>
            <w:noWrap/>
          </w:tcPr>
          <w:p>
            <w:pPr>
              <w:pStyle w:val="yTableNAm"/>
              <w:rPr>
                <w:b/>
              </w:rPr>
            </w:pPr>
          </w:p>
        </w:tc>
        <w:tc>
          <w:tcPr>
            <w:tcW w:w="1559" w:type="dxa"/>
            <w:noWrap/>
          </w:tcPr>
          <w:p>
            <w:pPr>
              <w:pStyle w:val="yTableNAm"/>
            </w:pPr>
            <w:r>
              <w:t>Signature</w:t>
            </w:r>
          </w:p>
        </w:tc>
        <w:tc>
          <w:tcPr>
            <w:tcW w:w="4111" w:type="dxa"/>
            <w:gridSpan w:val="3"/>
            <w:noWrap/>
          </w:tcPr>
          <w:p>
            <w:pPr>
              <w:pStyle w:val="yTableNAm"/>
            </w:pPr>
          </w:p>
        </w:tc>
      </w:tr>
      <w:tr>
        <w:trPr>
          <w:trHeight w:val="401"/>
        </w:trPr>
        <w:tc>
          <w:tcPr>
            <w:tcW w:w="1134" w:type="dxa"/>
            <w:noWrap/>
          </w:tcPr>
          <w:p>
            <w:pPr>
              <w:pStyle w:val="yTableNAm"/>
              <w:rPr>
                <w:b/>
              </w:rPr>
            </w:pPr>
            <w:r>
              <w:rPr>
                <w:b/>
              </w:rPr>
              <w:t>TAKE NOTICE</w:t>
            </w:r>
          </w:p>
        </w:tc>
        <w:tc>
          <w:tcPr>
            <w:tcW w:w="5670" w:type="dxa"/>
            <w:gridSpan w:val="4"/>
            <w:noWrap/>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the Approved Officer (the </w:t>
            </w:r>
            <w:r>
              <w:rPr>
                <w:b/>
                <w:bCs/>
              </w:rPr>
              <w:t>Gaming and Wagering Commission</w:t>
            </w:r>
            <w:r>
              <w:t>) within 28 days after the date of this notice.</w:t>
            </w:r>
          </w:p>
          <w:p>
            <w:pPr>
              <w:pStyle w:val="yTableNAm"/>
            </w:pPr>
            <w:r>
              <w:rPr>
                <w:b/>
              </w:rPr>
              <w:lastRenderedPageBreak/>
              <w:t>If you do not pay</w:t>
            </w:r>
            <w:r>
              <w:t xml:space="preserve"> the modified penalty within 28 days after the date of this notice,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Gaming and Wagering Commission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   </w:t>
            </w:r>
            <w:r>
              <w:br/>
              <w:t>and post this notice to the Gaming and Wagering Commission at the address below within 28 days after the date of this notice.</w:t>
            </w:r>
          </w:p>
        </w:tc>
      </w:tr>
      <w:tr>
        <w:trPr>
          <w:trHeight w:val="401"/>
        </w:trPr>
        <w:tc>
          <w:tcPr>
            <w:tcW w:w="1134" w:type="dxa"/>
            <w:vMerge w:val="restart"/>
            <w:noWrap/>
          </w:tcPr>
          <w:p>
            <w:pPr>
              <w:pStyle w:val="yTableNAm"/>
              <w:rPr>
                <w:b/>
              </w:rPr>
            </w:pPr>
            <w:r>
              <w:rPr>
                <w:b/>
              </w:rPr>
              <w:lastRenderedPageBreak/>
              <w:t>How to pay</w:t>
            </w:r>
          </w:p>
        </w:tc>
        <w:tc>
          <w:tcPr>
            <w:tcW w:w="1588" w:type="dxa"/>
            <w:gridSpan w:val="2"/>
            <w:noWrap/>
          </w:tcPr>
          <w:p>
            <w:pPr>
              <w:pStyle w:val="yTableNAm"/>
              <w:rPr>
                <w:szCs w:val="22"/>
              </w:rPr>
            </w:pPr>
            <w:r>
              <w:rPr>
                <w:szCs w:val="22"/>
              </w:rPr>
              <w:t>By post</w:t>
            </w:r>
          </w:p>
        </w:tc>
        <w:tc>
          <w:tcPr>
            <w:tcW w:w="4082" w:type="dxa"/>
            <w:gridSpan w:val="2"/>
            <w:noWrap/>
          </w:tcPr>
          <w:p>
            <w:pPr>
              <w:pStyle w:val="yTableNAm"/>
              <w:rPr>
                <w:i/>
                <w:szCs w:val="22"/>
              </w:rPr>
            </w:pPr>
            <w:r>
              <w:rPr>
                <w:i/>
                <w:szCs w:val="22"/>
              </w:rPr>
              <w:t>[Insert details for paying by post]</w:t>
            </w:r>
          </w:p>
        </w:tc>
      </w:tr>
      <w:tr>
        <w:trPr>
          <w:trHeight w:val="447"/>
        </w:trPr>
        <w:tc>
          <w:tcPr>
            <w:tcW w:w="1134" w:type="dxa"/>
            <w:vMerge/>
            <w:noWrap/>
          </w:tcPr>
          <w:p>
            <w:pPr>
              <w:pStyle w:val="yTableNAm"/>
            </w:pPr>
          </w:p>
        </w:tc>
        <w:tc>
          <w:tcPr>
            <w:tcW w:w="1588" w:type="dxa"/>
            <w:gridSpan w:val="2"/>
            <w:noWrap/>
          </w:tcPr>
          <w:p>
            <w:pPr>
              <w:pStyle w:val="yTableNAm"/>
              <w:rPr>
                <w:szCs w:val="22"/>
              </w:rPr>
            </w:pPr>
            <w:r>
              <w:rPr>
                <w:szCs w:val="22"/>
              </w:rPr>
              <w:t>In person</w:t>
            </w:r>
          </w:p>
        </w:tc>
        <w:tc>
          <w:tcPr>
            <w:tcW w:w="4082" w:type="dxa"/>
            <w:gridSpan w:val="2"/>
            <w:noWrap/>
          </w:tcPr>
          <w:p>
            <w:pPr>
              <w:pStyle w:val="yTableNAm"/>
              <w:rPr>
                <w:i/>
                <w:szCs w:val="22"/>
              </w:rPr>
            </w:pPr>
            <w:r>
              <w:rPr>
                <w:i/>
                <w:szCs w:val="22"/>
              </w:rPr>
              <w:t>[Insert details for paying in person]</w:t>
            </w:r>
          </w:p>
        </w:tc>
      </w:tr>
      <w:tr>
        <w:trPr>
          <w:trHeight w:val="447"/>
        </w:trPr>
        <w:tc>
          <w:tcPr>
            <w:tcW w:w="1134" w:type="dxa"/>
            <w:vMerge/>
            <w:noWrap/>
          </w:tcPr>
          <w:p>
            <w:pPr>
              <w:pStyle w:val="yTableNAm"/>
            </w:pPr>
          </w:p>
        </w:tc>
        <w:tc>
          <w:tcPr>
            <w:tcW w:w="1588" w:type="dxa"/>
            <w:gridSpan w:val="2"/>
            <w:noWrap/>
          </w:tcPr>
          <w:p>
            <w:pPr>
              <w:pStyle w:val="yTableNAm"/>
              <w:rPr>
                <w:szCs w:val="22"/>
              </w:rPr>
            </w:pPr>
            <w:r>
              <w:rPr>
                <w:szCs w:val="22"/>
              </w:rPr>
              <w:t>Electronically</w:t>
            </w:r>
          </w:p>
        </w:tc>
        <w:tc>
          <w:tcPr>
            <w:tcW w:w="4082" w:type="dxa"/>
            <w:gridSpan w:val="2"/>
            <w:noWrap/>
          </w:tcPr>
          <w:p>
            <w:pPr>
              <w:pStyle w:val="yTableNAm"/>
              <w:rPr>
                <w:i/>
                <w:szCs w:val="22"/>
              </w:rPr>
            </w:pPr>
            <w:r>
              <w:rPr>
                <w:i/>
                <w:szCs w:val="22"/>
              </w:rPr>
              <w:t xml:space="preserve">[Insert details for paying electronically] </w:t>
            </w:r>
          </w:p>
        </w:tc>
      </w:tr>
    </w:tbl>
    <w:p>
      <w:pPr>
        <w:pStyle w:val="yFootnotesection"/>
      </w:pPr>
      <w:r>
        <w:tab/>
        <w:t>[Form 1 inserted: SL 2025/35 r. 29.]</w:t>
      </w:r>
    </w:p>
    <w:p>
      <w:pPr>
        <w:pStyle w:val="yMiscellaneousHeading"/>
        <w:rPr>
          <w:b/>
          <w:bCs/>
        </w:rPr>
      </w:pPr>
      <w:r>
        <w:rPr>
          <w:rStyle w:val="CharSClsNo"/>
          <w:b/>
          <w:bCs/>
        </w:rPr>
        <w:lastRenderedPageBreak/>
        <w:t>Form 2</w:t>
      </w:r>
      <w:r>
        <w:rPr>
          <w:b/>
          <w:bCs/>
        </w:rPr>
        <w:t> — Withdrawal of infringement notice</w:t>
      </w:r>
    </w:p>
    <w:p>
      <w:pPr>
        <w:pStyle w:val="yShoulderClause"/>
        <w:keepNext/>
        <w:spacing w:after="60"/>
      </w:pPr>
      <w:r>
        <w:t>[r. 6(2)]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1701"/>
        <w:gridCol w:w="1984"/>
      </w:tblGrid>
      <w:tr>
        <w:trPr>
          <w:trHeight w:val="282"/>
        </w:trPr>
        <w:tc>
          <w:tcPr>
            <w:tcW w:w="4820" w:type="dxa"/>
            <w:gridSpan w:val="3"/>
            <w:noWrap/>
          </w:tcPr>
          <w:p>
            <w:pPr>
              <w:pStyle w:val="yTableNAm"/>
              <w:keepNext/>
              <w:jc w:val="center"/>
              <w:rPr>
                <w:i/>
              </w:rPr>
            </w:pPr>
            <w:r>
              <w:br w:type="page"/>
            </w:r>
            <w:r>
              <w:rPr>
                <w:i/>
              </w:rPr>
              <w:t>Gaming and Wagering Commission Act 1987</w:t>
            </w:r>
          </w:p>
          <w:p>
            <w:pPr>
              <w:pStyle w:val="yTableNAm"/>
              <w:keepNext/>
              <w:jc w:val="center"/>
              <w:rPr>
                <w:b/>
                <w:sz w:val="28"/>
              </w:rPr>
            </w:pPr>
            <w:r>
              <w:rPr>
                <w:b/>
                <w:sz w:val="28"/>
              </w:rPr>
              <w:t>WITHDRAWAL OF INFRINGEMENT NOTICE</w:t>
            </w:r>
          </w:p>
        </w:tc>
        <w:tc>
          <w:tcPr>
            <w:tcW w:w="1984" w:type="dxa"/>
            <w:tcBorders>
              <w:bottom w:val="single" w:sz="4" w:space="0" w:color="auto"/>
            </w:tcBorders>
            <w:noWrap/>
          </w:tcPr>
          <w:p>
            <w:pPr>
              <w:pStyle w:val="yTableNAm"/>
              <w:keepNext/>
            </w:pPr>
            <w:r>
              <w:t>Withdrawal no.</w:t>
            </w:r>
          </w:p>
        </w:tc>
      </w:tr>
      <w:tr>
        <w:trPr>
          <w:trHeight w:val="150"/>
        </w:trPr>
        <w:tc>
          <w:tcPr>
            <w:tcW w:w="1559" w:type="dxa"/>
            <w:vMerge w:val="restart"/>
            <w:noWrap/>
          </w:tcPr>
          <w:p>
            <w:pPr>
              <w:pStyle w:val="yTableNAm"/>
              <w:keepNext/>
              <w:rPr>
                <w:b/>
              </w:rPr>
            </w:pPr>
            <w:r>
              <w:rPr>
                <w:b/>
              </w:rPr>
              <w:t>Alleged offender</w:t>
            </w:r>
          </w:p>
        </w:tc>
        <w:tc>
          <w:tcPr>
            <w:tcW w:w="1560" w:type="dxa"/>
            <w:vMerge w:val="restart"/>
            <w:noWrap/>
          </w:tcPr>
          <w:p>
            <w:pPr>
              <w:pStyle w:val="yTableNAm"/>
              <w:keepNext/>
            </w:pPr>
            <w:r>
              <w:t>Name</w:t>
            </w:r>
          </w:p>
        </w:tc>
        <w:tc>
          <w:tcPr>
            <w:tcW w:w="3685" w:type="dxa"/>
            <w:gridSpan w:val="2"/>
            <w:noWrap/>
          </w:tcPr>
          <w:p>
            <w:pPr>
              <w:pStyle w:val="yTableNAm"/>
              <w:keepNext/>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val="restart"/>
            <w:noWrap/>
          </w:tcPr>
          <w:p>
            <w:pPr>
              <w:pStyle w:val="yTableNAm"/>
            </w:pPr>
            <w:r>
              <w:t>Address</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rPr>
          <w:trHeight w:val="150"/>
        </w:trPr>
        <w:tc>
          <w:tcPr>
            <w:tcW w:w="1559" w:type="dxa"/>
            <w:vMerge w:val="restart"/>
            <w:noWrap/>
          </w:tcPr>
          <w:p>
            <w:pPr>
              <w:pStyle w:val="yTableNAm"/>
              <w:rPr>
                <w:b/>
              </w:rPr>
            </w:pPr>
            <w:r>
              <w:rPr>
                <w:b/>
              </w:rPr>
              <w:t>Details of infringement notice</w:t>
            </w:r>
          </w:p>
        </w:tc>
        <w:tc>
          <w:tcPr>
            <w:tcW w:w="1560" w:type="dxa"/>
            <w:noWrap/>
          </w:tcPr>
          <w:p>
            <w:pPr>
              <w:pStyle w:val="yTableNAm"/>
            </w:pPr>
            <w:r>
              <w:t>Infringement notice no.</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Date of issue</w:t>
            </w:r>
          </w:p>
        </w:tc>
        <w:tc>
          <w:tcPr>
            <w:tcW w:w="3685" w:type="dxa"/>
            <w:gridSpan w:val="2"/>
            <w:noWrap/>
          </w:tcPr>
          <w:p>
            <w:pPr>
              <w:pStyle w:val="yTableNAm"/>
            </w:pPr>
          </w:p>
        </w:tc>
      </w:tr>
      <w:tr>
        <w:trPr>
          <w:trHeight w:val="150"/>
        </w:trPr>
        <w:tc>
          <w:tcPr>
            <w:tcW w:w="1559" w:type="dxa"/>
            <w:vMerge w:val="restart"/>
            <w:noWrap/>
          </w:tcPr>
          <w:p>
            <w:pPr>
              <w:pStyle w:val="yTableNAm"/>
              <w:rPr>
                <w:b/>
              </w:rPr>
            </w:pPr>
            <w:r>
              <w:rPr>
                <w:b/>
              </w:rPr>
              <w:t>Alleged offence</w:t>
            </w:r>
          </w:p>
        </w:tc>
        <w:tc>
          <w:tcPr>
            <w:tcW w:w="1560" w:type="dxa"/>
            <w:noWrap/>
          </w:tcPr>
          <w:p>
            <w:pPr>
              <w:pStyle w:val="yTableNAm"/>
            </w:pPr>
            <w:r>
              <w:t>Date or period</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Time</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Place</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val="restart"/>
            <w:noWrap/>
          </w:tcPr>
          <w:p>
            <w:pPr>
              <w:pStyle w:val="yTableNAm"/>
            </w:pPr>
            <w:r>
              <w:t xml:space="preserve">Details of offence </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rPr>
          <w:trHeight w:val="282"/>
        </w:trPr>
        <w:tc>
          <w:tcPr>
            <w:tcW w:w="1559" w:type="dxa"/>
            <w:vMerge/>
            <w:noWrap/>
          </w:tcPr>
          <w:p>
            <w:pPr>
              <w:pStyle w:val="yTableNAm"/>
              <w:rPr>
                <w:b/>
              </w:rPr>
            </w:pPr>
          </w:p>
        </w:tc>
        <w:tc>
          <w:tcPr>
            <w:tcW w:w="1560" w:type="dxa"/>
            <w:vMerge w:val="restart"/>
            <w:noWrap/>
          </w:tcPr>
          <w:p>
            <w:pPr>
              <w:pStyle w:val="yTableNAm"/>
            </w:pPr>
            <w:r>
              <w:t>Written law contravened</w:t>
            </w:r>
          </w:p>
        </w:tc>
        <w:tc>
          <w:tcPr>
            <w:tcW w:w="3685" w:type="dxa"/>
            <w:gridSpan w:val="2"/>
            <w:noWrap/>
          </w:tcPr>
          <w:p>
            <w:pPr>
              <w:pStyle w:val="yTableNAm"/>
            </w:pPr>
          </w:p>
        </w:tc>
      </w:tr>
      <w:tr>
        <w:trPr>
          <w:trHeight w:val="282"/>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c>
          <w:tcPr>
            <w:tcW w:w="1559" w:type="dxa"/>
            <w:vMerge w:val="restart"/>
            <w:noWrap/>
          </w:tcPr>
          <w:p>
            <w:pPr>
              <w:pStyle w:val="yTableNAm"/>
              <w:rPr>
                <w:b/>
              </w:rPr>
            </w:pPr>
            <w:r>
              <w:rPr>
                <w:b/>
              </w:rPr>
              <w:t>Officer of the Commission withdrawing notice</w:t>
            </w:r>
          </w:p>
        </w:tc>
        <w:tc>
          <w:tcPr>
            <w:tcW w:w="1560" w:type="dxa"/>
            <w:noWrap/>
          </w:tcPr>
          <w:p>
            <w:pPr>
              <w:pStyle w:val="yTableNAm"/>
            </w:pPr>
            <w:r>
              <w:t>Name</w:t>
            </w:r>
          </w:p>
        </w:tc>
        <w:tc>
          <w:tcPr>
            <w:tcW w:w="3685" w:type="dxa"/>
            <w:gridSpan w:val="2"/>
            <w:noWrap/>
          </w:tcPr>
          <w:p>
            <w:pPr>
              <w:pStyle w:val="yTableNAm"/>
              <w:rPr>
                <w:rStyle w:val="DraftersNotes"/>
              </w:rPr>
            </w:pPr>
          </w:p>
        </w:tc>
      </w:tr>
      <w:tr>
        <w:trPr>
          <w:trHeight w:val="370"/>
        </w:trPr>
        <w:tc>
          <w:tcPr>
            <w:tcW w:w="1559" w:type="dxa"/>
            <w:vMerge/>
            <w:noWrap/>
          </w:tcPr>
          <w:p>
            <w:pPr>
              <w:pStyle w:val="yTableNAm"/>
              <w:rPr>
                <w:b/>
              </w:rPr>
            </w:pPr>
          </w:p>
        </w:tc>
        <w:tc>
          <w:tcPr>
            <w:tcW w:w="1560" w:type="dxa"/>
            <w:noWrap/>
          </w:tcPr>
          <w:p>
            <w:pPr>
              <w:pStyle w:val="yTableNAm"/>
            </w:pPr>
            <w:r>
              <w:t>Signature</w:t>
            </w:r>
          </w:p>
        </w:tc>
        <w:tc>
          <w:tcPr>
            <w:tcW w:w="3685" w:type="dxa"/>
            <w:gridSpan w:val="2"/>
            <w:noWrap/>
          </w:tcPr>
          <w:p>
            <w:pPr>
              <w:pStyle w:val="yTableNAm"/>
            </w:pPr>
          </w:p>
        </w:tc>
      </w:tr>
      <w:tr>
        <w:tc>
          <w:tcPr>
            <w:tcW w:w="1559" w:type="dxa"/>
            <w:tcBorders>
              <w:bottom w:val="single" w:sz="4" w:space="0" w:color="auto"/>
            </w:tcBorders>
            <w:noWrap/>
          </w:tcPr>
          <w:p>
            <w:pPr>
              <w:pStyle w:val="yTableNAm"/>
              <w:rPr>
                <w:b/>
              </w:rPr>
            </w:pPr>
            <w:r>
              <w:rPr>
                <w:b/>
              </w:rPr>
              <w:t>Date</w:t>
            </w:r>
          </w:p>
        </w:tc>
        <w:tc>
          <w:tcPr>
            <w:tcW w:w="1560" w:type="dxa"/>
            <w:tcBorders>
              <w:bottom w:val="single" w:sz="4" w:space="0" w:color="auto"/>
            </w:tcBorders>
            <w:noWrap/>
          </w:tcPr>
          <w:p>
            <w:pPr>
              <w:pStyle w:val="yTableNAm"/>
            </w:pPr>
            <w:r>
              <w:t>Date of withdrawal</w:t>
            </w:r>
          </w:p>
        </w:tc>
        <w:tc>
          <w:tcPr>
            <w:tcW w:w="3685" w:type="dxa"/>
            <w:gridSpan w:val="2"/>
            <w:tcBorders>
              <w:bottom w:val="single" w:sz="4" w:space="0" w:color="auto"/>
            </w:tcBorders>
            <w:noWrap/>
          </w:tcPr>
          <w:p>
            <w:pPr>
              <w:pStyle w:val="yTableNAm"/>
            </w:pPr>
          </w:p>
        </w:tc>
      </w:tr>
      <w:tr>
        <w:trPr>
          <w:trHeight w:val="1097"/>
        </w:trPr>
        <w:tc>
          <w:tcPr>
            <w:tcW w:w="1559" w:type="dxa"/>
            <w:tcBorders>
              <w:top w:val="single" w:sz="4" w:space="0" w:color="auto"/>
              <w:bottom w:val="single" w:sz="4" w:space="0" w:color="auto"/>
            </w:tcBorders>
            <w:noWrap/>
          </w:tcPr>
          <w:p>
            <w:pPr>
              <w:pStyle w:val="yTableNAm"/>
              <w:keepNext/>
              <w:rPr>
                <w:b/>
              </w:rPr>
            </w:pPr>
            <w:r>
              <w:rPr>
                <w:b/>
              </w:rPr>
              <w:lastRenderedPageBreak/>
              <w:t>Withdrawal of infringement notice</w:t>
            </w:r>
          </w:p>
          <w:p>
            <w:pPr>
              <w:pStyle w:val="yTableNAm"/>
              <w:keepNext/>
              <w:rPr>
                <w:i/>
              </w:rPr>
            </w:pPr>
          </w:p>
        </w:tc>
        <w:tc>
          <w:tcPr>
            <w:tcW w:w="5245" w:type="dxa"/>
            <w:gridSpan w:val="3"/>
            <w:tcBorders>
              <w:top w:val="single" w:sz="4" w:space="0" w:color="auto"/>
              <w:bottom w:val="single" w:sz="4" w:space="0" w:color="auto"/>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rPr>
                <w:rStyle w:val="DraftersNotes"/>
                <w:b w:val="0"/>
                <w:iCs/>
              </w:rPr>
            </w:pPr>
            <w:r>
              <w:rPr>
                <w:i/>
                <w:iCs/>
              </w:rPr>
              <w:t>[Insert details for processing of refund.]</w:t>
            </w:r>
          </w:p>
        </w:tc>
      </w:tr>
    </w:tbl>
    <w:p>
      <w:pPr>
        <w:pStyle w:val="yFootnotesection"/>
      </w:pPr>
      <w:r>
        <w:tab/>
        <w:t>[Form 2 inserted: SL 2025/35 r. 29.]</w:t>
      </w:r>
    </w:p>
    <w:p>
      <w:pPr>
        <w:pStyle w:val="MiscellaneousHeading"/>
        <w:pageBreakBefore/>
        <w:spacing w:before="0"/>
        <w:rPr>
          <w:b/>
          <w:snapToGrid w:val="0"/>
        </w:rPr>
      </w:pPr>
      <w:r>
        <w:rPr>
          <w:rStyle w:val="CharSClsNo"/>
          <w:b/>
        </w:rPr>
        <w:lastRenderedPageBreak/>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lastRenderedPageBreak/>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1</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Gazette 30 Jan 2004 p. 416.]</w:t>
      </w:r>
    </w:p>
    <w:p>
      <w:pPr>
        <w:pStyle w:val="MiscellaneousHeading"/>
        <w:pageBreakBefore/>
        <w:spacing w:before="0"/>
        <w:rPr>
          <w:b/>
          <w:snapToGrid w:val="0"/>
        </w:rPr>
      </w:pPr>
      <w:r>
        <w:rPr>
          <w:rStyle w:val="CharSClsNo"/>
          <w:b/>
        </w:rPr>
        <w:lastRenderedPageBreak/>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Gazette 7 Oct 1988 p. 4106; amended: Gazette 30 Jan 2004 p. 416.]</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190" w:name="_Toc213336906"/>
      <w:bookmarkStart w:id="191" w:name="_Toc213337608"/>
      <w:bookmarkStart w:id="192" w:name="_Toc213339587"/>
      <w:r>
        <w:rPr>
          <w:rStyle w:val="CharSchNo"/>
        </w:rPr>
        <w:lastRenderedPageBreak/>
        <w:t>Schedule 4</w:t>
      </w:r>
      <w:bookmarkEnd w:id="190"/>
      <w:bookmarkEnd w:id="191"/>
      <w:bookmarkEnd w:id="192"/>
    </w:p>
    <w:p>
      <w:pPr>
        <w:pStyle w:val="yHeading2"/>
        <w:keepNext w:val="0"/>
        <w:outlineLvl w:val="9"/>
      </w:pPr>
      <w:bookmarkStart w:id="193" w:name="_Toc213336907"/>
      <w:bookmarkStart w:id="194" w:name="_Toc213337609"/>
      <w:bookmarkStart w:id="195" w:name="_Toc213339588"/>
      <w:r>
        <w:rPr>
          <w:rStyle w:val="CharSchText"/>
        </w:rPr>
        <w:t>Rules for the conduct of permitted games</w:t>
      </w:r>
      <w:bookmarkEnd w:id="193"/>
      <w:bookmarkEnd w:id="194"/>
      <w:bookmarkEnd w:id="195"/>
    </w:p>
    <w:p>
      <w:pPr>
        <w:pStyle w:val="yHeading3"/>
      </w:pPr>
      <w:bookmarkStart w:id="196" w:name="_Toc213336908"/>
      <w:bookmarkStart w:id="197" w:name="_Toc213337610"/>
      <w:bookmarkStart w:id="198" w:name="_Toc213339589"/>
      <w:r>
        <w:rPr>
          <w:rStyle w:val="CharSDivNo"/>
        </w:rPr>
        <w:t>Part 1</w:t>
      </w:r>
      <w:r>
        <w:t> — </w:t>
      </w:r>
      <w:r>
        <w:rPr>
          <w:rStyle w:val="CharSDivText"/>
        </w:rPr>
        <w:t>Permitted bingo</w:t>
      </w:r>
      <w:bookmarkEnd w:id="196"/>
      <w:bookmarkEnd w:id="197"/>
      <w:bookmarkEnd w:id="198"/>
    </w:p>
    <w:p>
      <w:pPr>
        <w:pStyle w:val="yMiscellaneousBody"/>
        <w:jc w:val="center"/>
        <w:rPr>
          <w:b/>
          <w:snapToGrid w:val="0"/>
        </w:rPr>
      </w:pPr>
      <w:r>
        <w:rPr>
          <w:b/>
          <w:snapToGrid w:val="0"/>
        </w:rPr>
        <w:t>Rules for the conduct of bingo</w:t>
      </w:r>
    </w:p>
    <w:p>
      <w:pPr>
        <w:pStyle w:val="yHeading5"/>
        <w:rPr>
          <w:snapToGrid w:val="0"/>
        </w:rPr>
      </w:pPr>
      <w:bookmarkStart w:id="199" w:name="_Toc213339590"/>
      <w:r>
        <w:rPr>
          <w:rStyle w:val="CharSClsNo"/>
        </w:rPr>
        <w:t>1</w:t>
      </w:r>
      <w:r>
        <w:rPr>
          <w:snapToGrid w:val="0"/>
        </w:rPr>
        <w:t>.</w:t>
      </w:r>
      <w:r>
        <w:rPr>
          <w:snapToGrid w:val="0"/>
        </w:rPr>
        <w:tab/>
        <w:t>Children cannot play</w:t>
      </w:r>
      <w:bookmarkEnd w:id="199"/>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200" w:name="_Toc213339591"/>
      <w:r>
        <w:rPr>
          <w:rStyle w:val="CharSClsNo"/>
        </w:rPr>
        <w:t>2</w:t>
      </w:r>
      <w:r>
        <w:rPr>
          <w:snapToGrid w:val="0"/>
        </w:rPr>
        <w:t>.</w:t>
      </w:r>
      <w:r>
        <w:rPr>
          <w:snapToGrid w:val="0"/>
        </w:rPr>
        <w:tab/>
        <w:t>Spotters cannot play</w:t>
      </w:r>
      <w:bookmarkEnd w:id="200"/>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201" w:name="_Toc213339592"/>
      <w:r>
        <w:rPr>
          <w:rStyle w:val="CharSClsNo"/>
        </w:rPr>
        <w:t>3</w:t>
      </w:r>
      <w:r>
        <w:rPr>
          <w:snapToGrid w:val="0"/>
        </w:rPr>
        <w:t>.</w:t>
      </w:r>
      <w:r>
        <w:rPr>
          <w:snapToGrid w:val="0"/>
        </w:rPr>
        <w:tab/>
        <w:t>Call backs, who can take part in</w:t>
      </w:r>
      <w:bookmarkEnd w:id="201"/>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202" w:name="_Toc213339593"/>
      <w:r>
        <w:rPr>
          <w:rStyle w:val="CharSClsNo"/>
        </w:rPr>
        <w:t>4</w:t>
      </w:r>
      <w:r>
        <w:rPr>
          <w:snapToGrid w:val="0"/>
        </w:rPr>
        <w:t>.</w:t>
      </w:r>
      <w:r>
        <w:rPr>
          <w:snapToGrid w:val="0"/>
        </w:rPr>
        <w:tab/>
        <w:t>Bingo cards</w:t>
      </w:r>
      <w:bookmarkEnd w:id="202"/>
    </w:p>
    <w:p>
      <w:pPr>
        <w:pStyle w:val="ySubsection"/>
        <w:spacing w:before="140"/>
        <w:rPr>
          <w:snapToGrid w:val="0"/>
        </w:rPr>
      </w:pPr>
      <w:r>
        <w:rPr>
          <w:snapToGrid w:val="0"/>
        </w:rPr>
        <w:tab/>
        <w:t>(1)</w:t>
      </w:r>
      <w:r>
        <w:rPr>
          <w:snapToGrid w:val="0"/>
        </w:rPr>
        <w:tab/>
        <w:t xml:space="preserve">Every bingo card must have </w:t>
      </w:r>
      <w:r>
        <w:t>on it 15 numbers printed or reproduced by electronic means.</w:t>
      </w:r>
    </w:p>
    <w:p>
      <w:pPr>
        <w:pStyle w:val="ySubsection"/>
        <w:spacing w:before="140"/>
        <w:rPr>
          <w:snapToGrid w:val="0"/>
        </w:rPr>
      </w:pPr>
      <w:r>
        <w:rPr>
          <w:snapToGrid w:val="0"/>
        </w:rPr>
        <w:tab/>
        <w:t>(2)</w:t>
      </w:r>
      <w:r>
        <w:rPr>
          <w:snapToGrid w:val="0"/>
        </w:rPr>
        <w:tab/>
        <w:t>All cards used in any one game must bear the same game number, and that number must be announced to players immediately before the commencement of each game.</w:t>
      </w:r>
    </w:p>
    <w:p>
      <w:pPr>
        <w:pStyle w:val="yFootnotesection"/>
        <w:keepLines w:val="0"/>
      </w:pPr>
      <w:r>
        <w:tab/>
        <w:t>[Clause 4 amended: SL 2020/10 r. 5.]</w:t>
      </w:r>
    </w:p>
    <w:p>
      <w:pPr>
        <w:pStyle w:val="yHeading5"/>
        <w:rPr>
          <w:snapToGrid w:val="0"/>
        </w:rPr>
      </w:pPr>
      <w:bookmarkStart w:id="203" w:name="_Toc213339594"/>
      <w:r>
        <w:rPr>
          <w:rStyle w:val="CharSClsNo"/>
        </w:rPr>
        <w:t>5</w:t>
      </w:r>
      <w:r>
        <w:rPr>
          <w:snapToGrid w:val="0"/>
        </w:rPr>
        <w:t>.</w:t>
      </w:r>
      <w:r>
        <w:rPr>
          <w:snapToGrid w:val="0"/>
        </w:rPr>
        <w:tab/>
        <w:t>Split games</w:t>
      </w:r>
      <w:bookmarkEnd w:id="203"/>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lastRenderedPageBreak/>
        <w:tab/>
        <w:t>(4)</w:t>
      </w:r>
      <w:r>
        <w:rPr>
          <w:snapToGrid w:val="0"/>
        </w:rPr>
        <w:tab/>
        <w:t>Interim prizes will be awarded to players winning split games in accordance with rule 5A(2)(a).</w:t>
      </w:r>
    </w:p>
    <w:p>
      <w:pPr>
        <w:pStyle w:val="yFootnotesection"/>
        <w:keepLines w:val="0"/>
      </w:pPr>
      <w:r>
        <w:tab/>
        <w:t>[Clause 5 inserted: Gazette 15 Feb 1994 p. 553.]</w:t>
      </w:r>
    </w:p>
    <w:p>
      <w:pPr>
        <w:pStyle w:val="yHeading5"/>
        <w:rPr>
          <w:snapToGrid w:val="0"/>
        </w:rPr>
      </w:pPr>
      <w:bookmarkStart w:id="204" w:name="_Toc213339595"/>
      <w:r>
        <w:rPr>
          <w:rStyle w:val="CharSClsNo"/>
        </w:rPr>
        <w:t>5A</w:t>
      </w:r>
      <w:r>
        <w:rPr>
          <w:snapToGrid w:val="0"/>
        </w:rPr>
        <w:t>.</w:t>
      </w:r>
      <w:r>
        <w:rPr>
          <w:snapToGrid w:val="0"/>
        </w:rPr>
        <w:tab/>
        <w:t>Prizes, who is eligible for</w:t>
      </w:r>
      <w:bookmarkEnd w:id="204"/>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Gazette 15 Feb 1994 p. 553.]</w:t>
      </w:r>
    </w:p>
    <w:p>
      <w:pPr>
        <w:pStyle w:val="yHeading5"/>
        <w:rPr>
          <w:snapToGrid w:val="0"/>
        </w:rPr>
      </w:pPr>
      <w:bookmarkStart w:id="205" w:name="_Toc213339596"/>
      <w:r>
        <w:rPr>
          <w:rStyle w:val="CharSClsNo"/>
        </w:rPr>
        <w:t>5B</w:t>
      </w:r>
      <w:r>
        <w:rPr>
          <w:snapToGrid w:val="0"/>
        </w:rPr>
        <w:t>.</w:t>
      </w:r>
      <w:r>
        <w:rPr>
          <w:snapToGrid w:val="0"/>
        </w:rPr>
        <w:tab/>
        <w:t>When games conclude</w:t>
      </w:r>
      <w:bookmarkEnd w:id="205"/>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Gazette 15 Feb 1994 p. 553.]</w:t>
      </w:r>
    </w:p>
    <w:p>
      <w:pPr>
        <w:pStyle w:val="yHeading5"/>
        <w:rPr>
          <w:snapToGrid w:val="0"/>
        </w:rPr>
      </w:pPr>
      <w:bookmarkStart w:id="206" w:name="_Toc213339597"/>
      <w:r>
        <w:rPr>
          <w:rStyle w:val="CharSClsNo"/>
        </w:rPr>
        <w:lastRenderedPageBreak/>
        <w:t>6</w:t>
      </w:r>
      <w:r>
        <w:rPr>
          <w:snapToGrid w:val="0"/>
        </w:rPr>
        <w:t>.</w:t>
      </w:r>
      <w:r>
        <w:rPr>
          <w:snapToGrid w:val="0"/>
        </w:rPr>
        <w:tab/>
        <w:t>Miscellaneous rules</w:t>
      </w:r>
      <w:bookmarkEnd w:id="206"/>
    </w:p>
    <w:p>
      <w:pPr>
        <w:pStyle w:val="ySubsection"/>
        <w:keepNext/>
        <w:rPr>
          <w:snapToGrid w:val="0"/>
        </w:rPr>
      </w:pPr>
      <w:r>
        <w:rPr>
          <w:snapToGrid w:val="0"/>
        </w:rPr>
        <w:tab/>
      </w:r>
      <w:r>
        <w:rPr>
          <w:snapToGrid w:val="0"/>
        </w:rPr>
        <w:tab/>
        <w:t>Except where the gaming permit authorises it —</w:t>
      </w:r>
    </w:p>
    <w:p>
      <w:pPr>
        <w:pStyle w:val="yIndenta"/>
        <w:keepNext/>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Gazette 6 Apr 1990 p. 1769; amended: Gazette 16 May 1997 p. 2394; 22 Aug 2006 p. 3468.]</w:t>
      </w:r>
    </w:p>
    <w:p>
      <w:pPr>
        <w:pStyle w:val="yHeading5"/>
        <w:rPr>
          <w:snapToGrid w:val="0"/>
        </w:rPr>
      </w:pPr>
      <w:bookmarkStart w:id="207" w:name="_Toc213339598"/>
      <w:r>
        <w:rPr>
          <w:rStyle w:val="CharSClsNo"/>
        </w:rPr>
        <w:t>7</w:t>
      </w:r>
      <w:r>
        <w:rPr>
          <w:snapToGrid w:val="0"/>
        </w:rPr>
        <w:t>.</w:t>
      </w:r>
      <w:r>
        <w:rPr>
          <w:snapToGrid w:val="0"/>
        </w:rPr>
        <w:tab/>
        <w:t>Prizes, announcement of etc.</w:t>
      </w:r>
      <w:bookmarkEnd w:id="207"/>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lastRenderedPageBreak/>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Gazette 16 May 1997 p. 2394.]</w:t>
      </w:r>
    </w:p>
    <w:p>
      <w:pPr>
        <w:pStyle w:val="yHeading5"/>
        <w:rPr>
          <w:snapToGrid w:val="0"/>
        </w:rPr>
      </w:pPr>
      <w:bookmarkStart w:id="208" w:name="_Toc213339599"/>
      <w:r>
        <w:rPr>
          <w:rStyle w:val="CharSClsNo"/>
        </w:rPr>
        <w:t>8</w:t>
      </w:r>
      <w:r>
        <w:rPr>
          <w:snapToGrid w:val="0"/>
        </w:rPr>
        <w:t>.</w:t>
      </w:r>
      <w:r>
        <w:rPr>
          <w:snapToGrid w:val="0"/>
        </w:rPr>
        <w:tab/>
        <w:t>Prize shared if more than one winner</w:t>
      </w:r>
      <w:bookmarkEnd w:id="208"/>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Gazette 16 May 1997 p. 2394.]</w:t>
      </w:r>
    </w:p>
    <w:p>
      <w:pPr>
        <w:pStyle w:val="yHeading5"/>
        <w:rPr>
          <w:snapToGrid w:val="0"/>
        </w:rPr>
      </w:pPr>
      <w:bookmarkStart w:id="209" w:name="_Toc213339600"/>
      <w:r>
        <w:rPr>
          <w:rStyle w:val="CharSClsNo"/>
        </w:rPr>
        <w:t>9</w:t>
      </w:r>
      <w:r>
        <w:rPr>
          <w:snapToGrid w:val="0"/>
        </w:rPr>
        <w:t>.</w:t>
      </w:r>
      <w:r>
        <w:rPr>
          <w:snapToGrid w:val="0"/>
        </w:rPr>
        <w:tab/>
        <w:t>Prizes paid as soon as practicable</w:t>
      </w:r>
      <w:bookmarkEnd w:id="209"/>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210" w:name="_Toc213339601"/>
      <w:r>
        <w:rPr>
          <w:rStyle w:val="CharSClsNo"/>
        </w:rPr>
        <w:t>10</w:t>
      </w:r>
      <w:r>
        <w:rPr>
          <w:snapToGrid w:val="0"/>
        </w:rPr>
        <w:t>.</w:t>
      </w:r>
      <w:r>
        <w:rPr>
          <w:snapToGrid w:val="0"/>
        </w:rPr>
        <w:tab/>
        <w:t>Player who makes incorrect call allowed to continue play</w:t>
      </w:r>
      <w:bookmarkEnd w:id="210"/>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Gazette 15 Feb 1994 p. 554.]</w:t>
      </w:r>
    </w:p>
    <w:p>
      <w:pPr>
        <w:pStyle w:val="yHeading5"/>
        <w:rPr>
          <w:snapToGrid w:val="0"/>
        </w:rPr>
      </w:pPr>
      <w:bookmarkStart w:id="211" w:name="_Toc213339602"/>
      <w:r>
        <w:rPr>
          <w:rStyle w:val="CharSClsNo"/>
        </w:rPr>
        <w:t>11</w:t>
      </w:r>
      <w:r>
        <w:rPr>
          <w:snapToGrid w:val="0"/>
        </w:rPr>
        <w:t>.</w:t>
      </w:r>
      <w:r>
        <w:rPr>
          <w:snapToGrid w:val="0"/>
        </w:rPr>
        <w:tab/>
        <w:t>Late calls by players</w:t>
      </w:r>
      <w:bookmarkEnd w:id="211"/>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Gazette 15 Feb 1994 p. 554.]</w:t>
      </w:r>
    </w:p>
    <w:p>
      <w:pPr>
        <w:pStyle w:val="yHeading5"/>
        <w:rPr>
          <w:snapToGrid w:val="0"/>
        </w:rPr>
      </w:pPr>
      <w:bookmarkStart w:id="212" w:name="_Toc213339603"/>
      <w:r>
        <w:rPr>
          <w:rStyle w:val="CharSClsNo"/>
        </w:rPr>
        <w:lastRenderedPageBreak/>
        <w:t>12</w:t>
      </w:r>
      <w:r>
        <w:rPr>
          <w:snapToGrid w:val="0"/>
        </w:rPr>
        <w:t>.</w:t>
      </w:r>
      <w:r>
        <w:rPr>
          <w:snapToGrid w:val="0"/>
        </w:rPr>
        <w:tab/>
        <w:t>Calls must be acknowledged</w:t>
      </w:r>
      <w:bookmarkEnd w:id="212"/>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Gazette 15 Feb 1994 p. 554.]</w:t>
      </w:r>
    </w:p>
    <w:p>
      <w:pPr>
        <w:pStyle w:val="yHeading3"/>
      </w:pPr>
      <w:bookmarkStart w:id="213" w:name="_Toc213336923"/>
      <w:bookmarkStart w:id="214" w:name="_Toc213337625"/>
      <w:bookmarkStart w:id="215" w:name="_Toc213339604"/>
      <w:r>
        <w:rPr>
          <w:rStyle w:val="CharSDivNo"/>
        </w:rPr>
        <w:t>Part 2</w:t>
      </w:r>
      <w:r>
        <w:t> — </w:t>
      </w:r>
      <w:r>
        <w:rPr>
          <w:rStyle w:val="CharSDivText"/>
        </w:rPr>
        <w:t>Permitted lotteries</w:t>
      </w:r>
      <w:bookmarkEnd w:id="213"/>
      <w:bookmarkEnd w:id="214"/>
      <w:bookmarkEnd w:id="215"/>
    </w:p>
    <w:p>
      <w:pPr>
        <w:pStyle w:val="yHeading4"/>
        <w:rPr>
          <w:snapToGrid w:val="0"/>
        </w:rPr>
      </w:pPr>
      <w:bookmarkStart w:id="216" w:name="_Toc213336924"/>
      <w:bookmarkStart w:id="217" w:name="_Toc213337626"/>
      <w:bookmarkStart w:id="218" w:name="_Toc213339605"/>
      <w:r>
        <w:rPr>
          <w:snapToGrid w:val="0"/>
        </w:rPr>
        <w:t>Division 1 — Rules for the conduct of a standard lottery</w:t>
      </w:r>
      <w:bookmarkEnd w:id="216"/>
      <w:bookmarkEnd w:id="217"/>
      <w:bookmarkEnd w:id="218"/>
    </w:p>
    <w:p>
      <w:pPr>
        <w:pStyle w:val="yHeading5"/>
        <w:rPr>
          <w:snapToGrid w:val="0"/>
        </w:rPr>
      </w:pPr>
      <w:bookmarkStart w:id="219" w:name="_Toc213339606"/>
      <w:r>
        <w:rPr>
          <w:rStyle w:val="CharSClsNo"/>
        </w:rPr>
        <w:t>1</w:t>
      </w:r>
      <w:r>
        <w:rPr>
          <w:snapToGrid w:val="0"/>
        </w:rPr>
        <w:t>.</w:t>
      </w:r>
      <w:r>
        <w:rPr>
          <w:snapToGrid w:val="0"/>
        </w:rPr>
        <w:tab/>
        <w:t>Chances, number of etc.</w:t>
      </w:r>
      <w:bookmarkEnd w:id="219"/>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Gazette 11 May 1993 p. 2399.]</w:t>
      </w:r>
    </w:p>
    <w:p>
      <w:pPr>
        <w:pStyle w:val="yHeading5"/>
        <w:rPr>
          <w:snapToGrid w:val="0"/>
        </w:rPr>
      </w:pPr>
      <w:bookmarkStart w:id="220" w:name="_Toc213339607"/>
      <w:r>
        <w:rPr>
          <w:rStyle w:val="CharSClsNo"/>
        </w:rPr>
        <w:t>2</w:t>
      </w:r>
      <w:r>
        <w:rPr>
          <w:snapToGrid w:val="0"/>
        </w:rPr>
        <w:t>.</w:t>
      </w:r>
      <w:r>
        <w:rPr>
          <w:snapToGrid w:val="0"/>
        </w:rPr>
        <w:tab/>
        <w:t>Chances, information on</w:t>
      </w:r>
      <w:bookmarkEnd w:id="220"/>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lastRenderedPageBreak/>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Gazette 11 May 1993 p. 2399; 23 Feb 1996 p. 675; 28 Jun 1996 p. 3100; 27 Oct 2000 p. 6030.]</w:t>
      </w:r>
    </w:p>
    <w:p>
      <w:pPr>
        <w:pStyle w:val="yHeading5"/>
        <w:outlineLvl w:val="9"/>
        <w:rPr>
          <w:snapToGrid w:val="0"/>
        </w:rPr>
      </w:pPr>
      <w:bookmarkStart w:id="221" w:name="_Toc213339608"/>
      <w:r>
        <w:rPr>
          <w:rStyle w:val="CharSClsNo"/>
        </w:rPr>
        <w:t>2A</w:t>
      </w:r>
      <w:r>
        <w:rPr>
          <w:snapToGrid w:val="0"/>
        </w:rPr>
        <w:t>.</w:t>
      </w:r>
      <w:r>
        <w:rPr>
          <w:snapToGrid w:val="0"/>
        </w:rPr>
        <w:tab/>
        <w:t>Chance holders, identification of</w:t>
      </w:r>
      <w:bookmarkEnd w:id="221"/>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Gazette 11 May 1993 p. 2399.]</w:t>
      </w:r>
    </w:p>
    <w:p>
      <w:pPr>
        <w:pStyle w:val="yHeading5"/>
        <w:rPr>
          <w:snapToGrid w:val="0"/>
        </w:rPr>
      </w:pPr>
      <w:bookmarkStart w:id="222" w:name="_Toc213339609"/>
      <w:r>
        <w:rPr>
          <w:rStyle w:val="CharSClsNo"/>
        </w:rPr>
        <w:t>3</w:t>
      </w:r>
      <w:r>
        <w:rPr>
          <w:snapToGrid w:val="0"/>
        </w:rPr>
        <w:t>.</w:t>
      </w:r>
      <w:r>
        <w:rPr>
          <w:snapToGrid w:val="0"/>
        </w:rPr>
        <w:tab/>
        <w:t>Results of draw</w:t>
      </w:r>
      <w:bookmarkEnd w:id="222"/>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keepNext/>
        <w:rPr>
          <w:snapToGrid w:val="0"/>
        </w:rPr>
      </w:pPr>
      <w:r>
        <w:rPr>
          <w:snapToGrid w:val="0"/>
        </w:rPr>
        <w:lastRenderedPageBreak/>
        <w:tab/>
        <w:t>(c)</w:t>
      </w:r>
      <w:r>
        <w:rPr>
          <w:snapToGrid w:val="0"/>
        </w:rPr>
        <w:tab/>
        <w:t>the manner in which prizes may be claimed,</w:t>
      </w:r>
    </w:p>
    <w:p>
      <w:pPr>
        <w:pStyle w:val="ySubsection"/>
        <w:keepNext/>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Gazette 28 Jun 1996 p. 3100.]</w:t>
      </w:r>
    </w:p>
    <w:p>
      <w:pPr>
        <w:pStyle w:val="yHeading5"/>
        <w:rPr>
          <w:snapToGrid w:val="0"/>
        </w:rPr>
      </w:pPr>
      <w:bookmarkStart w:id="223" w:name="_Toc213339610"/>
      <w:r>
        <w:rPr>
          <w:rStyle w:val="CharSClsNo"/>
        </w:rPr>
        <w:t>4</w:t>
      </w:r>
      <w:r>
        <w:rPr>
          <w:snapToGrid w:val="0"/>
        </w:rPr>
        <w:t>.</w:t>
      </w:r>
      <w:r>
        <w:rPr>
          <w:snapToGrid w:val="0"/>
        </w:rPr>
        <w:tab/>
        <w:t>Order in which prizes are to be drawn</w:t>
      </w:r>
      <w:bookmarkEnd w:id="223"/>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Gazette 11 May 1993 p. 2399.]</w:t>
      </w:r>
    </w:p>
    <w:p>
      <w:pPr>
        <w:pStyle w:val="yHeading4"/>
        <w:rPr>
          <w:snapToGrid w:val="0"/>
        </w:rPr>
      </w:pPr>
      <w:bookmarkStart w:id="224" w:name="_Toc213336930"/>
      <w:bookmarkStart w:id="225" w:name="_Toc213337632"/>
      <w:bookmarkStart w:id="226" w:name="_Toc213339611"/>
      <w:r>
        <w:rPr>
          <w:snapToGrid w:val="0"/>
        </w:rPr>
        <w:t>Division 2 — Rules for the conduct of a continuing lottery</w:t>
      </w:r>
      <w:bookmarkEnd w:id="224"/>
      <w:bookmarkEnd w:id="225"/>
      <w:bookmarkEnd w:id="226"/>
    </w:p>
    <w:p>
      <w:pPr>
        <w:pStyle w:val="yHeading5"/>
        <w:rPr>
          <w:snapToGrid w:val="0"/>
        </w:rPr>
      </w:pPr>
      <w:bookmarkStart w:id="227" w:name="_Toc213339612"/>
      <w:r>
        <w:rPr>
          <w:rStyle w:val="CharSClsNo"/>
        </w:rPr>
        <w:t>1</w:t>
      </w:r>
      <w:r>
        <w:rPr>
          <w:snapToGrid w:val="0"/>
        </w:rPr>
        <w:t>.</w:t>
      </w:r>
      <w:r>
        <w:rPr>
          <w:snapToGrid w:val="0"/>
        </w:rPr>
        <w:tab/>
        <w:t>Information on each ticket</w:t>
      </w:r>
      <w:bookmarkEnd w:id="227"/>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228" w:name="_Toc213339613"/>
      <w:r>
        <w:rPr>
          <w:rStyle w:val="CharSClsNo"/>
        </w:rPr>
        <w:t>2</w:t>
      </w:r>
      <w:r>
        <w:rPr>
          <w:snapToGrid w:val="0"/>
        </w:rPr>
        <w:t>.</w:t>
      </w:r>
      <w:r>
        <w:rPr>
          <w:snapToGrid w:val="0"/>
        </w:rPr>
        <w:tab/>
        <w:t>Where tickets may be sold</w:t>
      </w:r>
      <w:bookmarkEnd w:id="228"/>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Gazette 4 Aug 1992 p. 3831.]</w:t>
      </w:r>
    </w:p>
    <w:p>
      <w:pPr>
        <w:sectPr>
          <w:headerReference w:type="even" r:id="rId29"/>
          <w:headerReference w:type="default" r:id="rId30"/>
          <w:headerReference w:type="first" r:id="rId31"/>
          <w:pgSz w:w="11907" w:h="16840" w:code="9"/>
          <w:pgMar w:top="2376" w:right="2404" w:bottom="3544" w:left="2404" w:header="709" w:footer="3544" w:gutter="0"/>
          <w:cols w:space="720"/>
          <w:noEndnote/>
          <w:docGrid w:linePitch="326"/>
        </w:sectPr>
      </w:pPr>
    </w:p>
    <w:p>
      <w:pPr>
        <w:pStyle w:val="yScheduleHeading"/>
      </w:pPr>
      <w:bookmarkStart w:id="229" w:name="_Toc213336933"/>
      <w:bookmarkStart w:id="230" w:name="_Toc213337635"/>
      <w:bookmarkStart w:id="231" w:name="_Toc213339614"/>
      <w:r>
        <w:rPr>
          <w:rStyle w:val="CharSchNo"/>
        </w:rPr>
        <w:lastRenderedPageBreak/>
        <w:t>Schedule 5</w:t>
      </w:r>
      <w:r>
        <w:rPr>
          <w:rStyle w:val="CharSDivNo"/>
        </w:rPr>
        <w:t> </w:t>
      </w:r>
      <w:r>
        <w:t>—</w:t>
      </w:r>
      <w:r>
        <w:rPr>
          <w:rStyle w:val="CharSDivText"/>
        </w:rPr>
        <w:t> </w:t>
      </w:r>
      <w:r>
        <w:rPr>
          <w:rStyle w:val="CharSchText"/>
        </w:rPr>
        <w:t>Conditions for trade promotion lottery</w:t>
      </w:r>
      <w:bookmarkEnd w:id="229"/>
      <w:bookmarkEnd w:id="230"/>
      <w:bookmarkEnd w:id="231"/>
    </w:p>
    <w:p>
      <w:pPr>
        <w:pStyle w:val="yShoulderClause"/>
      </w:pPr>
      <w:r>
        <w:t>[r. 36A]</w:t>
      </w:r>
    </w:p>
    <w:p>
      <w:pPr>
        <w:pStyle w:val="yFootnoteheading"/>
      </w:pPr>
      <w:r>
        <w:tab/>
        <w:t>[Heading inserted: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keepNext/>
      </w:pPr>
      <w:r>
        <w:lastRenderedPageBreak/>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7" w:h="16840" w:code="9"/>
          <w:pgMar w:top="2376" w:right="2404" w:bottom="3544" w:left="2404" w:header="709" w:footer="3544" w:gutter="0"/>
          <w:cols w:space="720"/>
          <w:noEndnote/>
          <w:docGrid w:linePitch="326"/>
        </w:sectPr>
      </w:pPr>
    </w:p>
    <w:p>
      <w:pPr>
        <w:pStyle w:val="nHeading2"/>
      </w:pPr>
      <w:bookmarkStart w:id="232" w:name="_Toc213336934"/>
      <w:bookmarkStart w:id="233" w:name="_Toc213337636"/>
      <w:bookmarkStart w:id="234" w:name="_Toc213339615"/>
      <w:r>
        <w:lastRenderedPageBreak/>
        <w:t>Notes</w:t>
      </w:r>
      <w:bookmarkEnd w:id="232"/>
      <w:bookmarkEnd w:id="233"/>
      <w:bookmarkEnd w:id="234"/>
    </w:p>
    <w:p>
      <w:pPr>
        <w:pStyle w:val="nStatement"/>
      </w:pPr>
      <w:r>
        <w:t xml:space="preserve">This is a compilation of the </w:t>
      </w:r>
      <w:r>
        <w:rPr>
          <w:i/>
          <w:noProof/>
        </w:rPr>
        <w:t>Gaming and Wagering Commission Regulations 1988</w:t>
      </w:r>
      <w:r>
        <w:t xml:space="preserve"> and includes amendments made by other written laws</w:t>
      </w:r>
      <w:r>
        <w:rPr>
          <w:vertAlign w:val="superscript"/>
        </w:rPr>
        <w:t> 3</w:t>
      </w:r>
      <w:r>
        <w:t>. For provisions that have come into operation, and for information about any reprints, see the compilation table. For provisions that have not yet come into operation see the uncommenced provisions table.</w:t>
      </w:r>
    </w:p>
    <w:p>
      <w:pPr>
        <w:pStyle w:val="nHeading3"/>
      </w:pPr>
      <w:bookmarkStart w:id="235" w:name="_Toc213339616"/>
      <w:r>
        <w:t>Compilation table</w:t>
      </w:r>
      <w:bookmarkEnd w:id="235"/>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Commission Regulations 1988</w:t>
            </w:r>
            <w:r>
              <w:rPr>
                <w:snapToGrid w:val="0"/>
                <w:vertAlign w:val="superscript"/>
              </w:rPr>
              <w:t> 4</w:t>
            </w:r>
          </w:p>
        </w:tc>
        <w:tc>
          <w:tcPr>
            <w:tcW w:w="1276" w:type="dxa"/>
          </w:tcPr>
          <w:p>
            <w:pPr>
              <w:pStyle w:val="nTable"/>
              <w:spacing w:after="40"/>
            </w:pPr>
            <w:r>
              <w:t>29 Apr 1988 p. 1295</w:t>
            </w:r>
            <w:r>
              <w:noBreakHyphen/>
              <w:t>304</w:t>
            </w:r>
          </w:p>
        </w:tc>
        <w:tc>
          <w:tcPr>
            <w:tcW w:w="2693" w:type="dxa"/>
          </w:tcPr>
          <w:p>
            <w:pPr>
              <w:pStyle w:val="nTable"/>
              <w:spacing w:after="40"/>
            </w:pPr>
            <w:r>
              <w:t>2 May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1988</w:t>
            </w:r>
          </w:p>
        </w:tc>
        <w:tc>
          <w:tcPr>
            <w:tcW w:w="1276" w:type="dxa"/>
          </w:tcPr>
          <w:p>
            <w:pPr>
              <w:pStyle w:val="nTable"/>
              <w:spacing w:after="40"/>
            </w:pPr>
            <w:r>
              <w:t>7 Oct 1988 p. 4106</w:t>
            </w:r>
          </w:p>
        </w:tc>
        <w:tc>
          <w:tcPr>
            <w:tcW w:w="2693" w:type="dxa"/>
          </w:tcPr>
          <w:p>
            <w:pPr>
              <w:pStyle w:val="nTable"/>
              <w:spacing w:after="40"/>
            </w:pPr>
            <w:r>
              <w:t>7 Oct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1988</w:t>
            </w:r>
          </w:p>
        </w:tc>
        <w:tc>
          <w:tcPr>
            <w:tcW w:w="1276" w:type="dxa"/>
          </w:tcPr>
          <w:p>
            <w:pPr>
              <w:pStyle w:val="nTable"/>
              <w:spacing w:after="40"/>
            </w:pPr>
            <w:r>
              <w:t>18 Nov 1988 p. 4527</w:t>
            </w:r>
            <w:r>
              <w:noBreakHyphen/>
              <w:t>9</w:t>
            </w:r>
          </w:p>
        </w:tc>
        <w:tc>
          <w:tcPr>
            <w:tcW w:w="2693" w:type="dxa"/>
          </w:tcPr>
          <w:p>
            <w:pPr>
              <w:pStyle w:val="nTable"/>
              <w:spacing w:after="40"/>
            </w:pPr>
            <w:r>
              <w:t>18 Nov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1989</w:t>
            </w:r>
          </w:p>
        </w:tc>
        <w:tc>
          <w:tcPr>
            <w:tcW w:w="1276" w:type="dxa"/>
          </w:tcPr>
          <w:p>
            <w:pPr>
              <w:pStyle w:val="nTable"/>
              <w:spacing w:after="40"/>
            </w:pPr>
            <w:r>
              <w:t>26 May 1989 p. 1548</w:t>
            </w:r>
          </w:p>
        </w:tc>
        <w:tc>
          <w:tcPr>
            <w:tcW w:w="2693" w:type="dxa"/>
          </w:tcPr>
          <w:p>
            <w:pPr>
              <w:pStyle w:val="nTable"/>
              <w:spacing w:after="40"/>
            </w:pPr>
            <w:r>
              <w:t>26 May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1989</w:t>
            </w:r>
          </w:p>
        </w:tc>
        <w:tc>
          <w:tcPr>
            <w:tcW w:w="1276" w:type="dxa"/>
          </w:tcPr>
          <w:p>
            <w:pPr>
              <w:pStyle w:val="nTable"/>
              <w:spacing w:after="40"/>
            </w:pPr>
            <w:r>
              <w:t>4 Aug 1989 p. 2497</w:t>
            </w:r>
            <w:r>
              <w:noBreakHyphen/>
              <w:t>500</w:t>
            </w:r>
          </w:p>
        </w:tc>
        <w:tc>
          <w:tcPr>
            <w:tcW w:w="2693" w:type="dxa"/>
          </w:tcPr>
          <w:p>
            <w:pPr>
              <w:pStyle w:val="nTable"/>
              <w:spacing w:after="40"/>
            </w:pPr>
            <w:r>
              <w:t>4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1989</w:t>
            </w:r>
          </w:p>
        </w:tc>
        <w:tc>
          <w:tcPr>
            <w:tcW w:w="1276" w:type="dxa"/>
          </w:tcPr>
          <w:p>
            <w:pPr>
              <w:pStyle w:val="nTable"/>
              <w:spacing w:after="40"/>
            </w:pPr>
            <w:r>
              <w:t>25 Aug 1989 p. 2835</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1989</w:t>
            </w:r>
          </w:p>
        </w:tc>
        <w:tc>
          <w:tcPr>
            <w:tcW w:w="1276" w:type="dxa"/>
          </w:tcPr>
          <w:p>
            <w:pPr>
              <w:pStyle w:val="nTable"/>
              <w:spacing w:after="40"/>
            </w:pPr>
            <w:r>
              <w:t>6 Apr 1990 p. 1768</w:t>
            </w:r>
            <w:r>
              <w:noBreakHyphen/>
              <w:t>9</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1990</w:t>
            </w:r>
          </w:p>
        </w:tc>
        <w:tc>
          <w:tcPr>
            <w:tcW w:w="1276" w:type="dxa"/>
          </w:tcPr>
          <w:p>
            <w:pPr>
              <w:pStyle w:val="nTable"/>
              <w:spacing w:after="40"/>
            </w:pPr>
            <w:r>
              <w:t>6 Apr 1990 p. 1770</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1990</w:t>
            </w:r>
          </w:p>
        </w:tc>
        <w:tc>
          <w:tcPr>
            <w:tcW w:w="1276" w:type="dxa"/>
          </w:tcPr>
          <w:p>
            <w:pPr>
              <w:pStyle w:val="nTable"/>
              <w:spacing w:after="40"/>
            </w:pPr>
            <w:r>
              <w:t>4 May 1990 p. 2243</w:t>
            </w:r>
          </w:p>
        </w:tc>
        <w:tc>
          <w:tcPr>
            <w:tcW w:w="2693" w:type="dxa"/>
          </w:tcPr>
          <w:p>
            <w:pPr>
              <w:pStyle w:val="nTable"/>
              <w:spacing w:after="40"/>
            </w:pPr>
            <w:r>
              <w:t>4 May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1990</w:t>
            </w:r>
          </w:p>
        </w:tc>
        <w:tc>
          <w:tcPr>
            <w:tcW w:w="1276" w:type="dxa"/>
          </w:tcPr>
          <w:p>
            <w:pPr>
              <w:pStyle w:val="nTable"/>
              <w:spacing w:after="40"/>
            </w:pPr>
            <w:r>
              <w:t>8 Feb 1991 p. 651</w:t>
            </w:r>
          </w:p>
        </w:tc>
        <w:tc>
          <w:tcPr>
            <w:tcW w:w="2693" w:type="dxa"/>
          </w:tcPr>
          <w:p>
            <w:pPr>
              <w:pStyle w:val="nTable"/>
              <w:spacing w:after="40"/>
            </w:pPr>
            <w:r>
              <w:t>8 Feb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1991</w:t>
            </w:r>
          </w:p>
        </w:tc>
        <w:tc>
          <w:tcPr>
            <w:tcW w:w="1276" w:type="dxa"/>
          </w:tcPr>
          <w:p>
            <w:pPr>
              <w:pStyle w:val="nTable"/>
              <w:spacing w:after="40"/>
            </w:pPr>
            <w:r>
              <w:t>27 Sep 1991 p. 5068</w:t>
            </w:r>
            <w:r>
              <w:noBreakHyphen/>
              <w:t>9</w:t>
            </w:r>
          </w:p>
        </w:tc>
        <w:tc>
          <w:tcPr>
            <w:tcW w:w="2693" w:type="dxa"/>
          </w:tcPr>
          <w:p>
            <w:pPr>
              <w:pStyle w:val="nTable"/>
              <w:spacing w:after="40"/>
            </w:pPr>
            <w:r>
              <w:t>27 Sep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1992</w:t>
            </w:r>
          </w:p>
        </w:tc>
        <w:tc>
          <w:tcPr>
            <w:tcW w:w="1276" w:type="dxa"/>
          </w:tcPr>
          <w:p>
            <w:pPr>
              <w:pStyle w:val="nTable"/>
              <w:spacing w:after="40"/>
            </w:pPr>
            <w:r>
              <w:t>27 Mar 1992 p. 1370</w:t>
            </w:r>
          </w:p>
        </w:tc>
        <w:tc>
          <w:tcPr>
            <w:tcW w:w="2693" w:type="dxa"/>
          </w:tcPr>
          <w:p>
            <w:pPr>
              <w:pStyle w:val="nTable"/>
              <w:spacing w:after="40"/>
            </w:pPr>
            <w:r>
              <w:t>27 Mar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1992</w:t>
            </w:r>
          </w:p>
        </w:tc>
        <w:tc>
          <w:tcPr>
            <w:tcW w:w="1276" w:type="dxa"/>
          </w:tcPr>
          <w:p>
            <w:pPr>
              <w:pStyle w:val="nTable"/>
              <w:spacing w:after="40"/>
            </w:pPr>
            <w:r>
              <w:t>4 Aug 1992 p. 3831</w:t>
            </w:r>
          </w:p>
        </w:tc>
        <w:tc>
          <w:tcPr>
            <w:tcW w:w="2693" w:type="dxa"/>
          </w:tcPr>
          <w:p>
            <w:pPr>
              <w:pStyle w:val="nTable"/>
              <w:spacing w:after="40"/>
            </w:pPr>
            <w:r>
              <w:t>4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1993</w:t>
            </w:r>
          </w:p>
        </w:tc>
        <w:tc>
          <w:tcPr>
            <w:tcW w:w="1276" w:type="dxa"/>
          </w:tcPr>
          <w:p>
            <w:pPr>
              <w:pStyle w:val="nTable"/>
              <w:spacing w:after="40"/>
            </w:pPr>
            <w:r>
              <w:t>30 Apr 1993 p. 2282</w:t>
            </w:r>
            <w:r>
              <w:noBreakHyphen/>
              <w:t>3</w:t>
            </w:r>
          </w:p>
        </w:tc>
        <w:tc>
          <w:tcPr>
            <w:tcW w:w="2693" w:type="dxa"/>
          </w:tcPr>
          <w:p>
            <w:pPr>
              <w:pStyle w:val="nTable"/>
              <w:spacing w:after="40"/>
            </w:pPr>
            <w:r>
              <w:t>30 Apr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1993</w:t>
            </w:r>
          </w:p>
        </w:tc>
        <w:tc>
          <w:tcPr>
            <w:tcW w:w="1276" w:type="dxa"/>
          </w:tcPr>
          <w:p>
            <w:pPr>
              <w:pStyle w:val="nTable"/>
              <w:spacing w:after="40"/>
            </w:pPr>
            <w:r>
              <w:t>11 May 1993 p. 2397</w:t>
            </w:r>
            <w:r>
              <w:noBreakHyphen/>
              <w:t>9</w:t>
            </w:r>
          </w:p>
        </w:tc>
        <w:tc>
          <w:tcPr>
            <w:tcW w:w="2693" w:type="dxa"/>
          </w:tcPr>
          <w:p>
            <w:pPr>
              <w:pStyle w:val="nTable"/>
              <w:spacing w:after="40"/>
            </w:pPr>
            <w:r>
              <w:t>11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Gaming Commission Amendment Regulations (No. 3) 1993</w:t>
            </w:r>
          </w:p>
        </w:tc>
        <w:tc>
          <w:tcPr>
            <w:tcW w:w="1276" w:type="dxa"/>
          </w:tcPr>
          <w:p>
            <w:pPr>
              <w:pStyle w:val="nTable"/>
              <w:spacing w:after="40"/>
            </w:pPr>
            <w:r>
              <w:t>21 May 1993 p. 2519</w:t>
            </w:r>
            <w:r>
              <w:noBreakHyphen/>
              <w:t>20</w:t>
            </w:r>
          </w:p>
        </w:tc>
        <w:tc>
          <w:tcPr>
            <w:tcW w:w="2693" w:type="dxa"/>
          </w:tcPr>
          <w:p>
            <w:pPr>
              <w:pStyle w:val="nTable"/>
              <w:spacing w:after="40"/>
            </w:pPr>
            <w:r>
              <w:t>21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1993</w:t>
            </w:r>
          </w:p>
        </w:tc>
        <w:tc>
          <w:tcPr>
            <w:tcW w:w="1276" w:type="dxa"/>
          </w:tcPr>
          <w:p>
            <w:pPr>
              <w:pStyle w:val="nTable"/>
              <w:spacing w:after="40"/>
            </w:pPr>
            <w:r>
              <w:t>6 Jul 1993 p. 3312</w:t>
            </w:r>
          </w:p>
        </w:tc>
        <w:tc>
          <w:tcPr>
            <w:tcW w:w="2693" w:type="dxa"/>
          </w:tcPr>
          <w:p>
            <w:pPr>
              <w:pStyle w:val="nTable"/>
              <w:spacing w:after="40"/>
            </w:pPr>
            <w:r>
              <w:t>6 Jul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5) 1993</w:t>
            </w:r>
          </w:p>
        </w:tc>
        <w:tc>
          <w:tcPr>
            <w:tcW w:w="1276" w:type="dxa"/>
          </w:tcPr>
          <w:p>
            <w:pPr>
              <w:pStyle w:val="nTable"/>
              <w:spacing w:after="40"/>
            </w:pPr>
            <w:r>
              <w:t>22 Oct 1993 p. 5805</w:t>
            </w:r>
            <w:r>
              <w:noBreakHyphen/>
              <w:t>6</w:t>
            </w:r>
          </w:p>
        </w:tc>
        <w:tc>
          <w:tcPr>
            <w:tcW w:w="2693" w:type="dxa"/>
          </w:tcPr>
          <w:p>
            <w:pPr>
              <w:pStyle w:val="nTable"/>
              <w:spacing w:after="40"/>
            </w:pPr>
            <w:r>
              <w:t>22 Oct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1994</w:t>
            </w:r>
          </w:p>
        </w:tc>
        <w:tc>
          <w:tcPr>
            <w:tcW w:w="1276" w:type="dxa"/>
          </w:tcPr>
          <w:p>
            <w:pPr>
              <w:pStyle w:val="nTable"/>
              <w:spacing w:after="40"/>
            </w:pPr>
            <w:r>
              <w:t>15 Feb 1994 p. 552</w:t>
            </w:r>
            <w:r>
              <w:noBreakHyphen/>
              <w:t>4</w:t>
            </w:r>
          </w:p>
        </w:tc>
        <w:tc>
          <w:tcPr>
            <w:tcW w:w="2693" w:type="dxa"/>
          </w:tcPr>
          <w:p>
            <w:pPr>
              <w:pStyle w:val="nTable"/>
              <w:spacing w:after="40"/>
            </w:pPr>
            <w:r>
              <w:t>15 Feb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1994</w:t>
            </w:r>
          </w:p>
        </w:tc>
        <w:tc>
          <w:tcPr>
            <w:tcW w:w="1276" w:type="dxa"/>
          </w:tcPr>
          <w:p>
            <w:pPr>
              <w:pStyle w:val="nTable"/>
              <w:spacing w:after="40"/>
            </w:pPr>
            <w:r>
              <w:t>22 Apr 1994 p. 1710</w:t>
            </w:r>
          </w:p>
        </w:tc>
        <w:tc>
          <w:tcPr>
            <w:tcW w:w="2693" w:type="dxa"/>
          </w:tcPr>
          <w:p>
            <w:pPr>
              <w:pStyle w:val="nTable"/>
              <w:spacing w:after="40"/>
            </w:pPr>
            <w:r>
              <w:t>22 Apr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1994</w:t>
            </w:r>
          </w:p>
        </w:tc>
        <w:tc>
          <w:tcPr>
            <w:tcW w:w="1276" w:type="dxa"/>
          </w:tcPr>
          <w:p>
            <w:pPr>
              <w:pStyle w:val="nTable"/>
              <w:spacing w:after="40"/>
            </w:pPr>
            <w:r>
              <w:t>6 Jan 1995 p. 27</w:t>
            </w:r>
            <w:r>
              <w:noBreakHyphen/>
              <w:t>8</w:t>
            </w:r>
          </w:p>
        </w:tc>
        <w:tc>
          <w:tcPr>
            <w:tcW w:w="2693" w:type="dxa"/>
          </w:tcPr>
          <w:p>
            <w:pPr>
              <w:pStyle w:val="nTable"/>
              <w:spacing w:after="40"/>
            </w:pPr>
            <w:r>
              <w:t>6 Jan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1995</w:t>
            </w:r>
          </w:p>
        </w:tc>
        <w:tc>
          <w:tcPr>
            <w:tcW w:w="1276" w:type="dxa"/>
          </w:tcPr>
          <w:p>
            <w:pPr>
              <w:pStyle w:val="nTable"/>
              <w:spacing w:after="40"/>
            </w:pPr>
            <w:r>
              <w:t>15 Dec 1995 p. 6124</w:t>
            </w:r>
            <w:r>
              <w:noBreakHyphen/>
              <w:t>5</w:t>
            </w:r>
          </w:p>
        </w:tc>
        <w:tc>
          <w:tcPr>
            <w:tcW w:w="2693" w:type="dxa"/>
          </w:tcPr>
          <w:p>
            <w:pPr>
              <w:pStyle w:val="nTable"/>
              <w:spacing w:after="40"/>
            </w:pPr>
            <w:r>
              <w:t>15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1996</w:t>
            </w:r>
          </w:p>
        </w:tc>
        <w:tc>
          <w:tcPr>
            <w:tcW w:w="1276" w:type="dxa"/>
          </w:tcPr>
          <w:p>
            <w:pPr>
              <w:pStyle w:val="nTable"/>
              <w:spacing w:after="40"/>
            </w:pPr>
            <w:r>
              <w:t>23 Feb 1996 p. 674</w:t>
            </w:r>
            <w:r>
              <w:noBreakHyphen/>
              <w:t>5</w:t>
            </w:r>
          </w:p>
        </w:tc>
        <w:tc>
          <w:tcPr>
            <w:tcW w:w="2693" w:type="dxa"/>
          </w:tcPr>
          <w:p>
            <w:pPr>
              <w:pStyle w:val="nTable"/>
              <w:spacing w:after="40"/>
            </w:pPr>
            <w:r>
              <w:t>23 Feb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1996</w:t>
            </w:r>
          </w:p>
        </w:tc>
        <w:tc>
          <w:tcPr>
            <w:tcW w:w="1276" w:type="dxa"/>
          </w:tcPr>
          <w:p>
            <w:pPr>
              <w:pStyle w:val="nTable"/>
              <w:spacing w:after="40"/>
            </w:pPr>
            <w:r>
              <w:t>28 Jun 1996 p. 3098</w:t>
            </w:r>
            <w:r>
              <w:noBreakHyphen/>
              <w:t>100</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1997</w:t>
            </w:r>
          </w:p>
        </w:tc>
        <w:tc>
          <w:tcPr>
            <w:tcW w:w="1276" w:type="dxa"/>
          </w:tcPr>
          <w:p>
            <w:pPr>
              <w:pStyle w:val="nTable"/>
              <w:spacing w:after="40"/>
            </w:pPr>
            <w:r>
              <w:t>16 May 1997 p. 2392</w:t>
            </w:r>
            <w:r>
              <w:noBreakHyphen/>
              <w:t>4</w:t>
            </w:r>
          </w:p>
        </w:tc>
        <w:tc>
          <w:tcPr>
            <w:tcW w:w="2693" w:type="dxa"/>
          </w:tcPr>
          <w:p>
            <w:pPr>
              <w:pStyle w:val="nTable"/>
              <w:spacing w:after="40"/>
            </w:pPr>
            <w:r>
              <w:t>16 May 1997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by </w:t>
            </w:r>
            <w:r>
              <w:rPr>
                <w:i/>
              </w:rPr>
              <w:t>Gazette</w:t>
            </w:r>
            <w:r>
              <w:t xml:space="preserve"> 11 Jul 1997 p. 3623</w:t>
            </w:r>
            <w:r>
              <w:noBreakHyphen/>
              <w:t>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1997</w:t>
            </w:r>
          </w:p>
        </w:tc>
        <w:tc>
          <w:tcPr>
            <w:tcW w:w="1276" w:type="dxa"/>
          </w:tcPr>
          <w:p>
            <w:pPr>
              <w:pStyle w:val="nTable"/>
              <w:spacing w:after="40"/>
            </w:pPr>
            <w:r>
              <w:t>14 Nov 1997 p. 6448</w:t>
            </w:r>
            <w:r>
              <w:noBreakHyphen/>
              <w:t>9</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1998</w:t>
            </w:r>
          </w:p>
        </w:tc>
        <w:tc>
          <w:tcPr>
            <w:tcW w:w="1276" w:type="dxa"/>
          </w:tcPr>
          <w:p>
            <w:pPr>
              <w:pStyle w:val="nTable"/>
              <w:spacing w:after="40"/>
            </w:pPr>
            <w:r>
              <w:t>4 Aug 1998 p. 3988</w:t>
            </w:r>
            <w:r>
              <w:noBreakHyphen/>
              <w:t>9</w:t>
            </w:r>
          </w:p>
        </w:tc>
        <w:tc>
          <w:tcPr>
            <w:tcW w:w="2693" w:type="dxa"/>
          </w:tcPr>
          <w:p>
            <w:pPr>
              <w:pStyle w:val="nTable"/>
              <w:spacing w:after="40"/>
            </w:pPr>
            <w:r>
              <w:t xml:space="preserve">5 Aug 1998 (see r. 2 and </w:t>
            </w:r>
            <w:r>
              <w:rPr>
                <w:i/>
              </w:rPr>
              <w:t>Gazette</w:t>
            </w:r>
            <w:r>
              <w:t xml:space="preserve"> 4 Aug 1998 p. 3981)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1998</w:t>
            </w:r>
          </w:p>
        </w:tc>
        <w:tc>
          <w:tcPr>
            <w:tcW w:w="1276" w:type="dxa"/>
          </w:tcPr>
          <w:p>
            <w:pPr>
              <w:pStyle w:val="nTable"/>
              <w:spacing w:after="40"/>
            </w:pPr>
            <w:r>
              <w:t>5 Feb 1999 p. 405</w:t>
            </w:r>
          </w:p>
        </w:tc>
        <w:tc>
          <w:tcPr>
            <w:tcW w:w="2693" w:type="dxa"/>
          </w:tcPr>
          <w:p>
            <w:pPr>
              <w:pStyle w:val="nTable"/>
              <w:spacing w:after="40"/>
            </w:pPr>
            <w:r>
              <w:t>5 Feb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1999</w:t>
            </w:r>
          </w:p>
        </w:tc>
        <w:tc>
          <w:tcPr>
            <w:tcW w:w="1276" w:type="dxa"/>
          </w:tcPr>
          <w:p>
            <w:pPr>
              <w:pStyle w:val="nTable"/>
              <w:spacing w:after="40"/>
            </w:pPr>
            <w:r>
              <w:t>2 Jul 1999 p. 2921</w:t>
            </w:r>
            <w:r>
              <w:noBreakHyphen/>
              <w:t>2</w:t>
            </w:r>
          </w:p>
        </w:tc>
        <w:tc>
          <w:tcPr>
            <w:tcW w:w="2693" w:type="dxa"/>
          </w:tcPr>
          <w:p>
            <w:pPr>
              <w:pStyle w:val="nTable"/>
              <w:spacing w:after="40"/>
            </w:pPr>
            <w:r>
              <w:t>2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2000</w:t>
            </w:r>
          </w:p>
        </w:tc>
        <w:tc>
          <w:tcPr>
            <w:tcW w:w="1276" w:type="dxa"/>
          </w:tcPr>
          <w:p>
            <w:pPr>
              <w:pStyle w:val="nTable"/>
              <w:spacing w:after="40"/>
            </w:pPr>
            <w:r>
              <w:t>12 May 2000 p. 2285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2000</w:t>
            </w:r>
          </w:p>
        </w:tc>
        <w:tc>
          <w:tcPr>
            <w:tcW w:w="1276" w:type="dxa"/>
          </w:tcPr>
          <w:p>
            <w:pPr>
              <w:pStyle w:val="nTable"/>
              <w:spacing w:after="40"/>
            </w:pPr>
            <w:r>
              <w:t>23 Jun 2000 p. 3206</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2000</w:t>
            </w:r>
          </w:p>
        </w:tc>
        <w:tc>
          <w:tcPr>
            <w:tcW w:w="1276" w:type="dxa"/>
          </w:tcPr>
          <w:p>
            <w:pPr>
              <w:pStyle w:val="nTable"/>
              <w:spacing w:after="40"/>
            </w:pPr>
            <w:r>
              <w:t>27 Oct 2000 p. 6030</w:t>
            </w:r>
          </w:p>
        </w:tc>
        <w:tc>
          <w:tcPr>
            <w:tcW w:w="2693" w:type="dxa"/>
          </w:tcPr>
          <w:p>
            <w:pPr>
              <w:pStyle w:val="nTable"/>
              <w:spacing w:after="40"/>
            </w:pPr>
            <w:r>
              <w:t>27 Oct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Gaming Commission Amendment Regulations 2001</w:t>
            </w:r>
          </w:p>
        </w:tc>
        <w:tc>
          <w:tcPr>
            <w:tcW w:w="1276" w:type="dxa"/>
          </w:tcPr>
          <w:p>
            <w:pPr>
              <w:pStyle w:val="nTable"/>
              <w:spacing w:after="40"/>
            </w:pPr>
            <w:r>
              <w:t>2 Oct 2001 p. 5458</w:t>
            </w:r>
            <w:r>
              <w:noBreakHyphen/>
              <w:t>60</w:t>
            </w:r>
          </w:p>
        </w:tc>
        <w:tc>
          <w:tcPr>
            <w:tcW w:w="2693" w:type="dxa"/>
          </w:tcPr>
          <w:p>
            <w:pPr>
              <w:pStyle w:val="nTable"/>
              <w:spacing w:after="40"/>
            </w:pPr>
            <w:r>
              <w:t xml:space="preserve">2 Oct 2001 </w:t>
            </w:r>
            <w:r>
              <w:rPr>
                <w:vertAlign w:val="superscript"/>
              </w:rPr>
              <w:t>5</w:t>
            </w:r>
            <w:r>
              <w:t xml:space="preserve">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2001</w:t>
            </w:r>
          </w:p>
        </w:tc>
        <w:tc>
          <w:tcPr>
            <w:tcW w:w="1276" w:type="dxa"/>
          </w:tcPr>
          <w:p>
            <w:pPr>
              <w:pStyle w:val="nTable"/>
              <w:spacing w:after="40"/>
            </w:pPr>
            <w:r>
              <w:t>21 Dec 2001 p. 6550</w:t>
            </w:r>
            <w:r>
              <w:noBreakHyphen/>
              <w:t>1</w:t>
            </w:r>
          </w:p>
        </w:tc>
        <w:tc>
          <w:tcPr>
            <w:tcW w:w="2693" w:type="dxa"/>
          </w:tcPr>
          <w:p>
            <w:pPr>
              <w:pStyle w:val="nTable"/>
              <w:spacing w:after="40"/>
            </w:pPr>
            <w:r>
              <w:t>21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2002</w:t>
            </w:r>
          </w:p>
        </w:tc>
        <w:tc>
          <w:tcPr>
            <w:tcW w:w="1276" w:type="dxa"/>
          </w:tcPr>
          <w:p>
            <w:pPr>
              <w:pStyle w:val="nTable"/>
              <w:spacing w:after="40"/>
            </w:pPr>
            <w:r>
              <w:t>15 Mar 2002 p. 1313</w:t>
            </w:r>
          </w:p>
        </w:tc>
        <w:tc>
          <w:tcPr>
            <w:tcW w:w="2693" w:type="dxa"/>
          </w:tcPr>
          <w:p>
            <w:pPr>
              <w:pStyle w:val="nTable"/>
              <w:spacing w:after="40"/>
            </w:pPr>
            <w:r>
              <w:t>15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2002</w:t>
            </w:r>
          </w:p>
        </w:tc>
        <w:tc>
          <w:tcPr>
            <w:tcW w:w="1276" w:type="dxa"/>
          </w:tcPr>
          <w:p>
            <w:pPr>
              <w:pStyle w:val="nTable"/>
              <w:spacing w:after="40"/>
            </w:pPr>
            <w:r>
              <w:t>30 Jul 2002 p. 3530</w:t>
            </w:r>
          </w:p>
        </w:tc>
        <w:tc>
          <w:tcPr>
            <w:tcW w:w="2693" w:type="dxa"/>
          </w:tcPr>
          <w:p>
            <w:pPr>
              <w:pStyle w:val="nTable"/>
              <w:spacing w:after="40"/>
            </w:pPr>
            <w:r>
              <w:t>30 Jul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2002</w:t>
            </w:r>
          </w:p>
        </w:tc>
        <w:tc>
          <w:tcPr>
            <w:tcW w:w="1276" w:type="dxa"/>
          </w:tcPr>
          <w:p>
            <w:pPr>
              <w:pStyle w:val="nTable"/>
              <w:spacing w:after="40"/>
            </w:pPr>
            <w:r>
              <w:t>19 Nov 2002 p. 5516</w:t>
            </w:r>
            <w:r>
              <w:noBreakHyphen/>
              <w:t>18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Gaming Commission Amendment Regulations 2003</w:t>
            </w:r>
          </w:p>
        </w:tc>
        <w:tc>
          <w:tcPr>
            <w:tcW w:w="1276" w:type="dxa"/>
          </w:tcPr>
          <w:p>
            <w:pPr>
              <w:pStyle w:val="nTable"/>
              <w:spacing w:after="40"/>
            </w:pPr>
            <w:r>
              <w:t>26 Sep 2003 p. 4220</w:t>
            </w:r>
            <w:r>
              <w:noBreakHyphen/>
              <w:t>1</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Commission Amendment Regulations 2004</w:t>
            </w:r>
          </w:p>
        </w:tc>
        <w:tc>
          <w:tcPr>
            <w:tcW w:w="1276" w:type="dxa"/>
          </w:tcPr>
          <w:p>
            <w:pPr>
              <w:pStyle w:val="nTable"/>
              <w:spacing w:after="40"/>
            </w:pPr>
            <w:r>
              <w:t>30 Jan 2004 p. 401</w:t>
            </w:r>
            <w:r>
              <w:noBreakHyphen/>
              <w:t>2</w:t>
            </w:r>
          </w:p>
        </w:tc>
        <w:tc>
          <w:tcPr>
            <w:tcW w:w="2693" w:type="dxa"/>
          </w:tcPr>
          <w:p>
            <w:pPr>
              <w:pStyle w:val="nTable"/>
              <w:spacing w:after="40"/>
            </w:pPr>
            <w:r>
              <w:t xml:space="preserve">30 Jan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 xml:space="preserve">Racing and Gambling (Miscellaneous) Amendment Regulations 2004 </w:t>
            </w:r>
            <w:r>
              <w:t>Pt. 4</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2004</w:t>
            </w:r>
          </w:p>
        </w:tc>
        <w:tc>
          <w:tcPr>
            <w:tcW w:w="1276" w:type="dxa"/>
          </w:tcPr>
          <w:p>
            <w:pPr>
              <w:pStyle w:val="nTable"/>
              <w:spacing w:after="40"/>
            </w:pPr>
            <w:r>
              <w:t>18 May 2004 p. 1571</w:t>
            </w:r>
            <w:r>
              <w:noBreakHyphen/>
              <w:t>2</w:t>
            </w:r>
          </w:p>
        </w:tc>
        <w:tc>
          <w:tcPr>
            <w:tcW w:w="2693" w:type="dxa"/>
          </w:tcPr>
          <w:p>
            <w:pPr>
              <w:pStyle w:val="nTable"/>
              <w:spacing w:after="40"/>
            </w:pPr>
            <w:r>
              <w:t>18 May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2004</w:t>
            </w:r>
          </w:p>
        </w:tc>
        <w:tc>
          <w:tcPr>
            <w:tcW w:w="1276" w:type="dxa"/>
          </w:tcPr>
          <w:p>
            <w:pPr>
              <w:pStyle w:val="nTable"/>
              <w:spacing w:after="40"/>
            </w:pPr>
            <w:r>
              <w:t>9 Jul 2004 p. 2782</w:t>
            </w:r>
            <w:r>
              <w:noBreakHyphen/>
              <w:t>4</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2005</w:t>
            </w:r>
          </w:p>
        </w:tc>
        <w:tc>
          <w:tcPr>
            <w:tcW w:w="1276" w:type="dxa"/>
          </w:tcPr>
          <w:p>
            <w:pPr>
              <w:pStyle w:val="nTable"/>
              <w:spacing w:after="40"/>
            </w:pPr>
            <w:r>
              <w:t>14 Oct 2005 p. 4562</w:t>
            </w:r>
            <w:r>
              <w:noBreakHyphen/>
              <w:t>4</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2006</w:t>
            </w:r>
          </w:p>
        </w:tc>
        <w:tc>
          <w:tcPr>
            <w:tcW w:w="1276" w:type="dxa"/>
          </w:tcPr>
          <w:p>
            <w:pPr>
              <w:pStyle w:val="nTable"/>
              <w:spacing w:after="40"/>
            </w:pPr>
            <w:r>
              <w:t>22 Aug 2006 p. 3465</w:t>
            </w:r>
            <w:r>
              <w:noBreakHyphen/>
              <w:t>8</w:t>
            </w:r>
          </w:p>
        </w:tc>
        <w:tc>
          <w:tcPr>
            <w:tcW w:w="2693" w:type="dxa"/>
          </w:tcPr>
          <w:p>
            <w:pPr>
              <w:pStyle w:val="nTable"/>
              <w:spacing w:after="40"/>
            </w:pPr>
            <w:r>
              <w:t>22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2006</w:t>
            </w:r>
          </w:p>
        </w:tc>
        <w:tc>
          <w:tcPr>
            <w:tcW w:w="1276" w:type="dxa"/>
          </w:tcPr>
          <w:p>
            <w:pPr>
              <w:pStyle w:val="nTable"/>
              <w:spacing w:after="40"/>
            </w:pPr>
            <w:r>
              <w:t>14 Nov 2006 p. 4731</w:t>
            </w:r>
            <w:r>
              <w:noBreakHyphen/>
              <w:t>3</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2007</w:t>
            </w:r>
            <w:r>
              <w:rPr>
                <w:iCs/>
              </w:rPr>
              <w:t xml:space="preserve"> </w:t>
            </w:r>
          </w:p>
        </w:tc>
        <w:tc>
          <w:tcPr>
            <w:tcW w:w="1276" w:type="dxa"/>
          </w:tcPr>
          <w:p>
            <w:pPr>
              <w:pStyle w:val="nTable"/>
              <w:spacing w:after="40"/>
            </w:pPr>
            <w:r>
              <w:t>9 Oct 2007 p. 5354</w:t>
            </w:r>
            <w:r>
              <w:noBreakHyphen/>
              <w:t>7</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2008</w:t>
            </w:r>
          </w:p>
        </w:tc>
        <w:tc>
          <w:tcPr>
            <w:tcW w:w="1276" w:type="dxa"/>
          </w:tcPr>
          <w:p>
            <w:pPr>
              <w:pStyle w:val="nTable"/>
              <w:spacing w:after="40"/>
            </w:pPr>
            <w:r>
              <w:t>10 Jun 2008 p. 2495</w:t>
            </w:r>
            <w:r>
              <w:noBreakHyphen/>
              <w:t>6</w:t>
            </w:r>
          </w:p>
        </w:tc>
        <w:tc>
          <w:tcPr>
            <w:tcW w:w="2693" w:type="dxa"/>
          </w:tcPr>
          <w:p>
            <w:pPr>
              <w:pStyle w:val="nTable"/>
              <w:spacing w:after="40"/>
              <w:rPr>
                <w:snapToGrid w:val="0"/>
              </w:rPr>
            </w:pPr>
            <w:r>
              <w:rPr>
                <w:snapToGrid w:val="0"/>
              </w:rPr>
              <w:t>r. 1 and 2: 10 Jun 2008 (see r. 2(a));</w:t>
            </w:r>
            <w:r>
              <w:rPr>
                <w:snapToGrid w:val="0"/>
              </w:rPr>
              <w:br/>
              <w:t>Regulations other than r. 1 and 2: 11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Gaming and Wagering Commission Amendment Regulations (No. 3) 2008</w:t>
            </w:r>
          </w:p>
        </w:tc>
        <w:tc>
          <w:tcPr>
            <w:tcW w:w="1276" w:type="dxa"/>
          </w:tcPr>
          <w:p>
            <w:pPr>
              <w:pStyle w:val="nTable"/>
              <w:spacing w:after="40"/>
            </w:pPr>
            <w:r>
              <w:t>28 Oct 2008 p. 4735</w:t>
            </w:r>
            <w:r>
              <w:noBreakHyphen/>
              <w:t>7</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2009</w:t>
            </w:r>
          </w:p>
        </w:tc>
        <w:tc>
          <w:tcPr>
            <w:tcW w:w="1276" w:type="dxa"/>
          </w:tcPr>
          <w:p>
            <w:pPr>
              <w:pStyle w:val="nTable"/>
              <w:spacing w:after="40"/>
            </w:pPr>
            <w:r>
              <w:t>30 Oct 2009 p. 4316</w:t>
            </w:r>
            <w:r>
              <w:noBreakHyphen/>
              <w:t>19</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2009</w:t>
            </w:r>
          </w:p>
        </w:tc>
        <w:tc>
          <w:tcPr>
            <w:tcW w:w="1276" w:type="dxa"/>
          </w:tcPr>
          <w:p>
            <w:pPr>
              <w:pStyle w:val="nTable"/>
              <w:spacing w:after="40"/>
            </w:pPr>
            <w:r>
              <w:t>8 Jan 2010 p. 17</w:t>
            </w:r>
            <w:r>
              <w:noBreakHyphen/>
              <w:t>19</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2010</w:t>
            </w:r>
            <w:r>
              <w:rPr>
                <w:iCs/>
              </w:rPr>
              <w:t xml:space="preserve"> </w:t>
            </w:r>
          </w:p>
        </w:tc>
        <w:tc>
          <w:tcPr>
            <w:tcW w:w="1276" w:type="dxa"/>
          </w:tcPr>
          <w:p>
            <w:pPr>
              <w:pStyle w:val="nTable"/>
              <w:spacing w:after="40"/>
            </w:pPr>
            <w:r>
              <w:t>19 Nov 2010 p. 5747</w:t>
            </w:r>
            <w:r>
              <w:noBreakHyphen/>
              <w:t>8</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2011</w:t>
            </w:r>
            <w:r>
              <w:rPr>
                <w:iCs/>
              </w:rPr>
              <w:t xml:space="preserve"> </w:t>
            </w:r>
          </w:p>
        </w:tc>
        <w:tc>
          <w:tcPr>
            <w:tcW w:w="1276" w:type="dxa"/>
          </w:tcPr>
          <w:p>
            <w:pPr>
              <w:pStyle w:val="nTable"/>
              <w:spacing w:after="40"/>
            </w:pPr>
            <w:r>
              <w:t>12 Aug 2011 p. 3248-50</w:t>
            </w:r>
          </w:p>
        </w:tc>
        <w:tc>
          <w:tcPr>
            <w:tcW w:w="2693"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2011</w:t>
            </w:r>
          </w:p>
        </w:tc>
        <w:tc>
          <w:tcPr>
            <w:tcW w:w="1276" w:type="dxa"/>
          </w:tcPr>
          <w:p>
            <w:pPr>
              <w:pStyle w:val="nTable"/>
              <w:spacing w:after="40"/>
            </w:pPr>
            <w:r>
              <w:t>4 Nov 2011 p. 4645-6</w:t>
            </w:r>
          </w:p>
        </w:tc>
        <w:tc>
          <w:tcPr>
            <w:tcW w:w="2693" w:type="dxa"/>
          </w:tcPr>
          <w:p>
            <w:pPr>
              <w:pStyle w:val="nTable"/>
              <w:spacing w:after="40"/>
              <w:rPr>
                <w:snapToGrid w:val="0"/>
                <w:spacing w:val="-2"/>
              </w:rPr>
            </w:pPr>
            <w:r>
              <w:t>r. 1 and 2: 4 Nov 2011 (see r. 2(a));</w:t>
            </w:r>
            <w: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2012</w:t>
            </w:r>
          </w:p>
        </w:tc>
        <w:tc>
          <w:tcPr>
            <w:tcW w:w="1276" w:type="dxa"/>
          </w:tcPr>
          <w:p>
            <w:pPr>
              <w:pStyle w:val="nTable"/>
              <w:spacing w:after="40"/>
            </w:pPr>
            <w:r>
              <w:t>16 Nov 2012 p. 5649-51</w:t>
            </w:r>
          </w:p>
        </w:tc>
        <w:tc>
          <w:tcPr>
            <w:tcW w:w="2693" w:type="dxa"/>
          </w:tcPr>
          <w:p>
            <w:pPr>
              <w:pStyle w:val="nTable"/>
              <w:spacing w:after="40"/>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Gaming and Wagering Commission Amendment Regulations 2013</w:t>
            </w:r>
          </w:p>
        </w:tc>
        <w:tc>
          <w:tcPr>
            <w:tcW w:w="1276" w:type="dxa"/>
            <w:shd w:val="clear" w:color="auto" w:fill="auto"/>
          </w:tcPr>
          <w:p>
            <w:pPr>
              <w:pStyle w:val="nTable"/>
              <w:spacing w:after="40"/>
            </w:pPr>
            <w:r>
              <w:t>8 Nov 2013 p. 4975</w:t>
            </w:r>
            <w:r>
              <w:noBreakHyphen/>
              <w:t>7</w:t>
            </w:r>
          </w:p>
        </w:tc>
        <w:tc>
          <w:tcPr>
            <w:tcW w:w="2693"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and Wagering Commission Amendment Regulations 2014</w:t>
            </w:r>
          </w:p>
        </w:tc>
        <w:tc>
          <w:tcPr>
            <w:tcW w:w="1276" w:type="dxa"/>
          </w:tcPr>
          <w:p>
            <w:pPr>
              <w:pStyle w:val="nTable"/>
              <w:spacing w:after="40"/>
            </w:pPr>
            <w:r>
              <w:t>14 Nov 2014 p. 4282</w:t>
            </w:r>
            <w:r>
              <w:noBreakHyphen/>
              <w:t>4</w:t>
            </w:r>
          </w:p>
        </w:tc>
        <w:tc>
          <w:tcPr>
            <w:tcW w:w="2693" w:type="dxa"/>
          </w:tcPr>
          <w:p>
            <w:pPr>
              <w:pStyle w:val="nTable"/>
              <w:spacing w:after="40"/>
            </w:pP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 xml:space="preserve">Racing, Gaming and Liquor Regulations Amendment (Fees and Charges) Regulations 2015 </w:t>
            </w:r>
            <w:r>
              <w:t>Pt. 5</w:t>
            </w:r>
          </w:p>
        </w:tc>
        <w:tc>
          <w:tcPr>
            <w:tcW w:w="1276" w:type="dxa"/>
          </w:tcPr>
          <w:p>
            <w:pPr>
              <w:pStyle w:val="nTable"/>
              <w:spacing w:after="40"/>
            </w:pPr>
            <w:r>
              <w:t>6 Nov 2015 p. 4581-8</w:t>
            </w:r>
          </w:p>
        </w:tc>
        <w:tc>
          <w:tcPr>
            <w:tcW w:w="2693" w:type="dxa"/>
          </w:tcPr>
          <w:p>
            <w:pPr>
              <w:pStyle w:val="nTable"/>
              <w:spacing w:after="40"/>
              <w:rPr>
                <w:bCs/>
                <w:snapToGrid w:val="0"/>
                <w:spacing w:val="-2"/>
              </w:rPr>
            </w:pPr>
            <w:r>
              <w:rPr>
                <w:bCs/>
                <w:snapToGrid w:val="0"/>
                <w:spacing w:val="-2"/>
              </w:rPr>
              <w:t>1 Jan 2016</w:t>
            </w:r>
            <w: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2015</w:t>
            </w:r>
          </w:p>
        </w:tc>
        <w:tc>
          <w:tcPr>
            <w:tcW w:w="1276" w:type="dxa"/>
          </w:tcPr>
          <w:p>
            <w:pPr>
              <w:pStyle w:val="nTable"/>
              <w:spacing w:after="40"/>
            </w:pPr>
            <w:r>
              <w:t>1 Dec 2015 p. 4823</w:t>
            </w:r>
            <w:r>
              <w:noBreakHyphen/>
              <w:t>4</w:t>
            </w:r>
          </w:p>
        </w:tc>
        <w:tc>
          <w:tcPr>
            <w:tcW w:w="2693" w:type="dxa"/>
          </w:tcPr>
          <w:p>
            <w:pPr>
              <w:pStyle w:val="nTable"/>
              <w:spacing w:after="40"/>
              <w:rPr>
                <w:bCs/>
                <w:snapToGrid w:val="0"/>
                <w:spacing w:val="-2"/>
              </w:rPr>
            </w:pPr>
            <w:r>
              <w:rPr>
                <w:bCs/>
                <w:snapToGrid w:val="0"/>
                <w:spacing w:val="-2"/>
              </w:rPr>
              <w:t>r. 1 and 2: 1 Dec 2015 (see r. 2(a));</w:t>
            </w:r>
            <w:r>
              <w:rPr>
                <w:bCs/>
                <w:snapToGrid w:val="0"/>
                <w:spacing w:val="-2"/>
              </w:rPr>
              <w:br/>
              <w:t>Regulations other than r. 1 and 2: 2</w:t>
            </w:r>
            <w:r>
              <w:t xml:space="preserve">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2016</w:t>
            </w:r>
          </w:p>
        </w:tc>
        <w:tc>
          <w:tcPr>
            <w:tcW w:w="1276" w:type="dxa"/>
          </w:tcPr>
          <w:p>
            <w:pPr>
              <w:pStyle w:val="nTable"/>
              <w:spacing w:after="40"/>
            </w:pPr>
            <w:r>
              <w:t>6 Sep 2016 p. 3831-3</w:t>
            </w:r>
          </w:p>
        </w:tc>
        <w:tc>
          <w:tcPr>
            <w:tcW w:w="2693" w:type="dxa"/>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2016</w:t>
            </w:r>
            <w:r>
              <w:t xml:space="preserve"> Pt. 5</w:t>
            </w:r>
          </w:p>
        </w:tc>
        <w:tc>
          <w:tcPr>
            <w:tcW w:w="1276" w:type="dxa"/>
          </w:tcPr>
          <w:p>
            <w:pPr>
              <w:pStyle w:val="nTable"/>
              <w:spacing w:after="40"/>
            </w:pPr>
            <w:r>
              <w:t>28 Oct 2016 p. 4910</w:t>
            </w:r>
            <w:r>
              <w:noBreakHyphen/>
              <w:t>16</w:t>
            </w:r>
          </w:p>
        </w:tc>
        <w:tc>
          <w:tcPr>
            <w:tcW w:w="2693" w:type="dxa"/>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2017</w:t>
            </w:r>
          </w:p>
        </w:tc>
        <w:tc>
          <w:tcPr>
            <w:tcW w:w="1276" w:type="dxa"/>
          </w:tcPr>
          <w:p>
            <w:pPr>
              <w:pStyle w:val="nTable"/>
              <w:spacing w:after="40"/>
            </w:pPr>
            <w:r>
              <w:t>26 May 2017 p. 2632</w:t>
            </w:r>
            <w:r>
              <w:noBreakHyphen/>
              <w:t>3</w:t>
            </w:r>
          </w:p>
        </w:tc>
        <w:tc>
          <w:tcPr>
            <w:tcW w:w="2693" w:type="dxa"/>
          </w:tcPr>
          <w:p>
            <w:pPr>
              <w:pStyle w:val="nTable"/>
              <w:spacing w:after="40"/>
            </w:pPr>
            <w:r>
              <w:t>r. 1 and 2: 26 May 2017 (see r. 2(a));</w:t>
            </w:r>
            <w:r>
              <w:br/>
              <w:t>Regulations other than r. 1 and 2: 27 May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(No. 3) 2017</w:t>
            </w:r>
          </w:p>
        </w:tc>
        <w:tc>
          <w:tcPr>
            <w:tcW w:w="1276" w:type="dxa"/>
          </w:tcPr>
          <w:p>
            <w:pPr>
              <w:pStyle w:val="nTable"/>
              <w:spacing w:after="40"/>
            </w:pPr>
            <w:r>
              <w:t>11 Jul 2017 p. 3833</w:t>
            </w:r>
            <w:r>
              <w:noBreakHyphen/>
              <w:t>4</w:t>
            </w:r>
          </w:p>
        </w:tc>
        <w:tc>
          <w:tcPr>
            <w:tcW w:w="2693" w:type="dxa"/>
          </w:tcPr>
          <w:p>
            <w:pPr>
              <w:pStyle w:val="nTable"/>
              <w:spacing w:after="40"/>
            </w:pPr>
            <w:r>
              <w:t>r. 1 and 2: 11 Jul 2017 (see r. 2(a));</w:t>
            </w:r>
            <w:r>
              <w:br/>
              <w:t>Regulations other than r. 1 and 2: 12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2017</w:t>
            </w:r>
            <w:r>
              <w:t xml:space="preserve"> Pt. 5</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2018</w:t>
            </w:r>
          </w:p>
        </w:tc>
        <w:tc>
          <w:tcPr>
            <w:tcW w:w="1276" w:type="dxa"/>
          </w:tcPr>
          <w:p>
            <w:pPr>
              <w:pStyle w:val="nTable"/>
              <w:spacing w:after="40"/>
            </w:pPr>
            <w:r>
              <w:t>2 Mar 2018 p. 672</w:t>
            </w:r>
          </w:p>
        </w:tc>
        <w:tc>
          <w:tcPr>
            <w:tcW w:w="2693" w:type="dxa"/>
          </w:tcPr>
          <w:p>
            <w:pPr>
              <w:pStyle w:val="nTable"/>
              <w:spacing w:after="40"/>
            </w:pPr>
            <w:r>
              <w:t>r. 1 and 2: 2 Mar 2018 (see r. 2(a));</w:t>
            </w:r>
            <w:r>
              <w:br/>
              <w:t>Regulations other than r. 1 and 2: 3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2018</w:t>
            </w:r>
            <w:r>
              <w:t xml:space="preserve"> Pt. 5</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(No. 3) 2019</w:t>
            </w:r>
            <w:r>
              <w:rPr>
                <w:vertAlign w:val="superscript"/>
              </w:rPr>
              <w:t> 6</w:t>
            </w:r>
          </w:p>
        </w:tc>
        <w:tc>
          <w:tcPr>
            <w:tcW w:w="1276" w:type="dxa"/>
          </w:tcPr>
          <w:p>
            <w:pPr>
              <w:pStyle w:val="nTable"/>
              <w:spacing w:after="40"/>
            </w:pPr>
            <w:r>
              <w:t>31 May 2019 p. 1717-21</w:t>
            </w:r>
          </w:p>
        </w:tc>
        <w:tc>
          <w:tcPr>
            <w:tcW w:w="2693" w:type="dxa"/>
          </w:tcPr>
          <w:p>
            <w:pPr>
              <w:pStyle w:val="nTable"/>
              <w:spacing w:after="40"/>
            </w:pPr>
            <w:r>
              <w:t>Pt. 1: 31 May 2019 (see r. 2(a));</w:t>
            </w:r>
            <w:r>
              <w:br/>
              <w:t>Pt. 2 and 3: 1 Jun 2019 (see r. 2(b) and (c))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2019</w:t>
            </w:r>
            <w:r>
              <w:t xml:space="preserve"> Pt. 5</w:t>
            </w:r>
          </w:p>
        </w:tc>
        <w:tc>
          <w:tcPr>
            <w:tcW w:w="1276" w:type="dxa"/>
          </w:tcPr>
          <w:p>
            <w:pPr>
              <w:pStyle w:val="nTable"/>
              <w:spacing w:after="40"/>
            </w:pPr>
            <w:r>
              <w:t>22 Oct 2019 p. 3720</w:t>
            </w:r>
            <w:r>
              <w:noBreakHyphen/>
              <w:t>9</w:t>
            </w:r>
          </w:p>
        </w:tc>
        <w:tc>
          <w:tcPr>
            <w:tcW w:w="2693" w:type="dxa"/>
          </w:tcPr>
          <w:p>
            <w:pPr>
              <w:pStyle w:val="nTable"/>
              <w:spacing w:after="40"/>
            </w:pPr>
            <w:r>
              <w:t>1 Jan 2020 (see r. 2(b))</w:t>
            </w:r>
          </w:p>
        </w:tc>
      </w:tr>
      <w:tr>
        <w:trPr>
          <w:cantSplit/>
        </w:trPr>
        <w:tc>
          <w:tcPr>
            <w:tcW w:w="3119" w:type="dxa"/>
            <w:tcBorders>
              <w:top w:val="nil"/>
              <w:bottom w:val="nil"/>
            </w:tcBorders>
          </w:tcPr>
          <w:p>
            <w:pPr>
              <w:pStyle w:val="nTable"/>
              <w:spacing w:after="40"/>
              <w:ind w:right="113"/>
              <w:rPr>
                <w:i/>
              </w:rPr>
            </w:pPr>
            <w:r>
              <w:rPr>
                <w:i/>
              </w:rPr>
              <w:t>Gaming and Wagering Commission Amendment Regulations 2020</w:t>
            </w:r>
          </w:p>
        </w:tc>
        <w:tc>
          <w:tcPr>
            <w:tcW w:w="1276" w:type="dxa"/>
            <w:tcBorders>
              <w:top w:val="nil"/>
              <w:bottom w:val="nil"/>
            </w:tcBorders>
          </w:tcPr>
          <w:p>
            <w:pPr>
              <w:pStyle w:val="nTable"/>
              <w:spacing w:after="40"/>
            </w:pPr>
            <w:r>
              <w:t>SL 2020/10</w:t>
            </w:r>
            <w:r>
              <w:br/>
              <w:t>3 Mar 2020</w:t>
            </w:r>
          </w:p>
        </w:tc>
        <w:tc>
          <w:tcPr>
            <w:tcW w:w="2693" w:type="dxa"/>
            <w:tcBorders>
              <w:top w:val="nil"/>
              <w:bottom w:val="nil"/>
            </w:tcBorders>
          </w:tcPr>
          <w:p>
            <w:pPr>
              <w:pStyle w:val="nTable"/>
              <w:spacing w:after="40"/>
            </w:pPr>
            <w:r>
              <w:t>r. 1 and 2: 3 Mar 2020 (see r. 2(a));</w:t>
            </w:r>
            <w:r>
              <w:br/>
              <w:t>Regulations other than r. 1 and 2: 4 Mar 2020 (see r. 2(b))</w:t>
            </w:r>
          </w:p>
        </w:tc>
      </w:tr>
      <w:tr>
        <w:trPr>
          <w:cantSplit/>
        </w:trPr>
        <w:tc>
          <w:tcPr>
            <w:tcW w:w="3119" w:type="dxa"/>
            <w:tcBorders>
              <w:top w:val="nil"/>
              <w:bottom w:val="nil"/>
            </w:tcBorders>
          </w:tcPr>
          <w:p>
            <w:pPr>
              <w:pStyle w:val="nTable"/>
              <w:spacing w:after="40"/>
              <w:ind w:right="113"/>
              <w:rPr>
                <w:i/>
              </w:rPr>
            </w:pPr>
            <w:r>
              <w:rPr>
                <w:i/>
              </w:rPr>
              <w:lastRenderedPageBreak/>
              <w:t>Racing and Gaming Regulations Amendment (Fees and Charges) Regulations 2022</w:t>
            </w:r>
            <w:r>
              <w:t xml:space="preserve"> Pt. 5</w:t>
            </w:r>
          </w:p>
        </w:tc>
        <w:tc>
          <w:tcPr>
            <w:tcW w:w="1276" w:type="dxa"/>
            <w:tcBorders>
              <w:top w:val="nil"/>
              <w:bottom w:val="nil"/>
            </w:tcBorders>
          </w:tcPr>
          <w:p>
            <w:pPr>
              <w:pStyle w:val="nTable"/>
              <w:spacing w:after="40"/>
            </w:pPr>
            <w:r>
              <w:t>SL 2022/144 12 Aug 2022</w:t>
            </w:r>
          </w:p>
        </w:tc>
        <w:tc>
          <w:tcPr>
            <w:tcW w:w="2693" w:type="dxa"/>
            <w:tcBorders>
              <w:top w:val="nil"/>
              <w:bottom w:val="nil"/>
            </w:tcBorders>
          </w:tcPr>
          <w:p>
            <w:pPr>
              <w:pStyle w:val="nTable"/>
              <w:spacing w:after="40"/>
            </w:pPr>
            <w:r>
              <w:t>1 Jan 2023 (see r. 2(b))</w:t>
            </w:r>
          </w:p>
        </w:tc>
      </w:tr>
      <w:tr>
        <w:trPr>
          <w:cantSplit/>
        </w:trPr>
        <w:tc>
          <w:tcPr>
            <w:tcW w:w="3119" w:type="dxa"/>
            <w:tcBorders>
              <w:top w:val="nil"/>
              <w:bottom w:val="nil"/>
            </w:tcBorders>
          </w:tcPr>
          <w:p>
            <w:pPr>
              <w:pStyle w:val="nTable"/>
              <w:spacing w:after="40"/>
              <w:ind w:right="113"/>
              <w:rPr>
                <w:i/>
              </w:rPr>
            </w:pPr>
            <w:r>
              <w:rPr>
                <w:i/>
              </w:rPr>
              <w:t xml:space="preserve">Racing and Gaming Regulations Amendment (Fees and Charges) Regulations 2023 </w:t>
            </w:r>
            <w:r>
              <w:t>Pt. 5</w:t>
            </w:r>
          </w:p>
        </w:tc>
        <w:tc>
          <w:tcPr>
            <w:tcW w:w="1276" w:type="dxa"/>
            <w:tcBorders>
              <w:top w:val="nil"/>
              <w:bottom w:val="nil"/>
            </w:tcBorders>
          </w:tcPr>
          <w:p>
            <w:pPr>
              <w:pStyle w:val="nTable"/>
              <w:spacing w:after="40"/>
            </w:pPr>
            <w:r>
              <w:t>SL 2023/156 18 Oct 2023</w:t>
            </w:r>
          </w:p>
        </w:tc>
        <w:tc>
          <w:tcPr>
            <w:tcW w:w="2693" w:type="dxa"/>
            <w:tcBorders>
              <w:top w:val="nil"/>
              <w:bottom w:val="nil"/>
            </w:tcBorders>
          </w:tcPr>
          <w:p>
            <w:pPr>
              <w:pStyle w:val="nTable"/>
              <w:spacing w:after="40"/>
            </w:pPr>
            <w:r>
              <w:t>1 Jan 2024 (see r. 2(b))</w:t>
            </w:r>
          </w:p>
        </w:tc>
      </w:tr>
      <w:tr>
        <w:trPr>
          <w:cantSplit/>
        </w:trPr>
        <w:tc>
          <w:tcPr>
            <w:tcW w:w="3119" w:type="dxa"/>
            <w:tcBorders>
              <w:top w:val="nil"/>
              <w:bottom w:val="nil"/>
            </w:tcBorders>
          </w:tcPr>
          <w:p>
            <w:pPr>
              <w:pStyle w:val="nTable"/>
              <w:spacing w:after="40"/>
              <w:ind w:right="113"/>
              <w:rPr>
                <w:i/>
              </w:rPr>
            </w:pPr>
            <w:r>
              <w:rPr>
                <w:i/>
              </w:rPr>
              <w:t>Racing and Gaming Regulations Amendment (Fees and Charges) Regulations 2024</w:t>
            </w:r>
            <w:r>
              <w:rPr>
                <w:iCs/>
              </w:rPr>
              <w:t xml:space="preserve"> Pt. 5</w:t>
            </w:r>
          </w:p>
        </w:tc>
        <w:tc>
          <w:tcPr>
            <w:tcW w:w="1276" w:type="dxa"/>
            <w:tcBorders>
              <w:top w:val="nil"/>
              <w:bottom w:val="nil"/>
            </w:tcBorders>
          </w:tcPr>
          <w:p>
            <w:pPr>
              <w:pStyle w:val="nTable"/>
              <w:spacing w:after="40"/>
            </w:pPr>
            <w:r>
              <w:t>SL 2024/213 16 Oct 2024</w:t>
            </w:r>
          </w:p>
        </w:tc>
        <w:tc>
          <w:tcPr>
            <w:tcW w:w="2693" w:type="dxa"/>
            <w:tcBorders>
              <w:top w:val="nil"/>
              <w:bottom w:val="nil"/>
            </w:tcBorders>
          </w:tcPr>
          <w:p>
            <w:pPr>
              <w:pStyle w:val="nTable"/>
              <w:spacing w:after="40"/>
            </w:pPr>
            <w:r>
              <w:t>1 Jan 2025 (see r. 2(b))</w:t>
            </w:r>
          </w:p>
        </w:tc>
      </w:tr>
      <w:tr>
        <w:trPr>
          <w:cantSplit/>
        </w:trPr>
        <w:tc>
          <w:tcPr>
            <w:tcW w:w="3119" w:type="dxa"/>
            <w:tcBorders>
              <w:top w:val="nil"/>
              <w:bottom w:val="nil"/>
            </w:tcBorders>
          </w:tcPr>
          <w:p>
            <w:pPr>
              <w:pStyle w:val="nTable"/>
              <w:spacing w:after="40"/>
              <w:ind w:right="113"/>
              <w:rPr>
                <w:iCs/>
              </w:rPr>
            </w:pPr>
            <w:r>
              <w:rPr>
                <w:i/>
              </w:rPr>
              <w:t>Gambling Regulations Amendment Regulations (No. 2) 2025</w:t>
            </w:r>
            <w:r>
              <w:rPr>
                <w:iCs/>
              </w:rPr>
              <w:t xml:space="preserve"> Pt. 3</w:t>
            </w:r>
          </w:p>
        </w:tc>
        <w:tc>
          <w:tcPr>
            <w:tcW w:w="1276" w:type="dxa"/>
            <w:tcBorders>
              <w:top w:val="nil"/>
              <w:bottom w:val="nil"/>
            </w:tcBorders>
          </w:tcPr>
          <w:p>
            <w:pPr>
              <w:pStyle w:val="nTable"/>
              <w:spacing w:after="40"/>
            </w:pPr>
            <w:r>
              <w:t>SL 2025/30 5 Feb 2025</w:t>
            </w:r>
          </w:p>
        </w:tc>
        <w:tc>
          <w:tcPr>
            <w:tcW w:w="2693" w:type="dxa"/>
            <w:tcBorders>
              <w:top w:val="nil"/>
              <w:bottom w:val="nil"/>
            </w:tcBorders>
          </w:tcPr>
          <w:p>
            <w:pPr>
              <w:pStyle w:val="nTable"/>
              <w:spacing w:after="40"/>
            </w:pPr>
            <w:r>
              <w:t>6 Feb 2025 (see r. 2(b))</w:t>
            </w:r>
          </w:p>
        </w:tc>
      </w:tr>
      <w:tr>
        <w:trPr>
          <w:cantSplit/>
        </w:trPr>
        <w:tc>
          <w:tcPr>
            <w:tcW w:w="3119" w:type="dxa"/>
            <w:tcBorders>
              <w:top w:val="nil"/>
              <w:bottom w:val="single" w:sz="4" w:space="0" w:color="auto"/>
            </w:tcBorders>
          </w:tcPr>
          <w:p>
            <w:pPr>
              <w:pStyle w:val="nTable"/>
              <w:spacing w:after="40"/>
              <w:ind w:right="113"/>
              <w:rPr>
                <w:i/>
              </w:rPr>
            </w:pPr>
            <w:r>
              <w:rPr>
                <w:i/>
              </w:rPr>
              <w:t>Gambling Regulations Amendment Regulations 2025</w:t>
            </w:r>
            <w:r>
              <w:rPr>
                <w:iCs/>
              </w:rPr>
              <w:t xml:space="preserve"> Pt. 5</w:t>
            </w:r>
          </w:p>
        </w:tc>
        <w:tc>
          <w:tcPr>
            <w:tcW w:w="1276" w:type="dxa"/>
            <w:tcBorders>
              <w:top w:val="nil"/>
              <w:bottom w:val="single" w:sz="4" w:space="0" w:color="auto"/>
            </w:tcBorders>
          </w:tcPr>
          <w:p>
            <w:pPr>
              <w:pStyle w:val="nTable"/>
              <w:spacing w:after="40"/>
            </w:pPr>
            <w:r>
              <w:t>SL 2025/35 5 Feb 2025</w:t>
            </w:r>
          </w:p>
        </w:tc>
        <w:tc>
          <w:tcPr>
            <w:tcW w:w="2693" w:type="dxa"/>
            <w:tcBorders>
              <w:top w:val="nil"/>
              <w:bottom w:val="single" w:sz="4" w:space="0" w:color="auto"/>
            </w:tcBorders>
          </w:tcPr>
          <w:p>
            <w:pPr>
              <w:pStyle w:val="nTable"/>
              <w:spacing w:after="40"/>
            </w:pPr>
            <w:r>
              <w:t>6 Feb 2025 (see r. 2(b))</w:t>
            </w:r>
          </w:p>
        </w:tc>
      </w:tr>
    </w:tbl>
    <w:p>
      <w:pPr>
        <w:pStyle w:val="nHeading3"/>
      </w:pPr>
      <w:bookmarkStart w:id="236" w:name="_Toc213339617"/>
      <w:r>
        <w:t>Uncommenced provisions table</w:t>
      </w:r>
      <w:bookmarkEnd w:id="23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Racing and Gaming Regulations Amendment (Fees and Charges) Regulations 2025</w:t>
            </w:r>
            <w:r>
              <w:rPr>
                <w:iCs/>
              </w:rPr>
              <w:t xml:space="preserve"> Pt. 5</w:t>
            </w:r>
          </w:p>
        </w:tc>
        <w:tc>
          <w:tcPr>
            <w:tcW w:w="1276" w:type="dxa"/>
          </w:tcPr>
          <w:p>
            <w:pPr>
              <w:pStyle w:val="nTable"/>
              <w:spacing w:after="40"/>
            </w:pPr>
            <w:r>
              <w:t>SL 2025/187 12 Nov 2025</w:t>
            </w:r>
          </w:p>
        </w:tc>
        <w:tc>
          <w:tcPr>
            <w:tcW w:w="2693" w:type="dxa"/>
          </w:tcPr>
          <w:p>
            <w:pPr>
              <w:pStyle w:val="nTable"/>
              <w:spacing w:after="40"/>
            </w:pPr>
            <w:r>
              <w:t>1 Jan 2026 (see r. 2(b))</w:t>
            </w:r>
          </w:p>
        </w:tc>
      </w:tr>
    </w:tbl>
    <w:p>
      <w:pPr>
        <w:pStyle w:val="nHeading3"/>
      </w:pPr>
      <w:bookmarkStart w:id="237" w:name="_Toc213339618"/>
      <w:r>
        <w:t>Other notes</w:t>
      </w:r>
      <w:bookmarkEnd w:id="237"/>
    </w:p>
    <w:p>
      <w:pPr>
        <w:pStyle w:val="nNote"/>
        <w:keepNext/>
        <w:keepLines/>
      </w:pPr>
      <w:r>
        <w:rPr>
          <w:vertAlign w:val="superscript"/>
        </w:rPr>
        <w:t>1</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Note"/>
      </w:pPr>
      <w:r>
        <w:rPr>
          <w:vertAlign w:val="superscript"/>
        </w:rPr>
        <w:t>2</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Note"/>
      </w:pPr>
      <w:r>
        <w:rPr>
          <w:vertAlign w:val="superscript"/>
        </w:rPr>
        <w:t>3</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by </w:t>
      </w:r>
      <w:r>
        <w:rPr>
          <w:i/>
          <w:iCs/>
        </w:rPr>
        <w:t>Gazette</w:t>
      </w:r>
      <w:r>
        <w:t xml:space="preserve"> 10 Jun 2008 p. 2496 due to an error in the citation of the principal regulations.</w:t>
      </w:r>
    </w:p>
    <w:p>
      <w:pPr>
        <w:pStyle w:val="nNote"/>
        <w:keepNext/>
        <w:keepLines/>
      </w:pPr>
      <w:r>
        <w:rPr>
          <w:vertAlign w:val="superscript"/>
        </w:rPr>
        <w:lastRenderedPageBreak/>
        <w:t>4</w:t>
      </w:r>
      <w:r>
        <w:tab/>
        <w:t xml:space="preserve">Now known as the </w:t>
      </w:r>
      <w:r>
        <w:rPr>
          <w:i/>
          <w:snapToGrid w:val="0"/>
        </w:rPr>
        <w:t>Gaming and Wagering Commission Regulations 1988</w:t>
      </w:r>
      <w:r>
        <w:t>; citation changed (see note under r. 1).</w:t>
      </w:r>
    </w:p>
    <w:p>
      <w:pPr>
        <w:pStyle w:val="nNote"/>
      </w:pPr>
      <w:r>
        <w:rPr>
          <w:vertAlign w:val="superscript"/>
        </w:rPr>
        <w:t>5</w:t>
      </w:r>
      <w:r>
        <w:tab/>
        <w:t>The commencement date of 1 Oct 2001 that was specified was before the date of gazettal.</w:t>
      </w:r>
    </w:p>
    <w:p>
      <w:pPr>
        <w:pStyle w:val="nNote"/>
        <w:rPr>
          <w:snapToGrid w:val="0"/>
        </w:rPr>
      </w:pPr>
      <w:r>
        <w:rPr>
          <w:vertAlign w:val="superscript"/>
        </w:rPr>
        <w:t>6</w:t>
      </w:r>
      <w:r>
        <w:rPr>
          <w:snapToGrid w:val="0"/>
        </w:rPr>
        <w:tab/>
        <w:t xml:space="preserve">The amendments in the </w:t>
      </w:r>
      <w:r>
        <w:rPr>
          <w:i/>
          <w:snapToGrid w:val="0"/>
        </w:rPr>
        <w:t>Gaming and Wagering Commission Amendment Regulations 2019</w:t>
      </w:r>
      <w:r>
        <w:rPr>
          <w:snapToGrid w:val="0"/>
        </w:rPr>
        <w:t xml:space="preserve"> (as amended by the </w:t>
      </w:r>
      <w:r>
        <w:rPr>
          <w:i/>
          <w:snapToGrid w:val="0"/>
        </w:rPr>
        <w:t>Gaming and Wagering Commission Amendment Regulations (No. 2) 2019</w:t>
      </w:r>
      <w:r>
        <w:rPr>
          <w:snapToGrid w:val="0"/>
        </w:rPr>
        <w:t xml:space="preserve">) are not included because it was repealed by the </w:t>
      </w:r>
      <w:r>
        <w:rPr>
          <w:i/>
          <w:snapToGrid w:val="0"/>
        </w:rPr>
        <w:t>Gaming and Wagering Commission Amendment Regulations (No. 3) 2019</w:t>
      </w:r>
      <w:r>
        <w:rPr>
          <w:snapToGrid w:val="0"/>
        </w:rPr>
        <w:t xml:space="preserve"> r. 5 before the amendments purported to come into operation.</w:t>
      </w:r>
    </w:p>
    <w:p>
      <w:pPr>
        <w:sectPr>
          <w:headerReference w:type="even" r:id="rId35"/>
          <w:headerReference w:type="default" r:id="rId36"/>
          <w:pgSz w:w="11907" w:h="16840" w:code="9"/>
          <w:pgMar w:top="2376" w:right="2404" w:bottom="3544" w:left="2404" w:header="720" w:footer="3544" w:gutter="0"/>
          <w:cols w:space="720"/>
          <w:noEndnote/>
          <w:docGrid w:linePitch="326"/>
        </w:sectPr>
      </w:pPr>
    </w:p>
    <w:p>
      <w:pPr>
        <w:pStyle w:val="nHeading2"/>
        <w:rPr>
          <w:sz w:val="28"/>
        </w:rPr>
      </w:pPr>
      <w:bookmarkStart w:id="239" w:name="_Toc213336937"/>
      <w:bookmarkStart w:id="240" w:name="_Toc213337640"/>
      <w:bookmarkStart w:id="241" w:name="_Toc213339619"/>
      <w:r>
        <w:rPr>
          <w:sz w:val="28"/>
        </w:rPr>
        <w:lastRenderedPageBreak/>
        <w:t>Defined terms</w:t>
      </w:r>
      <w:bookmarkEnd w:id="239"/>
      <w:bookmarkEnd w:id="240"/>
      <w:bookmarkEnd w:id="2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6-month period</w:t>
      </w:r>
      <w:r>
        <w:tab/>
        <w:t>40Q</w:t>
      </w:r>
    </w:p>
    <w:p>
      <w:pPr>
        <w:pStyle w:val="DefinedTerms"/>
      </w:pPr>
      <w:r>
        <w:t>account</w:t>
      </w:r>
      <w:r>
        <w:tab/>
        <w:t>40D</w:t>
      </w:r>
    </w:p>
    <w:p>
      <w:pPr>
        <w:pStyle w:val="DefinedTerms"/>
      </w:pPr>
      <w:r>
        <w:t>account holder</w:t>
      </w:r>
      <w:r>
        <w:tab/>
        <w:t>40D</w:t>
      </w:r>
    </w:p>
    <w:p>
      <w:pPr>
        <w:pStyle w:val="DefinedTerms"/>
      </w:pPr>
      <w:r>
        <w:t>activity statement</w:t>
      </w:r>
      <w:r>
        <w:tab/>
        <w:t>40Q</w:t>
      </w:r>
    </w:p>
    <w:p>
      <w:pPr>
        <w:pStyle w:val="DefinedTerms"/>
      </w:pPr>
      <w:r>
        <w:t>amusement parlour</w:t>
      </w:r>
      <w:r>
        <w:tab/>
        <w:t>18B(7)</w:t>
      </w:r>
    </w:p>
    <w:p>
      <w:pPr>
        <w:pStyle w:val="DefinedTerms"/>
      </w:pPr>
      <w:r>
        <w:t>approved electronic bingo equipment</w:t>
      </w:r>
      <w:r>
        <w:tab/>
        <w:t>23(1A)</w:t>
      </w:r>
    </w:p>
    <w:p>
      <w:pPr>
        <w:pStyle w:val="DefinedTerms"/>
      </w:pPr>
      <w:r>
        <w:t>consistent gambling messaging</w:t>
      </w:r>
      <w:r>
        <w:tab/>
        <w:t>40W(1)</w:t>
      </w:r>
    </w:p>
    <w:p>
      <w:pPr>
        <w:pStyle w:val="DefinedTerms"/>
      </w:pPr>
      <w:r>
        <w:t>cruise ship</w:t>
      </w:r>
      <w:r>
        <w:tab/>
        <w:t>18C(1)</w:t>
      </w:r>
    </w:p>
    <w:p>
      <w:pPr>
        <w:pStyle w:val="DefinedTerms"/>
      </w:pPr>
      <w:r>
        <w:t>deposit limit</w:t>
      </w:r>
      <w:r>
        <w:tab/>
        <w:t>40D</w:t>
      </w:r>
    </w:p>
    <w:p>
      <w:pPr>
        <w:pStyle w:val="DefinedTerms"/>
      </w:pPr>
      <w:r>
        <w:t>donor organization</w:t>
      </w:r>
      <w:r>
        <w:tab/>
        <w:t>30A(3)</w:t>
      </w:r>
    </w:p>
    <w:p>
      <w:pPr>
        <w:pStyle w:val="DefinedTerms"/>
      </w:pPr>
      <w:r>
        <w:t>gambling advertisement</w:t>
      </w:r>
      <w:r>
        <w:tab/>
        <w:t>43(1)</w:t>
      </w:r>
    </w:p>
    <w:p>
      <w:pPr>
        <w:pStyle w:val="DefinedTerms"/>
      </w:pPr>
      <w:r>
        <w:t>gambling operator</w:t>
      </w:r>
      <w:r>
        <w:tab/>
        <w:t>43(1)</w:t>
      </w:r>
    </w:p>
    <w:p>
      <w:pPr>
        <w:pStyle w:val="DefinedTerms"/>
      </w:pPr>
      <w:r>
        <w:t>interactive wagering service</w:t>
      </w:r>
      <w:r>
        <w:tab/>
        <w:t>40D</w:t>
      </w:r>
    </w:p>
    <w:p>
      <w:pPr>
        <w:pStyle w:val="DefinedTerms"/>
      </w:pPr>
      <w:r>
        <w:t>lottery terms and conditions</w:t>
      </w:r>
      <w:r>
        <w:tab/>
        <w:t>36A(2)</w:t>
      </w:r>
    </w:p>
    <w:p>
      <w:pPr>
        <w:pStyle w:val="DefinedTerms"/>
      </w:pPr>
      <w:r>
        <w:t>National Consumer Protection Framework for Online Wagering in Australia - National Policy Statement</w:t>
      </w:r>
      <w:r>
        <w:tab/>
        <w:t>40D</w:t>
      </w:r>
    </w:p>
    <w:p>
      <w:pPr>
        <w:pStyle w:val="DefinedTerms"/>
      </w:pPr>
      <w:r>
        <w:t>prize</w:t>
      </w:r>
      <w:r>
        <w:tab/>
        <w:t>23A(2)</w:t>
      </w:r>
    </w:p>
    <w:p>
      <w:pPr>
        <w:pStyle w:val="DefinedTerms"/>
      </w:pPr>
      <w:r>
        <w:t>prize goods</w:t>
      </w:r>
      <w:r>
        <w:tab/>
        <w:t>Sch. 4 cl. 7(2), cl. 8(2)</w:t>
      </w:r>
    </w:p>
    <w:p>
      <w:pPr>
        <w:pStyle w:val="DefinedTerms"/>
      </w:pPr>
      <w:r>
        <w:t>publish</w:t>
      </w:r>
      <w:r>
        <w:tab/>
        <w:t>43(1)</w:t>
      </w:r>
    </w:p>
    <w:p>
      <w:pPr>
        <w:pStyle w:val="DefinedTerms"/>
      </w:pPr>
      <w:r>
        <w:t>relevant individual</w:t>
      </w:r>
      <w:r>
        <w:tab/>
        <w:t>40Y</w:t>
      </w:r>
    </w:p>
    <w:p>
      <w:pPr>
        <w:pStyle w:val="DefinedTerms"/>
      </w:pPr>
      <w:r>
        <w:t>relevant period</w:t>
      </w:r>
      <w:r>
        <w:tab/>
        <w:t>40U(1), 40V(1)</w:t>
      </w:r>
    </w:p>
    <w:p>
      <w:pPr>
        <w:pStyle w:val="DefinedTerms"/>
      </w:pPr>
      <w:r>
        <w:t>relevant person</w:t>
      </w:r>
      <w:r>
        <w:tab/>
        <w:t>40V(1)</w:t>
      </w:r>
    </w:p>
    <w:p>
      <w:pPr>
        <w:pStyle w:val="DefinedTerms"/>
      </w:pPr>
      <w:r>
        <w:t>relevant time</w:t>
      </w:r>
      <w:r>
        <w:tab/>
        <w:t>40M(1)</w:t>
      </w:r>
    </w:p>
    <w:p>
      <w:pPr>
        <w:pStyle w:val="DefinedTerms"/>
      </w:pPr>
      <w:r>
        <w:t>relevant way</w:t>
      </w:r>
      <w:r>
        <w:tab/>
        <w:t>40M(1)</w:t>
      </w:r>
    </w:p>
    <w:p>
      <w:pPr>
        <w:pStyle w:val="DefinedTerms"/>
      </w:pPr>
      <w:r>
        <w:t>rents</w:t>
      </w:r>
      <w:r>
        <w:tab/>
        <w:t>18(2)</w:t>
      </w:r>
    </w:p>
    <w:p>
      <w:pPr>
        <w:pStyle w:val="DefinedTerms"/>
      </w:pPr>
      <w:r>
        <w:t>responsible gambling training</w:t>
      </w:r>
      <w:r>
        <w:tab/>
        <w:t>40Z(1)</w:t>
      </w:r>
    </w:p>
    <w:p>
      <w:pPr>
        <w:pStyle w:val="DefinedTerms"/>
      </w:pPr>
      <w:r>
        <w:t>responsible person</w:t>
      </w:r>
      <w:r>
        <w:tab/>
        <w:t>40E(1)</w:t>
      </w:r>
    </w:p>
    <w:p>
      <w:pPr>
        <w:pStyle w:val="DefinedTerms"/>
      </w:pPr>
      <w:r>
        <w:t>RWWA key employee</w:t>
      </w:r>
      <w:r>
        <w:tab/>
        <w:t>40D</w:t>
      </w:r>
    </w:p>
    <w:p>
      <w:pPr>
        <w:pStyle w:val="DefinedTerms"/>
      </w:pPr>
      <w:r>
        <w:t>second person</w:t>
      </w:r>
      <w:r>
        <w:tab/>
        <w:t>43(7)</w:t>
      </w:r>
    </w:p>
    <w:p>
      <w:pPr>
        <w:pStyle w:val="DefinedTerms"/>
      </w:pPr>
      <w:r>
        <w:t>series</w:t>
      </w:r>
      <w:r>
        <w:tab/>
        <w:t>18AA(3)</w:t>
      </w:r>
    </w:p>
    <w:p>
      <w:pPr>
        <w:pStyle w:val="DefinedTerms"/>
      </w:pPr>
      <w:r>
        <w:t>snowball</w:t>
      </w:r>
      <w:r>
        <w:tab/>
        <w:t>Sch. 4 cl. 6</w:t>
      </w:r>
    </w:p>
    <w:p>
      <w:pPr>
        <w:pStyle w:val="DefinedTerms"/>
      </w:pPr>
      <w:r>
        <w:t>transaction</w:t>
      </w:r>
      <w:r>
        <w:tab/>
        <w:t>40D</w:t>
      </w:r>
    </w:p>
    <w:p>
      <w:pPr>
        <w:pStyle w:val="DefinedTerms"/>
      </w:pPr>
      <w:r>
        <w:t>transaction history</w:t>
      </w:r>
      <w:r>
        <w:tab/>
        <w:t>40U(2), 40V(2)</w:t>
      </w:r>
    </w:p>
    <w:p>
      <w:pPr>
        <w:pStyle w:val="DefinedTerms"/>
      </w:pPr>
      <w:r>
        <w:t>value</w:t>
      </w:r>
      <w:r>
        <w:tab/>
        <w:t>23A(2)</w:t>
      </w:r>
    </w:p>
    <w:p>
      <w:pPr>
        <w:pStyle w:val="DefinedTerms"/>
      </w:pPr>
      <w:r>
        <w:t>video lottery terminal</w:t>
      </w:r>
      <w:r>
        <w:tab/>
        <w:t>18AA(1)</w:t>
      </w:r>
    </w:p>
    <w:p>
      <w:pPr>
        <w:pStyle w:val="DefinedTerms"/>
      </w:pPr>
      <w:r>
        <w:t>voucher</w:t>
      </w:r>
      <w:r>
        <w:tab/>
        <w:t>18B(7)</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pPr>
        <w:jc w:val="both"/>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2D3E88C"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1AFA8D1" w14:textId="43F05459" w:rsidR="00F9329C" w:rsidRDefault="005D697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D6068">
                        <w:rPr>
                          <w:sz w:val="16"/>
                        </w:rPr>
                        <w:t>2025</w:t>
                      </w:r>
                      <w:r>
                        <w:rPr>
                          <w:sz w:val="16"/>
                        </w:rPr>
                        <w:fldChar w:fldCharType="end"/>
                      </w:r>
                      <w:r>
                        <w:rPr>
                          <w:sz w:val="16"/>
                        </w:rPr>
                        <w:t>.</w:t>
                      </w:r>
                    </w:p>
                    <w:p w14:paraId="6AEC1557" w14:textId="77777777" w:rsidR="00F9329C" w:rsidRDefault="005D697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DFBAC61" w14:textId="3A052C6E" w:rsidR="00F9329C" w:rsidRDefault="005D697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D6068">
                        <w:rPr>
                          <w:sz w:val="16"/>
                        </w:rPr>
                        <w:t>2025</w:t>
                      </w:r>
                      <w:r>
                        <w:rPr>
                          <w:sz w:val="16"/>
                        </w:rPr>
                        <w:fldChar w:fldCharType="end"/>
                      </w:r>
                      <w:r>
                        <w:rPr>
                          <w:sz w:val="16"/>
                        </w:rPr>
                        <w:t>.</w:t>
                      </w:r>
                    </w:p>
                    <w:p w14:paraId="3B10F628" w14:textId="77777777" w:rsidR="00F9329C" w:rsidRDefault="005D697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06-ac0-00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06-ac0-00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06-ac0-00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06-ac0-00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06-ac0-00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06-ac0-00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3" w:name="Schedule"/>
    <w:bookmarkEnd w:id="1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regulations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regulations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8" w:name="Compilation"/>
    <w:bookmarkEnd w:id="238"/>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2" w:name="DefinedTerms"/>
    <w:bookmarkEnd w:id="242"/>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3" w:name="Coversheet"/>
    <w:bookmarkEnd w:id="2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19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106155001"/>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 w:name="WAFER_20181204122004" w:val="RemoveTocBookmarks,RemoveUnusedBookmarks,RemoveLanguageTags,UsedStyles,ResetPageSize"/>
    <w:docVar w:name="WAFER_20181204122004_GUID" w:val="5067b95d-fd04-4e5e-9432-adf001b808ab"/>
    <w:docVar w:name="WAFER_20190110124434" w:val="RemoveTocBookmarks,RemoveUnusedBookmarks,RemoveLanguageTags,UsedStyles,ResetPageSize"/>
    <w:docVar w:name="WAFER_20190110124434_GUID" w:val="411ec3d2-7f46-4213-97f0-83c274ba9418"/>
    <w:docVar w:name="WAFER_20190221154918" w:val="RemoveTocBookmarks,RemoveUnusedBookmarks,RemoveLanguageTags,UsedStyles,ResetPageSize"/>
    <w:docVar w:name="WAFER_20190221154918_GUID" w:val="f910e117-8ebe-4a21-84a9-a09f178dc4b0"/>
    <w:docVar w:name="WAFER_20191022154225" w:val="RemoveTocBookmarks,RemoveUnusedBookmarks,RemoveLanguageTags,ResetPageSize,RunningHeaders,UpdateStyles,UsedStyles"/>
    <w:docVar w:name="WAFER_20191022154225_GUID" w:val="f0b5473e-9e9e-41c8-a110-f44caae7ed66"/>
    <w:docVar w:name="WAFER_20191203160159" w:val="RemoveTocBookmarks,RemoveUnusedBookmarks,RemoveLanguageTags,ResetPageSize,RunningHeaders,UpdateStyles,UsedStyles"/>
    <w:docVar w:name="WAFER_20191203160159_GUID" w:val="947b7178-206b-41b7-9d3d-913d105bd709"/>
    <w:docVar w:name="WAFER_20200210150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0501_GUID" w:val="7d6d5438-3049-4a41-99f8-3a867af2df31"/>
    <w:docVar w:name="WAFER_2020030315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03150437_GUID" w:val="9c5854cf-a66f-4557-88d1-778478958262"/>
    <w:docVar w:name="WAFER_202208091554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419_GUID" w:val="b63ce6c9-8c9b-46b5-af84-c3629edb5d42"/>
    <w:docVar w:name="WAFER_202212161048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4856_GUID" w:val="2c348fe1-dae3-4dac-8109-59d5fe13eb34"/>
    <w:docVar w:name="WAFER_20231013093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093455_GUID" w:val="9fbc9e7a-4277-43d4-9ee0-1301342cb2e7"/>
    <w:docVar w:name="WAFER_20231220154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227_GUID" w:val="262abdf4-1709-417e-87ff-ac552169c810"/>
    <w:docVar w:name="WAFER_20231220154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256_GUID" w:val="112bbd58-9675-4260-89aa-b573278f7677"/>
    <w:docVar w:name="WAFER_20241010133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3124_GUID" w:val="fa0d1eb0-4247-44e0-ac67-b55dccf07a0e"/>
    <w:docVar w:name="WAFER_202412230927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2745_GUID" w:val="421a499e-42c9-439b-8110-fe56905f30bf"/>
    <w:docVar w:name="WAFER_20250131134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134433_GUID" w:val="dcefbe20-bcf3-4957-9574-92ba53e0c252"/>
    <w:docVar w:name="WAFER_20250131134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31134455_GUID" w:val="4950ca4e-8e2a-4794-afcd-cca5714a5be9"/>
    <w:docVar w:name="WAFER_202511061535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RemoveIncorrectStyles.ProcessStyles,RemoveIncorrectStyles.ProcessStyles"/>
    <w:docVar w:name="WAFER_20251106153559_GUID" w:val="645bd0e0-fd4b-4130-95b5-904dccdbb427"/>
    <w:docVar w:name="WAFER_202511061550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106155001_GUID" w:val="2b3deff9-6f23-40e9-aa53-85f96c09da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1905"/>
    <o:shapelayout v:ext="edit">
      <o:idmap v:ext="edit" data="1"/>
    </o:shapelayout>
  </w:shapeDefaults>
  <w:decimalSymbol w:val="."/>
  <w:listSeparator w:val=","/>
  <w15:docId w15:val="{4912E868-0EF0-40FC-AE66-A966E7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yMiscellaneousHeadingBold">
    <w:name w:val="yMiscellaneous Heading + Bold"/>
    <w:aliases w:val="Left,Left:  0.25 cm,After:  12 pt"/>
    <w:basedOn w:val="yMiscellaneousHeading"/>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0CD2D-3529-4D16-9B42-CFB98A206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21572</Words>
  <Characters>104413</Characters>
  <Application>Microsoft Office Word</Application>
  <DocSecurity>0</DocSecurity>
  <Lines>3600</Lines>
  <Paragraphs>2422</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123563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1988 - 06-ac0-00</dc:title>
  <dc:subject/>
  <dc:creator/>
  <cp:keywords/>
  <dc:description/>
  <cp:lastModifiedBy>Master Repository Process</cp:lastModifiedBy>
  <cp:revision>4</cp:revision>
  <cp:lastPrinted>2019-12-05T02:10:00Z</cp:lastPrinted>
  <dcterms:created xsi:type="dcterms:W3CDTF">2025-11-11T03:40:00Z</dcterms:created>
  <dcterms:modified xsi:type="dcterms:W3CDTF">2025-11-11T03:40:00Z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AsAtDate">
    <vt:lpwstr>12 Nov 2025</vt:lpwstr>
  </property>
  <property fmtid="{D5CDD505-2E9C-101B-9397-08002B2CF9AE}" pid="8" name="Suffix">
    <vt:lpwstr>06-ac0-00</vt:lpwstr>
  </property>
  <property fmtid="{D5CDD505-2E9C-101B-9397-08002B2CF9AE}" pid="9" name="Official">
    <vt:lpwstr/>
  </property>
  <property fmtid="{D5CDD505-2E9C-101B-9397-08002B2CF9AE}" pid="10" name="CommencementDate">
    <vt:lpwstr>20251112</vt:lpwstr>
  </property>
  <property fmtid="{D5CDD505-2E9C-101B-9397-08002B2CF9AE}" pid="11" name="CommencementAsAt">
    <vt:filetime>2025-11-11T16:00:00Z</vt:filetime>
  </property>
  <property fmtid="{D5CDD505-2E9C-101B-9397-08002B2CF9AE}" pid="12" name="CommencementYear">
    <vt:lpwstr>2025</vt:lpwstr>
  </property>
</Properties>
</file>