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_Toc216422803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_Toc216422804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_Toc216422805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_Toc216422806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_Toc216422807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_Toc216422808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_Toc216422809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_Toc216422810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_Toc216422811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_Toc216422812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_Toc216422813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_Toc216422814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_Toc216422815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_Toc216422816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_Toc216422817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_Toc216422818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_Toc216422819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_Toc216422820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_Toc216422821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_Toc216422822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_Toc216422823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_Toc216422824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_Toc216422825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_Toc216422826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_Toc216422827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_Toc216422828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_Toc216422829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_Toc216422830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_Toc216422831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_Toc216422832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_Toc216422833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_Toc216422834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_Toc216422835 \h </w:instrText>
      </w:r>
      <w:r>
        <w:fldChar w:fldCharType="separate"/>
      </w:r>
      <w:r>
        <w:t>32</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_Toc216422836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_Toc216422837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_Toc216422838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_Toc216422839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_Toc216422840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_Toc216422841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_Toc216422842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_Toc216422843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_Toc216422844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_Toc216422845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_Toc216422846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_Toc216422847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_Toc216422848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_Toc216422849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_Toc216422850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_Toc216422851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_Toc216422852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_Toc216422853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_Toc216422854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_Toc216422855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_Toc216422856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_Toc216422857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_Toc216422858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_Toc216422859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_Toc216422860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_Toc216422861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_Toc216422862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_Toc216422863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_Toc216422864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_Toc216422865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_Toc216422866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_Toc216422867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_Toc216422868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_Toc216422869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_Toc216422870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_Toc216422871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_Toc216422872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_Toc216422873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_Toc216422874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_Toc216422875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_Toc216422876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_Toc216422877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_Toc216422878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_Toc216422879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_Toc216422880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_Toc216422881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_Toc216422882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_Toc216422883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_Toc216422884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_Toc216422885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_Toc216422886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_Toc216422887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_Toc216422888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_Toc216422889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_Toc216422890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_Toc216422891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_Toc216422892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_Toc216422893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_Toc216422894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_Toc216422895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_Toc216422896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_Toc216422897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_Toc216422898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_Toc216422899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_Toc216422900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_Toc216422901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_Toc216422902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_Toc216422903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_Toc216422904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_Toc216422905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_Toc216422906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_Toc216422907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_Toc216422914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_Toc216422915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_Toc216422916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_Toc216422917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_Toc216422918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_Toc216422920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_Toc216422921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_Toc216422922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1642280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1642280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16422805"/>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16422806"/>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216422807"/>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16422808"/>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16422809"/>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16422810"/>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1642281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16422812"/>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16422813"/>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16422814"/>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16422815"/>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16422816"/>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16422817"/>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16422818"/>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16422819"/>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16422820"/>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16422821"/>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16422822"/>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16422823"/>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16422824"/>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16422825"/>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16422826"/>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16422827"/>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16422828"/>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16422829"/>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16422830"/>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16422831"/>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16422832"/>
      <w:r>
        <w:rPr>
          <w:rStyle w:val="CharSectno"/>
        </w:rPr>
        <w:t>9AA</w:t>
      </w:r>
      <w:r>
        <w:t>.</w:t>
      </w:r>
      <w:r>
        <w:tab/>
        <w:t xml:space="preserve">Distance prescribed </w:t>
      </w:r>
      <w:r>
        <w:rPr>
          <w:snapToGrid w:val="0"/>
        </w:rPr>
        <w:t>(Act s.</w:t>
      </w:r>
      <w:r>
        <w:t> 36A(2)(b))</w:t>
      </w:r>
      <w:bookmarkEnd w:id="31"/>
    </w:p>
    <w:p>
      <w:pPr>
        <w:pStyle w:val="Subsection"/>
        <w:keepNext/>
      </w:pPr>
      <w:r>
        <w:tab/>
        <w:t>(1)</w:t>
      </w:r>
      <w:r>
        <w:tab/>
        <w:t>For the purpose of section 36A(2)(b) a distance of 15 km is prescribed.</w:t>
      </w:r>
    </w:p>
    <w:p>
      <w:pPr>
        <w:pStyle w:val="Subsection"/>
      </w:pPr>
      <w:r>
        <w:tab/>
        <w:t>(2)</w:t>
      </w:r>
      <w:r>
        <w:tab/>
        <w:t>The distance referred to in subregulation (1) is to be calculated using the shortest route by road.</w:t>
      </w:r>
    </w:p>
    <w:p>
      <w:pPr>
        <w:pStyle w:val="Footnotesection"/>
        <w:ind w:left="890" w:hanging="890"/>
      </w:pPr>
      <w:r>
        <w:tab/>
        <w:t>[Regulation 9AA inserted: Gazette 29 Sep 2000 p. 5549; amended: Gazette 1 May 2007 p. 1888</w:t>
      </w:r>
      <w:r>
        <w:noBreakHyphen/>
        <w:t>9; SL 2025/149 r. 4.]</w:t>
      </w:r>
    </w:p>
    <w:p>
      <w:pPr>
        <w:pStyle w:val="Heading5"/>
      </w:pPr>
      <w:bookmarkStart w:id="32" w:name="_Toc216422833"/>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16422834"/>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16422835"/>
      <w:r>
        <w:rPr>
          <w:rStyle w:val="CharSectno"/>
        </w:rPr>
        <w:lastRenderedPageBreak/>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lastRenderedPageBreak/>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lastRenderedPageBreak/>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lastRenderedPageBreak/>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lastRenderedPageBreak/>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lastRenderedPageBreak/>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 xml:space="preserve">means a restaurant that provides room service to persons residing or staying in residential accommodation on the same premises as the restaurant or </w:t>
      </w:r>
      <w:r>
        <w:lastRenderedPageBreak/>
        <w:t>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lastRenderedPageBreak/>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 xml:space="preserve">2; 22 Oct 2010 p. 5226; 7 Oct 2011 p. 4068-9; 6 Jan 2012 p. 48 </w:t>
      </w:r>
      <w:r>
        <w:lastRenderedPageBreak/>
        <w:t>(disallowed: Gazette 18 Sep 2012 p. 4411); 16 Nov 2012 p. 5658; 10 Jan 2017 p. 142</w:t>
      </w:r>
      <w:r>
        <w:noBreakHyphen/>
        <w:t>3; 3 Feb 2017 p. 1115.]</w:t>
      </w:r>
    </w:p>
    <w:p>
      <w:pPr>
        <w:pStyle w:val="Heading5"/>
      </w:pPr>
      <w:bookmarkStart w:id="35" w:name="_Toc216422836"/>
      <w:r>
        <w:rPr>
          <w:rStyle w:val="CharSectno"/>
        </w:rPr>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16422837"/>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16422838"/>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216422839"/>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16422840"/>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16422841"/>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216422842"/>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16422843"/>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16422844"/>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16422845"/>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16422846"/>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216422847"/>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16422848"/>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16422849"/>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16422850"/>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16422851"/>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16422852"/>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16422853"/>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16422854"/>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16422855"/>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16422856"/>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16422857"/>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16422858"/>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16422859"/>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16422860"/>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16422861"/>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16422862"/>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16422863"/>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16422864"/>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16422865"/>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16422866"/>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16422867"/>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216422868"/>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16422869"/>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16422870"/>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16422871"/>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16422872"/>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16422873"/>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16422874"/>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16422875"/>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16422876"/>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16422877"/>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16422878"/>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16422879"/>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216422880"/>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216422881"/>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216422882"/>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216422883"/>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216422884"/>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216422885"/>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216422886"/>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216422887"/>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216422888"/>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pt" o:ole="">
            <v:imagedata r:id="rId21" o:title=""/>
          </v:shape>
          <o:OLEObject Type="Embed" ProgID="Equation.3" ShapeID="_x0000_i1025" DrawAspect="Content" ObjectID="_1827046213"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216422889"/>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216422890"/>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216422891"/>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216422892"/>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216422893"/>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216422894"/>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216422895"/>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216422896"/>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216422897"/>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216422898"/>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216422899"/>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216422900"/>
      <w:r>
        <w:rPr>
          <w:rStyle w:val="CharSectno"/>
        </w:rPr>
        <w:t>25B</w:t>
      </w:r>
      <w:r>
        <w:t>.</w:t>
      </w:r>
      <w:r>
        <w:tab/>
        <w:t>Fee payable for review of decision related to banned drinker orders (Act s. 152YY(1))</w:t>
      </w:r>
      <w:bookmarkEnd w:id="99"/>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00" w:name="_Toc216422901"/>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216422902"/>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216422903"/>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p>
    <w:p>
      <w:pPr>
        <w:pStyle w:val="Heading5"/>
      </w:pPr>
      <w:bookmarkStart w:id="103" w:name="_Toc216422904"/>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216422905"/>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105" w:name="_Toc216422906"/>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106" w:name="_Toc216422907"/>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216341851"/>
      <w:bookmarkStart w:id="108" w:name="_Toc216422908"/>
      <w:r>
        <w:rPr>
          <w:rStyle w:val="CharSchNo"/>
        </w:rPr>
        <w:lastRenderedPageBreak/>
        <w:t>Schedule 1</w:t>
      </w:r>
      <w:bookmarkEnd w:id="107"/>
      <w:bookmarkEnd w:id="108"/>
    </w:p>
    <w:p>
      <w:pPr>
        <w:pStyle w:val="yShoulderClause"/>
        <w:spacing w:before="60"/>
        <w:rPr>
          <w:snapToGrid w:val="0"/>
        </w:rPr>
      </w:pPr>
      <w:r>
        <w:rPr>
          <w:snapToGrid w:val="0"/>
        </w:rPr>
        <w:t>[Regulation 3]</w:t>
      </w:r>
    </w:p>
    <w:p>
      <w:pPr>
        <w:pStyle w:val="yHeading2"/>
        <w:outlineLvl w:val="9"/>
      </w:pPr>
      <w:bookmarkStart w:id="109" w:name="_Toc216341852"/>
      <w:bookmarkStart w:id="110" w:name="_Toc216422909"/>
      <w:r>
        <w:rPr>
          <w:rStyle w:val="CharSchText"/>
        </w:rPr>
        <w:t>Forms</w:t>
      </w:r>
      <w:bookmarkEnd w:id="109"/>
      <w:bookmarkEnd w:id="110"/>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1" w:name="_Toc216341853"/>
      <w:bookmarkStart w:id="112" w:name="_Toc216422910"/>
      <w:r>
        <w:rPr>
          <w:rStyle w:val="CharSchNo"/>
        </w:rPr>
        <w:lastRenderedPageBreak/>
        <w:t>Schedule 2</w:t>
      </w:r>
      <w:bookmarkEnd w:id="111"/>
      <w:bookmarkEnd w:id="112"/>
    </w:p>
    <w:p>
      <w:pPr>
        <w:pStyle w:val="yShoulderClause"/>
        <w:spacing w:before="60"/>
        <w:rPr>
          <w:snapToGrid w:val="0"/>
        </w:rPr>
      </w:pPr>
      <w:r>
        <w:rPr>
          <w:snapToGrid w:val="0"/>
        </w:rPr>
        <w:t>[Regulation 13]</w:t>
      </w:r>
    </w:p>
    <w:p>
      <w:pPr>
        <w:pStyle w:val="yHeading2"/>
        <w:spacing w:before="120" w:after="80"/>
      </w:pPr>
      <w:bookmarkStart w:id="113" w:name="_Toc216341854"/>
      <w:bookmarkStart w:id="114" w:name="_Toc216422911"/>
      <w:r>
        <w:rPr>
          <w:rStyle w:val="CharSchText"/>
        </w:rPr>
        <w:t>Details of applicant</w:t>
      </w:r>
      <w:bookmarkEnd w:id="113"/>
      <w:bookmarkEnd w:id="11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5" w:name="_Toc216341855"/>
      <w:bookmarkStart w:id="116" w:name="_Toc216422912"/>
      <w:r>
        <w:rPr>
          <w:rStyle w:val="CharSchNo"/>
        </w:rPr>
        <w:lastRenderedPageBreak/>
        <w:t>Schedule 3</w:t>
      </w:r>
      <w:r>
        <w:t xml:space="preserve"> — </w:t>
      </w:r>
      <w:r>
        <w:rPr>
          <w:rStyle w:val="CharSchText"/>
        </w:rPr>
        <w:t>Fees</w:t>
      </w:r>
      <w:bookmarkEnd w:id="115"/>
      <w:bookmarkEnd w:id="116"/>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lastRenderedPageBreak/>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lastRenderedPageBreak/>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lastRenderedPageBreak/>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lastRenderedPageBreak/>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17" w:name="_Toc216341856"/>
      <w:bookmarkStart w:id="118" w:name="_Toc216422913"/>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17"/>
      <w:bookmarkEnd w:id="118"/>
    </w:p>
    <w:p>
      <w:pPr>
        <w:pStyle w:val="yShoulderClause"/>
      </w:pPr>
      <w:r>
        <w:t>[r. 28(3)]</w:t>
      </w:r>
    </w:p>
    <w:p>
      <w:pPr>
        <w:pStyle w:val="yHeading5"/>
      </w:pPr>
      <w:bookmarkStart w:id="119" w:name="_Toc216422914"/>
      <w:r>
        <w:rPr>
          <w:rStyle w:val="CharSClsNo"/>
        </w:rPr>
        <w:t>1</w:t>
      </w:r>
      <w:r>
        <w:t>.</w:t>
      </w:r>
      <w:r>
        <w:tab/>
        <w:t>Fremantle</w:t>
      </w:r>
      <w:bookmarkEnd w:id="119"/>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0" w:name="_Toc216422915"/>
      <w:r>
        <w:rPr>
          <w:rStyle w:val="CharSClsNo"/>
        </w:rPr>
        <w:lastRenderedPageBreak/>
        <w:t>2</w:t>
      </w:r>
      <w:r>
        <w:t>.</w:t>
      </w:r>
      <w:r>
        <w:tab/>
        <w:t>Hillarys</w:t>
      </w:r>
      <w:bookmarkEnd w:id="120"/>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pPr>
        <w:pStyle w:val="yHeading5"/>
      </w:pPr>
      <w:bookmarkStart w:id="121" w:name="_Toc216422916"/>
      <w:r>
        <w:rPr>
          <w:rStyle w:val="CharSClsNo"/>
        </w:rPr>
        <w:lastRenderedPageBreak/>
        <w:t>3</w:t>
      </w:r>
      <w:r>
        <w:t>.</w:t>
      </w:r>
      <w:r>
        <w:tab/>
        <w:t>Mandurah</w:t>
      </w:r>
      <w:bookmarkEnd w:id="121"/>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2" w:name="_Toc216422917"/>
      <w:r>
        <w:rPr>
          <w:rStyle w:val="CharSClsNo"/>
        </w:rPr>
        <w:lastRenderedPageBreak/>
        <w:t>4</w:t>
      </w:r>
      <w:r>
        <w:t>.</w:t>
      </w:r>
      <w:r>
        <w:tab/>
        <w:t>Perth and Northbridge</w:t>
      </w:r>
      <w:bookmarkEnd w:id="122"/>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3" w:name="_Toc216422918"/>
      <w:r>
        <w:rPr>
          <w:rStyle w:val="CharSClsNo"/>
        </w:rPr>
        <w:lastRenderedPageBreak/>
        <w:t>5</w:t>
      </w:r>
      <w:r>
        <w:t>.</w:t>
      </w:r>
      <w:r>
        <w:tab/>
        <w:t>Scarborough</w:t>
      </w:r>
      <w:bookmarkEnd w:id="123"/>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24" w:name="_Toc216341862"/>
      <w:bookmarkStart w:id="125" w:name="_Toc216422919"/>
      <w:r>
        <w:lastRenderedPageBreak/>
        <w:t>Notes</w:t>
      </w:r>
      <w:bookmarkEnd w:id="124"/>
      <w:bookmarkEnd w:id="125"/>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6" w:name="_Toc216422920"/>
      <w:r>
        <w:t>Compilation table</w:t>
      </w:r>
      <w:bookmarkEnd w:id="12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r>
              <w:rPr>
                <w:iCs/>
                <w:vertAlign w:val="superscript"/>
              </w:rPr>
              <w:t> 10</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lastRenderedPageBreak/>
              <w:t>Liquor Control Amendment Regulations (No. 2) 2025</w:t>
            </w:r>
          </w:p>
        </w:tc>
        <w:tc>
          <w:tcPr>
            <w:tcW w:w="1276" w:type="dxa"/>
            <w:tcBorders>
              <w:top w:val="nil"/>
              <w:bottom w:val="single" w:sz="4" w:space="0" w:color="auto"/>
            </w:tcBorders>
            <w:shd w:val="clear" w:color="auto" w:fill="auto"/>
          </w:tcPr>
          <w:p>
            <w:pPr>
              <w:pStyle w:val="nTable"/>
              <w:spacing w:after="40"/>
            </w:pPr>
            <w:r>
              <w:t>SL 2025/149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bCs/>
                <w:snapToGrid w:val="0"/>
                <w:spacing w:val="-2"/>
              </w:rPr>
              <w:t>Regulations other than r. 1 and 2</w:t>
            </w:r>
            <w:r>
              <w:t>: 21 Aug 2025 (see r. 2(b))</w:t>
            </w:r>
          </w:p>
        </w:tc>
      </w:tr>
    </w:tbl>
    <w:p>
      <w:pPr>
        <w:pStyle w:val="nHeading3"/>
      </w:pPr>
      <w:bookmarkStart w:id="127" w:name="_Toc216422921"/>
      <w:r>
        <w:t>Uncommenced provisions table</w:t>
      </w:r>
      <w:bookmarkEnd w:id="1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
                <w:noProof/>
              </w:rPr>
            </w:pPr>
            <w:r>
              <w:rPr>
                <w:i/>
              </w:rPr>
              <w:t xml:space="preserve">Racing and Gaming Regulations Amendment (Fees and Charges) Regulations 2025 </w:t>
            </w:r>
            <w:r>
              <w:rPr>
                <w:iCs/>
              </w:rPr>
              <w:t>Pt. 6</w:t>
            </w:r>
          </w:p>
        </w:tc>
        <w:tc>
          <w:tcPr>
            <w:tcW w:w="1276" w:type="dxa"/>
            <w:tcBorders>
              <w:top w:val="nil"/>
              <w:bottom w:val="single" w:sz="4" w:space="0" w:color="auto"/>
            </w:tcBorders>
          </w:tcPr>
          <w:p>
            <w:pPr>
              <w:pStyle w:val="nTable"/>
              <w:spacing w:after="40"/>
            </w:pPr>
            <w:r>
              <w:t>SL 2025/187 12 Nov 2025</w:t>
            </w:r>
          </w:p>
        </w:tc>
        <w:tc>
          <w:tcPr>
            <w:tcW w:w="2693" w:type="dxa"/>
            <w:tcBorders>
              <w:top w:val="nil"/>
              <w:bottom w:val="single" w:sz="4" w:space="0" w:color="auto"/>
            </w:tcBorders>
          </w:tcPr>
          <w:p>
            <w:pPr>
              <w:pStyle w:val="nTable"/>
              <w:spacing w:after="40"/>
            </w:pPr>
            <w:r>
              <w:t>1 Jan 2026 (see r. 2(b))</w:t>
            </w:r>
          </w:p>
        </w:tc>
      </w:tr>
    </w:tbl>
    <w:p>
      <w:pPr>
        <w:pStyle w:val="nHeading3"/>
        <w:keepLines/>
        <w:widowControl w:val="0"/>
      </w:pPr>
      <w:bookmarkStart w:id="128" w:name="_Toc216422922"/>
      <w:r>
        <w:t>Other notes</w:t>
      </w:r>
      <w:bookmarkEnd w:id="128"/>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pStyle w:val="nNote"/>
        <w:keepLines/>
        <w:rPr>
          <w:vertAlign w:val="superscript"/>
        </w:rPr>
      </w:pPr>
      <w:r>
        <w:rPr>
          <w:vertAlign w:val="superscript"/>
        </w:rPr>
        <w:lastRenderedPageBreak/>
        <w:t>10</w:t>
      </w:r>
      <w:r>
        <w:rPr>
          <w:vertAlign w:val="superscript"/>
        </w:rPr>
        <w:tab/>
      </w:r>
      <w:r>
        <w:t xml:space="preserve">The </w:t>
      </w:r>
      <w:r>
        <w:rPr>
          <w:i/>
        </w:rPr>
        <w:t>Liquor Commission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2023/196 r. 2(d)).</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29" w:name="_Toc216341866"/>
      <w:bookmarkStart w:id="130" w:name="_Toc216422923"/>
      <w:r>
        <w:rPr>
          <w:sz w:val="28"/>
        </w:rPr>
        <w:lastRenderedPageBreak/>
        <w:t>Defined terms</w:t>
      </w:r>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E3813C"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19788710" w14:textId="36550D96" w:rsidR="005706EE" w:rsidRDefault="00417B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7DA">
                        <w:rPr>
                          <w:sz w:val="16"/>
                        </w:rPr>
                        <w:t>2025</w:t>
                      </w:r>
                      <w:r>
                        <w:rPr>
                          <w:sz w:val="16"/>
                        </w:rPr>
                        <w:fldChar w:fldCharType="end"/>
                      </w:r>
                      <w:r>
                        <w:rPr>
                          <w:sz w:val="16"/>
                        </w:rPr>
                        <w:t>.</w:t>
                      </w:r>
                    </w:p>
                    <w:p w14:paraId="3FE22770" w14:textId="77777777" w:rsidR="005706EE" w:rsidRDefault="00417B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0FB71F" w14:textId="3562783F" w:rsidR="005706EE" w:rsidRDefault="00417B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7DA">
                        <w:rPr>
                          <w:sz w:val="16"/>
                        </w:rPr>
                        <w:t>2025</w:t>
                      </w:r>
                      <w:r>
                        <w:rPr>
                          <w:sz w:val="16"/>
                        </w:rPr>
                        <w:fldChar w:fldCharType="end"/>
                      </w:r>
                      <w:r>
                        <w:rPr>
                          <w:sz w:val="16"/>
                        </w:rPr>
                        <w:t>.</w:t>
                      </w:r>
                    </w:p>
                    <w:p w14:paraId="0FF10C63" w14:textId="174D54F7" w:rsidR="005706EE" w:rsidRDefault="00417B69">
                      <w:pPr>
                        <w:ind w:left="2438" w:right="2098"/>
                        <w:jc w:val="center"/>
                        <w:rPr>
                          <w:rFonts w:ascii="Arial" w:hAnsi="Arial" w:cs="Arial"/>
                          <w:sz w:val="12"/>
                        </w:rPr>
                      </w:pPr>
                      <w:r>
                        <w:rPr>
                          <w:rFonts w:ascii="Arial" w:hAnsi="Arial" w:cs="Arial"/>
                          <w:sz w:val="12"/>
                        </w:rPr>
                        <w:t xml:space="preserve">By Authority: </w:t>
                      </w:r>
                      <w:r w:rsidR="00335CEB">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1" w:name="DefinedTerms"/>
    <w:bookmarkEnd w:id="13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4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0323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4305"/>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32046</Words>
  <Characters>153183</Characters>
  <Application>Microsoft Office Word</Application>
  <DocSecurity>0</DocSecurity>
  <Lines>5282</Lines>
  <Paragraphs>3139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1989 - 14-ar0-01</dc:title>
  <dc:subject/>
  <dc:creator/>
  <cp:keywords/>
  <dc:description/>
  <cp:lastModifiedBy>Master Repository Process</cp:lastModifiedBy>
  <cp:revision>4</cp:revision>
  <cp:lastPrinted>2019-12-05T02:25:00Z</cp:lastPrinted>
  <dcterms:created xsi:type="dcterms:W3CDTF">2025-12-12T04:04:00Z</dcterms:created>
  <dcterms:modified xsi:type="dcterms:W3CDTF">2025-12-12T04:04:00Z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12 Nov 2025</vt:lpwstr>
  </property>
  <property fmtid="{D5CDD505-2E9C-101B-9397-08002B2CF9AE}" pid="8" name="Suffix">
    <vt:lpwstr>14-ar0-01</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