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Act 2006</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Criminal Investigation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Amendment Regulations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_Toc214961055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_Toc214961056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_Toc214961057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_Toc214961058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Regulations 3A and 3B inserted</w:t>
      </w:r>
      <w:r>
        <w:tab/>
      </w:r>
      <w:r>
        <w:fldChar w:fldCharType="begin"/>
      </w:r>
      <w:r>
        <w:instrText xml:space="preserve"> PAGEREF _Toc214961059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3A.</w:t>
      </w:r>
      <w:r>
        <w:rPr>
          <w:noProof/>
        </w:rPr>
        <w:tab/>
        <w:t>Consent to giving move on order by electronic means (Act s. 27B)</w:t>
      </w:r>
      <w:r>
        <w:rPr>
          <w:noProof/>
        </w:rPr>
        <w:tab/>
      </w:r>
      <w:r>
        <w:rPr>
          <w:noProof/>
        </w:rPr>
        <w:fldChar w:fldCharType="begin"/>
      </w:r>
      <w:r>
        <w:rPr>
          <w:noProof/>
        </w:rPr>
        <w:instrText xml:space="preserve"> PAGEREF _Toc214961060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3B.</w:t>
      </w:r>
      <w:r>
        <w:rPr>
          <w:noProof/>
        </w:rPr>
        <w:tab/>
        <w:t>Time when move on order given (Act s. 27B)</w:t>
      </w:r>
      <w:r>
        <w:rPr>
          <w:noProof/>
        </w:rPr>
        <w:tab/>
      </w:r>
      <w:r>
        <w:rPr>
          <w:noProof/>
        </w:rPr>
        <w:fldChar w:fldCharType="begin"/>
      </w:r>
      <w:r>
        <w:rPr>
          <w:noProof/>
        </w:rPr>
        <w:instrText xml:space="preserve"> PAGEREF _Toc214961061 \h </w:instrText>
      </w:r>
      <w:r>
        <w:rPr>
          <w:noProof/>
        </w:rPr>
      </w:r>
      <w:r>
        <w:rPr>
          <w:noProof/>
        </w:rPr>
        <w:fldChar w:fldCharType="separate"/>
      </w:r>
      <w:r>
        <w:rPr>
          <w:noProof/>
        </w:rPr>
        <w:t>3</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Investigation Act 2006</w:t>
      </w:r>
    </w:p>
    <w:p>
      <w:pPr>
        <w:pStyle w:val="NameofActReg"/>
      </w:pPr>
      <w:r>
        <w:t>Criminal Investigation Amendment Regulations 2025</w:t>
      </w:r>
    </w:p>
    <w:p>
      <w:pPr>
        <w:pStyle w:val="MadeBy"/>
      </w:pPr>
      <w:r>
        <w:t>Made by the Governor in Executive Council.</w:t>
      </w:r>
    </w:p>
    <w:p>
      <w:pPr>
        <w:pStyle w:val="Heading5"/>
      </w:pPr>
      <w:bookmarkStart w:id="2" w:name="_Toc214537441"/>
      <w:bookmarkStart w:id="3" w:name="_Toc214961055"/>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Criminal Investigation Amendment Regulations 2025</w:t>
      </w:r>
      <w:r>
        <w:t>.</w:t>
      </w:r>
    </w:p>
    <w:p>
      <w:pPr>
        <w:pStyle w:val="Heading5"/>
        <w:rPr>
          <w:spacing w:val="-2"/>
        </w:rPr>
      </w:pPr>
      <w:bookmarkStart w:id="5" w:name="_Toc214537442"/>
      <w:bookmarkStart w:id="6" w:name="_Toc21496105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December 2025.</w:t>
      </w:r>
    </w:p>
    <w:p>
      <w:pPr>
        <w:pStyle w:val="Heading5"/>
        <w:rPr>
          <w:snapToGrid w:val="0"/>
        </w:rPr>
      </w:pPr>
      <w:bookmarkStart w:id="7" w:name="_Toc214537443"/>
      <w:bookmarkStart w:id="8" w:name="_Toc214961057"/>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Criminal Investigation Regulations 2007</w:t>
      </w:r>
      <w:r>
        <w:t>.</w:t>
      </w:r>
    </w:p>
    <w:p>
      <w:pPr>
        <w:pStyle w:val="Heading5"/>
      </w:pPr>
      <w:bookmarkStart w:id="9" w:name="_Toc214537444"/>
      <w:bookmarkStart w:id="10" w:name="_Toc214961058"/>
      <w:r>
        <w:rPr>
          <w:rStyle w:val="CharSectno"/>
        </w:rPr>
        <w:t>4</w:t>
      </w:r>
      <w:r>
        <w:t>.</w:t>
      </w:r>
      <w:r>
        <w:tab/>
        <w:t>Regulation 3 amended</w:t>
      </w:r>
      <w:bookmarkEnd w:id="9"/>
      <w:bookmarkEnd w:id="10"/>
    </w:p>
    <w:p>
      <w:pPr>
        <w:pStyle w:val="Subsection"/>
      </w:pPr>
      <w:r>
        <w:tab/>
        <w:t>(1)</w:t>
      </w:r>
      <w:r>
        <w:tab/>
        <w:t>In regulation 3 delete “regulations, unless the contrary intention appears —” and insert:</w:t>
      </w:r>
    </w:p>
    <w:p>
      <w:pPr>
        <w:pStyle w:val="BlankOpen"/>
      </w:pPr>
    </w:p>
    <w:p>
      <w:pPr>
        <w:pStyle w:val="Subsection"/>
      </w:pPr>
      <w:r>
        <w:tab/>
      </w:r>
      <w:r>
        <w:tab/>
        <w:t xml:space="preserve">regulations — </w:t>
      </w:r>
    </w:p>
    <w:p>
      <w:pPr>
        <w:pStyle w:val="BlankClose"/>
      </w:pPr>
    </w:p>
    <w:p>
      <w:pPr>
        <w:pStyle w:val="Subsection"/>
        <w:keepNext/>
        <w:keepLines/>
      </w:pPr>
      <w:r>
        <w:lastRenderedPageBreak/>
        <w:tab/>
        <w:t>(2)</w:t>
      </w:r>
      <w:r>
        <w:tab/>
        <w:t>In regulation 3 insert in alphabetical order:</w:t>
      </w:r>
    </w:p>
    <w:p>
      <w:pPr>
        <w:pStyle w:val="BlankOpen"/>
      </w:pPr>
    </w:p>
    <w:p>
      <w:pPr>
        <w:pStyle w:val="zDefstart"/>
        <w:keepLines/>
      </w:pPr>
      <w:r>
        <w:tab/>
      </w:r>
      <w:r>
        <w:rPr>
          <w:rStyle w:val="CharDefText"/>
        </w:rPr>
        <w:t>electronic address</w:t>
      </w:r>
      <w:r>
        <w:t xml:space="preserve"> means an email address or mobile telephone number;</w:t>
      </w:r>
    </w:p>
    <w:p>
      <w:pPr>
        <w:pStyle w:val="BlankClose"/>
      </w:pPr>
    </w:p>
    <w:p>
      <w:pPr>
        <w:pStyle w:val="SectAltNote"/>
        <w:keepLines/>
      </w:pPr>
      <w:r>
        <w:tab/>
        <w:t>Note: The heading to amended regulation 3 is to read:</w:t>
      </w:r>
    </w:p>
    <w:p>
      <w:pPr>
        <w:pStyle w:val="SectAltHeading"/>
        <w:keepLines/>
      </w:pPr>
      <w:r>
        <w:tab/>
      </w:r>
      <w:r>
        <w:tab/>
        <w:t>Terms used</w:t>
      </w:r>
    </w:p>
    <w:p>
      <w:pPr>
        <w:pStyle w:val="Heading5"/>
      </w:pPr>
      <w:bookmarkStart w:id="11" w:name="_Toc214537445"/>
      <w:bookmarkStart w:id="12" w:name="_Toc214961059"/>
      <w:r>
        <w:rPr>
          <w:rStyle w:val="CharSectno"/>
        </w:rPr>
        <w:t>5</w:t>
      </w:r>
      <w:r>
        <w:t>.</w:t>
      </w:r>
      <w:r>
        <w:tab/>
        <w:t>Regulations 3A and 3B inserted</w:t>
      </w:r>
      <w:bookmarkEnd w:id="11"/>
      <w:bookmarkEnd w:id="12"/>
    </w:p>
    <w:p>
      <w:pPr>
        <w:pStyle w:val="Subsection"/>
      </w:pPr>
      <w:r>
        <w:tab/>
      </w:r>
      <w:r>
        <w:tab/>
        <w:t>After regulation 3 insert:</w:t>
      </w:r>
    </w:p>
    <w:p>
      <w:pPr>
        <w:pStyle w:val="BlankOpen"/>
      </w:pPr>
    </w:p>
    <w:p>
      <w:pPr>
        <w:pStyle w:val="zHeading5"/>
      </w:pPr>
      <w:bookmarkStart w:id="13" w:name="_Toc214537446"/>
      <w:bookmarkStart w:id="14" w:name="_Toc214961060"/>
      <w:r>
        <w:t>3A.</w:t>
      </w:r>
      <w:r>
        <w:tab/>
        <w:t>Consent to giving move on order by electronic means (Act s. 27B)</w:t>
      </w:r>
      <w:bookmarkEnd w:id="13"/>
      <w:bookmarkEnd w:id="14"/>
    </w:p>
    <w:p>
      <w:pPr>
        <w:pStyle w:val="zSubsection"/>
      </w:pPr>
      <w:r>
        <w:tab/>
        <w:t>(1)</w:t>
      </w:r>
      <w:r>
        <w:tab/>
        <w:t xml:space="preserve">For the purposes of section 27B(1)(c) of the Act, consent to a police officer giving a move on order to a person by electronic means must be given by the person indicating in any of the following ways that the person consents to the move on order being given by sending it to an electronic address provided by the person — </w:t>
      </w:r>
    </w:p>
    <w:p>
      <w:pPr>
        <w:pStyle w:val="zIndenta"/>
      </w:pPr>
      <w:r>
        <w:tab/>
        <w:t>(a)</w:t>
      </w:r>
      <w:r>
        <w:tab/>
        <w:t>in writing;</w:t>
      </w:r>
    </w:p>
    <w:p>
      <w:pPr>
        <w:pStyle w:val="zIndenta"/>
      </w:pPr>
      <w:r>
        <w:tab/>
        <w:t>(b)</w:t>
      </w:r>
      <w:r>
        <w:tab/>
        <w:t>orally;</w:t>
      </w:r>
    </w:p>
    <w:p>
      <w:pPr>
        <w:pStyle w:val="zIndenta"/>
      </w:pPr>
      <w:r>
        <w:tab/>
        <w:t>(c)</w:t>
      </w:r>
      <w:r>
        <w:tab/>
        <w:t>by non</w:t>
      </w:r>
      <w:r>
        <w:noBreakHyphen/>
        <w:t>verbal actions that a reasonable person would consider to indicate consent (for example, by gestures).</w:t>
      </w:r>
    </w:p>
    <w:p>
      <w:pPr>
        <w:pStyle w:val="zSubsection"/>
      </w:pPr>
      <w:r>
        <w:tab/>
        <w:t>(2)</w:t>
      </w:r>
      <w:r>
        <w:tab/>
        <w:t>The police officer giving a move on order and the person to whom the order is being given must be in one another’s physical presence when consent under section 27B(1)(c) of the Act is given.</w:t>
      </w:r>
    </w:p>
    <w:p>
      <w:pPr>
        <w:pStyle w:val="zSubsection"/>
      </w:pPr>
      <w:r>
        <w:tab/>
        <w:t>(3)</w:t>
      </w:r>
      <w:r>
        <w:tab/>
        <w:t xml:space="preserve">A person does not give consent under section 27B(1)(c) of the Act merely because the person </w:t>
      </w:r>
      <w:r>
        <w:lastRenderedPageBreak/>
        <w:t>gives their personal details following a request under section 27(4) of the Act.</w:t>
      </w:r>
    </w:p>
    <w:p>
      <w:pPr>
        <w:pStyle w:val="zSubsection"/>
      </w:pPr>
      <w:r>
        <w:tab/>
        <w:t>(4)</w:t>
      </w:r>
      <w:r>
        <w:tab/>
        <w:t xml:space="preserve">Consent is taken not to be given by a person under section 27B(1)(c) of the Act if — </w:t>
      </w:r>
    </w:p>
    <w:p>
      <w:pPr>
        <w:pStyle w:val="zIndenta"/>
      </w:pPr>
      <w:r>
        <w:tab/>
        <w:t>(a)</w:t>
      </w:r>
      <w:r>
        <w:tab/>
        <w:t>the person was coerced or pressured to give consent; or</w:t>
      </w:r>
    </w:p>
    <w:p>
      <w:pPr>
        <w:pStyle w:val="zIndenta"/>
      </w:pPr>
      <w:r>
        <w:tab/>
        <w:t>(b)</w:t>
      </w:r>
      <w:r>
        <w:tab/>
        <w:t>the person did not have the capacity to give consent (including as a result of a physical or mental disability, illness or impairment); or</w:t>
      </w:r>
    </w:p>
    <w:p>
      <w:pPr>
        <w:pStyle w:val="zIndenta"/>
      </w:pPr>
      <w:r>
        <w:tab/>
        <w:t>(c)</w:t>
      </w:r>
      <w:r>
        <w:tab/>
        <w:t xml:space="preserve">due to a limited understanding of the language used in communications about consent, the person did not understand the communications. </w:t>
      </w:r>
    </w:p>
    <w:p>
      <w:pPr>
        <w:pStyle w:val="zHeading5"/>
      </w:pPr>
      <w:bookmarkStart w:id="15" w:name="_Toc214537447"/>
      <w:bookmarkStart w:id="16" w:name="_Toc214961061"/>
      <w:r>
        <w:t>3B.</w:t>
      </w:r>
      <w:r>
        <w:tab/>
        <w:t>Time when move on order given (Act s. 27B)</w:t>
      </w:r>
      <w:bookmarkEnd w:id="15"/>
      <w:bookmarkEnd w:id="16"/>
    </w:p>
    <w:p>
      <w:pPr>
        <w:pStyle w:val="zSubsection"/>
      </w:pPr>
      <w:r>
        <w:tab/>
        <w:t>(1)</w:t>
      </w:r>
      <w:r>
        <w:tab/>
        <w:t>A move on order given in accordance with section 27B(1)(a) or (b) of the Act is taken to be given to a person at the time the order is handed to or left near the person under that provision.</w:t>
      </w:r>
    </w:p>
    <w:p>
      <w:pPr>
        <w:pStyle w:val="zSubsection"/>
      </w:pPr>
      <w:r>
        <w:tab/>
        <w:t>(2)</w:t>
      </w:r>
      <w:r>
        <w:tab/>
        <w:t>A move on order given to a person by sending it to an electronic address provided by the person with the consent of the person under section 27B(1)(c) of the Act is taken to be given at the time the order is sent to the electronic address, unless it is proved that the order was not delivered to the electronic address.</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3338E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155FC4D" w14:textId="2BBBA025" w:rsidR="00E258FF" w:rsidRDefault="00E258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5798">
                        <w:rPr>
                          <w:sz w:val="16"/>
                        </w:rPr>
                        <w:t>2025</w:t>
                      </w:r>
                      <w:r>
                        <w:rPr>
                          <w:sz w:val="16"/>
                        </w:rPr>
                        <w:fldChar w:fldCharType="end"/>
                      </w:r>
                      <w:r>
                        <w:rPr>
                          <w:sz w:val="16"/>
                        </w:rPr>
                        <w:t>.</w:t>
                      </w:r>
                    </w:p>
                    <w:p w14:paraId="3ABCFBCD" w14:textId="77777777" w:rsidR="00E258FF" w:rsidRDefault="00E258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14BB8A" w14:textId="67FD6E13" w:rsidR="00E258FF" w:rsidRDefault="00E258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5798">
                        <w:rPr>
                          <w:sz w:val="16"/>
                        </w:rPr>
                        <w:t>2025</w:t>
                      </w:r>
                      <w:r>
                        <w:rPr>
                          <w:sz w:val="16"/>
                        </w:rPr>
                        <w:fldChar w:fldCharType="end"/>
                      </w:r>
                      <w:r>
                        <w:rPr>
                          <w:sz w:val="16"/>
                        </w:rPr>
                        <w:t>.</w:t>
                      </w:r>
                    </w:p>
                    <w:p w14:paraId="596B95B1" w14:textId="508E2C10" w:rsidR="00E258FF" w:rsidRDefault="00E258FF">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2025/193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2025/193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Nov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Criminal Investigation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0&lt;/Maximum&gt;&lt;/AllLaws&gt;"/>
    <w:docVar w:name="WAFER" w:val="2025112013231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9181553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8155318_GUID" w:val="74714f55-ae61-463d-98ad-073fff77f74a"/>
    <w:docVar w:name="WAFER_20251002141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02141426_GUID" w:val="4d0301b6-0c88-4e2f-bee2-3506408e5ce5"/>
    <w:docVar w:name="WAFER_20251120132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120132314_GUID" w:val="983daac7-0b55-4653-9948-a33624f6fa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0233EF84-ED79-44B5-9A06-61AC1510C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673</Words>
  <Characters>3283</Characters>
  <Application>Microsoft Office Word</Application>
  <DocSecurity>0</DocSecurity>
  <Lines>121</Lines>
  <Paragraphs>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Amendment Regulations 2025 - 00-00-00</dc:title>
  <dc:subject/>
  <dc:creator/>
  <cp:keywords/>
  <dc:description/>
  <cp:lastModifiedBy>Master Repository Process</cp:lastModifiedBy>
  <cp:revision>4</cp:revision>
  <cp:lastPrinted>2021-03-14T07:59:00Z</cp:lastPrinted>
  <dcterms:created xsi:type="dcterms:W3CDTF">2025-11-25T03:37:00Z</dcterms:created>
  <dcterms:modified xsi:type="dcterms:W3CDTF">2025-11-25T03:37:00Z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55625</vt:lpwstr>
  </property>
  <property fmtid="{D5CDD505-2E9C-101B-9397-08002B2CF9AE}" pid="3" name="DocumentType">
    <vt:lpwstr>Reg</vt:lpwstr>
  </property>
  <property fmtid="{D5CDD505-2E9C-101B-9397-08002B2CF9AE}" pid="4" name="AsAtDate">
    <vt:lpwstr>26 Nov 2025</vt:lpwstr>
  </property>
  <property fmtid="{D5CDD505-2E9C-101B-9397-08002B2CF9AE}" pid="5" name="Suffix">
    <vt:lpwstr>00-00-00</vt:lpwstr>
  </property>
  <property fmtid="{D5CDD505-2E9C-101B-9397-08002B2CF9AE}" pid="6" name="Official">
    <vt:lpwstr/>
  </property>
  <property fmtid="{D5CDD505-2E9C-101B-9397-08002B2CF9AE}" pid="7" name="SLAPId">
    <vt:lpwstr>2025/193</vt:lpwstr>
  </property>
  <property fmtid="{D5CDD505-2E9C-101B-9397-08002B2CF9AE}" pid="8" name="PublishDate">
    <vt:lpwstr>26 Nov 2025</vt:lpwstr>
  </property>
  <property fmtid="{D5CDD505-2E9C-101B-9397-08002B2CF9AE}" pid="9" name="CommencementDate">
    <vt:lpwstr>20251126</vt:lpwstr>
  </property>
  <property fmtid="{D5CDD505-2E9C-101B-9397-08002B2CF9AE}" pid="10" name="CommencementAsAt">
    <vt:filetime>2025-11-25T16:00:00Z</vt:filetime>
  </property>
  <property fmtid="{D5CDD505-2E9C-101B-9397-08002B2CF9AE}" pid="11" name="CommencementYear">
    <vt:lpwstr>2025</vt:lpwstr>
  </property>
</Properties>
</file>