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Real Estate and Business Agents Act 1978</w:t>
      </w:r>
      <w:r>
        <w:rPr>
          <w:noProof/>
        </w:rPr>
        <w:br/>
        <w:t>Settlement Agents Act 1981</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Commerce Regulations Amendment (Real Estate, Business and Settlement Agents) Regulations 2025</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Commerce Regulations Amendment (Real Estate, Business and Settlement Agents) Regulations 2025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_Toc214961689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_Toc214961690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iCs/>
        </w:rPr>
        <w:t>Real Estate and Business Agents (General) Regulations 1979</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_Toc214961692 \h </w:instrText>
      </w:r>
      <w:r>
        <w:fldChar w:fldCharType="separate"/>
      </w:r>
      <w:r>
        <w:t>2</w:t>
      </w:r>
      <w:r>
        <w:fldChar w:fldCharType="end"/>
      </w:r>
    </w:p>
    <w:p>
      <w:pPr>
        <w:pStyle w:val="TOC8"/>
        <w:rPr>
          <w:rFonts w:asciiTheme="minorHAnsi" w:eastAsiaTheme="minorEastAsia" w:hAnsiTheme="minorHAnsi" w:cstheme="minorBidi"/>
          <w:szCs w:val="22"/>
        </w:rPr>
      </w:pPr>
      <w:r>
        <w:t>4.</w:t>
      </w:r>
      <w:r>
        <w:tab/>
        <w:t>Part 1 heading inserted</w:t>
      </w:r>
      <w:r>
        <w:tab/>
      </w:r>
      <w:r>
        <w:fldChar w:fldCharType="begin"/>
      </w:r>
      <w:r>
        <w:instrText xml:space="preserve"> PAGEREF _Toc214961693 \h </w:instrText>
      </w:r>
      <w:r>
        <w:fldChar w:fldCharType="separate"/>
      </w:r>
      <w:r>
        <w:t>2</w:t>
      </w:r>
      <w:r>
        <w:fldChar w:fldCharType="end"/>
      </w:r>
    </w:p>
    <w:p>
      <w:pPr>
        <w:pStyle w:val="TOC3"/>
        <w:tabs>
          <w:tab w:val="right" w:leader="dot" w:pos="7077"/>
        </w:tabs>
        <w:rPr>
          <w:rFonts w:asciiTheme="minorHAnsi" w:eastAsiaTheme="minorEastAsia" w:hAnsiTheme="minorHAnsi" w:cstheme="minorBidi"/>
          <w:b w:val="0"/>
          <w:sz w:val="22"/>
          <w:szCs w:val="22"/>
        </w:rPr>
      </w:pPr>
      <w:r>
        <w:t>Part 1 — Preliminary</w:t>
      </w:r>
    </w:p>
    <w:p>
      <w:pPr>
        <w:pStyle w:val="TOC8"/>
        <w:rPr>
          <w:rFonts w:asciiTheme="minorHAnsi" w:eastAsiaTheme="minorEastAsia" w:hAnsiTheme="minorHAnsi" w:cstheme="minorBidi"/>
          <w:szCs w:val="22"/>
        </w:rPr>
      </w:pPr>
      <w:r>
        <w:t>5.</w:t>
      </w:r>
      <w:r>
        <w:tab/>
        <w:t>Regulation 2 amended</w:t>
      </w:r>
      <w:r>
        <w:tab/>
      </w:r>
      <w:r>
        <w:fldChar w:fldCharType="begin"/>
      </w:r>
      <w:r>
        <w:instrText xml:space="preserve"> PAGEREF _Toc214961695 \h </w:instrText>
      </w:r>
      <w:r>
        <w:fldChar w:fldCharType="separate"/>
      </w:r>
      <w:r>
        <w:t>2</w:t>
      </w:r>
      <w:r>
        <w:fldChar w:fldCharType="end"/>
      </w:r>
    </w:p>
    <w:p>
      <w:pPr>
        <w:pStyle w:val="TOC8"/>
        <w:rPr>
          <w:rFonts w:asciiTheme="minorHAnsi" w:eastAsiaTheme="minorEastAsia" w:hAnsiTheme="minorHAnsi" w:cstheme="minorBidi"/>
          <w:szCs w:val="22"/>
        </w:rPr>
      </w:pPr>
      <w:r>
        <w:t>6.</w:t>
      </w:r>
      <w:r>
        <w:tab/>
        <w:t>Part 2 heading inserted</w:t>
      </w:r>
      <w:r>
        <w:tab/>
      </w:r>
      <w:r>
        <w:fldChar w:fldCharType="begin"/>
      </w:r>
      <w:r>
        <w:instrText xml:space="preserve"> PAGEREF _Toc214961696 \h </w:instrText>
      </w:r>
      <w:r>
        <w:fldChar w:fldCharType="separate"/>
      </w:r>
      <w:r>
        <w:t>4</w:t>
      </w:r>
      <w:r>
        <w:fldChar w:fldCharType="end"/>
      </w:r>
    </w:p>
    <w:p>
      <w:pPr>
        <w:pStyle w:val="TOC3"/>
        <w:tabs>
          <w:tab w:val="right" w:leader="dot" w:pos="7077"/>
        </w:tabs>
        <w:rPr>
          <w:rFonts w:asciiTheme="minorHAnsi" w:eastAsiaTheme="minorEastAsia" w:hAnsiTheme="minorHAnsi" w:cstheme="minorBidi"/>
          <w:b w:val="0"/>
          <w:sz w:val="22"/>
          <w:szCs w:val="22"/>
        </w:rPr>
      </w:pPr>
      <w:r>
        <w:t>Part 2 — Fees</w:t>
      </w:r>
    </w:p>
    <w:p>
      <w:pPr>
        <w:pStyle w:val="TOC8"/>
        <w:rPr>
          <w:rFonts w:asciiTheme="minorHAnsi" w:eastAsiaTheme="minorEastAsia" w:hAnsiTheme="minorHAnsi" w:cstheme="minorBidi"/>
          <w:szCs w:val="22"/>
        </w:rPr>
      </w:pPr>
      <w:r>
        <w:t>7.</w:t>
      </w:r>
      <w:r>
        <w:tab/>
        <w:t>Regulation 4 amended</w:t>
      </w:r>
      <w:r>
        <w:tab/>
      </w:r>
      <w:r>
        <w:fldChar w:fldCharType="begin"/>
      </w:r>
      <w:r>
        <w:instrText xml:space="preserve"> PAGEREF _Toc214961698 \h </w:instrText>
      </w:r>
      <w:r>
        <w:fldChar w:fldCharType="separate"/>
      </w:r>
      <w:r>
        <w:t>4</w:t>
      </w:r>
      <w:r>
        <w:fldChar w:fldCharType="end"/>
      </w:r>
    </w:p>
    <w:p>
      <w:pPr>
        <w:pStyle w:val="TOC8"/>
        <w:rPr>
          <w:rFonts w:asciiTheme="minorHAnsi" w:eastAsiaTheme="minorEastAsia" w:hAnsiTheme="minorHAnsi" w:cstheme="minorBidi"/>
          <w:szCs w:val="22"/>
        </w:rPr>
      </w:pPr>
      <w:r>
        <w:t>8.</w:t>
      </w:r>
      <w:r>
        <w:tab/>
        <w:t>Part 3 heading inserted</w:t>
      </w:r>
      <w:r>
        <w:tab/>
      </w:r>
      <w:r>
        <w:fldChar w:fldCharType="begin"/>
      </w:r>
      <w:r>
        <w:instrText xml:space="preserve"> PAGEREF _Toc214961699 \h </w:instrText>
      </w:r>
      <w:r>
        <w:fldChar w:fldCharType="separate"/>
      </w:r>
      <w:r>
        <w:t>5</w:t>
      </w:r>
      <w:r>
        <w:fldChar w:fldCharType="end"/>
      </w:r>
    </w:p>
    <w:p>
      <w:pPr>
        <w:pStyle w:val="TOC3"/>
        <w:tabs>
          <w:tab w:val="right" w:leader="dot" w:pos="7077"/>
        </w:tabs>
        <w:rPr>
          <w:rFonts w:asciiTheme="minorHAnsi" w:eastAsiaTheme="minorEastAsia" w:hAnsiTheme="minorHAnsi" w:cstheme="minorBidi"/>
          <w:b w:val="0"/>
          <w:sz w:val="22"/>
          <w:szCs w:val="22"/>
        </w:rPr>
      </w:pPr>
      <w:r>
        <w:t>Part 3 — Educational requirements</w:t>
      </w:r>
    </w:p>
    <w:p>
      <w:pPr>
        <w:pStyle w:val="TOC8"/>
        <w:rPr>
          <w:rFonts w:asciiTheme="minorHAnsi" w:eastAsiaTheme="minorEastAsia" w:hAnsiTheme="minorHAnsi" w:cstheme="minorBidi"/>
          <w:szCs w:val="22"/>
        </w:rPr>
      </w:pPr>
      <w:r>
        <w:t>9.</w:t>
      </w:r>
      <w:r>
        <w:tab/>
        <w:t>Regulation 4AA amended</w:t>
      </w:r>
      <w:r>
        <w:tab/>
      </w:r>
      <w:r>
        <w:fldChar w:fldCharType="begin"/>
      </w:r>
      <w:r>
        <w:instrText xml:space="preserve"> PAGEREF _Toc214961701 \h </w:instrText>
      </w:r>
      <w:r>
        <w:fldChar w:fldCharType="separate"/>
      </w:r>
      <w:r>
        <w:t>5</w:t>
      </w:r>
      <w:r>
        <w:fldChar w:fldCharType="end"/>
      </w:r>
    </w:p>
    <w:p>
      <w:pPr>
        <w:pStyle w:val="TOC8"/>
        <w:rPr>
          <w:rFonts w:asciiTheme="minorHAnsi" w:eastAsiaTheme="minorEastAsia" w:hAnsiTheme="minorHAnsi" w:cstheme="minorBidi"/>
          <w:szCs w:val="22"/>
        </w:rPr>
      </w:pPr>
      <w:r>
        <w:t>10.</w:t>
      </w:r>
      <w:r>
        <w:tab/>
        <w:t>Regulation 4AB amended</w:t>
      </w:r>
      <w:r>
        <w:tab/>
      </w:r>
      <w:r>
        <w:fldChar w:fldCharType="begin"/>
      </w:r>
      <w:r>
        <w:instrText xml:space="preserve"> PAGEREF _Toc214961702 \h </w:instrText>
      </w:r>
      <w:r>
        <w:fldChar w:fldCharType="separate"/>
      </w:r>
      <w:r>
        <w:t>7</w:t>
      </w:r>
      <w:r>
        <w:fldChar w:fldCharType="end"/>
      </w:r>
    </w:p>
    <w:p>
      <w:pPr>
        <w:pStyle w:val="TOC8"/>
        <w:rPr>
          <w:rFonts w:asciiTheme="minorHAnsi" w:eastAsiaTheme="minorEastAsia" w:hAnsiTheme="minorHAnsi" w:cstheme="minorBidi"/>
          <w:szCs w:val="22"/>
        </w:rPr>
      </w:pPr>
      <w:r>
        <w:t>11.</w:t>
      </w:r>
      <w:r>
        <w:tab/>
        <w:t>Regulations 4AC and 4AD replaced</w:t>
      </w:r>
      <w:r>
        <w:tab/>
      </w:r>
      <w:r>
        <w:fldChar w:fldCharType="begin"/>
      </w:r>
      <w:r>
        <w:instrText xml:space="preserve"> PAGEREF _Toc214961703 \h </w:instrText>
      </w:r>
      <w:r>
        <w:fldChar w:fldCharType="separate"/>
      </w:r>
      <w:r>
        <w:t>8</w:t>
      </w:r>
      <w:r>
        <w:fldChar w:fldCharType="end"/>
      </w:r>
    </w:p>
    <w:p>
      <w:pPr>
        <w:pStyle w:val="TOC9"/>
        <w:rPr>
          <w:rFonts w:asciiTheme="minorHAnsi" w:eastAsiaTheme="minorEastAsia" w:hAnsiTheme="minorHAnsi" w:cstheme="minorBidi"/>
          <w:noProof/>
          <w:sz w:val="22"/>
          <w:szCs w:val="22"/>
        </w:rPr>
      </w:pPr>
      <w:r>
        <w:rPr>
          <w:noProof/>
        </w:rPr>
        <w:t>4AC.</w:t>
      </w:r>
      <w:r>
        <w:rPr>
          <w:noProof/>
        </w:rPr>
        <w:tab/>
        <w:t>CPD points</w:t>
      </w:r>
      <w:r>
        <w:rPr>
          <w:noProof/>
        </w:rPr>
        <w:tab/>
      </w:r>
      <w:r>
        <w:rPr>
          <w:noProof/>
        </w:rPr>
        <w:fldChar w:fldCharType="begin"/>
      </w:r>
      <w:r>
        <w:rPr>
          <w:noProof/>
        </w:rPr>
        <w:instrText xml:space="preserve"> PAGEREF _Toc214961704 \h </w:instrText>
      </w:r>
      <w:r>
        <w:rPr>
          <w:noProof/>
        </w:rPr>
      </w:r>
      <w:r>
        <w:rPr>
          <w:noProof/>
        </w:rPr>
        <w:fldChar w:fldCharType="separate"/>
      </w:r>
      <w:r>
        <w:rPr>
          <w:noProof/>
        </w:rPr>
        <w:t>8</w:t>
      </w:r>
      <w:r>
        <w:rPr>
          <w:noProof/>
        </w:rPr>
        <w:fldChar w:fldCharType="end"/>
      </w:r>
    </w:p>
    <w:p>
      <w:pPr>
        <w:pStyle w:val="TOC8"/>
        <w:rPr>
          <w:rFonts w:asciiTheme="minorHAnsi" w:eastAsiaTheme="minorEastAsia" w:hAnsiTheme="minorHAnsi" w:cstheme="minorBidi"/>
          <w:szCs w:val="22"/>
        </w:rPr>
      </w:pPr>
      <w:r>
        <w:t>12.</w:t>
      </w:r>
      <w:r>
        <w:tab/>
        <w:t>Regulation 4AE inserted</w:t>
      </w:r>
      <w:r>
        <w:tab/>
      </w:r>
      <w:r>
        <w:fldChar w:fldCharType="begin"/>
      </w:r>
      <w:r>
        <w:instrText xml:space="preserve"> PAGEREF _Toc214961705 \h </w:instrText>
      </w:r>
      <w:r>
        <w:fldChar w:fldCharType="separate"/>
      </w:r>
      <w:r>
        <w:t>8</w:t>
      </w:r>
      <w:r>
        <w:fldChar w:fldCharType="end"/>
      </w:r>
    </w:p>
    <w:p>
      <w:pPr>
        <w:pStyle w:val="TOC9"/>
        <w:rPr>
          <w:rFonts w:asciiTheme="minorHAnsi" w:eastAsiaTheme="minorEastAsia" w:hAnsiTheme="minorHAnsi" w:cstheme="minorBidi"/>
          <w:noProof/>
          <w:sz w:val="22"/>
          <w:szCs w:val="22"/>
        </w:rPr>
      </w:pPr>
      <w:r>
        <w:rPr>
          <w:noProof/>
        </w:rPr>
        <w:t>4AE.</w:t>
      </w:r>
      <w:r>
        <w:rPr>
          <w:noProof/>
        </w:rPr>
        <w:tab/>
        <w:t>Approval of CPD providers</w:t>
      </w:r>
      <w:r>
        <w:rPr>
          <w:noProof/>
        </w:rPr>
        <w:tab/>
      </w:r>
      <w:r>
        <w:rPr>
          <w:noProof/>
        </w:rPr>
        <w:fldChar w:fldCharType="begin"/>
      </w:r>
      <w:r>
        <w:rPr>
          <w:noProof/>
        </w:rPr>
        <w:instrText xml:space="preserve"> PAGEREF _Toc214961706 \h </w:instrText>
      </w:r>
      <w:r>
        <w:rPr>
          <w:noProof/>
        </w:rPr>
      </w:r>
      <w:r>
        <w:rPr>
          <w:noProof/>
        </w:rPr>
        <w:fldChar w:fldCharType="separate"/>
      </w:r>
      <w:r>
        <w:rPr>
          <w:noProof/>
        </w:rPr>
        <w:t>8</w:t>
      </w:r>
      <w:r>
        <w:rPr>
          <w:noProof/>
        </w:rPr>
        <w:fldChar w:fldCharType="end"/>
      </w:r>
    </w:p>
    <w:p>
      <w:pPr>
        <w:pStyle w:val="TOC8"/>
        <w:keepNext/>
        <w:rPr>
          <w:rFonts w:asciiTheme="minorHAnsi" w:eastAsiaTheme="minorEastAsia" w:hAnsiTheme="minorHAnsi" w:cstheme="minorBidi"/>
          <w:szCs w:val="22"/>
        </w:rPr>
      </w:pPr>
      <w:r>
        <w:lastRenderedPageBreak/>
        <w:t>13.</w:t>
      </w:r>
      <w:r>
        <w:tab/>
        <w:t>Regulations 4AF to 4AJ inserted</w:t>
      </w:r>
      <w:r>
        <w:tab/>
      </w:r>
      <w:r>
        <w:fldChar w:fldCharType="begin"/>
      </w:r>
      <w:r>
        <w:instrText xml:space="preserve"> PAGEREF _Toc214961707 \h </w:instrText>
      </w:r>
      <w:r>
        <w:fldChar w:fldCharType="separate"/>
      </w:r>
      <w:r>
        <w:t>9</w:t>
      </w:r>
      <w:r>
        <w:fldChar w:fldCharType="end"/>
      </w:r>
    </w:p>
    <w:p>
      <w:pPr>
        <w:pStyle w:val="TOC9"/>
        <w:rPr>
          <w:rFonts w:asciiTheme="minorHAnsi" w:eastAsiaTheme="minorEastAsia" w:hAnsiTheme="minorHAnsi" w:cstheme="minorBidi"/>
          <w:noProof/>
          <w:sz w:val="22"/>
          <w:szCs w:val="22"/>
        </w:rPr>
      </w:pPr>
      <w:r>
        <w:rPr>
          <w:noProof/>
        </w:rPr>
        <w:t>4AF.</w:t>
      </w:r>
      <w:r>
        <w:rPr>
          <w:noProof/>
        </w:rPr>
        <w:tab/>
        <w:t>Approval of CPD topics</w:t>
      </w:r>
      <w:r>
        <w:rPr>
          <w:noProof/>
        </w:rPr>
        <w:tab/>
      </w:r>
      <w:r>
        <w:rPr>
          <w:noProof/>
        </w:rPr>
        <w:fldChar w:fldCharType="begin"/>
      </w:r>
      <w:r>
        <w:rPr>
          <w:noProof/>
        </w:rPr>
        <w:instrText xml:space="preserve"> PAGEREF _Toc214961708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4AG.</w:t>
      </w:r>
      <w:r>
        <w:rPr>
          <w:noProof/>
        </w:rPr>
        <w:tab/>
        <w:t>Mandatory CPD topic for CPD year</w:t>
      </w:r>
      <w:r>
        <w:rPr>
          <w:noProof/>
        </w:rPr>
        <w:tab/>
      </w:r>
      <w:r>
        <w:rPr>
          <w:noProof/>
        </w:rPr>
        <w:fldChar w:fldCharType="begin"/>
      </w:r>
      <w:r>
        <w:rPr>
          <w:noProof/>
        </w:rPr>
        <w:instrText xml:space="preserve"> PAGEREF _Toc214961709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4AH.</w:t>
      </w:r>
      <w:r>
        <w:rPr>
          <w:noProof/>
        </w:rPr>
        <w:tab/>
        <w:t>CPD content</w:t>
      </w:r>
      <w:r>
        <w:rPr>
          <w:noProof/>
        </w:rPr>
        <w:tab/>
      </w:r>
      <w:r>
        <w:rPr>
          <w:noProof/>
        </w:rPr>
        <w:fldChar w:fldCharType="begin"/>
      </w:r>
      <w:r>
        <w:rPr>
          <w:noProof/>
        </w:rPr>
        <w:instrText xml:space="preserve"> PAGEREF _Toc214961710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4AI.</w:t>
      </w:r>
      <w:r>
        <w:rPr>
          <w:noProof/>
        </w:rPr>
        <w:tab/>
        <w:t>CPD records: providers</w:t>
      </w:r>
      <w:r>
        <w:rPr>
          <w:noProof/>
        </w:rPr>
        <w:tab/>
      </w:r>
      <w:r>
        <w:rPr>
          <w:noProof/>
        </w:rPr>
        <w:fldChar w:fldCharType="begin"/>
      </w:r>
      <w:r>
        <w:rPr>
          <w:noProof/>
        </w:rPr>
        <w:instrText xml:space="preserve"> PAGEREF _Toc214961711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4AJ.</w:t>
      </w:r>
      <w:r>
        <w:rPr>
          <w:noProof/>
        </w:rPr>
        <w:tab/>
        <w:t>CPD records: regulated persons</w:t>
      </w:r>
      <w:r>
        <w:rPr>
          <w:noProof/>
        </w:rPr>
        <w:tab/>
      </w:r>
      <w:r>
        <w:rPr>
          <w:noProof/>
        </w:rPr>
        <w:fldChar w:fldCharType="begin"/>
      </w:r>
      <w:r>
        <w:rPr>
          <w:noProof/>
        </w:rPr>
        <w:instrText xml:space="preserve"> PAGEREF _Toc214961712 \h </w:instrText>
      </w:r>
      <w:r>
        <w:rPr>
          <w:noProof/>
        </w:rPr>
      </w:r>
      <w:r>
        <w:rPr>
          <w:noProof/>
        </w:rPr>
        <w:fldChar w:fldCharType="separate"/>
      </w:r>
      <w:r>
        <w:rPr>
          <w:noProof/>
        </w:rPr>
        <w:t>12</w:t>
      </w:r>
      <w:r>
        <w:rPr>
          <w:noProof/>
        </w:rPr>
        <w:fldChar w:fldCharType="end"/>
      </w:r>
    </w:p>
    <w:p>
      <w:pPr>
        <w:pStyle w:val="TOC8"/>
        <w:rPr>
          <w:rFonts w:asciiTheme="minorHAnsi" w:eastAsiaTheme="minorEastAsia" w:hAnsiTheme="minorHAnsi" w:cstheme="minorBidi"/>
          <w:szCs w:val="22"/>
        </w:rPr>
      </w:pPr>
      <w:r>
        <w:t>14.</w:t>
      </w:r>
      <w:r>
        <w:tab/>
        <w:t>Part 4 heading inserted</w:t>
      </w:r>
      <w:r>
        <w:tab/>
      </w:r>
      <w:r>
        <w:fldChar w:fldCharType="begin"/>
      </w:r>
      <w:r>
        <w:instrText xml:space="preserve"> PAGEREF _Toc214961713 \h </w:instrText>
      </w:r>
      <w:r>
        <w:fldChar w:fldCharType="separate"/>
      </w:r>
      <w:r>
        <w:t>12</w:t>
      </w:r>
      <w:r>
        <w:fldChar w:fldCharType="end"/>
      </w:r>
    </w:p>
    <w:p>
      <w:pPr>
        <w:pStyle w:val="TOC3"/>
        <w:tabs>
          <w:tab w:val="right" w:leader="dot" w:pos="7077"/>
        </w:tabs>
        <w:rPr>
          <w:rFonts w:asciiTheme="minorHAnsi" w:eastAsiaTheme="minorEastAsia" w:hAnsiTheme="minorHAnsi" w:cstheme="minorBidi"/>
          <w:b w:val="0"/>
          <w:sz w:val="22"/>
          <w:szCs w:val="22"/>
        </w:rPr>
      </w:pPr>
      <w:r>
        <w:t>Part 4 — Licensing of agents and registration of sales representatives</w:t>
      </w:r>
    </w:p>
    <w:p>
      <w:pPr>
        <w:pStyle w:val="TOC8"/>
        <w:rPr>
          <w:rFonts w:asciiTheme="minorHAnsi" w:eastAsiaTheme="minorEastAsia" w:hAnsiTheme="minorHAnsi" w:cstheme="minorBidi"/>
          <w:szCs w:val="22"/>
        </w:rPr>
      </w:pPr>
      <w:r>
        <w:t>15.</w:t>
      </w:r>
      <w:r>
        <w:tab/>
        <w:t>Regulation 6 amended</w:t>
      </w:r>
      <w:r>
        <w:tab/>
      </w:r>
      <w:r>
        <w:fldChar w:fldCharType="begin"/>
      </w:r>
      <w:r>
        <w:instrText xml:space="preserve"> PAGEREF _Toc214961715 \h </w:instrText>
      </w:r>
      <w:r>
        <w:fldChar w:fldCharType="separate"/>
      </w:r>
      <w:r>
        <w:t>13</w:t>
      </w:r>
      <w:r>
        <w:fldChar w:fldCharType="end"/>
      </w:r>
    </w:p>
    <w:p>
      <w:pPr>
        <w:pStyle w:val="TOC8"/>
        <w:rPr>
          <w:rFonts w:asciiTheme="minorHAnsi" w:eastAsiaTheme="minorEastAsia" w:hAnsiTheme="minorHAnsi" w:cstheme="minorBidi"/>
          <w:szCs w:val="22"/>
        </w:rPr>
      </w:pPr>
      <w:r>
        <w:t>16.</w:t>
      </w:r>
      <w:r>
        <w:tab/>
        <w:t>Regulation 6A replaced</w:t>
      </w:r>
      <w:r>
        <w:tab/>
      </w:r>
      <w:r>
        <w:fldChar w:fldCharType="begin"/>
      </w:r>
      <w:r>
        <w:instrText xml:space="preserve"> PAGEREF _Toc214961716 \h </w:instrText>
      </w:r>
      <w:r>
        <w:fldChar w:fldCharType="separate"/>
      </w:r>
      <w:r>
        <w:t>13</w:t>
      </w:r>
      <w:r>
        <w:fldChar w:fldCharType="end"/>
      </w:r>
    </w:p>
    <w:p>
      <w:pPr>
        <w:pStyle w:val="TOC9"/>
        <w:rPr>
          <w:rFonts w:asciiTheme="minorHAnsi" w:eastAsiaTheme="minorEastAsia" w:hAnsiTheme="minorHAnsi" w:cstheme="minorBidi"/>
          <w:noProof/>
          <w:sz w:val="22"/>
          <w:szCs w:val="22"/>
        </w:rPr>
      </w:pPr>
      <w:r>
        <w:rPr>
          <w:noProof/>
        </w:rPr>
        <w:t>6A.</w:t>
      </w:r>
      <w:r>
        <w:rPr>
          <w:noProof/>
        </w:rPr>
        <w:tab/>
        <w:t>Prescribed qualifications for certificate applicants (Act s. 47(2))</w:t>
      </w:r>
      <w:r>
        <w:rPr>
          <w:noProof/>
        </w:rPr>
        <w:tab/>
      </w:r>
      <w:r>
        <w:rPr>
          <w:noProof/>
        </w:rPr>
        <w:fldChar w:fldCharType="begin"/>
      </w:r>
      <w:r>
        <w:rPr>
          <w:noProof/>
        </w:rPr>
        <w:instrText xml:space="preserve"> PAGEREF _Toc214961717 \h </w:instrText>
      </w:r>
      <w:r>
        <w:rPr>
          <w:noProof/>
        </w:rPr>
      </w:r>
      <w:r>
        <w:rPr>
          <w:noProof/>
        </w:rPr>
        <w:fldChar w:fldCharType="separate"/>
      </w:r>
      <w:r>
        <w:rPr>
          <w:noProof/>
        </w:rPr>
        <w:t>13</w:t>
      </w:r>
      <w:r>
        <w:rPr>
          <w:noProof/>
        </w:rPr>
        <w:fldChar w:fldCharType="end"/>
      </w:r>
    </w:p>
    <w:p>
      <w:pPr>
        <w:pStyle w:val="TOC8"/>
        <w:rPr>
          <w:rFonts w:asciiTheme="minorHAnsi" w:eastAsiaTheme="minorEastAsia" w:hAnsiTheme="minorHAnsi" w:cstheme="minorBidi"/>
          <w:szCs w:val="22"/>
        </w:rPr>
      </w:pPr>
      <w:r>
        <w:t>17.</w:t>
      </w:r>
      <w:r>
        <w:tab/>
        <w:t>Part 5 heading inserted</w:t>
      </w:r>
      <w:r>
        <w:tab/>
      </w:r>
      <w:r>
        <w:fldChar w:fldCharType="begin"/>
      </w:r>
      <w:r>
        <w:instrText xml:space="preserve"> PAGEREF _Toc214961718 \h </w:instrText>
      </w:r>
      <w:r>
        <w:fldChar w:fldCharType="separate"/>
      </w:r>
      <w:r>
        <w:t>16</w:t>
      </w:r>
      <w:r>
        <w:fldChar w:fldCharType="end"/>
      </w:r>
    </w:p>
    <w:p>
      <w:pPr>
        <w:pStyle w:val="TOC3"/>
        <w:tabs>
          <w:tab w:val="right" w:leader="dot" w:pos="7077"/>
        </w:tabs>
        <w:rPr>
          <w:rFonts w:asciiTheme="minorHAnsi" w:eastAsiaTheme="minorEastAsia" w:hAnsiTheme="minorHAnsi" w:cstheme="minorBidi"/>
          <w:b w:val="0"/>
          <w:sz w:val="22"/>
          <w:szCs w:val="22"/>
        </w:rPr>
      </w:pPr>
      <w:r>
        <w:t>Part 5 — General controls</w:t>
      </w:r>
    </w:p>
    <w:p>
      <w:pPr>
        <w:pStyle w:val="TOC8"/>
        <w:rPr>
          <w:rFonts w:asciiTheme="minorHAnsi" w:eastAsiaTheme="minorEastAsia" w:hAnsiTheme="minorHAnsi" w:cstheme="minorBidi"/>
          <w:szCs w:val="22"/>
        </w:rPr>
      </w:pPr>
      <w:r>
        <w:t>18.</w:t>
      </w:r>
      <w:r>
        <w:tab/>
        <w:t>Part 6 heading inserted</w:t>
      </w:r>
      <w:r>
        <w:tab/>
      </w:r>
      <w:r>
        <w:fldChar w:fldCharType="begin"/>
      </w:r>
      <w:r>
        <w:instrText xml:space="preserve"> PAGEREF _Toc214961720 \h </w:instrText>
      </w:r>
      <w:r>
        <w:fldChar w:fldCharType="separate"/>
      </w:r>
      <w:r>
        <w:t>16</w:t>
      </w:r>
      <w:r>
        <w:fldChar w:fldCharType="end"/>
      </w:r>
    </w:p>
    <w:p>
      <w:pPr>
        <w:pStyle w:val="TOC3"/>
        <w:tabs>
          <w:tab w:val="right" w:leader="dot" w:pos="7077"/>
        </w:tabs>
        <w:rPr>
          <w:rFonts w:asciiTheme="minorHAnsi" w:eastAsiaTheme="minorEastAsia" w:hAnsiTheme="minorHAnsi" w:cstheme="minorBidi"/>
          <w:b w:val="0"/>
          <w:sz w:val="22"/>
          <w:szCs w:val="22"/>
        </w:rPr>
      </w:pPr>
      <w:r>
        <w:t>Part 6 — Agents’ trust accounts</w:t>
      </w:r>
    </w:p>
    <w:p>
      <w:pPr>
        <w:pStyle w:val="TOC8"/>
        <w:rPr>
          <w:rFonts w:asciiTheme="minorHAnsi" w:eastAsiaTheme="minorEastAsia" w:hAnsiTheme="minorHAnsi" w:cstheme="minorBidi"/>
          <w:szCs w:val="22"/>
        </w:rPr>
      </w:pPr>
      <w:r>
        <w:t>19.</w:t>
      </w:r>
      <w:r>
        <w:tab/>
        <w:t>Regulation 6H amended</w:t>
      </w:r>
      <w:r>
        <w:tab/>
      </w:r>
      <w:r>
        <w:fldChar w:fldCharType="begin"/>
      </w:r>
      <w:r>
        <w:instrText xml:space="preserve"> PAGEREF _Toc214961722 \h </w:instrText>
      </w:r>
      <w:r>
        <w:fldChar w:fldCharType="separate"/>
      </w:r>
      <w:r>
        <w:t>16</w:t>
      </w:r>
      <w:r>
        <w:fldChar w:fldCharType="end"/>
      </w:r>
    </w:p>
    <w:p>
      <w:pPr>
        <w:pStyle w:val="TOC8"/>
        <w:rPr>
          <w:rFonts w:asciiTheme="minorHAnsi" w:eastAsiaTheme="minorEastAsia" w:hAnsiTheme="minorHAnsi" w:cstheme="minorBidi"/>
          <w:szCs w:val="22"/>
        </w:rPr>
      </w:pPr>
      <w:r>
        <w:t>20.</w:t>
      </w:r>
      <w:r>
        <w:tab/>
        <w:t>Part 7 heading inserted</w:t>
      </w:r>
      <w:r>
        <w:tab/>
      </w:r>
      <w:r>
        <w:fldChar w:fldCharType="begin"/>
      </w:r>
      <w:r>
        <w:instrText xml:space="preserve"> PAGEREF _Toc214961723 \h </w:instrText>
      </w:r>
      <w:r>
        <w:fldChar w:fldCharType="separate"/>
      </w:r>
      <w:r>
        <w:t>17</w:t>
      </w:r>
      <w:r>
        <w:fldChar w:fldCharType="end"/>
      </w:r>
    </w:p>
    <w:p>
      <w:pPr>
        <w:pStyle w:val="TOC3"/>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21.</w:t>
      </w:r>
      <w:r>
        <w:tab/>
        <w:t>Part 8 heading inserted</w:t>
      </w:r>
      <w:r>
        <w:tab/>
      </w:r>
      <w:r>
        <w:fldChar w:fldCharType="begin"/>
      </w:r>
      <w:r>
        <w:instrText xml:space="preserve"> PAGEREF _Toc214961725 \h </w:instrText>
      </w:r>
      <w:r>
        <w:fldChar w:fldCharType="separate"/>
      </w:r>
      <w:r>
        <w:t>17</w:t>
      </w:r>
      <w:r>
        <w:fldChar w:fldCharType="end"/>
      </w:r>
    </w:p>
    <w:p>
      <w:pPr>
        <w:pStyle w:val="TOC3"/>
        <w:tabs>
          <w:tab w:val="right" w:leader="dot" w:pos="7077"/>
        </w:tabs>
        <w:rPr>
          <w:rFonts w:asciiTheme="minorHAnsi" w:eastAsiaTheme="minorEastAsia" w:hAnsiTheme="minorHAnsi" w:cstheme="minorBidi"/>
          <w:b w:val="0"/>
          <w:sz w:val="22"/>
          <w:szCs w:val="22"/>
        </w:rPr>
      </w:pPr>
      <w:r>
        <w:t>Part 8 — Transitional provisions</w:t>
      </w:r>
    </w:p>
    <w:p>
      <w:pPr>
        <w:pStyle w:val="TOC8"/>
        <w:rPr>
          <w:rFonts w:asciiTheme="minorHAnsi" w:eastAsiaTheme="minorEastAsia" w:hAnsiTheme="minorHAnsi" w:cstheme="minorBidi"/>
          <w:szCs w:val="22"/>
        </w:rPr>
      </w:pPr>
      <w:r>
        <w:t>22.</w:t>
      </w:r>
      <w:r>
        <w:tab/>
        <w:t>Regulation 18 inserted</w:t>
      </w:r>
      <w:r>
        <w:tab/>
      </w:r>
      <w:r>
        <w:fldChar w:fldCharType="begin"/>
      </w:r>
      <w:r>
        <w:instrText xml:space="preserve"> PAGEREF _Toc214961727 \h </w:instrText>
      </w:r>
      <w:r>
        <w:fldChar w:fldCharType="separate"/>
      </w:r>
      <w:r>
        <w:t>18</w:t>
      </w:r>
      <w:r>
        <w:fldChar w:fldCharType="end"/>
      </w:r>
    </w:p>
    <w:p>
      <w:pPr>
        <w:pStyle w:val="TOC9"/>
        <w:rPr>
          <w:rFonts w:asciiTheme="minorHAnsi" w:eastAsiaTheme="minorEastAsia" w:hAnsiTheme="minorHAnsi" w:cstheme="minorBidi"/>
          <w:noProof/>
          <w:sz w:val="22"/>
          <w:szCs w:val="22"/>
        </w:rPr>
      </w:pPr>
      <w:r>
        <w:rPr>
          <w:noProof/>
        </w:rPr>
        <w:t>18.</w:t>
      </w:r>
      <w:r>
        <w:rPr>
          <w:noProof/>
        </w:rPr>
        <w:tab/>
        <w:t xml:space="preserve">Transitional regulation for </w:t>
      </w:r>
      <w:r>
        <w:rPr>
          <w:i/>
          <w:noProof/>
        </w:rPr>
        <w:t>Commerce Regulations Amendment (Real Estate, Business and Settlement Agents) Regulations 2025</w:t>
      </w:r>
      <w:r>
        <w:rPr>
          <w:noProof/>
        </w:rPr>
        <w:tab/>
      </w:r>
      <w:r>
        <w:rPr>
          <w:noProof/>
        </w:rPr>
        <w:fldChar w:fldCharType="begin"/>
      </w:r>
      <w:r>
        <w:rPr>
          <w:noProof/>
        </w:rPr>
        <w:instrText xml:space="preserve"> PAGEREF _Toc214961728 \h </w:instrText>
      </w:r>
      <w:r>
        <w:rPr>
          <w:noProof/>
        </w:rPr>
      </w:r>
      <w:r>
        <w:rPr>
          <w:noProof/>
        </w:rPr>
        <w:fldChar w:fldCharType="separate"/>
      </w:r>
      <w:r>
        <w:rPr>
          <w:noProof/>
        </w:rPr>
        <w:t>18</w:t>
      </w:r>
      <w:r>
        <w:rPr>
          <w:noProof/>
        </w:rPr>
        <w:fldChar w:fldCharType="end"/>
      </w:r>
    </w:p>
    <w:p>
      <w:pPr>
        <w:pStyle w:val="TOC8"/>
        <w:rPr>
          <w:rFonts w:asciiTheme="minorHAnsi" w:eastAsiaTheme="minorEastAsia" w:hAnsiTheme="minorHAnsi" w:cstheme="minorBidi"/>
          <w:szCs w:val="22"/>
        </w:rPr>
      </w:pPr>
      <w:r>
        <w:t>23.</w:t>
      </w:r>
      <w:r>
        <w:tab/>
        <w:t>Schedule 1A deleted</w:t>
      </w:r>
      <w:r>
        <w:tab/>
      </w:r>
      <w:r>
        <w:fldChar w:fldCharType="begin"/>
      </w:r>
      <w:r>
        <w:instrText xml:space="preserve"> PAGEREF _Toc214961729 \h </w:instrText>
      </w:r>
      <w:r>
        <w:fldChar w:fldCharType="separate"/>
      </w:r>
      <w:r>
        <w:t>18</w:t>
      </w:r>
      <w:r>
        <w:fldChar w:fldCharType="end"/>
      </w:r>
    </w:p>
    <w:p>
      <w:pPr>
        <w:pStyle w:val="TOC8"/>
        <w:rPr>
          <w:rFonts w:asciiTheme="minorHAnsi" w:eastAsiaTheme="minorEastAsia" w:hAnsiTheme="minorHAnsi" w:cstheme="minorBidi"/>
          <w:szCs w:val="22"/>
        </w:rPr>
      </w:pPr>
      <w:r>
        <w:t>24.</w:t>
      </w:r>
      <w:r>
        <w:tab/>
        <w:t>Schedule 2 amended</w:t>
      </w:r>
      <w:r>
        <w:tab/>
      </w:r>
      <w:r>
        <w:fldChar w:fldCharType="begin"/>
      </w:r>
      <w:r>
        <w:instrText xml:space="preserve"> PAGEREF _Toc214961730 \h </w:instrText>
      </w:r>
      <w:r>
        <w:fldChar w:fldCharType="separate"/>
      </w:r>
      <w:r>
        <w:t>19</w:t>
      </w:r>
      <w:r>
        <w:fldChar w:fldCharType="end"/>
      </w:r>
    </w:p>
    <w:p>
      <w:pPr>
        <w:pStyle w:val="TOC8"/>
        <w:rPr>
          <w:rFonts w:asciiTheme="minorHAnsi" w:eastAsiaTheme="minorEastAsia" w:hAnsiTheme="minorHAnsi" w:cstheme="minorBidi"/>
          <w:szCs w:val="22"/>
        </w:rPr>
      </w:pPr>
      <w:r>
        <w:t>25.</w:t>
      </w:r>
      <w:r>
        <w:tab/>
        <w:t>Schedule 3 amended</w:t>
      </w:r>
      <w:r>
        <w:tab/>
      </w:r>
      <w:r>
        <w:fldChar w:fldCharType="begin"/>
      </w:r>
      <w:r>
        <w:instrText xml:space="preserve"> PAGEREF _Toc214961731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iCs/>
        </w:rPr>
        <w:t>Settlement Agents Regulations 1982</w:t>
      </w:r>
      <w:r>
        <w:t xml:space="preserve"> amended</w:t>
      </w:r>
    </w:p>
    <w:p>
      <w:pPr>
        <w:pStyle w:val="TOC8"/>
        <w:rPr>
          <w:rFonts w:asciiTheme="minorHAnsi" w:eastAsiaTheme="minorEastAsia" w:hAnsiTheme="minorHAnsi" w:cstheme="minorBidi"/>
          <w:szCs w:val="22"/>
        </w:rPr>
      </w:pPr>
      <w:r>
        <w:t>26.</w:t>
      </w:r>
      <w:r>
        <w:tab/>
        <w:t>Regulations amended</w:t>
      </w:r>
      <w:r>
        <w:tab/>
      </w:r>
      <w:r>
        <w:fldChar w:fldCharType="begin"/>
      </w:r>
      <w:r>
        <w:instrText xml:space="preserve"> PAGEREF _Toc214961733 \h </w:instrText>
      </w:r>
      <w:r>
        <w:fldChar w:fldCharType="separate"/>
      </w:r>
      <w:r>
        <w:t>20</w:t>
      </w:r>
      <w:r>
        <w:fldChar w:fldCharType="end"/>
      </w:r>
    </w:p>
    <w:p>
      <w:pPr>
        <w:pStyle w:val="TOC8"/>
        <w:rPr>
          <w:rFonts w:asciiTheme="minorHAnsi" w:eastAsiaTheme="minorEastAsia" w:hAnsiTheme="minorHAnsi" w:cstheme="minorBidi"/>
          <w:szCs w:val="22"/>
        </w:rPr>
      </w:pPr>
      <w:r>
        <w:t>27.</w:t>
      </w:r>
      <w:r>
        <w:tab/>
        <w:t>Part 1 heading inserted</w:t>
      </w:r>
      <w:r>
        <w:tab/>
      </w:r>
      <w:r>
        <w:fldChar w:fldCharType="begin"/>
      </w:r>
      <w:r>
        <w:instrText xml:space="preserve"> PAGEREF _Toc214961734 \h </w:instrText>
      </w:r>
      <w:r>
        <w:fldChar w:fldCharType="separate"/>
      </w:r>
      <w:r>
        <w:t>20</w:t>
      </w:r>
      <w:r>
        <w:fldChar w:fldCharType="end"/>
      </w:r>
    </w:p>
    <w:p>
      <w:pPr>
        <w:pStyle w:val="TOC3"/>
        <w:tabs>
          <w:tab w:val="right" w:leader="dot" w:pos="7077"/>
        </w:tabs>
        <w:rPr>
          <w:rFonts w:asciiTheme="minorHAnsi" w:eastAsiaTheme="minorEastAsia" w:hAnsiTheme="minorHAnsi" w:cstheme="minorBidi"/>
          <w:b w:val="0"/>
          <w:sz w:val="22"/>
          <w:szCs w:val="22"/>
        </w:rPr>
      </w:pPr>
      <w:r>
        <w:t>Part 1 — Preliminary</w:t>
      </w:r>
    </w:p>
    <w:p>
      <w:pPr>
        <w:pStyle w:val="TOC8"/>
        <w:rPr>
          <w:rFonts w:asciiTheme="minorHAnsi" w:eastAsiaTheme="minorEastAsia" w:hAnsiTheme="minorHAnsi" w:cstheme="minorBidi"/>
          <w:szCs w:val="22"/>
        </w:rPr>
      </w:pPr>
      <w:r>
        <w:t>28.</w:t>
      </w:r>
      <w:r>
        <w:tab/>
        <w:t>Regulation 2 amended</w:t>
      </w:r>
      <w:r>
        <w:tab/>
      </w:r>
      <w:r>
        <w:fldChar w:fldCharType="begin"/>
      </w:r>
      <w:r>
        <w:instrText xml:space="preserve"> PAGEREF _Toc214961736 \h </w:instrText>
      </w:r>
      <w:r>
        <w:fldChar w:fldCharType="separate"/>
      </w:r>
      <w:r>
        <w:t>20</w:t>
      </w:r>
      <w:r>
        <w:fldChar w:fldCharType="end"/>
      </w:r>
    </w:p>
    <w:p>
      <w:pPr>
        <w:pStyle w:val="TOC8"/>
        <w:keepNext/>
        <w:rPr>
          <w:rFonts w:asciiTheme="minorHAnsi" w:eastAsiaTheme="minorEastAsia" w:hAnsiTheme="minorHAnsi" w:cstheme="minorBidi"/>
          <w:szCs w:val="22"/>
        </w:rPr>
      </w:pPr>
      <w:r>
        <w:lastRenderedPageBreak/>
        <w:t>29.</w:t>
      </w:r>
      <w:r>
        <w:tab/>
        <w:t>Part 2 heading inserted</w:t>
      </w:r>
      <w:r>
        <w:tab/>
      </w:r>
      <w:r>
        <w:fldChar w:fldCharType="begin"/>
      </w:r>
      <w:r>
        <w:instrText xml:space="preserve"> PAGEREF _Toc214961737 \h </w:instrText>
      </w:r>
      <w:r>
        <w:fldChar w:fldCharType="separate"/>
      </w:r>
      <w:r>
        <w:t>22</w:t>
      </w:r>
      <w:r>
        <w:fldChar w:fldCharType="end"/>
      </w:r>
    </w:p>
    <w:p>
      <w:pPr>
        <w:pStyle w:val="TOC3"/>
        <w:tabs>
          <w:tab w:val="right" w:leader="dot" w:pos="7077"/>
        </w:tabs>
        <w:rPr>
          <w:rFonts w:asciiTheme="minorHAnsi" w:eastAsiaTheme="minorEastAsia" w:hAnsiTheme="minorHAnsi" w:cstheme="minorBidi"/>
          <w:b w:val="0"/>
          <w:sz w:val="22"/>
          <w:szCs w:val="22"/>
        </w:rPr>
      </w:pPr>
      <w:r>
        <w:t>Part 2 — Fees</w:t>
      </w:r>
    </w:p>
    <w:p>
      <w:pPr>
        <w:pStyle w:val="TOC8"/>
        <w:rPr>
          <w:rFonts w:asciiTheme="minorHAnsi" w:eastAsiaTheme="minorEastAsia" w:hAnsiTheme="minorHAnsi" w:cstheme="minorBidi"/>
          <w:szCs w:val="22"/>
        </w:rPr>
      </w:pPr>
      <w:r>
        <w:t>30.</w:t>
      </w:r>
      <w:r>
        <w:tab/>
        <w:t>Regulation 4 amended</w:t>
      </w:r>
      <w:r>
        <w:tab/>
      </w:r>
      <w:r>
        <w:fldChar w:fldCharType="begin"/>
      </w:r>
      <w:r>
        <w:instrText xml:space="preserve"> PAGEREF _Toc214961739 \h </w:instrText>
      </w:r>
      <w:r>
        <w:fldChar w:fldCharType="separate"/>
      </w:r>
      <w:r>
        <w:t>22</w:t>
      </w:r>
      <w:r>
        <w:fldChar w:fldCharType="end"/>
      </w:r>
    </w:p>
    <w:p>
      <w:pPr>
        <w:pStyle w:val="TOC8"/>
        <w:rPr>
          <w:rFonts w:asciiTheme="minorHAnsi" w:eastAsiaTheme="minorEastAsia" w:hAnsiTheme="minorHAnsi" w:cstheme="minorBidi"/>
          <w:szCs w:val="22"/>
        </w:rPr>
      </w:pPr>
      <w:r>
        <w:t>31.</w:t>
      </w:r>
      <w:r>
        <w:tab/>
        <w:t>Part 3 heading inserted</w:t>
      </w:r>
      <w:r>
        <w:tab/>
      </w:r>
      <w:r>
        <w:fldChar w:fldCharType="begin"/>
      </w:r>
      <w:r>
        <w:instrText xml:space="preserve"> PAGEREF _Toc214961740 \h </w:instrText>
      </w:r>
      <w:r>
        <w:fldChar w:fldCharType="separate"/>
      </w:r>
      <w:r>
        <w:t>22</w:t>
      </w:r>
      <w:r>
        <w:fldChar w:fldCharType="end"/>
      </w:r>
    </w:p>
    <w:p>
      <w:pPr>
        <w:pStyle w:val="TOC3"/>
        <w:tabs>
          <w:tab w:val="right" w:leader="dot" w:pos="7077"/>
        </w:tabs>
        <w:rPr>
          <w:rFonts w:asciiTheme="minorHAnsi" w:eastAsiaTheme="minorEastAsia" w:hAnsiTheme="minorHAnsi" w:cstheme="minorBidi"/>
          <w:b w:val="0"/>
          <w:sz w:val="22"/>
          <w:szCs w:val="22"/>
        </w:rPr>
      </w:pPr>
      <w:r>
        <w:t>Part 3 — Educational requirements</w:t>
      </w:r>
    </w:p>
    <w:p>
      <w:pPr>
        <w:pStyle w:val="TOC8"/>
        <w:rPr>
          <w:rFonts w:asciiTheme="minorHAnsi" w:eastAsiaTheme="minorEastAsia" w:hAnsiTheme="minorHAnsi" w:cstheme="minorBidi"/>
          <w:szCs w:val="22"/>
        </w:rPr>
      </w:pPr>
      <w:r>
        <w:t>32.</w:t>
      </w:r>
      <w:r>
        <w:tab/>
        <w:t>Regulation 4B amended</w:t>
      </w:r>
      <w:r>
        <w:tab/>
      </w:r>
      <w:r>
        <w:fldChar w:fldCharType="begin"/>
      </w:r>
      <w:r>
        <w:instrText xml:space="preserve"> PAGEREF _Toc214961742 \h </w:instrText>
      </w:r>
      <w:r>
        <w:fldChar w:fldCharType="separate"/>
      </w:r>
      <w:r>
        <w:t>22</w:t>
      </w:r>
      <w:r>
        <w:fldChar w:fldCharType="end"/>
      </w:r>
    </w:p>
    <w:p>
      <w:pPr>
        <w:pStyle w:val="TOC8"/>
        <w:rPr>
          <w:rFonts w:asciiTheme="minorHAnsi" w:eastAsiaTheme="minorEastAsia" w:hAnsiTheme="minorHAnsi" w:cstheme="minorBidi"/>
          <w:szCs w:val="22"/>
        </w:rPr>
      </w:pPr>
      <w:r>
        <w:t>33.</w:t>
      </w:r>
      <w:r>
        <w:tab/>
        <w:t>Regulation 4C amended</w:t>
      </w:r>
      <w:r>
        <w:tab/>
      </w:r>
      <w:r>
        <w:fldChar w:fldCharType="begin"/>
      </w:r>
      <w:r>
        <w:instrText xml:space="preserve"> PAGEREF _Toc214961743 \h </w:instrText>
      </w:r>
      <w:r>
        <w:fldChar w:fldCharType="separate"/>
      </w:r>
      <w:r>
        <w:t>24</w:t>
      </w:r>
      <w:r>
        <w:fldChar w:fldCharType="end"/>
      </w:r>
    </w:p>
    <w:p>
      <w:pPr>
        <w:pStyle w:val="TOC8"/>
        <w:rPr>
          <w:rFonts w:asciiTheme="minorHAnsi" w:eastAsiaTheme="minorEastAsia" w:hAnsiTheme="minorHAnsi" w:cstheme="minorBidi"/>
          <w:szCs w:val="22"/>
        </w:rPr>
      </w:pPr>
      <w:r>
        <w:t>34.</w:t>
      </w:r>
      <w:r>
        <w:tab/>
        <w:t>Regulations 4D and 4E replaced</w:t>
      </w:r>
      <w:r>
        <w:tab/>
      </w:r>
      <w:r>
        <w:fldChar w:fldCharType="begin"/>
      </w:r>
      <w:r>
        <w:instrText xml:space="preserve"> PAGEREF _Toc214961744 \h </w:instrText>
      </w:r>
      <w:r>
        <w:fldChar w:fldCharType="separate"/>
      </w:r>
      <w:r>
        <w:t>25</w:t>
      </w:r>
      <w:r>
        <w:fldChar w:fldCharType="end"/>
      </w:r>
    </w:p>
    <w:p>
      <w:pPr>
        <w:pStyle w:val="TOC9"/>
        <w:rPr>
          <w:rFonts w:asciiTheme="minorHAnsi" w:eastAsiaTheme="minorEastAsia" w:hAnsiTheme="minorHAnsi" w:cstheme="minorBidi"/>
          <w:noProof/>
          <w:sz w:val="22"/>
          <w:szCs w:val="22"/>
        </w:rPr>
      </w:pPr>
      <w:r>
        <w:rPr>
          <w:noProof/>
        </w:rPr>
        <w:t>4D.</w:t>
      </w:r>
      <w:r>
        <w:rPr>
          <w:noProof/>
        </w:rPr>
        <w:tab/>
        <w:t>CPD points</w:t>
      </w:r>
      <w:r>
        <w:rPr>
          <w:noProof/>
        </w:rPr>
        <w:tab/>
      </w:r>
      <w:r>
        <w:rPr>
          <w:noProof/>
        </w:rPr>
        <w:fldChar w:fldCharType="begin"/>
      </w:r>
      <w:r>
        <w:rPr>
          <w:noProof/>
        </w:rPr>
        <w:instrText xml:space="preserve"> PAGEREF _Toc214961745 \h </w:instrText>
      </w:r>
      <w:r>
        <w:rPr>
          <w:noProof/>
        </w:rPr>
      </w:r>
      <w:r>
        <w:rPr>
          <w:noProof/>
        </w:rPr>
        <w:fldChar w:fldCharType="separate"/>
      </w:r>
      <w:r>
        <w:rPr>
          <w:noProof/>
        </w:rPr>
        <w:t>25</w:t>
      </w:r>
      <w:r>
        <w:rPr>
          <w:noProof/>
        </w:rPr>
        <w:fldChar w:fldCharType="end"/>
      </w:r>
    </w:p>
    <w:p>
      <w:pPr>
        <w:pStyle w:val="TOC8"/>
        <w:rPr>
          <w:rFonts w:asciiTheme="minorHAnsi" w:eastAsiaTheme="minorEastAsia" w:hAnsiTheme="minorHAnsi" w:cstheme="minorBidi"/>
          <w:szCs w:val="22"/>
        </w:rPr>
      </w:pPr>
      <w:r>
        <w:t>35.</w:t>
      </w:r>
      <w:r>
        <w:tab/>
        <w:t>Regulation 4F inserted</w:t>
      </w:r>
      <w:r>
        <w:tab/>
      </w:r>
      <w:r>
        <w:fldChar w:fldCharType="begin"/>
      </w:r>
      <w:r>
        <w:instrText xml:space="preserve"> PAGEREF _Toc214961746 \h </w:instrText>
      </w:r>
      <w:r>
        <w:fldChar w:fldCharType="separate"/>
      </w:r>
      <w:r>
        <w:t>25</w:t>
      </w:r>
      <w:r>
        <w:fldChar w:fldCharType="end"/>
      </w:r>
    </w:p>
    <w:p>
      <w:pPr>
        <w:pStyle w:val="TOC9"/>
        <w:rPr>
          <w:rFonts w:asciiTheme="minorHAnsi" w:eastAsiaTheme="minorEastAsia" w:hAnsiTheme="minorHAnsi" w:cstheme="minorBidi"/>
          <w:noProof/>
          <w:sz w:val="22"/>
          <w:szCs w:val="22"/>
        </w:rPr>
      </w:pPr>
      <w:r>
        <w:rPr>
          <w:noProof/>
        </w:rPr>
        <w:t>4F.</w:t>
      </w:r>
      <w:r>
        <w:rPr>
          <w:noProof/>
        </w:rPr>
        <w:tab/>
        <w:t>Approval of CPD providers</w:t>
      </w:r>
      <w:r>
        <w:rPr>
          <w:noProof/>
        </w:rPr>
        <w:tab/>
      </w:r>
      <w:r>
        <w:rPr>
          <w:noProof/>
        </w:rPr>
        <w:fldChar w:fldCharType="begin"/>
      </w:r>
      <w:r>
        <w:rPr>
          <w:noProof/>
        </w:rPr>
        <w:instrText xml:space="preserve"> PAGEREF _Toc214961747 \h </w:instrText>
      </w:r>
      <w:r>
        <w:rPr>
          <w:noProof/>
        </w:rPr>
      </w:r>
      <w:r>
        <w:rPr>
          <w:noProof/>
        </w:rPr>
        <w:fldChar w:fldCharType="separate"/>
      </w:r>
      <w:r>
        <w:rPr>
          <w:noProof/>
        </w:rPr>
        <w:t>25</w:t>
      </w:r>
      <w:r>
        <w:rPr>
          <w:noProof/>
        </w:rPr>
        <w:fldChar w:fldCharType="end"/>
      </w:r>
    </w:p>
    <w:p>
      <w:pPr>
        <w:pStyle w:val="TOC8"/>
        <w:rPr>
          <w:rFonts w:asciiTheme="minorHAnsi" w:eastAsiaTheme="minorEastAsia" w:hAnsiTheme="minorHAnsi" w:cstheme="minorBidi"/>
          <w:szCs w:val="22"/>
        </w:rPr>
      </w:pPr>
      <w:r>
        <w:t>36.</w:t>
      </w:r>
      <w:r>
        <w:tab/>
        <w:t>Regulations 4G to 4K inserted</w:t>
      </w:r>
      <w:r>
        <w:tab/>
      </w:r>
      <w:r>
        <w:fldChar w:fldCharType="begin"/>
      </w:r>
      <w:r>
        <w:instrText xml:space="preserve"> PAGEREF _Toc214961748 \h </w:instrText>
      </w:r>
      <w:r>
        <w:fldChar w:fldCharType="separate"/>
      </w:r>
      <w:r>
        <w:t>26</w:t>
      </w:r>
      <w:r>
        <w:fldChar w:fldCharType="end"/>
      </w:r>
    </w:p>
    <w:p>
      <w:pPr>
        <w:pStyle w:val="TOC9"/>
        <w:rPr>
          <w:rFonts w:asciiTheme="minorHAnsi" w:eastAsiaTheme="minorEastAsia" w:hAnsiTheme="minorHAnsi" w:cstheme="minorBidi"/>
          <w:noProof/>
          <w:sz w:val="22"/>
          <w:szCs w:val="22"/>
        </w:rPr>
      </w:pPr>
      <w:r>
        <w:rPr>
          <w:noProof/>
        </w:rPr>
        <w:t>4G.</w:t>
      </w:r>
      <w:r>
        <w:rPr>
          <w:noProof/>
        </w:rPr>
        <w:tab/>
        <w:t>Approval of CPD topics</w:t>
      </w:r>
      <w:r>
        <w:rPr>
          <w:noProof/>
        </w:rPr>
        <w:tab/>
      </w:r>
      <w:r>
        <w:rPr>
          <w:noProof/>
        </w:rPr>
        <w:fldChar w:fldCharType="begin"/>
      </w:r>
      <w:r>
        <w:rPr>
          <w:noProof/>
        </w:rPr>
        <w:instrText xml:space="preserve"> PAGEREF _Toc214961749 \h </w:instrText>
      </w:r>
      <w:r>
        <w:rPr>
          <w:noProof/>
        </w:rPr>
      </w:r>
      <w:r>
        <w:rPr>
          <w:noProof/>
        </w:rPr>
        <w:fldChar w:fldCharType="separate"/>
      </w:r>
      <w:r>
        <w:rPr>
          <w:noProof/>
        </w:rPr>
        <w:t>26</w:t>
      </w:r>
      <w:r>
        <w:rPr>
          <w:noProof/>
        </w:rPr>
        <w:fldChar w:fldCharType="end"/>
      </w:r>
    </w:p>
    <w:p>
      <w:pPr>
        <w:pStyle w:val="TOC9"/>
        <w:rPr>
          <w:rFonts w:asciiTheme="minorHAnsi" w:eastAsiaTheme="minorEastAsia" w:hAnsiTheme="minorHAnsi" w:cstheme="minorBidi"/>
          <w:noProof/>
          <w:sz w:val="22"/>
          <w:szCs w:val="22"/>
        </w:rPr>
      </w:pPr>
      <w:r>
        <w:rPr>
          <w:noProof/>
        </w:rPr>
        <w:t>4H.</w:t>
      </w:r>
      <w:r>
        <w:rPr>
          <w:noProof/>
        </w:rPr>
        <w:tab/>
        <w:t>Mandatory CPD topic for CPD year</w:t>
      </w:r>
      <w:r>
        <w:rPr>
          <w:noProof/>
        </w:rPr>
        <w:tab/>
      </w:r>
      <w:r>
        <w:rPr>
          <w:noProof/>
        </w:rPr>
        <w:fldChar w:fldCharType="begin"/>
      </w:r>
      <w:r>
        <w:rPr>
          <w:noProof/>
        </w:rPr>
        <w:instrText xml:space="preserve"> PAGEREF _Toc214961750 \h </w:instrText>
      </w:r>
      <w:r>
        <w:rPr>
          <w:noProof/>
        </w:rPr>
      </w:r>
      <w:r>
        <w:rPr>
          <w:noProof/>
        </w:rPr>
        <w:fldChar w:fldCharType="separate"/>
      </w:r>
      <w:r>
        <w:rPr>
          <w:noProof/>
        </w:rPr>
        <w:t>27</w:t>
      </w:r>
      <w:r>
        <w:rPr>
          <w:noProof/>
        </w:rPr>
        <w:fldChar w:fldCharType="end"/>
      </w:r>
    </w:p>
    <w:p>
      <w:pPr>
        <w:pStyle w:val="TOC9"/>
        <w:rPr>
          <w:rFonts w:asciiTheme="minorHAnsi" w:eastAsiaTheme="minorEastAsia" w:hAnsiTheme="minorHAnsi" w:cstheme="minorBidi"/>
          <w:noProof/>
          <w:sz w:val="22"/>
          <w:szCs w:val="22"/>
        </w:rPr>
      </w:pPr>
      <w:r>
        <w:rPr>
          <w:noProof/>
        </w:rPr>
        <w:t>4I.</w:t>
      </w:r>
      <w:r>
        <w:rPr>
          <w:noProof/>
        </w:rPr>
        <w:tab/>
        <w:t>CPD content</w:t>
      </w:r>
      <w:r>
        <w:rPr>
          <w:noProof/>
        </w:rPr>
        <w:tab/>
      </w:r>
      <w:r>
        <w:rPr>
          <w:noProof/>
        </w:rPr>
        <w:fldChar w:fldCharType="begin"/>
      </w:r>
      <w:r>
        <w:rPr>
          <w:noProof/>
        </w:rPr>
        <w:instrText xml:space="preserve"> PAGEREF _Toc214961751 \h </w:instrText>
      </w:r>
      <w:r>
        <w:rPr>
          <w:noProof/>
        </w:rPr>
      </w:r>
      <w:r>
        <w:rPr>
          <w:noProof/>
        </w:rPr>
        <w:fldChar w:fldCharType="separate"/>
      </w:r>
      <w:r>
        <w:rPr>
          <w:noProof/>
        </w:rPr>
        <w:t>28</w:t>
      </w:r>
      <w:r>
        <w:rPr>
          <w:noProof/>
        </w:rPr>
        <w:fldChar w:fldCharType="end"/>
      </w:r>
    </w:p>
    <w:p>
      <w:pPr>
        <w:pStyle w:val="TOC9"/>
        <w:rPr>
          <w:rFonts w:asciiTheme="minorHAnsi" w:eastAsiaTheme="minorEastAsia" w:hAnsiTheme="minorHAnsi" w:cstheme="minorBidi"/>
          <w:noProof/>
          <w:sz w:val="22"/>
          <w:szCs w:val="22"/>
        </w:rPr>
      </w:pPr>
      <w:r>
        <w:rPr>
          <w:noProof/>
        </w:rPr>
        <w:t>4J.</w:t>
      </w:r>
      <w:r>
        <w:rPr>
          <w:noProof/>
        </w:rPr>
        <w:tab/>
        <w:t>CPD records: providers</w:t>
      </w:r>
      <w:r>
        <w:rPr>
          <w:noProof/>
        </w:rPr>
        <w:tab/>
      </w:r>
      <w:r>
        <w:rPr>
          <w:noProof/>
        </w:rPr>
        <w:fldChar w:fldCharType="begin"/>
      </w:r>
      <w:r>
        <w:rPr>
          <w:noProof/>
        </w:rPr>
        <w:instrText xml:space="preserve"> PAGEREF _Toc214961752 \h </w:instrText>
      </w:r>
      <w:r>
        <w:rPr>
          <w:noProof/>
        </w:rPr>
      </w:r>
      <w:r>
        <w:rPr>
          <w:noProof/>
        </w:rPr>
        <w:fldChar w:fldCharType="separate"/>
      </w:r>
      <w:r>
        <w:rPr>
          <w:noProof/>
        </w:rPr>
        <w:t>28</w:t>
      </w:r>
      <w:r>
        <w:rPr>
          <w:noProof/>
        </w:rPr>
        <w:fldChar w:fldCharType="end"/>
      </w:r>
    </w:p>
    <w:p>
      <w:pPr>
        <w:pStyle w:val="TOC9"/>
        <w:rPr>
          <w:rFonts w:asciiTheme="minorHAnsi" w:eastAsiaTheme="minorEastAsia" w:hAnsiTheme="minorHAnsi" w:cstheme="minorBidi"/>
          <w:noProof/>
          <w:sz w:val="22"/>
          <w:szCs w:val="22"/>
        </w:rPr>
      </w:pPr>
      <w:r>
        <w:rPr>
          <w:noProof/>
        </w:rPr>
        <w:t>4K.</w:t>
      </w:r>
      <w:r>
        <w:rPr>
          <w:noProof/>
        </w:rPr>
        <w:tab/>
        <w:t>CPD records: licensees</w:t>
      </w:r>
      <w:r>
        <w:rPr>
          <w:noProof/>
        </w:rPr>
        <w:tab/>
      </w:r>
      <w:r>
        <w:rPr>
          <w:noProof/>
        </w:rPr>
        <w:fldChar w:fldCharType="begin"/>
      </w:r>
      <w:r>
        <w:rPr>
          <w:noProof/>
        </w:rPr>
        <w:instrText xml:space="preserve"> PAGEREF _Toc214961753 \h </w:instrText>
      </w:r>
      <w:r>
        <w:rPr>
          <w:noProof/>
        </w:rPr>
      </w:r>
      <w:r>
        <w:rPr>
          <w:noProof/>
        </w:rPr>
        <w:fldChar w:fldCharType="separate"/>
      </w:r>
      <w:r>
        <w:rPr>
          <w:noProof/>
        </w:rPr>
        <w:t>29</w:t>
      </w:r>
      <w:r>
        <w:rPr>
          <w:noProof/>
        </w:rPr>
        <w:fldChar w:fldCharType="end"/>
      </w:r>
    </w:p>
    <w:p>
      <w:pPr>
        <w:pStyle w:val="TOC8"/>
        <w:rPr>
          <w:rFonts w:asciiTheme="minorHAnsi" w:eastAsiaTheme="minorEastAsia" w:hAnsiTheme="minorHAnsi" w:cstheme="minorBidi"/>
          <w:szCs w:val="22"/>
        </w:rPr>
      </w:pPr>
      <w:r>
        <w:t>37.</w:t>
      </w:r>
      <w:r>
        <w:tab/>
        <w:t>Part 4 heading inserted</w:t>
      </w:r>
      <w:r>
        <w:tab/>
      </w:r>
      <w:r>
        <w:fldChar w:fldCharType="begin"/>
      </w:r>
      <w:r>
        <w:instrText xml:space="preserve"> PAGEREF _Toc214961754 \h </w:instrText>
      </w:r>
      <w:r>
        <w:fldChar w:fldCharType="separate"/>
      </w:r>
      <w:r>
        <w:t>29</w:t>
      </w:r>
      <w:r>
        <w:fldChar w:fldCharType="end"/>
      </w:r>
    </w:p>
    <w:p>
      <w:pPr>
        <w:pStyle w:val="TOC3"/>
        <w:tabs>
          <w:tab w:val="right" w:leader="dot" w:pos="7077"/>
        </w:tabs>
        <w:rPr>
          <w:rFonts w:asciiTheme="minorHAnsi" w:eastAsiaTheme="minorEastAsia" w:hAnsiTheme="minorHAnsi" w:cstheme="minorBidi"/>
          <w:b w:val="0"/>
          <w:sz w:val="22"/>
          <w:szCs w:val="22"/>
        </w:rPr>
      </w:pPr>
      <w:r>
        <w:t>Part 4 — Licensing of settlement agents</w:t>
      </w:r>
    </w:p>
    <w:p>
      <w:pPr>
        <w:pStyle w:val="TOC8"/>
        <w:rPr>
          <w:rFonts w:asciiTheme="minorHAnsi" w:eastAsiaTheme="minorEastAsia" w:hAnsiTheme="minorHAnsi" w:cstheme="minorBidi"/>
          <w:szCs w:val="22"/>
        </w:rPr>
      </w:pPr>
      <w:r>
        <w:t>38.</w:t>
      </w:r>
      <w:r>
        <w:tab/>
        <w:t>Part 5 heading inserted</w:t>
      </w:r>
      <w:r>
        <w:tab/>
      </w:r>
      <w:r>
        <w:fldChar w:fldCharType="begin"/>
      </w:r>
      <w:r>
        <w:instrText xml:space="preserve"> PAGEREF _Toc214961756 \h </w:instrText>
      </w:r>
      <w:r>
        <w:fldChar w:fldCharType="separate"/>
      </w:r>
      <w:r>
        <w:t>30</w:t>
      </w:r>
      <w:r>
        <w:fldChar w:fldCharType="end"/>
      </w:r>
    </w:p>
    <w:p>
      <w:pPr>
        <w:pStyle w:val="TOC3"/>
        <w:tabs>
          <w:tab w:val="right" w:leader="dot" w:pos="7077"/>
        </w:tabs>
        <w:rPr>
          <w:rFonts w:asciiTheme="minorHAnsi" w:eastAsiaTheme="minorEastAsia" w:hAnsiTheme="minorHAnsi" w:cstheme="minorBidi"/>
          <w:b w:val="0"/>
          <w:sz w:val="22"/>
          <w:szCs w:val="22"/>
        </w:rPr>
      </w:pPr>
      <w:r>
        <w:t>Part 5 — General controls</w:t>
      </w:r>
    </w:p>
    <w:p>
      <w:pPr>
        <w:pStyle w:val="TOC8"/>
        <w:rPr>
          <w:rFonts w:asciiTheme="minorHAnsi" w:eastAsiaTheme="minorEastAsia" w:hAnsiTheme="minorHAnsi" w:cstheme="minorBidi"/>
          <w:szCs w:val="22"/>
        </w:rPr>
      </w:pPr>
      <w:r>
        <w:t>39.</w:t>
      </w:r>
      <w:r>
        <w:tab/>
        <w:t>Part 6 heading inserted</w:t>
      </w:r>
      <w:r>
        <w:tab/>
      </w:r>
      <w:r>
        <w:fldChar w:fldCharType="begin"/>
      </w:r>
      <w:r>
        <w:instrText xml:space="preserve"> PAGEREF _Toc214961758 \h </w:instrText>
      </w:r>
      <w:r>
        <w:fldChar w:fldCharType="separate"/>
      </w:r>
      <w:r>
        <w:t>30</w:t>
      </w:r>
      <w:r>
        <w:fldChar w:fldCharType="end"/>
      </w:r>
    </w:p>
    <w:p>
      <w:pPr>
        <w:pStyle w:val="TOC3"/>
        <w:tabs>
          <w:tab w:val="right" w:leader="dot" w:pos="7077"/>
        </w:tabs>
        <w:rPr>
          <w:rFonts w:asciiTheme="minorHAnsi" w:eastAsiaTheme="minorEastAsia" w:hAnsiTheme="minorHAnsi" w:cstheme="minorBidi"/>
          <w:b w:val="0"/>
          <w:sz w:val="22"/>
          <w:szCs w:val="22"/>
        </w:rPr>
      </w:pPr>
      <w:r>
        <w:t>Part 6 — Trust accounts</w:t>
      </w:r>
    </w:p>
    <w:p>
      <w:pPr>
        <w:pStyle w:val="TOC8"/>
        <w:rPr>
          <w:rFonts w:asciiTheme="minorHAnsi" w:eastAsiaTheme="minorEastAsia" w:hAnsiTheme="minorHAnsi" w:cstheme="minorBidi"/>
          <w:szCs w:val="22"/>
        </w:rPr>
      </w:pPr>
      <w:r>
        <w:t>40.</w:t>
      </w:r>
      <w:r>
        <w:tab/>
        <w:t>Regulation 6F amended</w:t>
      </w:r>
      <w:r>
        <w:tab/>
      </w:r>
      <w:r>
        <w:fldChar w:fldCharType="begin"/>
      </w:r>
      <w:r>
        <w:instrText xml:space="preserve"> PAGEREF _Toc214961760 \h </w:instrText>
      </w:r>
      <w:r>
        <w:fldChar w:fldCharType="separate"/>
      </w:r>
      <w:r>
        <w:t>30</w:t>
      </w:r>
      <w:r>
        <w:fldChar w:fldCharType="end"/>
      </w:r>
    </w:p>
    <w:p>
      <w:pPr>
        <w:pStyle w:val="TOC8"/>
        <w:rPr>
          <w:rFonts w:asciiTheme="minorHAnsi" w:eastAsiaTheme="minorEastAsia" w:hAnsiTheme="minorHAnsi" w:cstheme="minorBidi"/>
          <w:szCs w:val="22"/>
        </w:rPr>
      </w:pPr>
      <w:r>
        <w:t>41.</w:t>
      </w:r>
      <w:r>
        <w:tab/>
        <w:t>Part 7 heading inserted</w:t>
      </w:r>
      <w:r>
        <w:tab/>
      </w:r>
      <w:r>
        <w:fldChar w:fldCharType="begin"/>
      </w:r>
      <w:r>
        <w:instrText xml:space="preserve"> PAGEREF _Toc214961761 \h </w:instrText>
      </w:r>
      <w:r>
        <w:fldChar w:fldCharType="separate"/>
      </w:r>
      <w:r>
        <w:t>31</w:t>
      </w:r>
      <w:r>
        <w:fldChar w:fldCharType="end"/>
      </w:r>
    </w:p>
    <w:p>
      <w:pPr>
        <w:pStyle w:val="TOC3"/>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42.</w:t>
      </w:r>
      <w:r>
        <w:tab/>
        <w:t>Regulation 15 amended</w:t>
      </w:r>
      <w:r>
        <w:tab/>
      </w:r>
      <w:r>
        <w:fldChar w:fldCharType="begin"/>
      </w:r>
      <w:r>
        <w:instrText xml:space="preserve"> PAGEREF _Toc214961763 \h </w:instrText>
      </w:r>
      <w:r>
        <w:fldChar w:fldCharType="separate"/>
      </w:r>
      <w:r>
        <w:t>31</w:t>
      </w:r>
      <w:r>
        <w:fldChar w:fldCharType="end"/>
      </w:r>
    </w:p>
    <w:p>
      <w:pPr>
        <w:pStyle w:val="TOC8"/>
        <w:rPr>
          <w:rFonts w:asciiTheme="minorHAnsi" w:eastAsiaTheme="minorEastAsia" w:hAnsiTheme="minorHAnsi" w:cstheme="minorBidi"/>
          <w:szCs w:val="22"/>
        </w:rPr>
      </w:pPr>
      <w:r>
        <w:t>43.</w:t>
      </w:r>
      <w:r>
        <w:tab/>
        <w:t>Part 8 heading inserted</w:t>
      </w:r>
      <w:r>
        <w:tab/>
      </w:r>
      <w:r>
        <w:fldChar w:fldCharType="begin"/>
      </w:r>
      <w:r>
        <w:instrText xml:space="preserve"> PAGEREF _Toc214961764 \h </w:instrText>
      </w:r>
      <w:r>
        <w:fldChar w:fldCharType="separate"/>
      </w:r>
      <w:r>
        <w:t>31</w:t>
      </w:r>
      <w:r>
        <w:fldChar w:fldCharType="end"/>
      </w:r>
    </w:p>
    <w:p>
      <w:pPr>
        <w:pStyle w:val="TOC3"/>
        <w:tabs>
          <w:tab w:val="right" w:leader="dot" w:pos="7077"/>
        </w:tabs>
        <w:rPr>
          <w:rFonts w:asciiTheme="minorHAnsi" w:eastAsiaTheme="minorEastAsia" w:hAnsiTheme="minorHAnsi" w:cstheme="minorBidi"/>
          <w:b w:val="0"/>
          <w:sz w:val="22"/>
          <w:szCs w:val="22"/>
        </w:rPr>
      </w:pPr>
      <w:r>
        <w:t>Part 8 — Transitional provisions</w:t>
      </w:r>
    </w:p>
    <w:p>
      <w:pPr>
        <w:pStyle w:val="TOC8"/>
        <w:rPr>
          <w:rFonts w:asciiTheme="minorHAnsi" w:eastAsiaTheme="minorEastAsia" w:hAnsiTheme="minorHAnsi" w:cstheme="minorBidi"/>
          <w:szCs w:val="22"/>
        </w:rPr>
      </w:pPr>
      <w:r>
        <w:t>44.</w:t>
      </w:r>
      <w:r>
        <w:tab/>
        <w:t>Regulation 19 inserted</w:t>
      </w:r>
      <w:r>
        <w:tab/>
      </w:r>
      <w:r>
        <w:fldChar w:fldCharType="begin"/>
      </w:r>
      <w:r>
        <w:instrText xml:space="preserve"> PAGEREF _Toc214961766 \h </w:instrText>
      </w:r>
      <w:r>
        <w:fldChar w:fldCharType="separate"/>
      </w:r>
      <w:r>
        <w:t>32</w:t>
      </w:r>
      <w:r>
        <w:fldChar w:fldCharType="end"/>
      </w:r>
    </w:p>
    <w:p>
      <w:pPr>
        <w:pStyle w:val="TOC9"/>
        <w:rPr>
          <w:rFonts w:asciiTheme="minorHAnsi" w:eastAsiaTheme="minorEastAsia" w:hAnsiTheme="minorHAnsi" w:cstheme="minorBidi"/>
          <w:noProof/>
          <w:sz w:val="22"/>
          <w:szCs w:val="22"/>
        </w:rPr>
      </w:pPr>
      <w:r>
        <w:rPr>
          <w:noProof/>
        </w:rPr>
        <w:t>19.</w:t>
      </w:r>
      <w:r>
        <w:rPr>
          <w:noProof/>
        </w:rPr>
        <w:tab/>
        <w:t xml:space="preserve">Transitional regulation for </w:t>
      </w:r>
      <w:r>
        <w:rPr>
          <w:i/>
          <w:noProof/>
        </w:rPr>
        <w:t>Commerce Regulations Amendment (Real Estate, Business and Settlement Agents) Regulations 2025</w:t>
      </w:r>
      <w:r>
        <w:rPr>
          <w:noProof/>
        </w:rPr>
        <w:tab/>
      </w:r>
      <w:r>
        <w:rPr>
          <w:noProof/>
        </w:rPr>
        <w:fldChar w:fldCharType="begin"/>
      </w:r>
      <w:r>
        <w:rPr>
          <w:noProof/>
        </w:rPr>
        <w:instrText xml:space="preserve"> PAGEREF _Toc214961767 \h </w:instrText>
      </w:r>
      <w:r>
        <w:rPr>
          <w:noProof/>
        </w:rPr>
      </w:r>
      <w:r>
        <w:rPr>
          <w:noProof/>
        </w:rPr>
        <w:fldChar w:fldCharType="separate"/>
      </w:r>
      <w:r>
        <w:rPr>
          <w:noProof/>
        </w:rPr>
        <w:t>32</w:t>
      </w:r>
      <w:r>
        <w:rPr>
          <w:noProof/>
        </w:rPr>
        <w:fldChar w:fldCharType="end"/>
      </w:r>
    </w:p>
    <w:p>
      <w:pPr>
        <w:pStyle w:val="TOC8"/>
        <w:rPr>
          <w:rFonts w:asciiTheme="minorHAnsi" w:eastAsiaTheme="minorEastAsia" w:hAnsiTheme="minorHAnsi" w:cstheme="minorBidi"/>
          <w:szCs w:val="22"/>
        </w:rPr>
      </w:pPr>
      <w:r>
        <w:t>45.</w:t>
      </w:r>
      <w:r>
        <w:tab/>
        <w:t>Schedule 1A deleted</w:t>
      </w:r>
      <w:r>
        <w:tab/>
      </w:r>
      <w:r>
        <w:fldChar w:fldCharType="begin"/>
      </w:r>
      <w:r>
        <w:instrText xml:space="preserve"> PAGEREF _Toc214961768 \h </w:instrText>
      </w:r>
      <w:r>
        <w:fldChar w:fldCharType="separate"/>
      </w:r>
      <w:r>
        <w:t>32</w:t>
      </w:r>
      <w:r>
        <w:fldChar w:fldCharType="end"/>
      </w:r>
    </w:p>
    <w:p>
      <w:pPr>
        <w:pStyle w:val="TOC8"/>
        <w:keepNext/>
        <w:rPr>
          <w:rFonts w:asciiTheme="minorHAnsi" w:eastAsiaTheme="minorEastAsia" w:hAnsiTheme="minorHAnsi" w:cstheme="minorBidi"/>
          <w:szCs w:val="22"/>
        </w:rPr>
      </w:pPr>
      <w:r>
        <w:lastRenderedPageBreak/>
        <w:t>46.</w:t>
      </w:r>
      <w:r>
        <w:tab/>
        <w:t>Schedule 5 amended</w:t>
      </w:r>
      <w:r>
        <w:tab/>
      </w:r>
      <w:r>
        <w:fldChar w:fldCharType="begin"/>
      </w:r>
      <w:r>
        <w:instrText xml:space="preserve"> PAGEREF _Toc214961769 \h </w:instrText>
      </w:r>
      <w:r>
        <w:fldChar w:fldCharType="separate"/>
      </w:r>
      <w:r>
        <w:t>33</w:t>
      </w:r>
      <w:r>
        <w:fldChar w:fldCharType="end"/>
      </w:r>
    </w:p>
    <w:p>
      <w:pPr>
        <w:pStyle w:val="TOC5"/>
        <w:tabs>
          <w:tab w:val="right" w:leader="dot" w:pos="7077"/>
        </w:tabs>
        <w:rPr>
          <w:rFonts w:asciiTheme="minorHAnsi" w:eastAsiaTheme="minorEastAsia" w:hAnsiTheme="minorHAnsi" w:cstheme="minorBidi"/>
          <w:b w:val="0"/>
          <w:sz w:val="22"/>
          <w:szCs w:val="22"/>
        </w:rPr>
      </w:pPr>
      <w:r>
        <w:t>Part 3 — Other offences</w:t>
      </w:r>
    </w:p>
    <w:p>
      <w:pPr>
        <w:pStyle w:val="TOC8"/>
        <w:keepNext/>
        <w:rPr>
          <w:rFonts w:asciiTheme="minorHAnsi" w:eastAsiaTheme="minorEastAsia" w:hAnsiTheme="minorHAnsi" w:cstheme="minorBidi"/>
          <w:szCs w:val="22"/>
        </w:rPr>
      </w:pPr>
      <w:r>
        <w:t>47.</w:t>
      </w:r>
      <w:r>
        <w:tab/>
        <w:t>Schedule 6 amended</w:t>
      </w:r>
      <w:r>
        <w:tab/>
      </w:r>
      <w:r>
        <w:fldChar w:fldCharType="begin"/>
      </w:r>
      <w:r>
        <w:instrText xml:space="preserve"> PAGEREF _Toc214961771 \h </w:instrText>
      </w:r>
      <w:r>
        <w:fldChar w:fldCharType="separate"/>
      </w:r>
      <w:r>
        <w:t>33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Real Estate and Business Agents Act 1978</w:t>
      </w:r>
      <w:r>
        <w:br/>
      </w:r>
      <w:r>
        <w:rPr>
          <w:snapToGrid w:val="0"/>
        </w:rPr>
        <w:t>Settlement Agents Act 1981</w:t>
      </w:r>
    </w:p>
    <w:p>
      <w:pPr>
        <w:pStyle w:val="NameofActReg"/>
      </w:pPr>
      <w:r>
        <w:t>Commerce Regulations Amendment (Real Estate, Business and Settlement Agents) Regulations 2025</w:t>
      </w:r>
    </w:p>
    <w:p>
      <w:pPr>
        <w:pStyle w:val="MadeBy"/>
      </w:pPr>
      <w:r>
        <w:t>Made by the Governor in Executive Council.</w:t>
      </w:r>
    </w:p>
    <w:p>
      <w:pPr>
        <w:pStyle w:val="Heading2"/>
        <w:pageBreakBefore w:val="0"/>
        <w:spacing w:before="240"/>
      </w:pPr>
      <w:bookmarkStart w:id="2" w:name="_Toc214538698"/>
      <w:bookmarkStart w:id="3" w:name="_Toc214538797"/>
      <w:bookmarkStart w:id="4" w:name="_Toc214538881"/>
      <w:bookmarkStart w:id="5" w:name="_Toc214538999"/>
      <w:bookmarkStart w:id="6" w:name="_Toc21496168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pPr>
      <w:bookmarkStart w:id="7" w:name="_Toc214538699"/>
      <w:bookmarkStart w:id="8" w:name="_Toc214961689"/>
      <w:r>
        <w:rPr>
          <w:rStyle w:val="CharSectno"/>
        </w:rPr>
        <w:t>1</w:t>
      </w:r>
      <w:r>
        <w:t>.</w:t>
      </w:r>
      <w:r>
        <w:tab/>
        <w:t>Citation</w:t>
      </w:r>
      <w:bookmarkEnd w:id="7"/>
      <w:bookmarkEnd w:id="8"/>
    </w:p>
    <w:p>
      <w:pPr>
        <w:pStyle w:val="Subsection"/>
      </w:pPr>
      <w:r>
        <w:tab/>
      </w:r>
      <w:r>
        <w:tab/>
      </w:r>
      <w:bookmarkStart w:id="9" w:name="Start_Cursor"/>
      <w:bookmarkEnd w:id="9"/>
      <w:r>
        <w:t xml:space="preserve">These </w:t>
      </w:r>
      <w:r>
        <w:rPr>
          <w:spacing w:val="-2"/>
        </w:rPr>
        <w:t>regulations</w:t>
      </w:r>
      <w:r>
        <w:t xml:space="preserve"> are the </w:t>
      </w:r>
      <w:r>
        <w:rPr>
          <w:i/>
        </w:rPr>
        <w:t>Commerce Regulations Amendment (Real Estate, Business and Settlement Agents) Regulations 2025</w:t>
      </w:r>
      <w:r>
        <w:t>.</w:t>
      </w:r>
    </w:p>
    <w:p>
      <w:pPr>
        <w:pStyle w:val="Heading5"/>
        <w:rPr>
          <w:spacing w:val="-2"/>
        </w:rPr>
      </w:pPr>
      <w:bookmarkStart w:id="10" w:name="_Toc214538700"/>
      <w:bookmarkStart w:id="11" w:name="_Toc214961690"/>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 </w:t>
      </w:r>
      <w:r>
        <w:t xml:space="preserve">— on the day on which these </w:t>
      </w:r>
      <w:r>
        <w:rPr>
          <w:spacing w:val="-2"/>
        </w:rPr>
        <w:t>regulations</w:t>
      </w:r>
      <w:r>
        <w:t xml:space="preserve"> are published on the WA legislation website (</w:t>
      </w:r>
      <w:r>
        <w:rPr>
          <w:rStyle w:val="CharDefText"/>
        </w:rPr>
        <w:t>publication day</w:t>
      </w:r>
      <w:r>
        <w:t>);</w:t>
      </w:r>
    </w:p>
    <w:p>
      <w:pPr>
        <w:pStyle w:val="Indenta"/>
      </w:pPr>
      <w:r>
        <w:tab/>
        <w:t>(b)</w:t>
      </w:r>
      <w:r>
        <w:tab/>
        <w:t>Part 2 (but only regulations 3, 12 and 22) and Part 3 (but only regulations 26, 35 and 44) — on the day after publication day;</w:t>
      </w:r>
    </w:p>
    <w:p>
      <w:pPr>
        <w:pStyle w:val="Indenta"/>
      </w:pPr>
      <w:r>
        <w:tab/>
        <w:t>(c)</w:t>
      </w:r>
      <w:r>
        <w:tab/>
      </w:r>
      <w:r>
        <w:rPr>
          <w:spacing w:val="-2"/>
        </w:rPr>
        <w:t>the</w:t>
      </w:r>
      <w:r>
        <w:t xml:space="preserve"> rest of the </w:t>
      </w:r>
      <w:r>
        <w:rPr>
          <w:spacing w:val="-2"/>
        </w:rPr>
        <w:t>regulations</w:t>
      </w:r>
      <w:r>
        <w:t> — on 1 January 2026.</w:t>
      </w:r>
    </w:p>
    <w:p>
      <w:pPr>
        <w:pStyle w:val="Heading2"/>
      </w:pPr>
      <w:bookmarkStart w:id="12" w:name="_Toc214538701"/>
      <w:bookmarkStart w:id="13" w:name="_Toc214538800"/>
      <w:bookmarkStart w:id="14" w:name="_Toc214538884"/>
      <w:bookmarkStart w:id="15" w:name="_Toc214539002"/>
      <w:bookmarkStart w:id="16" w:name="_Toc214961691"/>
      <w:r>
        <w:rPr>
          <w:rStyle w:val="CharPartNo"/>
        </w:rPr>
        <w:lastRenderedPageBreak/>
        <w:t>Part 2</w:t>
      </w:r>
      <w:r>
        <w:rPr>
          <w:rStyle w:val="CharDivNo"/>
        </w:rPr>
        <w:t> </w:t>
      </w:r>
      <w:r>
        <w:t>—</w:t>
      </w:r>
      <w:r>
        <w:rPr>
          <w:rStyle w:val="CharDivText"/>
        </w:rPr>
        <w:t> </w:t>
      </w:r>
      <w:r>
        <w:rPr>
          <w:rStyle w:val="CharPartText"/>
          <w:i/>
          <w:iCs/>
        </w:rPr>
        <w:t>Real Estate and Business Agents (General) Regulations 1979</w:t>
      </w:r>
      <w:r>
        <w:rPr>
          <w:rStyle w:val="CharPartText"/>
        </w:rPr>
        <w:t xml:space="preserve"> amended</w:t>
      </w:r>
      <w:bookmarkEnd w:id="12"/>
      <w:bookmarkEnd w:id="13"/>
      <w:bookmarkEnd w:id="14"/>
      <w:bookmarkEnd w:id="15"/>
      <w:bookmarkEnd w:id="16"/>
    </w:p>
    <w:p>
      <w:pPr>
        <w:pStyle w:val="Heading5"/>
        <w:rPr>
          <w:snapToGrid w:val="0"/>
        </w:rPr>
      </w:pPr>
      <w:bookmarkStart w:id="17" w:name="_Toc214538702"/>
      <w:bookmarkStart w:id="18" w:name="_Toc214961692"/>
      <w:r>
        <w:rPr>
          <w:rStyle w:val="CharSectno"/>
        </w:rPr>
        <w:t>3</w:t>
      </w:r>
      <w:r>
        <w:rPr>
          <w:snapToGrid w:val="0"/>
        </w:rPr>
        <w:t>.</w:t>
      </w:r>
      <w:r>
        <w:rPr>
          <w:snapToGrid w:val="0"/>
        </w:rPr>
        <w:tab/>
        <w:t>Regulations amended</w:t>
      </w:r>
      <w:bookmarkEnd w:id="17"/>
      <w:bookmarkEnd w:id="18"/>
    </w:p>
    <w:p>
      <w:pPr>
        <w:pStyle w:val="Subsection"/>
      </w:pPr>
      <w:r>
        <w:tab/>
      </w:r>
      <w:r>
        <w:tab/>
        <w:t xml:space="preserve">This Part amends the </w:t>
      </w:r>
      <w:r>
        <w:rPr>
          <w:i/>
        </w:rPr>
        <w:t>Real Estate and Business Agents (General) Regulations 1979</w:t>
      </w:r>
      <w:r>
        <w:t>.</w:t>
      </w:r>
    </w:p>
    <w:p>
      <w:pPr>
        <w:pStyle w:val="Heading5"/>
      </w:pPr>
      <w:bookmarkStart w:id="19" w:name="_Toc214538703"/>
      <w:bookmarkStart w:id="20" w:name="_Toc214961693"/>
      <w:r>
        <w:rPr>
          <w:rStyle w:val="CharSectno"/>
        </w:rPr>
        <w:t>4</w:t>
      </w:r>
      <w:r>
        <w:t>.</w:t>
      </w:r>
      <w:r>
        <w:tab/>
        <w:t>Part 1 heading inserted</w:t>
      </w:r>
      <w:bookmarkEnd w:id="19"/>
      <w:bookmarkEnd w:id="20"/>
    </w:p>
    <w:p>
      <w:pPr>
        <w:pStyle w:val="Subsection"/>
      </w:pPr>
      <w:r>
        <w:tab/>
      </w:r>
      <w:r>
        <w:tab/>
        <w:t>Before regulation 1 insert:</w:t>
      </w:r>
    </w:p>
    <w:p>
      <w:pPr>
        <w:pStyle w:val="BlankOpen"/>
      </w:pPr>
    </w:p>
    <w:p>
      <w:pPr>
        <w:pStyle w:val="zHeading2"/>
      </w:pPr>
      <w:bookmarkStart w:id="21" w:name="_Toc214538704"/>
      <w:bookmarkStart w:id="22" w:name="_Toc214538803"/>
      <w:bookmarkStart w:id="23" w:name="_Toc214538887"/>
      <w:bookmarkStart w:id="24" w:name="_Toc214539005"/>
      <w:bookmarkStart w:id="25" w:name="_Toc214961694"/>
      <w:r>
        <w:t>Part 1 — Preliminary</w:t>
      </w:r>
      <w:bookmarkEnd w:id="21"/>
      <w:bookmarkEnd w:id="22"/>
      <w:bookmarkEnd w:id="23"/>
      <w:bookmarkEnd w:id="24"/>
      <w:bookmarkEnd w:id="25"/>
    </w:p>
    <w:p>
      <w:pPr>
        <w:pStyle w:val="BlankClose"/>
      </w:pPr>
    </w:p>
    <w:p>
      <w:pPr>
        <w:pStyle w:val="Heading5"/>
      </w:pPr>
      <w:bookmarkStart w:id="26" w:name="_Toc214538705"/>
      <w:bookmarkStart w:id="27" w:name="_Toc214961695"/>
      <w:r>
        <w:rPr>
          <w:rStyle w:val="CharSectno"/>
        </w:rPr>
        <w:t>5</w:t>
      </w:r>
      <w:r>
        <w:t>.</w:t>
      </w:r>
      <w:r>
        <w:tab/>
        <w:t>Regulation 2 amended</w:t>
      </w:r>
      <w:bookmarkEnd w:id="26"/>
      <w:bookmarkEnd w:id="27"/>
    </w:p>
    <w:p>
      <w:pPr>
        <w:pStyle w:val="Subsection"/>
      </w:pPr>
      <w:r>
        <w:tab/>
        <w:t>(1)</w:t>
      </w:r>
      <w:r>
        <w:tab/>
        <w:t>In regulation 2(1) delete “regulations, unless the contrary intention appears —” and insert:</w:t>
      </w:r>
    </w:p>
    <w:p>
      <w:pPr>
        <w:pStyle w:val="BlankOpen"/>
      </w:pPr>
    </w:p>
    <w:p>
      <w:pPr>
        <w:pStyle w:val="Subsection"/>
      </w:pPr>
      <w:r>
        <w:tab/>
      </w:r>
      <w:r>
        <w:tab/>
        <w:t xml:space="preserve">regulations — </w:t>
      </w:r>
    </w:p>
    <w:p>
      <w:pPr>
        <w:pStyle w:val="BlankClose"/>
      </w:pPr>
    </w:p>
    <w:p>
      <w:pPr>
        <w:pStyle w:val="Subsection"/>
      </w:pPr>
      <w:r>
        <w:tab/>
        <w:t>(2)</w:t>
      </w:r>
      <w:r>
        <w:tab/>
        <w:t>In regulation 2(1) delete the definitions of:</w:t>
      </w:r>
    </w:p>
    <w:p>
      <w:pPr>
        <w:pStyle w:val="DeleteListSub"/>
        <w:rPr>
          <w:bCs/>
          <w:iCs/>
        </w:rPr>
      </w:pPr>
      <w:r>
        <w:rPr>
          <w:b/>
          <w:bCs/>
          <w:i/>
          <w:iCs/>
        </w:rPr>
        <w:t>approved CPD activity</w:t>
      </w:r>
    </w:p>
    <w:p>
      <w:pPr>
        <w:pStyle w:val="DeleteListSub"/>
      </w:pPr>
      <w:r>
        <w:rPr>
          <w:b/>
          <w:bCs/>
          <w:i/>
          <w:iCs/>
        </w:rPr>
        <w:t>calendar year</w:t>
      </w:r>
    </w:p>
    <w:p>
      <w:pPr>
        <w:pStyle w:val="DeleteListSub"/>
        <w:rPr>
          <w:b/>
          <w:bCs/>
          <w:i/>
          <w:iCs/>
        </w:rPr>
      </w:pPr>
      <w:r>
        <w:rPr>
          <w:b/>
          <w:bCs/>
          <w:i/>
          <w:iCs/>
        </w:rPr>
        <w:t>continuing professional development activity</w:t>
      </w:r>
    </w:p>
    <w:p>
      <w:pPr>
        <w:pStyle w:val="DeleteListSub"/>
        <w:rPr>
          <w:b/>
          <w:bCs/>
          <w:i/>
          <w:iCs/>
        </w:rPr>
      </w:pPr>
      <w:r>
        <w:rPr>
          <w:b/>
          <w:bCs/>
          <w:i/>
          <w:iCs/>
        </w:rPr>
        <w:t>CPD subject</w:t>
      </w:r>
    </w:p>
    <w:p>
      <w:pPr>
        <w:pStyle w:val="DeleteListSub"/>
        <w:rPr>
          <w:b/>
          <w:bCs/>
          <w:i/>
          <w:iCs/>
        </w:rPr>
      </w:pPr>
      <w:r>
        <w:rPr>
          <w:b/>
          <w:bCs/>
          <w:i/>
          <w:iCs/>
        </w:rPr>
        <w:t>mandatory CPD activity</w:t>
      </w:r>
    </w:p>
    <w:p>
      <w:pPr>
        <w:pStyle w:val="DeleteListSub"/>
        <w:rPr>
          <w:b/>
          <w:bCs/>
          <w:i/>
          <w:iCs/>
        </w:rPr>
      </w:pPr>
      <w:r>
        <w:rPr>
          <w:b/>
          <w:bCs/>
          <w:i/>
          <w:iCs/>
        </w:rPr>
        <w:t>point value</w:t>
      </w:r>
    </w:p>
    <w:p>
      <w:pPr>
        <w:pStyle w:val="DeleteListSub"/>
        <w:rPr>
          <w:b/>
          <w:bCs/>
          <w:i/>
          <w:iCs/>
        </w:rPr>
      </w:pPr>
      <w:r>
        <w:rPr>
          <w:b/>
          <w:bCs/>
          <w:i/>
          <w:iCs/>
        </w:rPr>
        <w:t>record</w:t>
      </w:r>
    </w:p>
    <w:p>
      <w:pPr>
        <w:pStyle w:val="DeleteListSub"/>
        <w:rPr>
          <w:b/>
          <w:bCs/>
          <w:i/>
          <w:iCs/>
        </w:rPr>
      </w:pPr>
      <w:r>
        <w:rPr>
          <w:b/>
          <w:bCs/>
          <w:i/>
          <w:iCs/>
        </w:rPr>
        <w:t>register</w:t>
      </w:r>
    </w:p>
    <w:p>
      <w:pPr>
        <w:pStyle w:val="DeleteListSub"/>
        <w:rPr>
          <w:b/>
          <w:bCs/>
          <w:i/>
          <w:iCs/>
        </w:rPr>
      </w:pPr>
      <w:r>
        <w:rPr>
          <w:b/>
          <w:bCs/>
          <w:i/>
          <w:iCs/>
        </w:rPr>
        <w:t>registered training provider</w:t>
      </w:r>
    </w:p>
    <w:p>
      <w:pPr>
        <w:pStyle w:val="Subsection"/>
      </w:pPr>
      <w:r>
        <w:lastRenderedPageBreak/>
        <w:tab/>
        <w:t>(3)</w:t>
      </w:r>
      <w:r>
        <w:tab/>
        <w:t>In regulation 2(1) insert in alphabetical order:</w:t>
      </w:r>
    </w:p>
    <w:p>
      <w:pPr>
        <w:pStyle w:val="BlankOpen"/>
      </w:pPr>
    </w:p>
    <w:p>
      <w:pPr>
        <w:pStyle w:val="zDefstart"/>
      </w:pPr>
      <w:r>
        <w:tab/>
      </w:r>
      <w:r>
        <w:rPr>
          <w:rStyle w:val="CharDefText"/>
        </w:rPr>
        <w:t>approved CPD provider</w:t>
      </w:r>
      <w:r>
        <w:t xml:space="preserve"> means a person who holds an approval granted under regulation 4AE that is in effect;</w:t>
      </w:r>
    </w:p>
    <w:p>
      <w:pPr>
        <w:pStyle w:val="zDefstart"/>
        <w:rPr>
          <w:iCs/>
        </w:rPr>
      </w:pPr>
      <w:r>
        <w:tab/>
      </w:r>
      <w:r>
        <w:rPr>
          <w:rStyle w:val="CharDefText"/>
        </w:rPr>
        <w:t>approved CPD topic</w:t>
      </w:r>
      <w:r>
        <w:t xml:space="preserve"> means a topic listed in a notice under regulation 4AF(1);</w:t>
      </w:r>
    </w:p>
    <w:p>
      <w:pPr>
        <w:pStyle w:val="zDefstart"/>
      </w:pPr>
      <w:r>
        <w:rPr>
          <w:i/>
        </w:rPr>
        <w:tab/>
      </w:r>
      <w:r>
        <w:rPr>
          <w:rStyle w:val="CharDefText"/>
        </w:rPr>
        <w:t>Commissioner’s website</w:t>
      </w:r>
      <w:r>
        <w:t xml:space="preserve"> means a website maintained by or on behalf of — </w:t>
      </w:r>
    </w:p>
    <w:p>
      <w:pPr>
        <w:pStyle w:val="zDefpara"/>
      </w:pPr>
      <w:r>
        <w:tab/>
        <w:t>(a)</w:t>
      </w:r>
      <w:r>
        <w:tab/>
        <w:t>the Commissioner; or</w:t>
      </w:r>
    </w:p>
    <w:p>
      <w:pPr>
        <w:pStyle w:val="zDefpara"/>
      </w:pPr>
      <w:r>
        <w:tab/>
        <w:t>(b)</w:t>
      </w:r>
      <w:r>
        <w:tab/>
        <w:t>if there is no website maintained by, or on behalf of the Commissioner — the department;</w:t>
      </w:r>
    </w:p>
    <w:p>
      <w:pPr>
        <w:pStyle w:val="zDefstart"/>
      </w:pPr>
      <w:r>
        <w:tab/>
      </w:r>
      <w:r>
        <w:rPr>
          <w:rStyle w:val="CharDefText"/>
        </w:rPr>
        <w:t>CPD activity</w:t>
      </w:r>
      <w:r>
        <w:t xml:space="preserve"> means an educational activity that — </w:t>
      </w:r>
    </w:p>
    <w:p>
      <w:pPr>
        <w:pStyle w:val="zDefpara"/>
      </w:pPr>
      <w:r>
        <w:tab/>
        <w:t>(a)</w:t>
      </w:r>
      <w:r>
        <w:tab/>
        <w:t>is provided by an approved CPD provider; and</w:t>
      </w:r>
    </w:p>
    <w:p>
      <w:pPr>
        <w:pStyle w:val="zDefpara"/>
      </w:pPr>
      <w:r>
        <w:tab/>
        <w:t>(b)</w:t>
      </w:r>
      <w:r>
        <w:tab/>
        <w:t>relates to an approved CPD topic; and</w:t>
      </w:r>
    </w:p>
    <w:p>
      <w:pPr>
        <w:pStyle w:val="zDefpara"/>
      </w:pPr>
      <w:r>
        <w:tab/>
        <w:t>(c)</w:t>
      </w:r>
      <w:r>
        <w:tab/>
        <w:t>meets the requirements of regulation 4AH;</w:t>
      </w:r>
    </w:p>
    <w:p>
      <w:pPr>
        <w:pStyle w:val="zDefstart"/>
      </w:pPr>
      <w:r>
        <w:tab/>
      </w:r>
      <w:r>
        <w:rPr>
          <w:rStyle w:val="CharDefText"/>
        </w:rPr>
        <w:t>CPD subject</w:t>
      </w:r>
      <w:r>
        <w:t xml:space="preserve"> means any of the following subjects — </w:t>
      </w:r>
    </w:p>
    <w:p>
      <w:pPr>
        <w:pStyle w:val="zDefpara"/>
      </w:pPr>
      <w:r>
        <w:tab/>
        <w:t>(a)</w:t>
      </w:r>
      <w:r>
        <w:tab/>
        <w:t>ethics or professional responsibility;</w:t>
      </w:r>
    </w:p>
    <w:p>
      <w:pPr>
        <w:pStyle w:val="zDefpara"/>
      </w:pPr>
      <w:r>
        <w:tab/>
        <w:t>(b)</w:t>
      </w:r>
      <w:r>
        <w:tab/>
        <w:t>professional skills;</w:t>
      </w:r>
    </w:p>
    <w:p>
      <w:pPr>
        <w:pStyle w:val="zDefpara"/>
      </w:pPr>
      <w:r>
        <w:tab/>
        <w:t>(c)</w:t>
      </w:r>
      <w:r>
        <w:tab/>
        <w:t>legal requirements;</w:t>
      </w:r>
    </w:p>
    <w:p>
      <w:pPr>
        <w:pStyle w:val="zDefstart"/>
      </w:pPr>
      <w:r>
        <w:tab/>
      </w:r>
      <w:r>
        <w:rPr>
          <w:rStyle w:val="CharDefText"/>
        </w:rPr>
        <w:t>CPD year</w:t>
      </w:r>
      <w:r>
        <w:t xml:space="preserve"> means a year beginning on 1 April and ending on 31 March;</w:t>
      </w:r>
    </w:p>
    <w:p>
      <w:pPr>
        <w:pStyle w:val="zDefstart"/>
        <w:rPr>
          <w:rStyle w:val="DraftersNotes"/>
          <w:i w:val="0"/>
          <w:iCs/>
        </w:rPr>
      </w:pPr>
      <w:r>
        <w:rPr>
          <w:rStyle w:val="DraftersNotes"/>
        </w:rPr>
        <w:tab/>
      </w:r>
      <w:r>
        <w:rPr>
          <w:rStyle w:val="CharDefText"/>
        </w:rPr>
        <w:t>mandatory CPD topic</w:t>
      </w:r>
      <w:r>
        <w:t>, for a regulated person and a CPD year, means an approved CPD topic specified by the Commissioner under regulation 4AG as a mandatory CPD topic for the regulated person for the CPD year;</w:t>
      </w:r>
    </w:p>
    <w:p>
      <w:pPr>
        <w:pStyle w:val="zDefstart"/>
      </w:pPr>
      <w:r>
        <w:tab/>
      </w:r>
      <w:r>
        <w:rPr>
          <w:rStyle w:val="CharDefText"/>
        </w:rPr>
        <w:t>point</w:t>
      </w:r>
      <w:r>
        <w:t xml:space="preserve"> has the meaning given in regulation 4AC(1);</w:t>
      </w:r>
    </w:p>
    <w:p>
      <w:pPr>
        <w:pStyle w:val="zDefstart"/>
      </w:pPr>
      <w:r>
        <w:tab/>
      </w:r>
      <w:r>
        <w:rPr>
          <w:rStyle w:val="CharDefText"/>
        </w:rPr>
        <w:t>point value</w:t>
      </w:r>
      <w:r>
        <w:t>, in relation to a CPD activity, means the number of points earned for the activity determined in accordance with regulation 4AC(1);</w:t>
      </w:r>
    </w:p>
    <w:p>
      <w:pPr>
        <w:pStyle w:val="zDefstart"/>
      </w:pPr>
      <w:r>
        <w:lastRenderedPageBreak/>
        <w:tab/>
      </w:r>
      <w:r>
        <w:rPr>
          <w:rStyle w:val="CharDefText"/>
        </w:rPr>
        <w:t>required number of points</w:t>
      </w:r>
      <w:r>
        <w:t>, in relation to a mandatory CPD topic, means the number of points specified in the notice under regulation 4AG(3);</w:t>
      </w:r>
    </w:p>
    <w:p>
      <w:pPr>
        <w:pStyle w:val="zDefstart"/>
      </w:pPr>
      <w:r>
        <w:tab/>
      </w:r>
      <w:r>
        <w:rPr>
          <w:rStyle w:val="CharDefText"/>
        </w:rPr>
        <w:t>topic</w:t>
      </w:r>
      <w:r>
        <w:t xml:space="preserve"> means a subject matter to which an educational activity relates or may relate;</w:t>
      </w:r>
    </w:p>
    <w:p>
      <w:pPr>
        <w:pStyle w:val="BlankClose"/>
      </w:pPr>
    </w:p>
    <w:p>
      <w:pPr>
        <w:pStyle w:val="Subsection"/>
      </w:pPr>
      <w:r>
        <w:tab/>
        <w:t>(4)</w:t>
      </w:r>
      <w:r>
        <w:tab/>
        <w:t xml:space="preserve">In regulation 2(1) in the definition of </w:t>
      </w:r>
      <w:r>
        <w:rPr>
          <w:b/>
          <w:bCs/>
          <w:i/>
          <w:iCs/>
        </w:rPr>
        <w:t>educational activity</w:t>
      </w:r>
      <w:r>
        <w:t xml:space="preserve"> paragraph (a) delete “that relates to a CPD subject”.</w:t>
      </w:r>
    </w:p>
    <w:p>
      <w:pPr>
        <w:pStyle w:val="Subsection"/>
      </w:pPr>
      <w:r>
        <w:tab/>
        <w:t>(5)</w:t>
      </w:r>
      <w:r>
        <w:tab/>
        <w:t>In regulation 2(3)(b) delete “provider.” and insert:</w:t>
      </w:r>
    </w:p>
    <w:p>
      <w:pPr>
        <w:pStyle w:val="BlankOpen"/>
      </w:pPr>
    </w:p>
    <w:p>
      <w:pPr>
        <w:pStyle w:val="Subsection"/>
      </w:pPr>
      <w:r>
        <w:tab/>
      </w:r>
      <w:r>
        <w:tab/>
        <w:t xml:space="preserve">provider as defined in the </w:t>
      </w:r>
      <w:r>
        <w:rPr>
          <w:i/>
        </w:rPr>
        <w:t>Vocational Education and Training Act 1996</w:t>
      </w:r>
      <w:r>
        <w:t xml:space="preserve"> section 5(1).</w:t>
      </w:r>
    </w:p>
    <w:p>
      <w:pPr>
        <w:pStyle w:val="BlankClose"/>
      </w:pPr>
    </w:p>
    <w:p>
      <w:pPr>
        <w:pStyle w:val="Heading5"/>
      </w:pPr>
      <w:bookmarkStart w:id="28" w:name="_Toc214538706"/>
      <w:bookmarkStart w:id="29" w:name="_Toc214961696"/>
      <w:r>
        <w:rPr>
          <w:rStyle w:val="CharSectno"/>
        </w:rPr>
        <w:t>6</w:t>
      </w:r>
      <w:r>
        <w:t>.</w:t>
      </w:r>
      <w:r>
        <w:tab/>
        <w:t>Part 2 heading inserted</w:t>
      </w:r>
      <w:bookmarkEnd w:id="28"/>
      <w:bookmarkEnd w:id="29"/>
    </w:p>
    <w:p>
      <w:pPr>
        <w:pStyle w:val="Subsection"/>
      </w:pPr>
      <w:r>
        <w:tab/>
      </w:r>
      <w:r>
        <w:tab/>
        <w:t>After regulation 3A insert:</w:t>
      </w:r>
    </w:p>
    <w:p>
      <w:pPr>
        <w:pStyle w:val="BlankOpen"/>
      </w:pPr>
    </w:p>
    <w:p>
      <w:pPr>
        <w:pStyle w:val="zHeading2"/>
      </w:pPr>
      <w:bookmarkStart w:id="30" w:name="_Toc214538707"/>
      <w:bookmarkStart w:id="31" w:name="_Toc214538806"/>
      <w:bookmarkStart w:id="32" w:name="_Toc214538890"/>
      <w:bookmarkStart w:id="33" w:name="_Toc214539008"/>
      <w:bookmarkStart w:id="34" w:name="_Toc214961697"/>
      <w:r>
        <w:t>Part 2 — Fees</w:t>
      </w:r>
      <w:bookmarkEnd w:id="30"/>
      <w:bookmarkEnd w:id="31"/>
      <w:bookmarkEnd w:id="32"/>
      <w:bookmarkEnd w:id="33"/>
      <w:bookmarkEnd w:id="34"/>
    </w:p>
    <w:p>
      <w:pPr>
        <w:pStyle w:val="BlankClose"/>
      </w:pPr>
    </w:p>
    <w:p>
      <w:pPr>
        <w:pStyle w:val="Heading5"/>
      </w:pPr>
      <w:bookmarkStart w:id="35" w:name="_Toc214538708"/>
      <w:bookmarkStart w:id="36" w:name="_Toc214961698"/>
      <w:r>
        <w:rPr>
          <w:rStyle w:val="CharSectno"/>
        </w:rPr>
        <w:t>7</w:t>
      </w:r>
      <w:r>
        <w:t>.</w:t>
      </w:r>
      <w:r>
        <w:tab/>
        <w:t>Regulation 4 amended</w:t>
      </w:r>
      <w:bookmarkEnd w:id="35"/>
      <w:bookmarkEnd w:id="36"/>
    </w:p>
    <w:p>
      <w:pPr>
        <w:pStyle w:val="Subsection"/>
      </w:pPr>
      <w:r>
        <w:tab/>
      </w:r>
      <w:r>
        <w:tab/>
        <w:t>In regulation 4(1) delete “shall be” and insert:</w:t>
      </w:r>
    </w:p>
    <w:p>
      <w:pPr>
        <w:pStyle w:val="BlankOpen"/>
      </w:pPr>
    </w:p>
    <w:p>
      <w:pPr>
        <w:pStyle w:val="Subsection"/>
      </w:pPr>
      <w:r>
        <w:tab/>
      </w:r>
      <w:r>
        <w:tab/>
        <w:t>are</w:t>
      </w:r>
    </w:p>
    <w:p>
      <w:pPr>
        <w:pStyle w:val="BlankClose"/>
      </w:pPr>
    </w:p>
    <w:p>
      <w:pPr>
        <w:pStyle w:val="Heading5"/>
      </w:pPr>
      <w:bookmarkStart w:id="37" w:name="_Toc214538709"/>
      <w:bookmarkStart w:id="38" w:name="_Toc214961699"/>
      <w:r>
        <w:rPr>
          <w:rStyle w:val="CharSectno"/>
        </w:rPr>
        <w:lastRenderedPageBreak/>
        <w:t>8</w:t>
      </w:r>
      <w:r>
        <w:t>.</w:t>
      </w:r>
      <w:r>
        <w:tab/>
        <w:t>Part 3 heading inserted</w:t>
      </w:r>
      <w:bookmarkEnd w:id="37"/>
      <w:bookmarkEnd w:id="38"/>
    </w:p>
    <w:p>
      <w:pPr>
        <w:pStyle w:val="Subsection"/>
        <w:keepNext/>
      </w:pPr>
      <w:r>
        <w:tab/>
      </w:r>
      <w:r>
        <w:tab/>
        <w:t>Before regulation 4AA insert:</w:t>
      </w:r>
    </w:p>
    <w:p>
      <w:pPr>
        <w:pStyle w:val="BlankOpen"/>
      </w:pPr>
    </w:p>
    <w:p>
      <w:pPr>
        <w:pStyle w:val="zHeading2"/>
      </w:pPr>
      <w:bookmarkStart w:id="39" w:name="_Toc214538710"/>
      <w:bookmarkStart w:id="40" w:name="_Toc214538809"/>
      <w:bookmarkStart w:id="41" w:name="_Toc214538893"/>
      <w:bookmarkStart w:id="42" w:name="_Toc214539011"/>
      <w:bookmarkStart w:id="43" w:name="_Toc214961700"/>
      <w:r>
        <w:t>Part 3 — Educational requirements</w:t>
      </w:r>
      <w:bookmarkEnd w:id="39"/>
      <w:bookmarkEnd w:id="40"/>
      <w:bookmarkEnd w:id="41"/>
      <w:bookmarkEnd w:id="42"/>
      <w:bookmarkEnd w:id="43"/>
    </w:p>
    <w:p>
      <w:pPr>
        <w:pStyle w:val="BlankClose"/>
      </w:pPr>
    </w:p>
    <w:p>
      <w:pPr>
        <w:pStyle w:val="Heading5"/>
      </w:pPr>
      <w:bookmarkStart w:id="44" w:name="_Toc214538711"/>
      <w:bookmarkStart w:id="45" w:name="_Toc214961701"/>
      <w:r>
        <w:rPr>
          <w:rStyle w:val="CharSectno"/>
        </w:rPr>
        <w:t>9</w:t>
      </w:r>
      <w:r>
        <w:t>.</w:t>
      </w:r>
      <w:r>
        <w:tab/>
        <w:t>Regulation 4AA amended</w:t>
      </w:r>
      <w:bookmarkEnd w:id="44"/>
      <w:bookmarkEnd w:id="45"/>
    </w:p>
    <w:p>
      <w:pPr>
        <w:pStyle w:val="Subsection"/>
      </w:pPr>
      <w:r>
        <w:tab/>
        <w:t>(1)</w:t>
      </w:r>
      <w:r>
        <w:tab/>
        <w:t>Delete regulation 4AA(1) and insert:</w:t>
      </w:r>
    </w:p>
    <w:p>
      <w:pPr>
        <w:pStyle w:val="BlankOpen"/>
      </w:pPr>
    </w:p>
    <w:p>
      <w:pPr>
        <w:pStyle w:val="zSubsection"/>
      </w:pPr>
      <w:r>
        <w:tab/>
        <w:t>(1)</w:t>
      </w:r>
      <w:r>
        <w:tab/>
        <w:t xml:space="preserve">For the purposes of sections 40B and 50C of the Act, the educational requirements for a regulated person for a CPD year are that the person complete CPD activities that have a combined point value of at least 5 points, which must include — </w:t>
      </w:r>
    </w:p>
    <w:p>
      <w:pPr>
        <w:pStyle w:val="zIndenta"/>
      </w:pPr>
      <w:r>
        <w:tab/>
        <w:t>(a)</w:t>
      </w:r>
      <w:r>
        <w:tab/>
        <w:t>at least 1 point relating to each CPD subject; and</w:t>
      </w:r>
    </w:p>
    <w:p>
      <w:pPr>
        <w:pStyle w:val="zIndenta"/>
      </w:pPr>
      <w:r>
        <w:tab/>
        <w:t>(b)</w:t>
      </w:r>
      <w:r>
        <w:tab/>
        <w:t>if there is a mandatory CPD topic for the person for the year — at least the required number of points relating to the mandatory CPD topic.</w:t>
      </w:r>
    </w:p>
    <w:p>
      <w:pPr>
        <w:pStyle w:val="BlankClose"/>
      </w:pPr>
    </w:p>
    <w:p>
      <w:pPr>
        <w:pStyle w:val="Subsection"/>
      </w:pPr>
      <w:r>
        <w:tab/>
        <w:t>(2)</w:t>
      </w:r>
      <w:r>
        <w:tab/>
        <w:t>In regulation 4AA(2):</w:t>
      </w:r>
    </w:p>
    <w:p>
      <w:pPr>
        <w:pStyle w:val="Indenta"/>
      </w:pPr>
      <w:r>
        <w:tab/>
        <w:t>(a)</w:t>
      </w:r>
      <w:r>
        <w:tab/>
        <w:t>delete “calendar” (1</w:t>
      </w:r>
      <w:r>
        <w:rPr>
          <w:vertAlign w:val="superscript"/>
        </w:rPr>
        <w:t>st</w:t>
      </w:r>
      <w:r>
        <w:t xml:space="preserve"> occurrence) and insert:</w:t>
      </w:r>
    </w:p>
    <w:p>
      <w:pPr>
        <w:pStyle w:val="BlankOpen"/>
      </w:pPr>
    </w:p>
    <w:p>
      <w:pPr>
        <w:pStyle w:val="Indenta"/>
      </w:pPr>
      <w:r>
        <w:tab/>
      </w:r>
      <w:r>
        <w:tab/>
        <w:t>CPD</w:t>
      </w:r>
    </w:p>
    <w:p>
      <w:pPr>
        <w:pStyle w:val="BlankClose"/>
      </w:pPr>
    </w:p>
    <w:p>
      <w:pPr>
        <w:pStyle w:val="Indenta"/>
      </w:pPr>
      <w:r>
        <w:tab/>
        <w:t>(b)</w:t>
      </w:r>
      <w:r>
        <w:tab/>
        <w:t>delete paragraph (a)(i) and insert:</w:t>
      </w:r>
    </w:p>
    <w:p>
      <w:pPr>
        <w:pStyle w:val="BlankOpen"/>
      </w:pPr>
    </w:p>
    <w:p>
      <w:pPr>
        <w:pStyle w:val="zIndenti"/>
      </w:pPr>
      <w:r>
        <w:tab/>
        <w:t>(i)</w:t>
      </w:r>
      <w:r>
        <w:tab/>
        <w:t>the licensee’s licence is granted between 1 January and 31 March of the CPD year;</w:t>
      </w:r>
    </w:p>
    <w:p>
      <w:pPr>
        <w:pStyle w:val="BlankClose"/>
      </w:pPr>
    </w:p>
    <w:p>
      <w:pPr>
        <w:pStyle w:val="Indenta"/>
        <w:keepNext/>
      </w:pPr>
      <w:r>
        <w:lastRenderedPageBreak/>
        <w:tab/>
        <w:t>(c)</w:t>
      </w:r>
      <w:r>
        <w:tab/>
        <w:t>in paragraph (a)(ii) delete “completed” and insert:</w:t>
      </w:r>
    </w:p>
    <w:p>
      <w:pPr>
        <w:pStyle w:val="BlankOpen"/>
      </w:pPr>
    </w:p>
    <w:p>
      <w:pPr>
        <w:pStyle w:val="Indenta"/>
      </w:pPr>
      <w:r>
        <w:tab/>
      </w:r>
      <w:r>
        <w:tab/>
        <w:t xml:space="preserve">completes </w:t>
      </w:r>
    </w:p>
    <w:p>
      <w:pPr>
        <w:pStyle w:val="BlankClose"/>
      </w:pPr>
    </w:p>
    <w:p>
      <w:pPr>
        <w:pStyle w:val="Indenta"/>
      </w:pPr>
      <w:r>
        <w:tab/>
        <w:t>(d)</w:t>
      </w:r>
      <w:r>
        <w:tab/>
        <w:t>delete paragraph (b) and insert:</w:t>
      </w:r>
    </w:p>
    <w:p>
      <w:pPr>
        <w:pStyle w:val="BlankOpen"/>
      </w:pPr>
    </w:p>
    <w:p>
      <w:pPr>
        <w:pStyle w:val="zIndenta"/>
      </w:pPr>
      <w:r>
        <w:tab/>
        <w:t>(b)</w:t>
      </w:r>
      <w:r>
        <w:tab/>
        <w:t>a sales representative whose certificate of registration is granted between 1 January and 31 March of the CPD year; or</w:t>
      </w:r>
    </w:p>
    <w:p>
      <w:pPr>
        <w:pStyle w:val="BlankClose"/>
      </w:pPr>
    </w:p>
    <w:p>
      <w:pPr>
        <w:pStyle w:val="Indenta"/>
      </w:pPr>
      <w:r>
        <w:tab/>
        <w:t>(e)</w:t>
      </w:r>
      <w:r>
        <w:tab/>
        <w:t>in paragraph (c)(i) delete “calendar” and insert:</w:t>
      </w:r>
    </w:p>
    <w:p>
      <w:pPr>
        <w:pStyle w:val="BlankOpen"/>
      </w:pPr>
    </w:p>
    <w:p>
      <w:pPr>
        <w:pStyle w:val="Indenta"/>
      </w:pPr>
      <w:r>
        <w:tab/>
      </w:r>
      <w:r>
        <w:tab/>
        <w:t>CPD</w:t>
      </w:r>
    </w:p>
    <w:p>
      <w:pPr>
        <w:pStyle w:val="BlankClose"/>
      </w:pPr>
    </w:p>
    <w:p>
      <w:pPr>
        <w:pStyle w:val="Subsection"/>
      </w:pPr>
      <w:r>
        <w:tab/>
        <w:t>(3)</w:t>
      </w:r>
      <w:r>
        <w:tab/>
        <w:t>Delete regulation 4AA(3) and insert:</w:t>
      </w:r>
    </w:p>
    <w:p>
      <w:pPr>
        <w:pStyle w:val="BlankOpen"/>
      </w:pPr>
    </w:p>
    <w:p>
      <w:pPr>
        <w:pStyle w:val="zSubsection"/>
      </w:pPr>
      <w:r>
        <w:tab/>
        <w:t>(3)</w:t>
      </w:r>
      <w:r>
        <w:tab/>
        <w:t xml:space="preserve">If a person becomes a regulated person between 1 June and 31 December in a CPD year — </w:t>
      </w:r>
    </w:p>
    <w:p>
      <w:pPr>
        <w:pStyle w:val="zIndenta"/>
      </w:pPr>
      <w:r>
        <w:tab/>
        <w:t>(a)</w:t>
      </w:r>
      <w:r>
        <w:tab/>
        <w:t>the combined point value of the CPD activities the person must complete during the balance of the CPD year is the value determined under the Table rather than the value that would otherwise apply under subregulation (1); and</w:t>
      </w:r>
    </w:p>
    <w:p>
      <w:pPr>
        <w:pStyle w:val="zIndenta"/>
      </w:pPr>
      <w:r>
        <w:tab/>
        <w:t>(b)</w:t>
      </w:r>
      <w:r>
        <w:tab/>
        <w:t>subregulation (1)(a) and (b) apply to the person in relation to the CPD year, but only to the extent that is practicable for the person to comply with the requirements of those paragraphs without needing to complete CPD activities with a combined point value that is higher than the value determined under the Table.</w:t>
      </w:r>
    </w:p>
    <w:p>
      <w:pPr>
        <w:pStyle w:val="z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7"/>
        <w:gridCol w:w="1530"/>
      </w:tblGrid>
      <w:tr>
        <w:trPr>
          <w:tblHeader/>
        </w:trPr>
        <w:tc>
          <w:tcPr>
            <w:tcW w:w="4537" w:type="dxa"/>
          </w:tcPr>
          <w:p>
            <w:pPr>
              <w:pStyle w:val="zTableNAm"/>
              <w:jc w:val="center"/>
              <w:rPr>
                <w:b/>
                <w:bCs/>
              </w:rPr>
            </w:pPr>
            <w:r>
              <w:rPr>
                <w:b/>
                <w:bCs/>
              </w:rPr>
              <w:t>Month in which person becomes a regulated person</w:t>
            </w:r>
          </w:p>
        </w:tc>
        <w:tc>
          <w:tcPr>
            <w:tcW w:w="1530" w:type="dxa"/>
          </w:tcPr>
          <w:p>
            <w:pPr>
              <w:pStyle w:val="zTableNAm"/>
              <w:jc w:val="center"/>
              <w:rPr>
                <w:b/>
                <w:bCs/>
              </w:rPr>
            </w:pPr>
            <w:r>
              <w:rPr>
                <w:b/>
                <w:bCs/>
              </w:rPr>
              <w:t>Combined point value</w:t>
            </w:r>
          </w:p>
        </w:tc>
      </w:tr>
      <w:tr>
        <w:tc>
          <w:tcPr>
            <w:tcW w:w="4537" w:type="dxa"/>
          </w:tcPr>
          <w:p>
            <w:pPr>
              <w:pStyle w:val="zTableNAm"/>
            </w:pPr>
            <w:r>
              <w:t>June or July</w:t>
            </w:r>
          </w:p>
        </w:tc>
        <w:tc>
          <w:tcPr>
            <w:tcW w:w="1530" w:type="dxa"/>
          </w:tcPr>
          <w:p>
            <w:pPr>
              <w:pStyle w:val="zTableNAm"/>
              <w:jc w:val="center"/>
            </w:pPr>
            <w:r>
              <w:t>4</w:t>
            </w:r>
          </w:p>
        </w:tc>
      </w:tr>
      <w:tr>
        <w:tc>
          <w:tcPr>
            <w:tcW w:w="4537" w:type="dxa"/>
          </w:tcPr>
          <w:p>
            <w:pPr>
              <w:pStyle w:val="zTableNAm"/>
            </w:pPr>
            <w:r>
              <w:t>August or September</w:t>
            </w:r>
          </w:p>
        </w:tc>
        <w:tc>
          <w:tcPr>
            <w:tcW w:w="1530" w:type="dxa"/>
          </w:tcPr>
          <w:p>
            <w:pPr>
              <w:pStyle w:val="zTableNAm"/>
              <w:jc w:val="center"/>
            </w:pPr>
            <w:r>
              <w:t>3</w:t>
            </w:r>
          </w:p>
        </w:tc>
      </w:tr>
      <w:tr>
        <w:tc>
          <w:tcPr>
            <w:tcW w:w="4537" w:type="dxa"/>
          </w:tcPr>
          <w:p>
            <w:pPr>
              <w:pStyle w:val="zTableNAm"/>
            </w:pPr>
            <w:r>
              <w:t>October or November</w:t>
            </w:r>
          </w:p>
        </w:tc>
        <w:tc>
          <w:tcPr>
            <w:tcW w:w="1530" w:type="dxa"/>
          </w:tcPr>
          <w:p>
            <w:pPr>
              <w:pStyle w:val="zTableNAm"/>
              <w:jc w:val="center"/>
            </w:pPr>
            <w:r>
              <w:t>2</w:t>
            </w:r>
          </w:p>
        </w:tc>
      </w:tr>
      <w:tr>
        <w:tc>
          <w:tcPr>
            <w:tcW w:w="4537" w:type="dxa"/>
          </w:tcPr>
          <w:p>
            <w:pPr>
              <w:pStyle w:val="zTableNAm"/>
            </w:pPr>
            <w:r>
              <w:t>December</w:t>
            </w:r>
          </w:p>
        </w:tc>
        <w:tc>
          <w:tcPr>
            <w:tcW w:w="1530" w:type="dxa"/>
          </w:tcPr>
          <w:p>
            <w:pPr>
              <w:pStyle w:val="zTableNAm"/>
              <w:jc w:val="center"/>
            </w:pPr>
            <w:r>
              <w:t>1</w:t>
            </w:r>
          </w:p>
        </w:tc>
      </w:tr>
    </w:tbl>
    <w:p>
      <w:pPr>
        <w:pStyle w:val="BlankClose"/>
      </w:pPr>
    </w:p>
    <w:p>
      <w:pPr>
        <w:pStyle w:val="Heading5"/>
      </w:pPr>
      <w:bookmarkStart w:id="46" w:name="_Toc214538712"/>
      <w:bookmarkStart w:id="47" w:name="_Toc214961702"/>
      <w:r>
        <w:rPr>
          <w:rStyle w:val="CharSectno"/>
        </w:rPr>
        <w:t>10</w:t>
      </w:r>
      <w:r>
        <w:t>.</w:t>
      </w:r>
      <w:r>
        <w:tab/>
        <w:t>Regulation 4AB amended</w:t>
      </w:r>
      <w:bookmarkEnd w:id="46"/>
      <w:bookmarkEnd w:id="47"/>
    </w:p>
    <w:p>
      <w:pPr>
        <w:pStyle w:val="Subsection"/>
      </w:pPr>
      <w:r>
        <w:tab/>
        <w:t>(1)</w:t>
      </w:r>
      <w:r>
        <w:tab/>
        <w:t>In regulation 4AB(1) delete “calendar” and insert:</w:t>
      </w:r>
    </w:p>
    <w:p>
      <w:pPr>
        <w:pStyle w:val="BlankOpen"/>
      </w:pPr>
    </w:p>
    <w:p>
      <w:pPr>
        <w:pStyle w:val="Subsection"/>
      </w:pPr>
      <w:r>
        <w:tab/>
      </w:r>
      <w:r>
        <w:tab/>
        <w:t>CPD</w:t>
      </w:r>
    </w:p>
    <w:p>
      <w:pPr>
        <w:pStyle w:val="BlankClose"/>
      </w:pPr>
    </w:p>
    <w:p>
      <w:pPr>
        <w:pStyle w:val="Subsection"/>
      </w:pPr>
      <w:r>
        <w:tab/>
        <w:t>(2)</w:t>
      </w:r>
      <w:r>
        <w:tab/>
        <w:t>In regulation 4AB(2):</w:t>
      </w:r>
    </w:p>
    <w:p>
      <w:pPr>
        <w:pStyle w:val="Indenta"/>
      </w:pPr>
      <w:r>
        <w:tab/>
        <w:t>(a)</w:t>
      </w:r>
      <w:r>
        <w:tab/>
        <w:t>in paragraph (a) delete “calendar” and insert:</w:t>
      </w:r>
    </w:p>
    <w:p>
      <w:pPr>
        <w:pStyle w:val="BlankOpen"/>
      </w:pPr>
    </w:p>
    <w:p>
      <w:pPr>
        <w:pStyle w:val="Indenta"/>
      </w:pPr>
      <w:r>
        <w:tab/>
      </w:r>
      <w:r>
        <w:tab/>
        <w:t>CPD</w:t>
      </w:r>
    </w:p>
    <w:p>
      <w:pPr>
        <w:pStyle w:val="BlankClose"/>
      </w:pPr>
    </w:p>
    <w:p>
      <w:pPr>
        <w:pStyle w:val="Indenta"/>
      </w:pPr>
      <w:r>
        <w:tab/>
        <w:t>(b)</w:t>
      </w:r>
      <w:r>
        <w:tab/>
        <w:t>in paragraph (c) delete “otherwise”.</w:t>
      </w:r>
    </w:p>
    <w:p>
      <w:pPr>
        <w:pStyle w:val="Subsection"/>
      </w:pPr>
      <w:r>
        <w:tab/>
        <w:t>(3)</w:t>
      </w:r>
      <w:r>
        <w:tab/>
        <w:t>Delete regulation 4AB(3).</w:t>
      </w:r>
    </w:p>
    <w:p>
      <w:pPr>
        <w:pStyle w:val="Subsection"/>
      </w:pPr>
      <w:r>
        <w:tab/>
        <w:t>(4)</w:t>
      </w:r>
      <w:r>
        <w:tab/>
        <w:t>In regulation 4AB(4):</w:t>
      </w:r>
    </w:p>
    <w:p>
      <w:pPr>
        <w:pStyle w:val="Indenta"/>
      </w:pPr>
      <w:r>
        <w:tab/>
        <w:t>(a)</w:t>
      </w:r>
      <w:r>
        <w:tab/>
        <w:t>delete “Without limiting subregulation (3), the” and insert:</w:t>
      </w:r>
    </w:p>
    <w:p>
      <w:pPr>
        <w:pStyle w:val="BlankOpen"/>
      </w:pPr>
    </w:p>
    <w:p>
      <w:pPr>
        <w:pStyle w:val="Indenta"/>
      </w:pPr>
      <w:r>
        <w:tab/>
      </w:r>
      <w:r>
        <w:tab/>
        <w:t>The</w:t>
      </w:r>
    </w:p>
    <w:p>
      <w:pPr>
        <w:pStyle w:val="BlankClose"/>
      </w:pPr>
    </w:p>
    <w:p>
      <w:pPr>
        <w:pStyle w:val="Indenta"/>
      </w:pPr>
      <w:r>
        <w:lastRenderedPageBreak/>
        <w:tab/>
        <w:t>(b)</w:t>
      </w:r>
      <w:r>
        <w:tab/>
        <w:t>delete “calendar” and insert:</w:t>
      </w:r>
    </w:p>
    <w:p>
      <w:pPr>
        <w:pStyle w:val="BlankOpen"/>
      </w:pPr>
    </w:p>
    <w:p>
      <w:pPr>
        <w:pStyle w:val="Indenta"/>
      </w:pPr>
      <w:r>
        <w:tab/>
      </w:r>
      <w:r>
        <w:tab/>
        <w:t>CPD</w:t>
      </w:r>
    </w:p>
    <w:p>
      <w:pPr>
        <w:pStyle w:val="BlankClose"/>
      </w:pPr>
    </w:p>
    <w:p>
      <w:pPr>
        <w:pStyle w:val="Heading5"/>
      </w:pPr>
      <w:bookmarkStart w:id="48" w:name="_Toc214538713"/>
      <w:bookmarkStart w:id="49" w:name="_Toc214961703"/>
      <w:r>
        <w:rPr>
          <w:rStyle w:val="CharSectno"/>
        </w:rPr>
        <w:t>11</w:t>
      </w:r>
      <w:r>
        <w:t>.</w:t>
      </w:r>
      <w:r>
        <w:tab/>
        <w:t>Regulations 4AC and 4AD replaced</w:t>
      </w:r>
      <w:bookmarkEnd w:id="48"/>
      <w:bookmarkEnd w:id="49"/>
    </w:p>
    <w:p>
      <w:pPr>
        <w:pStyle w:val="Subsection"/>
      </w:pPr>
      <w:r>
        <w:tab/>
      </w:r>
      <w:r>
        <w:tab/>
        <w:t>Delete regulations 4AC and 4AD and insert:</w:t>
      </w:r>
    </w:p>
    <w:p>
      <w:pPr>
        <w:pStyle w:val="BlankOpen"/>
      </w:pPr>
    </w:p>
    <w:p>
      <w:pPr>
        <w:pStyle w:val="zHeading5"/>
      </w:pPr>
      <w:bookmarkStart w:id="50" w:name="_Toc214538714"/>
      <w:bookmarkStart w:id="51" w:name="_Toc214961704"/>
      <w:r>
        <w:t>4AC.</w:t>
      </w:r>
      <w:r>
        <w:tab/>
        <w:t>CPD points</w:t>
      </w:r>
      <w:bookmarkEnd w:id="50"/>
      <w:bookmarkEnd w:id="51"/>
    </w:p>
    <w:p>
      <w:pPr>
        <w:pStyle w:val="zSubsection"/>
      </w:pPr>
      <w:r>
        <w:tab/>
        <w:t>(1)</w:t>
      </w:r>
      <w:r>
        <w:tab/>
        <w:t>A regulated person earns 1 </w:t>
      </w:r>
      <w:r>
        <w:rPr>
          <w:rStyle w:val="CharDefText"/>
        </w:rPr>
        <w:t>point</w:t>
      </w:r>
      <w:r>
        <w:t xml:space="preserve"> for each hour of a CPD activity that the regulated person completes.</w:t>
      </w:r>
    </w:p>
    <w:p>
      <w:pPr>
        <w:pStyle w:val="zSubsection"/>
      </w:pPr>
      <w:r>
        <w:tab/>
        <w:t>(2)</w:t>
      </w:r>
      <w:r>
        <w:tab/>
        <w:t>A point is earned in relation to a CPD subject or a mandatory CPD topic if the CPD activity for which the point is earned relates to the subject or topic.</w:t>
      </w:r>
    </w:p>
    <w:p>
      <w:pPr>
        <w:pStyle w:val="BlankClose"/>
      </w:pPr>
    </w:p>
    <w:p>
      <w:pPr>
        <w:pStyle w:val="Heading5"/>
      </w:pPr>
      <w:bookmarkStart w:id="52" w:name="_Toc214538715"/>
      <w:bookmarkStart w:id="53" w:name="_Toc214961705"/>
      <w:r>
        <w:rPr>
          <w:rStyle w:val="CharSectno"/>
        </w:rPr>
        <w:t>12</w:t>
      </w:r>
      <w:r>
        <w:t>.</w:t>
      </w:r>
      <w:r>
        <w:tab/>
        <w:t>Regulation 4AE inserted</w:t>
      </w:r>
      <w:bookmarkEnd w:id="52"/>
      <w:bookmarkEnd w:id="53"/>
    </w:p>
    <w:p>
      <w:pPr>
        <w:pStyle w:val="Subsection"/>
      </w:pPr>
      <w:r>
        <w:tab/>
      </w:r>
      <w:r>
        <w:tab/>
        <w:t>After regulation 4AD insert:</w:t>
      </w:r>
    </w:p>
    <w:p>
      <w:pPr>
        <w:pStyle w:val="BlankOpen"/>
      </w:pPr>
    </w:p>
    <w:p>
      <w:pPr>
        <w:pStyle w:val="zHeading5"/>
      </w:pPr>
      <w:bookmarkStart w:id="54" w:name="_Toc214538716"/>
      <w:bookmarkStart w:id="55" w:name="_Toc214961706"/>
      <w:r>
        <w:t>4AE.</w:t>
      </w:r>
      <w:r>
        <w:tab/>
        <w:t>Approval of CPD providers</w:t>
      </w:r>
      <w:bookmarkEnd w:id="54"/>
      <w:bookmarkEnd w:id="55"/>
    </w:p>
    <w:p>
      <w:pPr>
        <w:pStyle w:val="zSubsection"/>
      </w:pPr>
      <w:r>
        <w:tab/>
        <w:t>(1)</w:t>
      </w:r>
      <w:r>
        <w:tab/>
        <w:t>A person may apply, in the approved form, to the Commissioner for approval to provide CPD activities.</w:t>
      </w:r>
    </w:p>
    <w:p>
      <w:pPr>
        <w:pStyle w:val="zSubsection"/>
      </w:pPr>
      <w:r>
        <w:tab/>
        <w:t>(2)</w:t>
      </w:r>
      <w:r>
        <w:tab/>
        <w:t xml:space="preserve">The Commissioner may, by written notice given to the applicant — </w:t>
      </w:r>
    </w:p>
    <w:p>
      <w:pPr>
        <w:pStyle w:val="zIndenta"/>
      </w:pPr>
      <w:r>
        <w:tab/>
        <w:t>(a)</w:t>
      </w:r>
      <w:r>
        <w:tab/>
        <w:t>grant the approval; or</w:t>
      </w:r>
    </w:p>
    <w:p>
      <w:pPr>
        <w:pStyle w:val="zIndenta"/>
      </w:pPr>
      <w:r>
        <w:tab/>
        <w:t>(b)</w:t>
      </w:r>
      <w:r>
        <w:tab/>
        <w:t>refuse to grant the approval.</w:t>
      </w:r>
    </w:p>
    <w:p>
      <w:pPr>
        <w:pStyle w:val="zSubsection"/>
      </w:pPr>
      <w:r>
        <w:tab/>
        <w:t>(3)</w:t>
      </w:r>
      <w:r>
        <w:tab/>
        <w:t xml:space="preserve">The Commissioner may grant an approval under subregulation (2) if the Commissioner is satisfied that the applicant is qualified by practical or academic </w:t>
      </w:r>
      <w:r>
        <w:lastRenderedPageBreak/>
        <w:t>experience to provide educational activities that meet the requirements of regulation 4AH.</w:t>
      </w:r>
    </w:p>
    <w:p>
      <w:pPr>
        <w:pStyle w:val="zSubsection"/>
      </w:pPr>
      <w:r>
        <w:tab/>
        <w:t>(4)</w:t>
      </w:r>
      <w:r>
        <w:tab/>
        <w:t>A notice given under subregulation (2)(a) of a decision to grant an approval must specify the period during which the approval has effect (which must not be more than 3 years).</w:t>
      </w:r>
    </w:p>
    <w:p>
      <w:pPr>
        <w:pStyle w:val="zSubsection"/>
      </w:pPr>
      <w:r>
        <w:tab/>
        <w:t>(5)</w:t>
      </w:r>
      <w:r>
        <w:tab/>
        <w:t>A notice given under subregulation (2)(b) of a decision to refuse to grant an approval must include the reasons for the decision.</w:t>
      </w:r>
    </w:p>
    <w:p>
      <w:pPr>
        <w:pStyle w:val="zSubsection"/>
      </w:pPr>
      <w:r>
        <w:tab/>
        <w:t>(6)</w:t>
      </w:r>
      <w:r>
        <w:tab/>
        <w:t>The Commissioner must publish a list of approved CPD providers on the Commissioner’s website.</w:t>
      </w:r>
    </w:p>
    <w:p>
      <w:pPr>
        <w:pStyle w:val="BlankClose"/>
      </w:pPr>
    </w:p>
    <w:p>
      <w:pPr>
        <w:pStyle w:val="Heading5"/>
      </w:pPr>
      <w:bookmarkStart w:id="56" w:name="_Toc214538717"/>
      <w:bookmarkStart w:id="57" w:name="_Toc214961707"/>
      <w:r>
        <w:rPr>
          <w:rStyle w:val="CharSectno"/>
        </w:rPr>
        <w:t>13</w:t>
      </w:r>
      <w:r>
        <w:t>.</w:t>
      </w:r>
      <w:r>
        <w:tab/>
        <w:t>Regulations 4AF to 4AJ inserted</w:t>
      </w:r>
      <w:bookmarkEnd w:id="56"/>
      <w:bookmarkEnd w:id="57"/>
    </w:p>
    <w:p>
      <w:pPr>
        <w:pStyle w:val="Subsection"/>
      </w:pPr>
      <w:r>
        <w:tab/>
      </w:r>
      <w:r>
        <w:tab/>
        <w:t>After regulation 4AE insert:</w:t>
      </w:r>
    </w:p>
    <w:p>
      <w:pPr>
        <w:pStyle w:val="BlankOpen"/>
      </w:pPr>
    </w:p>
    <w:p>
      <w:pPr>
        <w:pStyle w:val="zHeading5"/>
      </w:pPr>
      <w:bookmarkStart w:id="58" w:name="_Toc214538718"/>
      <w:bookmarkStart w:id="59" w:name="_Toc214961708"/>
      <w:r>
        <w:t>4AF.</w:t>
      </w:r>
      <w:r>
        <w:tab/>
        <w:t>Approval of CPD topics</w:t>
      </w:r>
      <w:bookmarkEnd w:id="58"/>
      <w:bookmarkEnd w:id="59"/>
    </w:p>
    <w:p>
      <w:pPr>
        <w:pStyle w:val="zSubsection"/>
      </w:pPr>
      <w:r>
        <w:tab/>
        <w:t>(1)</w:t>
      </w:r>
      <w:r>
        <w:tab/>
        <w:t>The Commissioner must, by written notice, approve a list of CPD topics for regulated persons.</w:t>
      </w:r>
    </w:p>
    <w:p>
      <w:pPr>
        <w:pStyle w:val="zSubsection"/>
      </w:pPr>
      <w:r>
        <w:tab/>
        <w:t>(2)</w:t>
      </w:r>
      <w:r>
        <w:tab/>
        <w:t xml:space="preserve">A topic may be approved under subregulation (1) if the Commissioner considers that — </w:t>
      </w:r>
    </w:p>
    <w:p>
      <w:pPr>
        <w:pStyle w:val="zIndenta"/>
      </w:pPr>
      <w:r>
        <w:tab/>
        <w:t>(a)</w:t>
      </w:r>
      <w:r>
        <w:tab/>
        <w:t>the topic relates to a CPD subject; and</w:t>
      </w:r>
    </w:p>
    <w:p>
      <w:pPr>
        <w:pStyle w:val="zIndenta"/>
      </w:pPr>
      <w:r>
        <w:tab/>
        <w:t>(b)</w:t>
      </w:r>
      <w:r>
        <w:tab/>
        <w:t>the topic is relevant to a regulated person’s work as a licensee or sales representative; and</w:t>
      </w:r>
    </w:p>
    <w:p>
      <w:pPr>
        <w:pStyle w:val="zIndenta"/>
      </w:pPr>
      <w:r>
        <w:tab/>
        <w:t>(c)</w:t>
      </w:r>
      <w:r>
        <w:tab/>
        <w:t>the completion of an educational activity dealing with the topic would extend a regulated person’s knowledge and skills in an area relevant to the regulated person’s legal or professional obligations, professional skills or business needs.</w:t>
      </w:r>
    </w:p>
    <w:p>
      <w:pPr>
        <w:pStyle w:val="zSubsection"/>
        <w:keepNext/>
      </w:pPr>
      <w:r>
        <w:lastRenderedPageBreak/>
        <w:tab/>
        <w:t>(3)</w:t>
      </w:r>
      <w:r>
        <w:tab/>
        <w:t xml:space="preserve">The notice under subregulation (1) must — </w:t>
      </w:r>
    </w:p>
    <w:p>
      <w:pPr>
        <w:pStyle w:val="zIndenta"/>
      </w:pPr>
      <w:r>
        <w:tab/>
        <w:t>(a)</w:t>
      </w:r>
      <w:r>
        <w:tab/>
        <w:t>specify the CPD subject to which each approved CPD topic relates; and</w:t>
      </w:r>
    </w:p>
    <w:p>
      <w:pPr>
        <w:pStyle w:val="zIndenta"/>
      </w:pPr>
      <w:r>
        <w:tab/>
        <w:t>(b)</w:t>
      </w:r>
      <w:r>
        <w:tab/>
        <w:t>be published on the Commissioner’s website.</w:t>
      </w:r>
    </w:p>
    <w:p>
      <w:pPr>
        <w:pStyle w:val="zHeading5"/>
      </w:pPr>
      <w:bookmarkStart w:id="60" w:name="_Toc214538719"/>
      <w:bookmarkStart w:id="61" w:name="_Toc214961709"/>
      <w:r>
        <w:t>4AG.</w:t>
      </w:r>
      <w:r>
        <w:tab/>
        <w:t>Mandatory CPD topic for CPD year</w:t>
      </w:r>
      <w:bookmarkEnd w:id="60"/>
      <w:bookmarkEnd w:id="61"/>
    </w:p>
    <w:p>
      <w:pPr>
        <w:pStyle w:val="zSubsection"/>
      </w:pPr>
      <w:r>
        <w:tab/>
        <w:t>(1)</w:t>
      </w:r>
      <w:r>
        <w:tab/>
        <w:t xml:space="preserve">The Commissioner may, by written notice, specify that an approved CPD topic is a mandatory CPD topic for a CPD year for — </w:t>
      </w:r>
    </w:p>
    <w:p>
      <w:pPr>
        <w:pStyle w:val="zIndenta"/>
      </w:pPr>
      <w:r>
        <w:tab/>
        <w:t>(a)</w:t>
      </w:r>
      <w:r>
        <w:tab/>
        <w:t xml:space="preserve">regulated persons generally; or </w:t>
      </w:r>
    </w:p>
    <w:p>
      <w:pPr>
        <w:pStyle w:val="zIndenta"/>
      </w:pPr>
      <w:r>
        <w:tab/>
        <w:t>(b)</w:t>
      </w:r>
      <w:r>
        <w:tab/>
        <w:t>a specified class of regulated persons.</w:t>
      </w:r>
    </w:p>
    <w:p>
      <w:pPr>
        <w:pStyle w:val="zSubsection"/>
      </w:pPr>
      <w:r>
        <w:tab/>
        <w:t>(2)</w:t>
      </w:r>
      <w:r>
        <w:tab/>
        <w:t xml:space="preserve">An approved CPD topic may be specified as a mandatory CPD topic under subregulation (1) if the Commissioner considers that it is necessary or desirable for regulated persons, or regulated persons of the specified class, to extend their knowledge or skills in relation to the topic, including because there have been — </w:t>
      </w:r>
    </w:p>
    <w:p>
      <w:pPr>
        <w:pStyle w:val="zIndenta"/>
      </w:pPr>
      <w:r>
        <w:tab/>
        <w:t>(a)</w:t>
      </w:r>
      <w:r>
        <w:tab/>
        <w:t>legislative or regulatory changes relevant to the topic; or</w:t>
      </w:r>
    </w:p>
    <w:p>
      <w:pPr>
        <w:pStyle w:val="zIndenta"/>
      </w:pPr>
      <w:r>
        <w:tab/>
        <w:t>(b)</w:t>
      </w:r>
      <w:r>
        <w:tab/>
        <w:t>industry developments relevant to the topic; or</w:t>
      </w:r>
    </w:p>
    <w:p>
      <w:pPr>
        <w:pStyle w:val="zIndenta"/>
      </w:pPr>
      <w:r>
        <w:tab/>
        <w:t>(c)</w:t>
      </w:r>
      <w:r>
        <w:tab/>
        <w:t>instances of non</w:t>
      </w:r>
      <w:r>
        <w:noBreakHyphen/>
        <w:t>compliance or suspected non</w:t>
      </w:r>
      <w:r>
        <w:noBreakHyphen/>
        <w:t>compliance in connection with the topic.</w:t>
      </w:r>
    </w:p>
    <w:p>
      <w:pPr>
        <w:pStyle w:val="zSubsection"/>
      </w:pPr>
      <w:r>
        <w:tab/>
        <w:t>(3)</w:t>
      </w:r>
      <w:r>
        <w:tab/>
        <w:t xml:space="preserve">The notice under subregulation (1) must — </w:t>
      </w:r>
    </w:p>
    <w:p>
      <w:pPr>
        <w:pStyle w:val="zIndenta"/>
      </w:pPr>
      <w:r>
        <w:tab/>
        <w:t>(a)</w:t>
      </w:r>
      <w:r>
        <w:tab/>
        <w:t>specify the number of CPD points required to be earned in relation to the mandatory CPD topic; and</w:t>
      </w:r>
    </w:p>
    <w:p>
      <w:pPr>
        <w:pStyle w:val="zIndenta"/>
      </w:pPr>
      <w:r>
        <w:tab/>
        <w:t>(b)</w:t>
      </w:r>
      <w:r>
        <w:tab/>
        <w:t>be published on the Commissioner’s website before the beginning of the CPD year to which it relates.</w:t>
      </w:r>
    </w:p>
    <w:p>
      <w:pPr>
        <w:pStyle w:val="zHeading5"/>
      </w:pPr>
      <w:bookmarkStart w:id="62" w:name="_Toc214538720"/>
      <w:bookmarkStart w:id="63" w:name="_Toc214961710"/>
      <w:r>
        <w:lastRenderedPageBreak/>
        <w:t>4AH.</w:t>
      </w:r>
      <w:r>
        <w:tab/>
        <w:t>CPD content</w:t>
      </w:r>
      <w:bookmarkEnd w:id="62"/>
      <w:bookmarkEnd w:id="63"/>
    </w:p>
    <w:p>
      <w:pPr>
        <w:pStyle w:val="zSubsection"/>
      </w:pPr>
      <w:r>
        <w:tab/>
      </w:r>
      <w:r>
        <w:tab/>
        <w:t xml:space="preserve">An educational activity meets the requirements of this regulation if it — </w:t>
      </w:r>
    </w:p>
    <w:p>
      <w:pPr>
        <w:pStyle w:val="zIndenta"/>
      </w:pPr>
      <w:r>
        <w:tab/>
        <w:t>(a)</w:t>
      </w:r>
      <w:r>
        <w:tab/>
        <w:t>is an activity of significant intellectual or practical content; and</w:t>
      </w:r>
    </w:p>
    <w:p>
      <w:pPr>
        <w:pStyle w:val="zIndenta"/>
      </w:pPr>
      <w:r>
        <w:tab/>
        <w:t>(b)</w:t>
      </w:r>
      <w:r>
        <w:tab/>
        <w:t>deals primarily with matters relating to a regulated person’s work of acting as a licensee or sales representative; and</w:t>
      </w:r>
    </w:p>
    <w:p>
      <w:pPr>
        <w:pStyle w:val="zIndenta"/>
      </w:pPr>
      <w:r>
        <w:tab/>
        <w:t>(c)</w:t>
      </w:r>
      <w:r>
        <w:tab/>
        <w:t>extends a regulated person’s knowledge and skills in areas that are relevant to the person’s legal or professional obligations, professional skills or business needs.</w:t>
      </w:r>
    </w:p>
    <w:p>
      <w:pPr>
        <w:pStyle w:val="zHeading5"/>
      </w:pPr>
      <w:bookmarkStart w:id="64" w:name="_Toc214538721"/>
      <w:bookmarkStart w:id="65" w:name="_Toc214961711"/>
      <w:r>
        <w:t>4AI.</w:t>
      </w:r>
      <w:r>
        <w:tab/>
        <w:t>CPD records: providers</w:t>
      </w:r>
      <w:bookmarkEnd w:id="64"/>
      <w:bookmarkEnd w:id="65"/>
    </w:p>
    <w:p>
      <w:pPr>
        <w:pStyle w:val="zSubsection"/>
      </w:pPr>
      <w:r>
        <w:tab/>
        <w:t>(1)</w:t>
      </w:r>
      <w:r>
        <w:tab/>
        <w:t>This regulation applies if a regulated person completes a CPD activity.</w:t>
      </w:r>
    </w:p>
    <w:p>
      <w:pPr>
        <w:pStyle w:val="zSubsection"/>
      </w:pPr>
      <w:r>
        <w:tab/>
        <w:t>(2)</w:t>
      </w:r>
      <w:r>
        <w:tab/>
        <w:t>The approved CPD provider in relation to the activity must give the regulated person a record that confirms the person has completed the activity.</w:t>
      </w:r>
    </w:p>
    <w:p>
      <w:pPr>
        <w:pStyle w:val="zSubsection"/>
      </w:pPr>
      <w:r>
        <w:tab/>
        <w:t>(3)</w:t>
      </w:r>
      <w:r>
        <w:tab/>
        <w:t>The record must be given to the regulated person within 14 days after the day on which the person completes the activity.</w:t>
      </w:r>
    </w:p>
    <w:p>
      <w:pPr>
        <w:pStyle w:val="zSubsection"/>
      </w:pPr>
      <w:r>
        <w:tab/>
        <w:t>(4)</w:t>
      </w:r>
      <w:r>
        <w:tab/>
        <w:t>The approved CPD provider must keep a copy of the record given under subregulation (2) for a period of 4 years from the day on which the person completes the activity.</w:t>
      </w:r>
    </w:p>
    <w:p>
      <w:pPr>
        <w:pStyle w:val="zSubsection"/>
      </w:pPr>
      <w:r>
        <w:tab/>
        <w:t>(5)</w:t>
      </w:r>
      <w:r>
        <w:tab/>
        <w:t>The Commissioner may, by written notice, require an approved CPD provider to produce a copy of the record kept under subregulation (4).</w:t>
      </w:r>
    </w:p>
    <w:p>
      <w:pPr>
        <w:pStyle w:val="zSubsection"/>
      </w:pPr>
      <w:r>
        <w:tab/>
        <w:t>(6)</w:t>
      </w:r>
      <w:r>
        <w:tab/>
        <w:t xml:space="preserve">A failure of an approved CPD provider to comply with this regulation may be taken into account by the </w:t>
      </w:r>
      <w:r>
        <w:lastRenderedPageBreak/>
        <w:t>Commissioner when deciding whether to grant the provider a further approval under regulation 4AE(2)(a).</w:t>
      </w:r>
    </w:p>
    <w:p>
      <w:pPr>
        <w:pStyle w:val="zHeading5"/>
      </w:pPr>
      <w:bookmarkStart w:id="66" w:name="_Toc214538722"/>
      <w:bookmarkStart w:id="67" w:name="_Toc214961712"/>
      <w:r>
        <w:t>4AJ.</w:t>
      </w:r>
      <w:r>
        <w:tab/>
        <w:t>CPD records: regulated persons</w:t>
      </w:r>
      <w:bookmarkEnd w:id="66"/>
      <w:bookmarkEnd w:id="67"/>
    </w:p>
    <w:p>
      <w:pPr>
        <w:pStyle w:val="zSubsection"/>
      </w:pPr>
      <w:r>
        <w:tab/>
        <w:t>(1)</w:t>
      </w:r>
      <w:r>
        <w:tab/>
        <w:t>A regulated person must keep evidence demonstrating compliance with the educational requirements applicable to the person under section 40B or 50C of the Act, including any record given to the person under regulation 4AI(2).</w:t>
      </w:r>
    </w:p>
    <w:p>
      <w:pPr>
        <w:pStyle w:val="zPenstart"/>
      </w:pPr>
      <w:r>
        <w:tab/>
        <w:t>Penalty for this subregulation: a fine of $1 000.</w:t>
      </w:r>
    </w:p>
    <w:p>
      <w:pPr>
        <w:pStyle w:val="zSubsection"/>
      </w:pPr>
      <w:r>
        <w:tab/>
        <w:t>(2)</w:t>
      </w:r>
      <w:r>
        <w:tab/>
        <w:t>The regulated person must keep the evidence referred to in subregulation (1) for a period of 4 years after the last day of the CPD year to which the evidence relates.</w:t>
      </w:r>
    </w:p>
    <w:p>
      <w:pPr>
        <w:pStyle w:val="zSubsection"/>
      </w:pPr>
      <w:r>
        <w:tab/>
        <w:t>(3)</w:t>
      </w:r>
      <w:r>
        <w:tab/>
        <w:t>The Commissioner may, by written notice, require a regulated person to produce, in the approved manner, the evidence required to be kept under this regulation.</w:t>
      </w:r>
    </w:p>
    <w:p>
      <w:pPr>
        <w:pStyle w:val="zSubsection"/>
      </w:pPr>
      <w:r>
        <w:tab/>
        <w:t>(4)</w:t>
      </w:r>
      <w:r>
        <w:tab/>
        <w:t>The regulated person must produce the evidence unless the regulated person has a reasonable excuse for not producing it.</w:t>
      </w:r>
    </w:p>
    <w:p>
      <w:pPr>
        <w:pStyle w:val="zPenstart"/>
      </w:pPr>
      <w:r>
        <w:tab/>
        <w:t>Penalty for this subregulation: a fine of $1 000.</w:t>
      </w:r>
    </w:p>
    <w:p>
      <w:pPr>
        <w:pStyle w:val="BlankClose"/>
      </w:pPr>
    </w:p>
    <w:p>
      <w:pPr>
        <w:pStyle w:val="Heading5"/>
      </w:pPr>
      <w:bookmarkStart w:id="68" w:name="_Toc214538723"/>
      <w:bookmarkStart w:id="69" w:name="_Toc214961713"/>
      <w:r>
        <w:rPr>
          <w:rStyle w:val="CharSectno"/>
        </w:rPr>
        <w:t>14</w:t>
      </w:r>
      <w:r>
        <w:t>.</w:t>
      </w:r>
      <w:r>
        <w:tab/>
        <w:t>Part 4 heading inserted</w:t>
      </w:r>
      <w:bookmarkEnd w:id="68"/>
      <w:bookmarkEnd w:id="69"/>
    </w:p>
    <w:p>
      <w:pPr>
        <w:pStyle w:val="Subsection"/>
      </w:pPr>
      <w:r>
        <w:tab/>
      </w:r>
      <w:r>
        <w:tab/>
        <w:t>Before regulation 4B insert:</w:t>
      </w:r>
    </w:p>
    <w:p>
      <w:pPr>
        <w:pStyle w:val="BlankOpen"/>
      </w:pPr>
    </w:p>
    <w:p>
      <w:pPr>
        <w:pStyle w:val="zHeading2"/>
      </w:pPr>
      <w:bookmarkStart w:id="70" w:name="_Toc214538724"/>
      <w:bookmarkStart w:id="71" w:name="_Toc214538823"/>
      <w:bookmarkStart w:id="72" w:name="_Toc214538907"/>
      <w:bookmarkStart w:id="73" w:name="_Toc214539025"/>
      <w:bookmarkStart w:id="74" w:name="_Toc214961714"/>
      <w:r>
        <w:t>Part 4 — Licensing of agents and registration of sales representatives</w:t>
      </w:r>
      <w:bookmarkEnd w:id="70"/>
      <w:bookmarkEnd w:id="71"/>
      <w:bookmarkEnd w:id="72"/>
      <w:bookmarkEnd w:id="73"/>
      <w:bookmarkEnd w:id="74"/>
    </w:p>
    <w:p>
      <w:pPr>
        <w:pStyle w:val="BlankClose"/>
      </w:pPr>
    </w:p>
    <w:p>
      <w:pPr>
        <w:pStyle w:val="Heading5"/>
      </w:pPr>
      <w:bookmarkStart w:id="75" w:name="_Toc214538725"/>
      <w:bookmarkStart w:id="76" w:name="_Toc214961715"/>
      <w:r>
        <w:rPr>
          <w:rStyle w:val="CharSectno"/>
        </w:rPr>
        <w:lastRenderedPageBreak/>
        <w:t>15</w:t>
      </w:r>
      <w:r>
        <w:t>.</w:t>
      </w:r>
      <w:r>
        <w:tab/>
        <w:t>Regulation 6 amended</w:t>
      </w:r>
      <w:bookmarkEnd w:id="75"/>
      <w:bookmarkEnd w:id="76"/>
    </w:p>
    <w:p>
      <w:pPr>
        <w:pStyle w:val="Subsection"/>
        <w:keepNext/>
      </w:pPr>
      <w:r>
        <w:tab/>
      </w:r>
      <w:r>
        <w:tab/>
        <w:t>In regulation 6 Table 1:</w:t>
      </w:r>
    </w:p>
    <w:p>
      <w:pPr>
        <w:pStyle w:val="Indenta"/>
      </w:pPr>
      <w:r>
        <w:tab/>
        <w:t>(a)</w:t>
      </w:r>
      <w:r>
        <w:tab/>
        <w:t>in the item relating to Any other unrestricted certificate delete “Column 1” (each occurrence) and insert:</w:t>
      </w:r>
    </w:p>
    <w:p>
      <w:pPr>
        <w:pStyle w:val="BlankOpen"/>
      </w:pPr>
    </w:p>
    <w:p>
      <w:pPr>
        <w:pStyle w:val="Indenta"/>
      </w:pPr>
      <w:r>
        <w:tab/>
      </w:r>
      <w:r>
        <w:tab/>
        <w:t>column 1</w:t>
      </w:r>
    </w:p>
    <w:p>
      <w:pPr>
        <w:pStyle w:val="BlankClose"/>
      </w:pPr>
    </w:p>
    <w:p>
      <w:pPr>
        <w:pStyle w:val="Indenta"/>
      </w:pPr>
      <w:r>
        <w:tab/>
        <w:t>(b)</w:t>
      </w:r>
      <w:r>
        <w:tab/>
        <w:t>in the item relating to Restricted certificate (property management) delete “Column 2” (each occurrence) and insert:</w:t>
      </w:r>
    </w:p>
    <w:p>
      <w:pPr>
        <w:pStyle w:val="BlankOpen"/>
      </w:pPr>
    </w:p>
    <w:p>
      <w:pPr>
        <w:pStyle w:val="Indenta"/>
      </w:pPr>
      <w:r>
        <w:tab/>
      </w:r>
      <w:r>
        <w:tab/>
        <w:t>column 2</w:t>
      </w:r>
    </w:p>
    <w:p>
      <w:pPr>
        <w:pStyle w:val="BlankClose"/>
      </w:pPr>
    </w:p>
    <w:p>
      <w:pPr>
        <w:pStyle w:val="Heading5"/>
      </w:pPr>
      <w:bookmarkStart w:id="77" w:name="_Toc214538726"/>
      <w:bookmarkStart w:id="78" w:name="_Toc214961716"/>
      <w:r>
        <w:rPr>
          <w:rStyle w:val="CharSectno"/>
        </w:rPr>
        <w:t>16</w:t>
      </w:r>
      <w:r>
        <w:t>.</w:t>
      </w:r>
      <w:r>
        <w:tab/>
        <w:t>Regulation 6A replaced</w:t>
      </w:r>
      <w:bookmarkEnd w:id="77"/>
      <w:bookmarkEnd w:id="78"/>
    </w:p>
    <w:p>
      <w:pPr>
        <w:pStyle w:val="Subsection"/>
      </w:pPr>
      <w:r>
        <w:tab/>
      </w:r>
      <w:r>
        <w:tab/>
        <w:t>Delete regulation 6A and insert:</w:t>
      </w:r>
    </w:p>
    <w:p>
      <w:pPr>
        <w:pStyle w:val="BlankOpen"/>
      </w:pPr>
    </w:p>
    <w:p>
      <w:pPr>
        <w:pStyle w:val="zHeading5"/>
      </w:pPr>
      <w:bookmarkStart w:id="79" w:name="_Toc214538727"/>
      <w:bookmarkStart w:id="80" w:name="_Toc214961717"/>
      <w:r>
        <w:t>6A.</w:t>
      </w:r>
      <w:r>
        <w:tab/>
        <w:t>Prescribed qualifications for certificate applicants (Act s. 47(2))</w:t>
      </w:r>
      <w:bookmarkEnd w:id="79"/>
      <w:bookmarkEnd w:id="80"/>
    </w:p>
    <w:p>
      <w:pPr>
        <w:pStyle w:val="zSubsection"/>
      </w:pPr>
      <w:r>
        <w:tab/>
        <w:t>(1)</w:t>
      </w:r>
      <w:r>
        <w:tab/>
        <w:t xml:space="preserve">For a person who applies for a restricted certificate (sales), the prescribed qualification for the purposes of section 47(2) of the Act is the successful completion of modules from the CPP Property Services Training Package listed in the Table as follows — </w:t>
      </w:r>
    </w:p>
    <w:p>
      <w:pPr>
        <w:pStyle w:val="zIndenta"/>
      </w:pPr>
      <w:r>
        <w:tab/>
        <w:t>(a)</w:t>
      </w:r>
      <w:r>
        <w:tab/>
        <w:t>each of the modules indicated as mandatory in column 1;</w:t>
      </w:r>
    </w:p>
    <w:p>
      <w:pPr>
        <w:pStyle w:val="zIndenta"/>
      </w:pPr>
      <w:r>
        <w:tab/>
        <w:t>(b)</w:t>
      </w:r>
      <w:r>
        <w:tab/>
        <w:t>any 3 of the modules indicated as elective in column 1.</w:t>
      </w:r>
    </w:p>
    <w:p>
      <w:pPr>
        <w:pStyle w:val="zSubsection"/>
      </w:pPr>
      <w:r>
        <w:tab/>
        <w:t>(2)</w:t>
      </w:r>
      <w:r>
        <w:tab/>
        <w:t xml:space="preserve">For a person who applies for a restricted certificate (property management), the prescribed qualification for the purposes of section 47(2) of the Act is the </w:t>
      </w:r>
      <w:r>
        <w:lastRenderedPageBreak/>
        <w:t>successful completion of each of the modules from the CPP Property Services Training Package indicated as mandatory in the Table column 2.</w:t>
      </w:r>
    </w:p>
    <w:p>
      <w:pPr>
        <w:pStyle w:val="zSubsection"/>
      </w:pPr>
      <w:r>
        <w:tab/>
        <w:t>(3)</w:t>
      </w:r>
      <w:r>
        <w:tab/>
        <w:t xml:space="preserve">For a person who applies for an unrestricted certificate, the prescribed qualification for the purposes of section 47(2) of the Act is the successful completion of modules from the CPP Property Services Training Package listed in the Table as follows — </w:t>
      </w:r>
    </w:p>
    <w:p>
      <w:pPr>
        <w:pStyle w:val="zIndenta"/>
      </w:pPr>
      <w:r>
        <w:tab/>
        <w:t>(a)</w:t>
      </w:r>
      <w:r>
        <w:tab/>
        <w:t>each of the modules indicated as mandatory in column 3;</w:t>
      </w:r>
    </w:p>
    <w:p>
      <w:pPr>
        <w:pStyle w:val="zIndenta"/>
      </w:pPr>
      <w:r>
        <w:tab/>
        <w:t>(b)</w:t>
      </w:r>
      <w:r>
        <w:tab/>
        <w:t>any 3 of the modules indicated as elective in column 3.</w:t>
      </w:r>
    </w:p>
    <w:p>
      <w:pPr>
        <w:pStyle w:val="zTHeadingNAm"/>
      </w:pPr>
      <w:r>
        <w:t>Table</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843"/>
        <w:gridCol w:w="1701"/>
        <w:gridCol w:w="1701"/>
      </w:tblGrid>
      <w:tr>
        <w:trPr>
          <w:tblHeader/>
        </w:trPr>
        <w:tc>
          <w:tcPr>
            <w:tcW w:w="1701" w:type="dxa"/>
            <w:vAlign w:val="center"/>
          </w:tcPr>
          <w:p>
            <w:pPr>
              <w:pStyle w:val="TableNAm"/>
              <w:rPr>
                <w:szCs w:val="24"/>
              </w:rPr>
            </w:pPr>
          </w:p>
        </w:tc>
        <w:tc>
          <w:tcPr>
            <w:tcW w:w="1843" w:type="dxa"/>
          </w:tcPr>
          <w:p>
            <w:pPr>
              <w:pStyle w:val="TableNAm"/>
              <w:jc w:val="center"/>
              <w:rPr>
                <w:b/>
                <w:szCs w:val="24"/>
              </w:rPr>
            </w:pPr>
            <w:r>
              <w:rPr>
                <w:b/>
                <w:szCs w:val="24"/>
              </w:rPr>
              <w:t>Column 1</w:t>
            </w:r>
          </w:p>
          <w:p>
            <w:pPr>
              <w:pStyle w:val="TableNAm"/>
              <w:jc w:val="center"/>
              <w:rPr>
                <w:szCs w:val="24"/>
              </w:rPr>
            </w:pPr>
            <w:r>
              <w:rPr>
                <w:sz w:val="22"/>
                <w:szCs w:val="24"/>
              </w:rPr>
              <w:t>Applicants for restricted certificate (sales)</w:t>
            </w:r>
          </w:p>
        </w:tc>
        <w:tc>
          <w:tcPr>
            <w:tcW w:w="1701" w:type="dxa"/>
            <w:vAlign w:val="center"/>
          </w:tcPr>
          <w:p>
            <w:pPr>
              <w:pStyle w:val="TableNAm"/>
              <w:jc w:val="center"/>
              <w:rPr>
                <w:b/>
                <w:szCs w:val="24"/>
              </w:rPr>
            </w:pPr>
            <w:r>
              <w:rPr>
                <w:b/>
                <w:szCs w:val="24"/>
              </w:rPr>
              <w:t>Column 2</w:t>
            </w:r>
          </w:p>
          <w:p>
            <w:pPr>
              <w:pStyle w:val="TableNAm"/>
              <w:jc w:val="center"/>
              <w:rPr>
                <w:szCs w:val="24"/>
              </w:rPr>
            </w:pPr>
            <w:r>
              <w:rPr>
                <w:sz w:val="22"/>
                <w:szCs w:val="24"/>
              </w:rPr>
              <w:t>Applicants for restricted certificate (property management)</w:t>
            </w:r>
          </w:p>
        </w:tc>
        <w:tc>
          <w:tcPr>
            <w:tcW w:w="1701" w:type="dxa"/>
          </w:tcPr>
          <w:p>
            <w:pPr>
              <w:pStyle w:val="TableNAm"/>
              <w:jc w:val="center"/>
              <w:rPr>
                <w:b/>
                <w:szCs w:val="24"/>
              </w:rPr>
            </w:pPr>
            <w:r>
              <w:rPr>
                <w:b/>
                <w:szCs w:val="24"/>
              </w:rPr>
              <w:t>Column 3</w:t>
            </w:r>
          </w:p>
          <w:p>
            <w:pPr>
              <w:pStyle w:val="TableNAm"/>
              <w:jc w:val="center"/>
              <w:rPr>
                <w:szCs w:val="24"/>
              </w:rPr>
            </w:pPr>
            <w:r>
              <w:rPr>
                <w:sz w:val="22"/>
                <w:szCs w:val="24"/>
              </w:rPr>
              <w:t>Applicants for unrestricted certificate</w:t>
            </w:r>
          </w:p>
        </w:tc>
      </w:tr>
      <w:tr>
        <w:tc>
          <w:tcPr>
            <w:tcW w:w="1701" w:type="dxa"/>
            <w:vAlign w:val="center"/>
          </w:tcPr>
          <w:p>
            <w:pPr>
              <w:pStyle w:val="TableNAm"/>
              <w:rPr>
                <w:szCs w:val="24"/>
              </w:rPr>
            </w:pPr>
            <w:r>
              <w:rPr>
                <w:szCs w:val="24"/>
              </w:rPr>
              <w:t>CPPREP4001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lastRenderedPageBreak/>
              <w:t>CPPREP4103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CPPREP4121</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CPPREP4122</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CPPREP4123</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CPPREP4124</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keepNext/>
              <w:rPr>
                <w:szCs w:val="24"/>
              </w:rPr>
            </w:pPr>
            <w:r>
              <w:rPr>
                <w:szCs w:val="24"/>
              </w:rPr>
              <w:t>CPPREP4125</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CPPREP4202</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CPPREP4203</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CPPREP4204</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CPPREP5201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bl>
    <w:p>
      <w:pPr>
        <w:pStyle w:val="BlankClose"/>
      </w:pPr>
    </w:p>
    <w:p>
      <w:pPr>
        <w:pStyle w:val="Heading5"/>
      </w:pPr>
      <w:bookmarkStart w:id="81" w:name="_Toc214538728"/>
      <w:bookmarkStart w:id="82" w:name="_Toc214961718"/>
      <w:r>
        <w:rPr>
          <w:rStyle w:val="CharSectno"/>
        </w:rPr>
        <w:lastRenderedPageBreak/>
        <w:t>17</w:t>
      </w:r>
      <w:r>
        <w:t>.</w:t>
      </w:r>
      <w:r>
        <w:tab/>
        <w:t>Part 5 heading inserted</w:t>
      </w:r>
      <w:bookmarkEnd w:id="81"/>
      <w:bookmarkEnd w:id="82"/>
    </w:p>
    <w:p>
      <w:pPr>
        <w:pStyle w:val="Subsection"/>
        <w:keepNext/>
      </w:pPr>
      <w:r>
        <w:tab/>
      </w:r>
      <w:r>
        <w:tab/>
        <w:t>After regulation 6B insert:</w:t>
      </w:r>
    </w:p>
    <w:p>
      <w:pPr>
        <w:pStyle w:val="BlankOpen"/>
      </w:pPr>
    </w:p>
    <w:p>
      <w:pPr>
        <w:pStyle w:val="zHeading2"/>
      </w:pPr>
      <w:bookmarkStart w:id="83" w:name="_Toc214538729"/>
      <w:bookmarkStart w:id="84" w:name="_Toc214538828"/>
      <w:bookmarkStart w:id="85" w:name="_Toc214538912"/>
      <w:bookmarkStart w:id="86" w:name="_Toc214539030"/>
      <w:bookmarkStart w:id="87" w:name="_Toc214961719"/>
      <w:r>
        <w:t>Part 5 — General controls</w:t>
      </w:r>
      <w:bookmarkEnd w:id="83"/>
      <w:bookmarkEnd w:id="84"/>
      <w:bookmarkEnd w:id="85"/>
      <w:bookmarkEnd w:id="86"/>
      <w:bookmarkEnd w:id="87"/>
    </w:p>
    <w:p>
      <w:pPr>
        <w:pStyle w:val="BlankClose"/>
      </w:pPr>
    </w:p>
    <w:p>
      <w:pPr>
        <w:pStyle w:val="Heading5"/>
      </w:pPr>
      <w:bookmarkStart w:id="88" w:name="_Toc214538730"/>
      <w:bookmarkStart w:id="89" w:name="_Toc214961720"/>
      <w:r>
        <w:rPr>
          <w:rStyle w:val="CharSectno"/>
        </w:rPr>
        <w:t>18</w:t>
      </w:r>
      <w:r>
        <w:t>.</w:t>
      </w:r>
      <w:r>
        <w:tab/>
        <w:t>Part 6 heading inserted</w:t>
      </w:r>
      <w:bookmarkEnd w:id="88"/>
      <w:bookmarkEnd w:id="89"/>
    </w:p>
    <w:p>
      <w:pPr>
        <w:pStyle w:val="Subsection"/>
      </w:pPr>
      <w:r>
        <w:tab/>
      </w:r>
      <w:r>
        <w:tab/>
        <w:t>After regulation 6BB insert:</w:t>
      </w:r>
    </w:p>
    <w:p>
      <w:pPr>
        <w:pStyle w:val="BlankOpen"/>
      </w:pPr>
    </w:p>
    <w:p>
      <w:pPr>
        <w:pStyle w:val="zHeading2"/>
      </w:pPr>
      <w:bookmarkStart w:id="90" w:name="_Toc214538731"/>
      <w:bookmarkStart w:id="91" w:name="_Toc214538830"/>
      <w:bookmarkStart w:id="92" w:name="_Toc214538914"/>
      <w:bookmarkStart w:id="93" w:name="_Toc214539032"/>
      <w:bookmarkStart w:id="94" w:name="_Toc214961721"/>
      <w:r>
        <w:t>Part 6 — Agents’ trust accounts</w:t>
      </w:r>
      <w:bookmarkEnd w:id="90"/>
      <w:bookmarkEnd w:id="91"/>
      <w:bookmarkEnd w:id="92"/>
      <w:bookmarkEnd w:id="93"/>
      <w:bookmarkEnd w:id="94"/>
    </w:p>
    <w:p>
      <w:pPr>
        <w:pStyle w:val="BlankClose"/>
      </w:pPr>
    </w:p>
    <w:p>
      <w:pPr>
        <w:pStyle w:val="Heading5"/>
      </w:pPr>
      <w:bookmarkStart w:id="95" w:name="_Toc214538732"/>
      <w:bookmarkStart w:id="96" w:name="_Toc214961722"/>
      <w:r>
        <w:rPr>
          <w:rStyle w:val="CharSectno"/>
        </w:rPr>
        <w:t>19</w:t>
      </w:r>
      <w:r>
        <w:t>.</w:t>
      </w:r>
      <w:r>
        <w:tab/>
        <w:t>Regulation 6H amended</w:t>
      </w:r>
      <w:bookmarkEnd w:id="95"/>
      <w:bookmarkEnd w:id="96"/>
    </w:p>
    <w:p>
      <w:pPr>
        <w:pStyle w:val="Subsection"/>
      </w:pPr>
      <w:r>
        <w:tab/>
        <w:t>(1)</w:t>
      </w:r>
      <w:r>
        <w:tab/>
        <w:t>Before regulation 6H(1) insert:</w:t>
      </w:r>
    </w:p>
    <w:p>
      <w:pPr>
        <w:pStyle w:val="BlankOpen"/>
      </w:pPr>
    </w:p>
    <w:p>
      <w:pPr>
        <w:pStyle w:val="zSubsection"/>
      </w:pPr>
      <w:r>
        <w:tab/>
        <w:t>(1A)</w:t>
      </w:r>
      <w:r>
        <w:tab/>
        <w:t xml:space="preserve">In this regulation — </w:t>
      </w:r>
    </w:p>
    <w:p>
      <w:pPr>
        <w:pStyle w:val="zDefstart"/>
      </w:pPr>
      <w:r>
        <w:rPr>
          <w:b/>
        </w:rPr>
        <w:tab/>
      </w:r>
      <w:r>
        <w:rPr>
          <w:rStyle w:val="CharDefText"/>
        </w:rPr>
        <w:t>money record</w:t>
      </w:r>
      <w:r>
        <w:t xml:space="preserve"> means a record under section 69(1)(b) of the Act.</w:t>
      </w:r>
    </w:p>
    <w:p>
      <w:pPr>
        <w:pStyle w:val="BlankClose"/>
      </w:pPr>
    </w:p>
    <w:p>
      <w:pPr>
        <w:pStyle w:val="Subsection"/>
      </w:pPr>
      <w:r>
        <w:tab/>
        <w:t>(2)</w:t>
      </w:r>
      <w:r>
        <w:tab/>
        <w:t>In regulation 6H(1) delete “record shall be —” and insert:</w:t>
      </w:r>
    </w:p>
    <w:p>
      <w:pPr>
        <w:pStyle w:val="BlankOpen"/>
      </w:pPr>
    </w:p>
    <w:p>
      <w:pPr>
        <w:pStyle w:val="Subsection"/>
      </w:pPr>
      <w:r>
        <w:tab/>
      </w:r>
      <w:r>
        <w:tab/>
        <w:t>money record must be —</w:t>
      </w:r>
    </w:p>
    <w:p>
      <w:pPr>
        <w:pStyle w:val="BlankClose"/>
      </w:pPr>
    </w:p>
    <w:p>
      <w:pPr>
        <w:pStyle w:val="Subsection"/>
      </w:pPr>
      <w:r>
        <w:tab/>
        <w:t>(3)</w:t>
      </w:r>
      <w:r>
        <w:tab/>
        <w:t>In regulation 6H(2) delete “record shall” and insert:</w:t>
      </w:r>
    </w:p>
    <w:p>
      <w:pPr>
        <w:pStyle w:val="BlankOpen"/>
      </w:pPr>
    </w:p>
    <w:p>
      <w:pPr>
        <w:pStyle w:val="Subsection"/>
      </w:pPr>
      <w:r>
        <w:tab/>
      </w:r>
      <w:r>
        <w:tab/>
        <w:t>money record must</w:t>
      </w:r>
    </w:p>
    <w:p>
      <w:pPr>
        <w:pStyle w:val="BlankClose"/>
      </w:pPr>
    </w:p>
    <w:p>
      <w:pPr>
        <w:pStyle w:val="Subsection"/>
        <w:keepNext/>
      </w:pPr>
      <w:r>
        <w:lastRenderedPageBreak/>
        <w:tab/>
        <w:t>(4)</w:t>
      </w:r>
      <w:r>
        <w:tab/>
        <w:t>In regulation 6H(3):</w:t>
      </w:r>
    </w:p>
    <w:p>
      <w:pPr>
        <w:pStyle w:val="Indenta"/>
        <w:keepNext/>
      </w:pPr>
      <w:r>
        <w:tab/>
        <w:t>(a)</w:t>
      </w:r>
      <w:r>
        <w:tab/>
        <w:t>delete “record shall” and insert:</w:t>
      </w:r>
    </w:p>
    <w:p>
      <w:pPr>
        <w:pStyle w:val="BlankOpen"/>
      </w:pPr>
    </w:p>
    <w:p>
      <w:pPr>
        <w:pStyle w:val="Indenta"/>
      </w:pPr>
      <w:r>
        <w:tab/>
      </w:r>
      <w:r>
        <w:tab/>
        <w:t>money record must</w:t>
      </w:r>
    </w:p>
    <w:p>
      <w:pPr>
        <w:pStyle w:val="BlankClose"/>
      </w:pPr>
    </w:p>
    <w:p>
      <w:pPr>
        <w:pStyle w:val="Indenta"/>
      </w:pPr>
      <w:r>
        <w:tab/>
        <w:t>(b)</w:t>
      </w:r>
      <w:r>
        <w:tab/>
        <w:t>delete ““record”.” and insert:</w:t>
      </w:r>
    </w:p>
    <w:p>
      <w:pPr>
        <w:pStyle w:val="BlankOpen"/>
      </w:pPr>
    </w:p>
    <w:p>
      <w:pPr>
        <w:pStyle w:val="Indenta"/>
      </w:pPr>
      <w:r>
        <w:tab/>
      </w:r>
      <w:r>
        <w:tab/>
        <w:t>“money record”.</w:t>
      </w:r>
    </w:p>
    <w:p>
      <w:pPr>
        <w:pStyle w:val="BlankClose"/>
      </w:pPr>
    </w:p>
    <w:p>
      <w:pPr>
        <w:pStyle w:val="SectAltNote"/>
      </w:pPr>
      <w:r>
        <w:tab/>
        <w:t>Note: The heading to amended regulation 6H is to read:</w:t>
      </w:r>
    </w:p>
    <w:p>
      <w:pPr>
        <w:pStyle w:val="SectAltHeading"/>
      </w:pPr>
      <w:r>
        <w:tab/>
      </w:r>
      <w:r>
        <w:tab/>
      </w:r>
      <w:r>
        <w:rPr>
          <w:snapToGrid w:val="0"/>
        </w:rPr>
        <w:t>Record keeping requirements (Act s. 69(2))</w:t>
      </w:r>
    </w:p>
    <w:p>
      <w:pPr>
        <w:pStyle w:val="Heading5"/>
      </w:pPr>
      <w:bookmarkStart w:id="97" w:name="_Toc214538733"/>
      <w:bookmarkStart w:id="98" w:name="_Toc214961723"/>
      <w:r>
        <w:rPr>
          <w:rStyle w:val="CharSectno"/>
        </w:rPr>
        <w:t>20</w:t>
      </w:r>
      <w:r>
        <w:t>.</w:t>
      </w:r>
      <w:r>
        <w:tab/>
        <w:t>Part 7 heading inserted</w:t>
      </w:r>
      <w:bookmarkEnd w:id="97"/>
      <w:bookmarkEnd w:id="98"/>
    </w:p>
    <w:p>
      <w:pPr>
        <w:pStyle w:val="Subsection"/>
      </w:pPr>
      <w:r>
        <w:tab/>
      </w:r>
      <w:r>
        <w:tab/>
        <w:t>After regulation 6H insert:</w:t>
      </w:r>
    </w:p>
    <w:p>
      <w:pPr>
        <w:pStyle w:val="BlankOpen"/>
      </w:pPr>
    </w:p>
    <w:p>
      <w:pPr>
        <w:pStyle w:val="zHeading2"/>
      </w:pPr>
      <w:bookmarkStart w:id="99" w:name="_Toc214538734"/>
      <w:bookmarkStart w:id="100" w:name="_Toc214538833"/>
      <w:bookmarkStart w:id="101" w:name="_Toc214538917"/>
      <w:bookmarkStart w:id="102" w:name="_Toc214539035"/>
      <w:bookmarkStart w:id="103" w:name="_Toc214961724"/>
      <w:r>
        <w:t>Part 7 — Miscellaneous</w:t>
      </w:r>
      <w:bookmarkEnd w:id="99"/>
      <w:bookmarkEnd w:id="100"/>
      <w:bookmarkEnd w:id="101"/>
      <w:bookmarkEnd w:id="102"/>
      <w:bookmarkEnd w:id="103"/>
    </w:p>
    <w:p>
      <w:pPr>
        <w:pStyle w:val="BlankClose"/>
      </w:pPr>
    </w:p>
    <w:p>
      <w:pPr>
        <w:pStyle w:val="Heading5"/>
      </w:pPr>
      <w:bookmarkStart w:id="104" w:name="_Toc214538735"/>
      <w:bookmarkStart w:id="105" w:name="_Toc214961725"/>
      <w:r>
        <w:rPr>
          <w:rStyle w:val="CharSectno"/>
        </w:rPr>
        <w:t>21</w:t>
      </w:r>
      <w:r>
        <w:t>.</w:t>
      </w:r>
      <w:r>
        <w:tab/>
        <w:t>Part 8 heading inserted</w:t>
      </w:r>
      <w:bookmarkEnd w:id="104"/>
      <w:bookmarkEnd w:id="105"/>
    </w:p>
    <w:p>
      <w:pPr>
        <w:pStyle w:val="Subsection"/>
      </w:pPr>
      <w:r>
        <w:tab/>
      </w:r>
      <w:r>
        <w:tab/>
        <w:t>After regulation 15 insert:</w:t>
      </w:r>
    </w:p>
    <w:p>
      <w:pPr>
        <w:pStyle w:val="BlankOpen"/>
      </w:pPr>
    </w:p>
    <w:p>
      <w:pPr>
        <w:pStyle w:val="zHeading2"/>
      </w:pPr>
      <w:bookmarkStart w:id="106" w:name="_Toc214538736"/>
      <w:bookmarkStart w:id="107" w:name="_Toc214538835"/>
      <w:bookmarkStart w:id="108" w:name="_Toc214538919"/>
      <w:bookmarkStart w:id="109" w:name="_Toc214539037"/>
      <w:bookmarkStart w:id="110" w:name="_Toc214961726"/>
      <w:r>
        <w:t>Part 8 — Transitional provisions</w:t>
      </w:r>
      <w:bookmarkEnd w:id="106"/>
      <w:bookmarkEnd w:id="107"/>
      <w:bookmarkEnd w:id="108"/>
      <w:bookmarkEnd w:id="109"/>
      <w:bookmarkEnd w:id="110"/>
    </w:p>
    <w:p>
      <w:pPr>
        <w:pStyle w:val="BlankClose"/>
      </w:pPr>
    </w:p>
    <w:p>
      <w:pPr>
        <w:pStyle w:val="Heading5"/>
      </w:pPr>
      <w:bookmarkStart w:id="111" w:name="_Toc214538737"/>
      <w:bookmarkStart w:id="112" w:name="_Toc214961727"/>
      <w:r>
        <w:rPr>
          <w:rStyle w:val="CharSectno"/>
        </w:rPr>
        <w:lastRenderedPageBreak/>
        <w:t>22</w:t>
      </w:r>
      <w:r>
        <w:t>.</w:t>
      </w:r>
      <w:r>
        <w:tab/>
        <w:t>Regulation 18 inserted</w:t>
      </w:r>
      <w:bookmarkEnd w:id="111"/>
      <w:bookmarkEnd w:id="112"/>
    </w:p>
    <w:p>
      <w:pPr>
        <w:pStyle w:val="Subsection"/>
        <w:keepNext/>
      </w:pPr>
      <w:r>
        <w:tab/>
      </w:r>
      <w:r>
        <w:tab/>
        <w:t>After regulation 17 insert:</w:t>
      </w:r>
    </w:p>
    <w:p>
      <w:pPr>
        <w:pStyle w:val="BlankOpen"/>
      </w:pPr>
    </w:p>
    <w:p>
      <w:pPr>
        <w:pStyle w:val="zHeading5"/>
      </w:pPr>
      <w:bookmarkStart w:id="113" w:name="_Toc214538738"/>
      <w:bookmarkStart w:id="114" w:name="_Toc214961728"/>
      <w:r>
        <w:t>18.</w:t>
      </w:r>
      <w:r>
        <w:tab/>
        <w:t xml:space="preserve">Transitional regulation for </w:t>
      </w:r>
      <w:r>
        <w:rPr>
          <w:i/>
        </w:rPr>
        <w:t>Commerce Regulations Amendment (Real Estate, Business and Settlement Agents) Regulations 2025</w:t>
      </w:r>
      <w:bookmarkEnd w:id="113"/>
      <w:bookmarkEnd w:id="114"/>
    </w:p>
    <w:p>
      <w:pPr>
        <w:pStyle w:val="zSubsection"/>
      </w:pPr>
      <w:r>
        <w:tab/>
        <w:t>(1)</w:t>
      </w:r>
      <w:r>
        <w:tab/>
        <w:t xml:space="preserve">In this regulation — </w:t>
      </w:r>
    </w:p>
    <w:p>
      <w:pPr>
        <w:pStyle w:val="zDefstart"/>
      </w:pPr>
      <w:r>
        <w:tab/>
      </w:r>
      <w:r>
        <w:rPr>
          <w:rStyle w:val="CharDefText"/>
        </w:rPr>
        <w:t>commencement day</w:t>
      </w:r>
      <w:r>
        <w:t xml:space="preserve"> means 1 January 2026.</w:t>
      </w:r>
    </w:p>
    <w:p>
      <w:pPr>
        <w:pStyle w:val="zSubsection"/>
      </w:pPr>
      <w:r>
        <w:tab/>
        <w:t>(2)</w:t>
      </w:r>
      <w:r>
        <w:tab/>
        <w:t>If a regulated person completes a CPD activity in the period beginning on commencement day and ending on 31 March 2026, the activity is counted towards the educational requirements applicable to the person under section 40B or 50C of the Act for the CPD year beginning on 1 April 2026.</w:t>
      </w:r>
    </w:p>
    <w:p>
      <w:pPr>
        <w:pStyle w:val="zSubsection"/>
      </w:pPr>
      <w:r>
        <w:tab/>
        <w:t>(3)</w:t>
      </w:r>
      <w:r>
        <w:tab/>
        <w:t>The reference in regulation 4AE(1) to CPD activities is, before commencement day, a reference to that term as defined in regulation 2(1) as it will be in force on commencement day.</w:t>
      </w:r>
    </w:p>
    <w:p>
      <w:pPr>
        <w:pStyle w:val="zSubsection"/>
      </w:pPr>
      <w:r>
        <w:tab/>
        <w:t>(4)</w:t>
      </w:r>
      <w:r>
        <w:tab/>
        <w:t>The reference in regulation 4AE(3) to regulation 4AH is, before commencement day, a reference to that regulation as it will be in force on commencement day.</w:t>
      </w:r>
    </w:p>
    <w:p>
      <w:pPr>
        <w:pStyle w:val="BlankClose"/>
      </w:pPr>
    </w:p>
    <w:p>
      <w:pPr>
        <w:pStyle w:val="Heading5"/>
      </w:pPr>
      <w:bookmarkStart w:id="115" w:name="_Toc214538739"/>
      <w:bookmarkStart w:id="116" w:name="_Toc214961729"/>
      <w:r>
        <w:rPr>
          <w:rStyle w:val="CharSectno"/>
        </w:rPr>
        <w:t>23</w:t>
      </w:r>
      <w:r>
        <w:t>.</w:t>
      </w:r>
      <w:r>
        <w:tab/>
        <w:t>Schedule 1A deleted</w:t>
      </w:r>
      <w:bookmarkEnd w:id="115"/>
      <w:bookmarkEnd w:id="116"/>
    </w:p>
    <w:p>
      <w:pPr>
        <w:pStyle w:val="Subsection"/>
      </w:pPr>
      <w:r>
        <w:tab/>
      </w:r>
      <w:r>
        <w:tab/>
        <w:t>Delete Schedule 1A.</w:t>
      </w:r>
    </w:p>
    <w:p>
      <w:pPr>
        <w:pStyle w:val="Heading5"/>
      </w:pPr>
      <w:bookmarkStart w:id="117" w:name="_Toc214538740"/>
      <w:bookmarkStart w:id="118" w:name="_Toc214961730"/>
      <w:r>
        <w:rPr>
          <w:rStyle w:val="CharSectno"/>
        </w:rPr>
        <w:lastRenderedPageBreak/>
        <w:t>24</w:t>
      </w:r>
      <w:r>
        <w:t>.</w:t>
      </w:r>
      <w:r>
        <w:tab/>
        <w:t>Schedule 2 amended</w:t>
      </w:r>
      <w:bookmarkEnd w:id="117"/>
      <w:bookmarkEnd w:id="118"/>
    </w:p>
    <w:p>
      <w:pPr>
        <w:pStyle w:val="Subsection"/>
        <w:keepNext/>
        <w:rPr>
          <w:szCs w:val="24"/>
        </w:rPr>
      </w:pPr>
      <w:r>
        <w:tab/>
      </w:r>
      <w:r>
        <w:tab/>
        <w:t>In Schedule 2 Forms 2 and 3 delete “</w:t>
      </w:r>
      <w:r>
        <w:rPr>
          <w:sz w:val="22"/>
        </w:rPr>
        <w:t>Mines,</w:t>
      </w:r>
      <w:r>
        <w:rPr>
          <w:szCs w:val="24"/>
        </w:rPr>
        <w:t>” (each occurrence) and insert:</w:t>
      </w:r>
    </w:p>
    <w:p>
      <w:pPr>
        <w:pStyle w:val="BlankOpen"/>
      </w:pPr>
    </w:p>
    <w:p>
      <w:pPr>
        <w:pStyle w:val="Subsection"/>
        <w:keepNext/>
        <w:rPr>
          <w:sz w:val="22"/>
          <w:szCs w:val="22"/>
        </w:rPr>
      </w:pPr>
      <w:r>
        <w:tab/>
      </w:r>
      <w:r>
        <w:tab/>
      </w:r>
      <w:r>
        <w:rPr>
          <w:sz w:val="22"/>
          <w:szCs w:val="22"/>
        </w:rPr>
        <w:t xml:space="preserve">Local Government, </w:t>
      </w:r>
    </w:p>
    <w:p>
      <w:pPr>
        <w:pStyle w:val="BlankClose"/>
      </w:pPr>
    </w:p>
    <w:p>
      <w:pPr>
        <w:pStyle w:val="Heading5"/>
      </w:pPr>
      <w:bookmarkStart w:id="119" w:name="_Toc214538741"/>
      <w:bookmarkStart w:id="120" w:name="_Toc214961731"/>
      <w:r>
        <w:rPr>
          <w:rStyle w:val="CharSectno"/>
        </w:rPr>
        <w:t>25</w:t>
      </w:r>
      <w:r>
        <w:t>.</w:t>
      </w:r>
      <w:r>
        <w:tab/>
        <w:t>Schedule 3 amended</w:t>
      </w:r>
      <w:bookmarkEnd w:id="119"/>
      <w:bookmarkEnd w:id="120"/>
    </w:p>
    <w:p>
      <w:pPr>
        <w:pStyle w:val="Subsection"/>
      </w:pPr>
      <w:r>
        <w:tab/>
      </w:r>
      <w:r>
        <w:tab/>
        <w:t>In Schedule 3 before the item for regulation 8 insert:</w:t>
      </w:r>
    </w:p>
    <w:p>
      <w:pPr>
        <w:pStyle w:val="BlankOpen"/>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c>
          <w:tcPr>
            <w:tcW w:w="1320" w:type="dxa"/>
          </w:tcPr>
          <w:p>
            <w:pPr>
              <w:pStyle w:val="zyTableNAm"/>
            </w:pPr>
            <w:r>
              <w:t>r. 4AJ(1)</w:t>
            </w:r>
          </w:p>
        </w:tc>
        <w:tc>
          <w:tcPr>
            <w:tcW w:w="4680" w:type="dxa"/>
          </w:tcPr>
          <w:p>
            <w:pPr>
              <w:pStyle w:val="zyTableNAm"/>
            </w:pPr>
            <w:r>
              <w:t>Failing to keep evidence</w:t>
            </w:r>
          </w:p>
        </w:tc>
        <w:tc>
          <w:tcPr>
            <w:tcW w:w="1080" w:type="dxa"/>
            <w:vAlign w:val="bottom"/>
          </w:tcPr>
          <w:p>
            <w:pPr>
              <w:pStyle w:val="zyTableNAm"/>
              <w:rPr>
                <w:szCs w:val="22"/>
              </w:rPr>
            </w:pPr>
            <w:r>
              <w:rPr>
                <w:szCs w:val="22"/>
              </w:rPr>
              <w:t>$200</w:t>
            </w:r>
          </w:p>
        </w:tc>
      </w:tr>
      <w:tr>
        <w:tc>
          <w:tcPr>
            <w:tcW w:w="1320" w:type="dxa"/>
          </w:tcPr>
          <w:p>
            <w:pPr>
              <w:pStyle w:val="zyTableNAm"/>
            </w:pPr>
            <w:r>
              <w:t>r. 4AJ(4)</w:t>
            </w:r>
          </w:p>
        </w:tc>
        <w:tc>
          <w:tcPr>
            <w:tcW w:w="4680" w:type="dxa"/>
          </w:tcPr>
          <w:p>
            <w:pPr>
              <w:pStyle w:val="zyTableNAm"/>
            </w:pPr>
            <w:r>
              <w:t>Failing to produce evidence</w:t>
            </w:r>
          </w:p>
        </w:tc>
        <w:tc>
          <w:tcPr>
            <w:tcW w:w="1080" w:type="dxa"/>
            <w:vAlign w:val="bottom"/>
          </w:tcPr>
          <w:p>
            <w:pPr>
              <w:pStyle w:val="zyTableNAm"/>
              <w:rPr>
                <w:szCs w:val="22"/>
              </w:rPr>
            </w:pPr>
            <w:r>
              <w:rPr>
                <w:szCs w:val="22"/>
              </w:rPr>
              <w:t>$200</w:t>
            </w:r>
          </w:p>
        </w:tc>
      </w:tr>
    </w:tbl>
    <w:p>
      <w:pPr>
        <w:pStyle w:val="BlankClose"/>
      </w:pPr>
    </w:p>
    <w:p>
      <w:pPr>
        <w:pStyle w:val="Heading2"/>
      </w:pPr>
      <w:bookmarkStart w:id="121" w:name="_Toc214538742"/>
      <w:bookmarkStart w:id="122" w:name="_Toc214538841"/>
      <w:bookmarkStart w:id="123" w:name="_Toc214538925"/>
      <w:bookmarkStart w:id="124" w:name="_Toc214539043"/>
      <w:bookmarkStart w:id="125" w:name="_Toc214961732"/>
      <w:r>
        <w:rPr>
          <w:rStyle w:val="CharPartNo"/>
        </w:rPr>
        <w:lastRenderedPageBreak/>
        <w:t>Part 3</w:t>
      </w:r>
      <w:r>
        <w:rPr>
          <w:rStyle w:val="CharDivNo"/>
        </w:rPr>
        <w:t> </w:t>
      </w:r>
      <w:r>
        <w:t>—</w:t>
      </w:r>
      <w:r>
        <w:rPr>
          <w:rStyle w:val="CharDivText"/>
        </w:rPr>
        <w:t> </w:t>
      </w:r>
      <w:r>
        <w:rPr>
          <w:rStyle w:val="CharPartText"/>
          <w:i/>
          <w:iCs/>
        </w:rPr>
        <w:t>Settlement Agents Regulations 1982</w:t>
      </w:r>
      <w:r>
        <w:rPr>
          <w:rStyle w:val="CharPartText"/>
        </w:rPr>
        <w:t xml:space="preserve"> amended</w:t>
      </w:r>
      <w:bookmarkEnd w:id="121"/>
      <w:bookmarkEnd w:id="122"/>
      <w:bookmarkEnd w:id="123"/>
      <w:bookmarkEnd w:id="124"/>
      <w:bookmarkEnd w:id="125"/>
    </w:p>
    <w:p>
      <w:pPr>
        <w:pStyle w:val="Heading5"/>
      </w:pPr>
      <w:bookmarkStart w:id="126" w:name="_Toc214538743"/>
      <w:bookmarkStart w:id="127" w:name="_Toc214961733"/>
      <w:r>
        <w:rPr>
          <w:rStyle w:val="CharSectno"/>
        </w:rPr>
        <w:t>26</w:t>
      </w:r>
      <w:r>
        <w:t>.</w:t>
      </w:r>
      <w:r>
        <w:tab/>
        <w:t>Regulations amended</w:t>
      </w:r>
      <w:bookmarkEnd w:id="126"/>
      <w:bookmarkEnd w:id="127"/>
    </w:p>
    <w:p>
      <w:pPr>
        <w:pStyle w:val="Subsection"/>
      </w:pPr>
      <w:r>
        <w:tab/>
      </w:r>
      <w:r>
        <w:tab/>
        <w:t xml:space="preserve">This Part </w:t>
      </w:r>
      <w:r>
        <w:rPr>
          <w:spacing w:val="-2"/>
        </w:rPr>
        <w:t>amends</w:t>
      </w:r>
      <w:r>
        <w:t xml:space="preserve"> the </w:t>
      </w:r>
      <w:r>
        <w:rPr>
          <w:i/>
        </w:rPr>
        <w:t>Settlement Agents Regulations 1982</w:t>
      </w:r>
      <w:r>
        <w:t>.</w:t>
      </w:r>
    </w:p>
    <w:p>
      <w:pPr>
        <w:pStyle w:val="Heading5"/>
      </w:pPr>
      <w:bookmarkStart w:id="128" w:name="_Toc214538744"/>
      <w:bookmarkStart w:id="129" w:name="_Toc214961734"/>
      <w:r>
        <w:rPr>
          <w:rStyle w:val="CharSectno"/>
        </w:rPr>
        <w:t>27</w:t>
      </w:r>
      <w:r>
        <w:t>.</w:t>
      </w:r>
      <w:r>
        <w:tab/>
        <w:t>Part 1 heading inserted</w:t>
      </w:r>
      <w:bookmarkEnd w:id="128"/>
      <w:bookmarkEnd w:id="129"/>
    </w:p>
    <w:p>
      <w:pPr>
        <w:pStyle w:val="Subsection"/>
      </w:pPr>
      <w:r>
        <w:tab/>
      </w:r>
      <w:r>
        <w:tab/>
        <w:t>Before regulation 1 insert:</w:t>
      </w:r>
    </w:p>
    <w:p>
      <w:pPr>
        <w:pStyle w:val="BlankOpen"/>
      </w:pPr>
    </w:p>
    <w:p>
      <w:pPr>
        <w:pStyle w:val="zHeading2"/>
        <w:rPr>
          <w:b w:val="0"/>
        </w:rPr>
      </w:pPr>
      <w:bookmarkStart w:id="130" w:name="_Toc214538745"/>
      <w:bookmarkStart w:id="131" w:name="_Toc214538844"/>
      <w:bookmarkStart w:id="132" w:name="_Toc214538928"/>
      <w:bookmarkStart w:id="133" w:name="_Toc214539046"/>
      <w:bookmarkStart w:id="134" w:name="_Toc214961735"/>
      <w:r>
        <w:t>Part 1 — Preliminary</w:t>
      </w:r>
      <w:bookmarkEnd w:id="130"/>
      <w:bookmarkEnd w:id="131"/>
      <w:bookmarkEnd w:id="132"/>
      <w:bookmarkEnd w:id="133"/>
      <w:bookmarkEnd w:id="134"/>
    </w:p>
    <w:p>
      <w:pPr>
        <w:pStyle w:val="BlankClose"/>
      </w:pPr>
    </w:p>
    <w:p>
      <w:pPr>
        <w:pStyle w:val="Heading5"/>
      </w:pPr>
      <w:bookmarkStart w:id="135" w:name="_Toc214538746"/>
      <w:bookmarkStart w:id="136" w:name="_Toc214961736"/>
      <w:r>
        <w:rPr>
          <w:rStyle w:val="CharSectno"/>
        </w:rPr>
        <w:t>28</w:t>
      </w:r>
      <w:r>
        <w:t>.</w:t>
      </w:r>
      <w:r>
        <w:tab/>
        <w:t>Regulation 2 amended</w:t>
      </w:r>
      <w:bookmarkEnd w:id="135"/>
      <w:bookmarkEnd w:id="136"/>
    </w:p>
    <w:p>
      <w:pPr>
        <w:pStyle w:val="Subsection"/>
      </w:pPr>
      <w:r>
        <w:tab/>
        <w:t>(1)</w:t>
      </w:r>
      <w:r>
        <w:tab/>
        <w:t>In regulation 2 delete the definitions of:</w:t>
      </w:r>
    </w:p>
    <w:p>
      <w:pPr>
        <w:pStyle w:val="DeleteListSub"/>
        <w:rPr>
          <w:b/>
          <w:bCs/>
          <w:i/>
          <w:iCs/>
        </w:rPr>
      </w:pPr>
      <w:r>
        <w:rPr>
          <w:b/>
          <w:bCs/>
          <w:i/>
          <w:iCs/>
        </w:rPr>
        <w:t>approved educational activity</w:t>
      </w:r>
    </w:p>
    <w:p>
      <w:pPr>
        <w:pStyle w:val="DeleteListSub"/>
        <w:rPr>
          <w:b/>
          <w:bCs/>
          <w:i/>
          <w:iCs/>
        </w:rPr>
      </w:pPr>
      <w:r>
        <w:rPr>
          <w:b/>
          <w:bCs/>
          <w:i/>
          <w:iCs/>
        </w:rPr>
        <w:t>core professional development subject</w:t>
      </w:r>
    </w:p>
    <w:p>
      <w:pPr>
        <w:pStyle w:val="DeleteListSub"/>
        <w:rPr>
          <w:b/>
          <w:bCs/>
          <w:i/>
          <w:iCs/>
        </w:rPr>
      </w:pPr>
      <w:r>
        <w:rPr>
          <w:b/>
          <w:bCs/>
          <w:i/>
          <w:iCs/>
        </w:rPr>
        <w:t>point value</w:t>
      </w:r>
    </w:p>
    <w:p>
      <w:pPr>
        <w:pStyle w:val="DeleteListSub"/>
        <w:rPr>
          <w:b/>
          <w:bCs/>
          <w:i/>
          <w:iCs/>
        </w:rPr>
      </w:pPr>
      <w:r>
        <w:rPr>
          <w:b/>
          <w:bCs/>
          <w:i/>
          <w:iCs/>
        </w:rPr>
        <w:t>professional development subject</w:t>
      </w:r>
    </w:p>
    <w:p>
      <w:pPr>
        <w:pStyle w:val="DeleteListSub"/>
        <w:rPr>
          <w:b/>
          <w:bCs/>
          <w:i/>
          <w:iCs/>
        </w:rPr>
      </w:pPr>
      <w:r>
        <w:rPr>
          <w:b/>
          <w:bCs/>
          <w:i/>
          <w:iCs/>
        </w:rPr>
        <w:t>record</w:t>
      </w:r>
    </w:p>
    <w:p>
      <w:pPr>
        <w:pStyle w:val="Subsection"/>
      </w:pPr>
      <w:r>
        <w:tab/>
        <w:t>(2)</w:t>
      </w:r>
      <w:r>
        <w:tab/>
        <w:t>In regulation 2 insert in alphabetical order:</w:t>
      </w:r>
    </w:p>
    <w:p>
      <w:pPr>
        <w:pStyle w:val="BlankOpen"/>
      </w:pPr>
    </w:p>
    <w:p>
      <w:pPr>
        <w:pStyle w:val="zDefstart"/>
        <w:rPr>
          <w:iCs/>
        </w:rPr>
      </w:pPr>
      <w:r>
        <w:tab/>
      </w:r>
      <w:r>
        <w:rPr>
          <w:rStyle w:val="CharDefText"/>
        </w:rPr>
        <w:t>approved CPD provider</w:t>
      </w:r>
      <w:r>
        <w:t xml:space="preserve"> means a person who holds an approval granted under regulation 4F that is in effect;</w:t>
      </w:r>
    </w:p>
    <w:p>
      <w:pPr>
        <w:pStyle w:val="zDefstart"/>
        <w:rPr>
          <w:iCs/>
        </w:rPr>
      </w:pPr>
      <w:r>
        <w:tab/>
      </w:r>
      <w:r>
        <w:rPr>
          <w:rStyle w:val="CharDefText"/>
        </w:rPr>
        <w:t>approved CPD topic</w:t>
      </w:r>
      <w:r>
        <w:t xml:space="preserve"> means a topic listed in a notice under regulation 4G(1);</w:t>
      </w:r>
    </w:p>
    <w:p>
      <w:pPr>
        <w:pStyle w:val="zDefstart"/>
      </w:pPr>
      <w:r>
        <w:tab/>
      </w:r>
      <w:r>
        <w:rPr>
          <w:rStyle w:val="CharDefText"/>
          <w:iCs/>
        </w:rPr>
        <w:t>Commissioner’s website</w:t>
      </w:r>
      <w:r>
        <w:rPr>
          <w:iCs/>
        </w:rPr>
        <w:t xml:space="preserve"> means a website maintained by, or on behalf of — </w:t>
      </w:r>
    </w:p>
    <w:p>
      <w:pPr>
        <w:pStyle w:val="zDefpara"/>
      </w:pPr>
      <w:r>
        <w:tab/>
        <w:t>(a)</w:t>
      </w:r>
      <w:r>
        <w:tab/>
        <w:t>the Commissioner; or</w:t>
      </w:r>
    </w:p>
    <w:p>
      <w:pPr>
        <w:pStyle w:val="zDefpara"/>
      </w:pPr>
      <w:r>
        <w:tab/>
        <w:t>(b)</w:t>
      </w:r>
      <w:r>
        <w:tab/>
        <w:t>if there is no website maintained by, or on behalf of the Commissioner — the department;</w:t>
      </w:r>
    </w:p>
    <w:p>
      <w:pPr>
        <w:pStyle w:val="zDefstart"/>
        <w:keepNext/>
      </w:pPr>
      <w:r>
        <w:lastRenderedPageBreak/>
        <w:tab/>
      </w:r>
      <w:r>
        <w:rPr>
          <w:rStyle w:val="CharDefText"/>
        </w:rPr>
        <w:t>CPD activity</w:t>
      </w:r>
      <w:r>
        <w:t xml:space="preserve"> means an educational activity that — </w:t>
      </w:r>
    </w:p>
    <w:p>
      <w:pPr>
        <w:pStyle w:val="zDefpara"/>
      </w:pPr>
      <w:r>
        <w:tab/>
        <w:t>(a)</w:t>
      </w:r>
      <w:r>
        <w:tab/>
        <w:t>is provided by an approved CPD provider; and</w:t>
      </w:r>
    </w:p>
    <w:p>
      <w:pPr>
        <w:pStyle w:val="zDefpara"/>
      </w:pPr>
      <w:r>
        <w:tab/>
        <w:t>(b)</w:t>
      </w:r>
      <w:r>
        <w:tab/>
        <w:t>relates to an approved CPD topic; and</w:t>
      </w:r>
    </w:p>
    <w:p>
      <w:pPr>
        <w:pStyle w:val="zDefpara"/>
      </w:pPr>
      <w:r>
        <w:tab/>
        <w:t>(c)</w:t>
      </w:r>
      <w:r>
        <w:tab/>
        <w:t>meets the requirements of regulation 4I;</w:t>
      </w:r>
    </w:p>
    <w:p>
      <w:pPr>
        <w:pStyle w:val="zDefstart"/>
      </w:pPr>
      <w:r>
        <w:tab/>
      </w:r>
      <w:r>
        <w:rPr>
          <w:rStyle w:val="CharDefText"/>
        </w:rPr>
        <w:t>CPD subject</w:t>
      </w:r>
      <w:r>
        <w:t xml:space="preserve"> means any of the following subjects — </w:t>
      </w:r>
    </w:p>
    <w:p>
      <w:pPr>
        <w:pStyle w:val="zDefpara"/>
      </w:pPr>
      <w:r>
        <w:tab/>
        <w:t>(a)</w:t>
      </w:r>
      <w:r>
        <w:tab/>
        <w:t>ethics or professional responsibility;</w:t>
      </w:r>
    </w:p>
    <w:p>
      <w:pPr>
        <w:pStyle w:val="zDefpara"/>
      </w:pPr>
      <w:r>
        <w:tab/>
        <w:t>(b)</w:t>
      </w:r>
      <w:r>
        <w:tab/>
        <w:t>professional skills;</w:t>
      </w:r>
    </w:p>
    <w:p>
      <w:pPr>
        <w:pStyle w:val="zDefpara"/>
      </w:pPr>
      <w:r>
        <w:tab/>
        <w:t>(c)</w:t>
      </w:r>
      <w:r>
        <w:tab/>
        <w:t>legal requirements;</w:t>
      </w:r>
    </w:p>
    <w:p>
      <w:pPr>
        <w:pStyle w:val="zDefstart"/>
      </w:pPr>
      <w:r>
        <w:rPr>
          <w:bCs/>
          <w:iCs/>
        </w:rPr>
        <w:tab/>
      </w:r>
      <w:r>
        <w:rPr>
          <w:rStyle w:val="CharDefText"/>
        </w:rPr>
        <w:t>CPD year</w:t>
      </w:r>
      <w:r>
        <w:t xml:space="preserve"> means a year beginning on 1 April and ending on 31 March;</w:t>
      </w:r>
    </w:p>
    <w:p>
      <w:pPr>
        <w:pStyle w:val="zDefstart"/>
      </w:pPr>
      <w:r>
        <w:rPr>
          <w:b/>
          <w:i/>
          <w:sz w:val="20"/>
        </w:rPr>
        <w:tab/>
      </w:r>
      <w:r>
        <w:rPr>
          <w:rStyle w:val="CharDefText"/>
        </w:rPr>
        <w:t>mandatory CPD topic</w:t>
      </w:r>
      <w:r>
        <w:t>, for a licensee and a CPD year, means an approved CPD topic specified by the Commissioner under regulation 4H as a mandatory CPD topic for the licensee for the CPD year;</w:t>
      </w:r>
    </w:p>
    <w:p>
      <w:pPr>
        <w:pStyle w:val="zDefstart"/>
      </w:pPr>
      <w:r>
        <w:rPr>
          <w:b/>
          <w:i/>
          <w:sz w:val="20"/>
        </w:rPr>
        <w:tab/>
      </w:r>
      <w:r>
        <w:rPr>
          <w:rStyle w:val="CharDefText"/>
        </w:rPr>
        <w:t>point</w:t>
      </w:r>
      <w:r>
        <w:t xml:space="preserve"> has the meaning given in regulation 4D(1);</w:t>
      </w:r>
    </w:p>
    <w:p>
      <w:pPr>
        <w:pStyle w:val="zDefstart"/>
      </w:pPr>
      <w:r>
        <w:tab/>
      </w:r>
      <w:r>
        <w:rPr>
          <w:rStyle w:val="CharDefText"/>
        </w:rPr>
        <w:t>point value</w:t>
      </w:r>
      <w:r>
        <w:t>, in relation to a CPD activity, means the number of points earned for the activity determined in accordance with regulation 4D(1);</w:t>
      </w:r>
    </w:p>
    <w:p>
      <w:pPr>
        <w:pStyle w:val="zDefstart"/>
      </w:pPr>
      <w:r>
        <w:tab/>
      </w:r>
      <w:r>
        <w:rPr>
          <w:rStyle w:val="CharDefText"/>
        </w:rPr>
        <w:t>required number of points</w:t>
      </w:r>
      <w:r>
        <w:t>, in relation to a mandatory CPD topic, means the number of points specified in the notice under regulation 4H(3);</w:t>
      </w:r>
    </w:p>
    <w:p>
      <w:pPr>
        <w:pStyle w:val="zDefstart"/>
      </w:pPr>
      <w:r>
        <w:tab/>
      </w:r>
      <w:r>
        <w:rPr>
          <w:rStyle w:val="CharDefText"/>
        </w:rPr>
        <w:t>topic</w:t>
      </w:r>
      <w:r>
        <w:t xml:space="preserve"> means a subject matter to which an educational activity relates or may relate;</w:t>
      </w:r>
    </w:p>
    <w:p>
      <w:pPr>
        <w:pStyle w:val="BlankClose"/>
      </w:pPr>
    </w:p>
    <w:p>
      <w:pPr>
        <w:pStyle w:val="Subsection"/>
      </w:pPr>
      <w:r>
        <w:tab/>
        <w:t>(3)</w:t>
      </w:r>
      <w:r>
        <w:tab/>
        <w:t xml:space="preserve">In regulation 2 in the definition of </w:t>
      </w:r>
      <w:r>
        <w:rPr>
          <w:b/>
          <w:bCs/>
          <w:i/>
          <w:iCs/>
        </w:rPr>
        <w:t>educational activity</w:t>
      </w:r>
      <w:r>
        <w:t xml:space="preserve"> paragraph (a) delete “that relates to a professional development subject”.</w:t>
      </w:r>
    </w:p>
    <w:p>
      <w:pPr>
        <w:pStyle w:val="Heading5"/>
      </w:pPr>
      <w:bookmarkStart w:id="137" w:name="_Toc214538747"/>
      <w:bookmarkStart w:id="138" w:name="_Toc214961737"/>
      <w:r>
        <w:rPr>
          <w:rStyle w:val="CharSectno"/>
        </w:rPr>
        <w:lastRenderedPageBreak/>
        <w:t>29</w:t>
      </w:r>
      <w:r>
        <w:t>.</w:t>
      </w:r>
      <w:r>
        <w:tab/>
        <w:t>Part 2 heading inserted</w:t>
      </w:r>
      <w:bookmarkEnd w:id="137"/>
      <w:bookmarkEnd w:id="138"/>
    </w:p>
    <w:p>
      <w:pPr>
        <w:pStyle w:val="Subsection"/>
        <w:keepNext/>
      </w:pPr>
      <w:r>
        <w:tab/>
      </w:r>
      <w:r>
        <w:tab/>
        <w:t>Before regulation 4 insert:</w:t>
      </w:r>
    </w:p>
    <w:p>
      <w:pPr>
        <w:pStyle w:val="BlankOpen"/>
      </w:pPr>
    </w:p>
    <w:p>
      <w:pPr>
        <w:pStyle w:val="zHeading2"/>
      </w:pPr>
      <w:bookmarkStart w:id="139" w:name="_Toc214538748"/>
      <w:bookmarkStart w:id="140" w:name="_Toc214538847"/>
      <w:bookmarkStart w:id="141" w:name="_Toc214538931"/>
      <w:bookmarkStart w:id="142" w:name="_Toc214539049"/>
      <w:bookmarkStart w:id="143" w:name="_Toc214961738"/>
      <w:r>
        <w:t>Part 2 — Fees</w:t>
      </w:r>
      <w:bookmarkEnd w:id="139"/>
      <w:bookmarkEnd w:id="140"/>
      <w:bookmarkEnd w:id="141"/>
      <w:bookmarkEnd w:id="142"/>
      <w:bookmarkEnd w:id="143"/>
    </w:p>
    <w:p>
      <w:pPr>
        <w:pStyle w:val="BlankClose"/>
      </w:pPr>
    </w:p>
    <w:p>
      <w:pPr>
        <w:pStyle w:val="Heading5"/>
      </w:pPr>
      <w:bookmarkStart w:id="144" w:name="_Toc214538749"/>
      <w:bookmarkStart w:id="145" w:name="_Toc214961739"/>
      <w:r>
        <w:rPr>
          <w:rStyle w:val="CharSectno"/>
        </w:rPr>
        <w:t>30</w:t>
      </w:r>
      <w:r>
        <w:t>.</w:t>
      </w:r>
      <w:r>
        <w:tab/>
        <w:t>Regulation 4 amended</w:t>
      </w:r>
      <w:bookmarkEnd w:id="144"/>
      <w:bookmarkEnd w:id="145"/>
    </w:p>
    <w:p>
      <w:pPr>
        <w:pStyle w:val="Subsection"/>
      </w:pPr>
      <w:r>
        <w:tab/>
      </w:r>
      <w:r>
        <w:tab/>
        <w:t>In regulation 4 delete “shall be” and insert:</w:t>
      </w:r>
    </w:p>
    <w:p>
      <w:pPr>
        <w:pStyle w:val="BlankOpen"/>
      </w:pPr>
    </w:p>
    <w:p>
      <w:pPr>
        <w:pStyle w:val="Subsection"/>
      </w:pPr>
      <w:r>
        <w:tab/>
      </w:r>
      <w:r>
        <w:tab/>
        <w:t>are</w:t>
      </w:r>
    </w:p>
    <w:p>
      <w:pPr>
        <w:pStyle w:val="BlankClose"/>
      </w:pPr>
    </w:p>
    <w:p>
      <w:pPr>
        <w:pStyle w:val="Heading5"/>
      </w:pPr>
      <w:bookmarkStart w:id="146" w:name="_Toc214538750"/>
      <w:bookmarkStart w:id="147" w:name="_Toc214961740"/>
      <w:r>
        <w:rPr>
          <w:rStyle w:val="CharSectno"/>
        </w:rPr>
        <w:t>31</w:t>
      </w:r>
      <w:r>
        <w:t>.</w:t>
      </w:r>
      <w:r>
        <w:tab/>
        <w:t>Part 3 heading inserted</w:t>
      </w:r>
      <w:bookmarkEnd w:id="146"/>
      <w:bookmarkEnd w:id="147"/>
    </w:p>
    <w:p>
      <w:pPr>
        <w:pStyle w:val="Subsection"/>
      </w:pPr>
      <w:r>
        <w:tab/>
      </w:r>
      <w:r>
        <w:tab/>
        <w:t>Before regulation 4B insert:</w:t>
      </w:r>
    </w:p>
    <w:p>
      <w:pPr>
        <w:pStyle w:val="BlankOpen"/>
      </w:pPr>
    </w:p>
    <w:p>
      <w:pPr>
        <w:pStyle w:val="zHeading2"/>
      </w:pPr>
      <w:bookmarkStart w:id="148" w:name="_Toc214538751"/>
      <w:bookmarkStart w:id="149" w:name="_Toc214538850"/>
      <w:bookmarkStart w:id="150" w:name="_Toc214538934"/>
      <w:bookmarkStart w:id="151" w:name="_Toc214539052"/>
      <w:bookmarkStart w:id="152" w:name="_Toc214961741"/>
      <w:r>
        <w:t>Part 3 — Educational requirements</w:t>
      </w:r>
      <w:bookmarkEnd w:id="148"/>
      <w:bookmarkEnd w:id="149"/>
      <w:bookmarkEnd w:id="150"/>
      <w:bookmarkEnd w:id="151"/>
      <w:bookmarkEnd w:id="152"/>
    </w:p>
    <w:p>
      <w:pPr>
        <w:pStyle w:val="BlankClose"/>
      </w:pPr>
    </w:p>
    <w:p>
      <w:pPr>
        <w:pStyle w:val="Heading5"/>
      </w:pPr>
      <w:bookmarkStart w:id="153" w:name="_Toc214538752"/>
      <w:bookmarkStart w:id="154" w:name="_Toc214961742"/>
      <w:r>
        <w:rPr>
          <w:rStyle w:val="CharSectno"/>
        </w:rPr>
        <w:t>32</w:t>
      </w:r>
      <w:r>
        <w:t>.</w:t>
      </w:r>
      <w:r>
        <w:tab/>
        <w:t>Regulation 4B amended</w:t>
      </w:r>
      <w:bookmarkEnd w:id="153"/>
      <w:bookmarkEnd w:id="154"/>
    </w:p>
    <w:p>
      <w:pPr>
        <w:pStyle w:val="Subsection"/>
      </w:pPr>
      <w:r>
        <w:tab/>
        <w:t>(1)</w:t>
      </w:r>
      <w:r>
        <w:tab/>
        <w:t>Delete regulation 4B(1) and insert:</w:t>
      </w:r>
    </w:p>
    <w:p>
      <w:pPr>
        <w:pStyle w:val="BlankOpen"/>
      </w:pPr>
    </w:p>
    <w:p>
      <w:pPr>
        <w:pStyle w:val="zSubsection"/>
      </w:pPr>
      <w:r>
        <w:tab/>
        <w:t>(1)</w:t>
      </w:r>
      <w:r>
        <w:tab/>
        <w:t xml:space="preserve">For the purposes of section 41B of the Act, the educational requirements for a CPD year for a licensee who is an individual are that the licensee complete CPD activities that have a combined point value of at least 5 points, which must include — </w:t>
      </w:r>
    </w:p>
    <w:p>
      <w:pPr>
        <w:pStyle w:val="zIndenta"/>
      </w:pPr>
      <w:r>
        <w:tab/>
        <w:t>(a)</w:t>
      </w:r>
      <w:r>
        <w:tab/>
        <w:t>at least 1 point relating to each CPD subject; and</w:t>
      </w:r>
    </w:p>
    <w:p>
      <w:pPr>
        <w:pStyle w:val="zIndenta"/>
      </w:pPr>
      <w:r>
        <w:tab/>
        <w:t>(b)</w:t>
      </w:r>
      <w:r>
        <w:tab/>
        <w:t xml:space="preserve">if there is a mandatory CPD topic for the licensee for the year — at least the required </w:t>
      </w:r>
      <w:r>
        <w:lastRenderedPageBreak/>
        <w:t>number of points relating to the mandatory CPD topic.</w:t>
      </w:r>
    </w:p>
    <w:p>
      <w:pPr>
        <w:pStyle w:val="BlankClose"/>
      </w:pPr>
    </w:p>
    <w:p>
      <w:pPr>
        <w:pStyle w:val="Subsection"/>
      </w:pPr>
      <w:r>
        <w:tab/>
        <w:t>(2)</w:t>
      </w:r>
      <w:r>
        <w:tab/>
        <w:t>In regulation 4B(2):</w:t>
      </w:r>
    </w:p>
    <w:p>
      <w:pPr>
        <w:pStyle w:val="Indenta"/>
      </w:pPr>
      <w:r>
        <w:tab/>
        <w:t>(a)</w:t>
      </w:r>
      <w:r>
        <w:tab/>
        <w:t>delete “calendar” (1</w:t>
      </w:r>
      <w:r>
        <w:rPr>
          <w:vertAlign w:val="superscript"/>
        </w:rPr>
        <w:t>st</w:t>
      </w:r>
      <w:r>
        <w:t xml:space="preserve"> occurrence) and insert:</w:t>
      </w:r>
    </w:p>
    <w:p>
      <w:pPr>
        <w:pStyle w:val="BlankOpen"/>
      </w:pPr>
    </w:p>
    <w:p>
      <w:pPr>
        <w:pStyle w:val="Indenta"/>
      </w:pPr>
      <w:r>
        <w:tab/>
      </w:r>
      <w:r>
        <w:tab/>
        <w:t>CPD</w:t>
      </w:r>
    </w:p>
    <w:p>
      <w:pPr>
        <w:pStyle w:val="BlankClose"/>
      </w:pPr>
    </w:p>
    <w:p>
      <w:pPr>
        <w:pStyle w:val="Indenta"/>
      </w:pPr>
      <w:r>
        <w:tab/>
        <w:t>(b)</w:t>
      </w:r>
      <w:r>
        <w:tab/>
        <w:t>delete paragraph (a)(i) and insert:</w:t>
      </w:r>
    </w:p>
    <w:p>
      <w:pPr>
        <w:pStyle w:val="BlankOpen"/>
      </w:pPr>
    </w:p>
    <w:p>
      <w:pPr>
        <w:pStyle w:val="zIndenti"/>
      </w:pPr>
      <w:r>
        <w:tab/>
        <w:t>(i)</w:t>
      </w:r>
      <w:r>
        <w:tab/>
        <w:t xml:space="preserve">the licensee’s licence is granted between 1 January and 31 March of the CPD year; </w:t>
      </w:r>
    </w:p>
    <w:p>
      <w:pPr>
        <w:pStyle w:val="BlankClose"/>
      </w:pPr>
    </w:p>
    <w:p>
      <w:pPr>
        <w:pStyle w:val="Indenta"/>
      </w:pPr>
      <w:r>
        <w:tab/>
        <w:t>(c)</w:t>
      </w:r>
      <w:r>
        <w:tab/>
        <w:t>in paragraph (a)(ii) delete “completed” and insert:</w:t>
      </w:r>
    </w:p>
    <w:p>
      <w:pPr>
        <w:pStyle w:val="BlankOpen"/>
      </w:pPr>
    </w:p>
    <w:p>
      <w:pPr>
        <w:pStyle w:val="Indenta"/>
      </w:pPr>
      <w:r>
        <w:tab/>
      </w:r>
      <w:r>
        <w:tab/>
        <w:t xml:space="preserve">completes </w:t>
      </w:r>
    </w:p>
    <w:p>
      <w:pPr>
        <w:pStyle w:val="BlankClose"/>
      </w:pPr>
    </w:p>
    <w:p>
      <w:pPr>
        <w:pStyle w:val="Indenta"/>
      </w:pPr>
      <w:r>
        <w:tab/>
        <w:t>(d)</w:t>
      </w:r>
      <w:r>
        <w:tab/>
        <w:t>in paragraph (b)(i) delete “calendar” and insert:</w:t>
      </w:r>
    </w:p>
    <w:p>
      <w:pPr>
        <w:pStyle w:val="BlankOpen"/>
      </w:pPr>
    </w:p>
    <w:p>
      <w:pPr>
        <w:pStyle w:val="Indenta"/>
      </w:pPr>
      <w:r>
        <w:tab/>
      </w:r>
      <w:r>
        <w:tab/>
        <w:t>CPD</w:t>
      </w:r>
    </w:p>
    <w:p>
      <w:pPr>
        <w:pStyle w:val="BlankClose"/>
      </w:pPr>
    </w:p>
    <w:p>
      <w:pPr>
        <w:pStyle w:val="Subsection"/>
      </w:pPr>
      <w:r>
        <w:tab/>
        <w:t>(3)</w:t>
      </w:r>
      <w:r>
        <w:tab/>
        <w:t>Delete regulation 4B(3) and insert:</w:t>
      </w:r>
    </w:p>
    <w:p>
      <w:pPr>
        <w:pStyle w:val="BlankOpen"/>
      </w:pPr>
    </w:p>
    <w:p>
      <w:pPr>
        <w:pStyle w:val="zSubsection"/>
      </w:pPr>
      <w:r>
        <w:tab/>
        <w:t>(3)</w:t>
      </w:r>
      <w:r>
        <w:tab/>
        <w:t xml:space="preserve">If a person becomes a licensee between 1 June and 31 December in a CPD year — </w:t>
      </w:r>
    </w:p>
    <w:p>
      <w:pPr>
        <w:pStyle w:val="zIndenta"/>
      </w:pPr>
      <w:r>
        <w:tab/>
        <w:t>(a)</w:t>
      </w:r>
      <w:r>
        <w:tab/>
        <w:t>the combined point value of the CPD activities the person must complete during the balance of the CPD year is the value determined under the Table rather than the value that would otherwise apply under subregulation (1); and</w:t>
      </w:r>
    </w:p>
    <w:p>
      <w:pPr>
        <w:pStyle w:val="zIndenta"/>
      </w:pPr>
      <w:r>
        <w:lastRenderedPageBreak/>
        <w:tab/>
        <w:t>(b)</w:t>
      </w:r>
      <w:r>
        <w:tab/>
        <w:t>subregulation (1)(a) and (b) apply to the person in relation to the CPD year, but only to the extent that is practicable for the person to comply with the requirements of those paragraphs without needing to complete CPD activities with a combined point value that is higher than the value determined under the Table.</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7"/>
        <w:gridCol w:w="1530"/>
      </w:tblGrid>
      <w:tr>
        <w:trPr>
          <w:tblHeader/>
        </w:trPr>
        <w:tc>
          <w:tcPr>
            <w:tcW w:w="4537" w:type="dxa"/>
          </w:tcPr>
          <w:p>
            <w:pPr>
              <w:pStyle w:val="zTableNAm"/>
              <w:jc w:val="center"/>
              <w:rPr>
                <w:b/>
                <w:bCs/>
              </w:rPr>
            </w:pPr>
            <w:r>
              <w:rPr>
                <w:b/>
                <w:bCs/>
              </w:rPr>
              <w:t>Month in which person becomes a licensee</w:t>
            </w:r>
          </w:p>
        </w:tc>
        <w:tc>
          <w:tcPr>
            <w:tcW w:w="1530" w:type="dxa"/>
          </w:tcPr>
          <w:p>
            <w:pPr>
              <w:pStyle w:val="zTableNAm"/>
              <w:jc w:val="center"/>
              <w:rPr>
                <w:b/>
                <w:bCs/>
              </w:rPr>
            </w:pPr>
            <w:r>
              <w:rPr>
                <w:b/>
                <w:bCs/>
              </w:rPr>
              <w:t>Combined point value</w:t>
            </w:r>
          </w:p>
        </w:tc>
      </w:tr>
      <w:tr>
        <w:tc>
          <w:tcPr>
            <w:tcW w:w="4537" w:type="dxa"/>
          </w:tcPr>
          <w:p>
            <w:pPr>
              <w:pStyle w:val="zTableNAm"/>
            </w:pPr>
            <w:r>
              <w:t>June or July</w:t>
            </w:r>
          </w:p>
        </w:tc>
        <w:tc>
          <w:tcPr>
            <w:tcW w:w="1530" w:type="dxa"/>
          </w:tcPr>
          <w:p>
            <w:pPr>
              <w:pStyle w:val="zTableNAm"/>
              <w:jc w:val="center"/>
            </w:pPr>
            <w:r>
              <w:t>4</w:t>
            </w:r>
          </w:p>
        </w:tc>
      </w:tr>
      <w:tr>
        <w:tc>
          <w:tcPr>
            <w:tcW w:w="4537" w:type="dxa"/>
          </w:tcPr>
          <w:p>
            <w:pPr>
              <w:pStyle w:val="zTableNAm"/>
            </w:pPr>
            <w:r>
              <w:t>August or September</w:t>
            </w:r>
          </w:p>
        </w:tc>
        <w:tc>
          <w:tcPr>
            <w:tcW w:w="1530" w:type="dxa"/>
          </w:tcPr>
          <w:p>
            <w:pPr>
              <w:pStyle w:val="zTableNAm"/>
              <w:jc w:val="center"/>
            </w:pPr>
            <w:r>
              <w:t>3</w:t>
            </w:r>
          </w:p>
        </w:tc>
      </w:tr>
      <w:tr>
        <w:tc>
          <w:tcPr>
            <w:tcW w:w="4537" w:type="dxa"/>
          </w:tcPr>
          <w:p>
            <w:pPr>
              <w:pStyle w:val="zTableNAm"/>
            </w:pPr>
            <w:r>
              <w:t>October or November</w:t>
            </w:r>
          </w:p>
        </w:tc>
        <w:tc>
          <w:tcPr>
            <w:tcW w:w="1530" w:type="dxa"/>
          </w:tcPr>
          <w:p>
            <w:pPr>
              <w:pStyle w:val="zTableNAm"/>
              <w:jc w:val="center"/>
            </w:pPr>
            <w:r>
              <w:t>2</w:t>
            </w:r>
          </w:p>
        </w:tc>
      </w:tr>
      <w:tr>
        <w:tc>
          <w:tcPr>
            <w:tcW w:w="4537" w:type="dxa"/>
          </w:tcPr>
          <w:p>
            <w:pPr>
              <w:pStyle w:val="zTableNAm"/>
            </w:pPr>
            <w:r>
              <w:t>December</w:t>
            </w:r>
          </w:p>
        </w:tc>
        <w:tc>
          <w:tcPr>
            <w:tcW w:w="1530" w:type="dxa"/>
          </w:tcPr>
          <w:p>
            <w:pPr>
              <w:pStyle w:val="zTableNAm"/>
              <w:jc w:val="center"/>
            </w:pPr>
            <w:r>
              <w:t>1</w:t>
            </w:r>
          </w:p>
        </w:tc>
      </w:tr>
    </w:tbl>
    <w:p>
      <w:pPr>
        <w:pStyle w:val="BlankClose"/>
      </w:pPr>
    </w:p>
    <w:p>
      <w:pPr>
        <w:pStyle w:val="Heading5"/>
      </w:pPr>
      <w:bookmarkStart w:id="155" w:name="_Toc214538753"/>
      <w:bookmarkStart w:id="156" w:name="_Toc214961743"/>
      <w:r>
        <w:rPr>
          <w:rStyle w:val="CharSectno"/>
        </w:rPr>
        <w:t>33</w:t>
      </w:r>
      <w:r>
        <w:t>.</w:t>
      </w:r>
      <w:r>
        <w:tab/>
        <w:t>Regulation 4C amended</w:t>
      </w:r>
      <w:bookmarkEnd w:id="155"/>
      <w:bookmarkEnd w:id="156"/>
    </w:p>
    <w:p>
      <w:pPr>
        <w:pStyle w:val="Subsection"/>
      </w:pPr>
      <w:r>
        <w:tab/>
        <w:t>(1)</w:t>
      </w:r>
      <w:r>
        <w:tab/>
        <w:t>In regulation 4C(1) delete “calendar” and insert:</w:t>
      </w:r>
    </w:p>
    <w:p>
      <w:pPr>
        <w:pStyle w:val="BlankOpen"/>
      </w:pPr>
    </w:p>
    <w:p>
      <w:pPr>
        <w:pStyle w:val="Subsection"/>
      </w:pPr>
      <w:r>
        <w:tab/>
      </w:r>
      <w:r>
        <w:tab/>
        <w:t>CPD</w:t>
      </w:r>
    </w:p>
    <w:p>
      <w:pPr>
        <w:pStyle w:val="BlankClose"/>
      </w:pPr>
    </w:p>
    <w:p>
      <w:pPr>
        <w:pStyle w:val="Subsection"/>
      </w:pPr>
      <w:r>
        <w:tab/>
        <w:t>(2)</w:t>
      </w:r>
      <w:r>
        <w:tab/>
        <w:t>In regulation 4C(2):</w:t>
      </w:r>
    </w:p>
    <w:p>
      <w:pPr>
        <w:pStyle w:val="Indenta"/>
      </w:pPr>
      <w:r>
        <w:tab/>
        <w:t>(a)</w:t>
      </w:r>
      <w:r>
        <w:tab/>
        <w:t>in paragraph (a) delete “calendar” and insert:</w:t>
      </w:r>
    </w:p>
    <w:p>
      <w:pPr>
        <w:pStyle w:val="BlankOpen"/>
      </w:pPr>
    </w:p>
    <w:p>
      <w:pPr>
        <w:pStyle w:val="Indenta"/>
      </w:pPr>
      <w:r>
        <w:tab/>
      </w:r>
      <w:r>
        <w:tab/>
        <w:t>CPD</w:t>
      </w:r>
    </w:p>
    <w:p>
      <w:pPr>
        <w:pStyle w:val="BlankClose"/>
      </w:pPr>
    </w:p>
    <w:p>
      <w:pPr>
        <w:pStyle w:val="Indenta"/>
      </w:pPr>
      <w:r>
        <w:tab/>
        <w:t>(b)</w:t>
      </w:r>
      <w:r>
        <w:tab/>
        <w:t>in paragraph (c) delete “otherwise”.</w:t>
      </w:r>
    </w:p>
    <w:p>
      <w:pPr>
        <w:pStyle w:val="Subsection"/>
      </w:pPr>
      <w:r>
        <w:lastRenderedPageBreak/>
        <w:tab/>
        <w:t>(3)</w:t>
      </w:r>
      <w:r>
        <w:tab/>
        <w:t>Delete regulation 4C(3).</w:t>
      </w:r>
    </w:p>
    <w:p>
      <w:pPr>
        <w:pStyle w:val="Subsection"/>
      </w:pPr>
      <w:r>
        <w:tab/>
        <w:t>(4)</w:t>
      </w:r>
      <w:r>
        <w:tab/>
        <w:t>In regulation 4C(4):</w:t>
      </w:r>
    </w:p>
    <w:p>
      <w:pPr>
        <w:pStyle w:val="Indenta"/>
      </w:pPr>
      <w:r>
        <w:tab/>
        <w:t>(a)</w:t>
      </w:r>
      <w:r>
        <w:tab/>
        <w:t>delete “Without limiting subregulation (3), the” and insert:</w:t>
      </w:r>
    </w:p>
    <w:p>
      <w:pPr>
        <w:pStyle w:val="BlankOpen"/>
      </w:pPr>
    </w:p>
    <w:p>
      <w:pPr>
        <w:pStyle w:val="Indenta"/>
      </w:pPr>
      <w:r>
        <w:tab/>
      </w:r>
      <w:r>
        <w:tab/>
        <w:t xml:space="preserve">The </w:t>
      </w:r>
    </w:p>
    <w:p>
      <w:pPr>
        <w:pStyle w:val="BlankClose"/>
      </w:pPr>
    </w:p>
    <w:p>
      <w:pPr>
        <w:pStyle w:val="Indenta"/>
      </w:pPr>
      <w:r>
        <w:tab/>
        <w:t>(b)</w:t>
      </w:r>
      <w:r>
        <w:tab/>
        <w:t>delete “calendar” and insert:</w:t>
      </w:r>
    </w:p>
    <w:p>
      <w:pPr>
        <w:pStyle w:val="BlankOpen"/>
      </w:pPr>
    </w:p>
    <w:p>
      <w:pPr>
        <w:pStyle w:val="Indenta"/>
      </w:pPr>
      <w:r>
        <w:tab/>
      </w:r>
      <w:r>
        <w:tab/>
        <w:t>CPD</w:t>
      </w:r>
    </w:p>
    <w:p>
      <w:pPr>
        <w:pStyle w:val="BlankClose"/>
      </w:pPr>
    </w:p>
    <w:p>
      <w:pPr>
        <w:pStyle w:val="Heading5"/>
      </w:pPr>
      <w:bookmarkStart w:id="157" w:name="_Toc214538754"/>
      <w:bookmarkStart w:id="158" w:name="_Toc214961744"/>
      <w:r>
        <w:rPr>
          <w:rStyle w:val="CharSectno"/>
        </w:rPr>
        <w:t>34</w:t>
      </w:r>
      <w:r>
        <w:t>.</w:t>
      </w:r>
      <w:r>
        <w:tab/>
        <w:t>Regulations 4D and 4E replaced</w:t>
      </w:r>
      <w:bookmarkEnd w:id="157"/>
      <w:bookmarkEnd w:id="158"/>
    </w:p>
    <w:p>
      <w:pPr>
        <w:pStyle w:val="Subsection"/>
      </w:pPr>
      <w:r>
        <w:tab/>
      </w:r>
      <w:r>
        <w:tab/>
        <w:t>Delete regulations 4D and 4E and insert:</w:t>
      </w:r>
    </w:p>
    <w:p>
      <w:pPr>
        <w:pStyle w:val="BlankOpen"/>
      </w:pPr>
    </w:p>
    <w:p>
      <w:pPr>
        <w:pStyle w:val="zHeading5"/>
      </w:pPr>
      <w:bookmarkStart w:id="159" w:name="_Toc214538755"/>
      <w:bookmarkStart w:id="160" w:name="_Toc214961745"/>
      <w:r>
        <w:t>4D.</w:t>
      </w:r>
      <w:r>
        <w:tab/>
        <w:t>CPD points</w:t>
      </w:r>
      <w:bookmarkEnd w:id="159"/>
      <w:bookmarkEnd w:id="160"/>
    </w:p>
    <w:p>
      <w:pPr>
        <w:pStyle w:val="zSubsection"/>
      </w:pPr>
      <w:r>
        <w:tab/>
        <w:t>(1)</w:t>
      </w:r>
      <w:r>
        <w:tab/>
        <w:t>A licensee earns 1 </w:t>
      </w:r>
      <w:r>
        <w:rPr>
          <w:rStyle w:val="CharDefText"/>
        </w:rPr>
        <w:t>point</w:t>
      </w:r>
      <w:r>
        <w:t xml:space="preserve"> for each hour of a CPD activity that the licensee completes.</w:t>
      </w:r>
    </w:p>
    <w:p>
      <w:pPr>
        <w:pStyle w:val="zSubsection"/>
      </w:pPr>
      <w:r>
        <w:tab/>
        <w:t>(2)</w:t>
      </w:r>
      <w:r>
        <w:tab/>
        <w:t>A point is earned in relation to a CPD subject or a mandatory CPD topic if the CPD activity for which the point is earned relates to the subject or topic.</w:t>
      </w:r>
    </w:p>
    <w:p>
      <w:pPr>
        <w:pStyle w:val="BlankClose"/>
      </w:pPr>
    </w:p>
    <w:p>
      <w:pPr>
        <w:pStyle w:val="Heading5"/>
      </w:pPr>
      <w:bookmarkStart w:id="161" w:name="_Toc214538756"/>
      <w:bookmarkStart w:id="162" w:name="_Toc214961746"/>
      <w:r>
        <w:rPr>
          <w:rStyle w:val="CharSectno"/>
        </w:rPr>
        <w:t>35</w:t>
      </w:r>
      <w:r>
        <w:t>.</w:t>
      </w:r>
      <w:r>
        <w:tab/>
        <w:t>Regulation 4F inserted</w:t>
      </w:r>
      <w:bookmarkEnd w:id="161"/>
      <w:bookmarkEnd w:id="162"/>
    </w:p>
    <w:p>
      <w:pPr>
        <w:pStyle w:val="Subsection"/>
      </w:pPr>
      <w:r>
        <w:tab/>
      </w:r>
      <w:r>
        <w:tab/>
        <w:t>After regulation 4E insert:</w:t>
      </w:r>
    </w:p>
    <w:p>
      <w:pPr>
        <w:pStyle w:val="BlankOpen"/>
      </w:pPr>
    </w:p>
    <w:p>
      <w:pPr>
        <w:pStyle w:val="zHeading5"/>
      </w:pPr>
      <w:bookmarkStart w:id="163" w:name="_Toc214538757"/>
      <w:bookmarkStart w:id="164" w:name="_Toc214961747"/>
      <w:r>
        <w:t>4F.</w:t>
      </w:r>
      <w:r>
        <w:tab/>
        <w:t>Approval of CPD providers</w:t>
      </w:r>
      <w:bookmarkEnd w:id="163"/>
      <w:bookmarkEnd w:id="164"/>
    </w:p>
    <w:p>
      <w:pPr>
        <w:pStyle w:val="zSubsection"/>
      </w:pPr>
      <w:r>
        <w:tab/>
        <w:t>(1)</w:t>
      </w:r>
      <w:r>
        <w:tab/>
        <w:t>A person may apply, in the approved form, to the Commissioner for approval to provide CPD activities.</w:t>
      </w:r>
    </w:p>
    <w:p>
      <w:pPr>
        <w:pStyle w:val="zSubsection"/>
      </w:pPr>
      <w:r>
        <w:lastRenderedPageBreak/>
        <w:tab/>
        <w:t>(2)</w:t>
      </w:r>
      <w:r>
        <w:tab/>
        <w:t xml:space="preserve">The Commissioner may, by written notice given to the applicant — </w:t>
      </w:r>
    </w:p>
    <w:p>
      <w:pPr>
        <w:pStyle w:val="zIndenta"/>
      </w:pPr>
      <w:r>
        <w:tab/>
        <w:t>(a)</w:t>
      </w:r>
      <w:r>
        <w:tab/>
        <w:t>grant the approval; or</w:t>
      </w:r>
    </w:p>
    <w:p>
      <w:pPr>
        <w:pStyle w:val="zIndenta"/>
      </w:pPr>
      <w:r>
        <w:tab/>
        <w:t>(b)</w:t>
      </w:r>
      <w:r>
        <w:tab/>
        <w:t>refuse to grant the approval.</w:t>
      </w:r>
    </w:p>
    <w:p>
      <w:pPr>
        <w:pStyle w:val="zSubsection"/>
      </w:pPr>
      <w:r>
        <w:tab/>
        <w:t>(3)</w:t>
      </w:r>
      <w:r>
        <w:tab/>
        <w:t>The Commissioner may grant an approval under subregulation (2) if the Commissioner is satisfied that the applicant is qualified by practical or academic experience to provide educational activities that meet the requirements of regulation 4I.</w:t>
      </w:r>
    </w:p>
    <w:p>
      <w:pPr>
        <w:pStyle w:val="zSubsection"/>
      </w:pPr>
      <w:r>
        <w:tab/>
        <w:t>(4)</w:t>
      </w:r>
      <w:r>
        <w:tab/>
        <w:t>A notice given under subregulation (2)(a) of a decision to grant an approval must specify the period during which the approval has effect (which must not be more than 3 years).</w:t>
      </w:r>
    </w:p>
    <w:p>
      <w:pPr>
        <w:pStyle w:val="zSubsection"/>
      </w:pPr>
      <w:r>
        <w:tab/>
        <w:t>(5)</w:t>
      </w:r>
      <w:r>
        <w:tab/>
        <w:t>A notice given under subregulation (2)(b) of a decision to refuse to grant an approval must include the reasons for the decision.</w:t>
      </w:r>
    </w:p>
    <w:p>
      <w:pPr>
        <w:pStyle w:val="zSubsection"/>
      </w:pPr>
      <w:r>
        <w:tab/>
        <w:t>(6)</w:t>
      </w:r>
      <w:r>
        <w:tab/>
        <w:t>The Commissioner must publish a list of approved CPD providers on the Commissioner’s website.</w:t>
      </w:r>
    </w:p>
    <w:p>
      <w:pPr>
        <w:pStyle w:val="BlankClose"/>
      </w:pPr>
    </w:p>
    <w:p>
      <w:pPr>
        <w:pStyle w:val="Heading5"/>
      </w:pPr>
      <w:bookmarkStart w:id="165" w:name="_Toc214538758"/>
      <w:bookmarkStart w:id="166" w:name="_Toc214961748"/>
      <w:r>
        <w:rPr>
          <w:rStyle w:val="CharSectno"/>
        </w:rPr>
        <w:t>36</w:t>
      </w:r>
      <w:r>
        <w:t>.</w:t>
      </w:r>
      <w:r>
        <w:tab/>
        <w:t>Regulations 4G to 4K inserted</w:t>
      </w:r>
      <w:bookmarkEnd w:id="165"/>
      <w:bookmarkEnd w:id="166"/>
    </w:p>
    <w:p>
      <w:pPr>
        <w:pStyle w:val="Subsection"/>
      </w:pPr>
      <w:r>
        <w:tab/>
      </w:r>
      <w:r>
        <w:tab/>
        <w:t>After regulation 4F insert:</w:t>
      </w:r>
    </w:p>
    <w:p>
      <w:pPr>
        <w:pStyle w:val="BlankOpen"/>
      </w:pPr>
    </w:p>
    <w:p>
      <w:pPr>
        <w:pStyle w:val="zHeading5"/>
      </w:pPr>
      <w:bookmarkStart w:id="167" w:name="_Toc214538759"/>
      <w:bookmarkStart w:id="168" w:name="_Toc214961749"/>
      <w:r>
        <w:t>4G.</w:t>
      </w:r>
      <w:r>
        <w:tab/>
        <w:t>Approval of CPD topics</w:t>
      </w:r>
      <w:bookmarkEnd w:id="167"/>
      <w:bookmarkEnd w:id="168"/>
    </w:p>
    <w:p>
      <w:pPr>
        <w:pStyle w:val="zSubsection"/>
      </w:pPr>
      <w:r>
        <w:tab/>
        <w:t>(1)</w:t>
      </w:r>
      <w:r>
        <w:tab/>
        <w:t>The Commissioner must, by written notice, approve a list of CPD topics for licensees.</w:t>
      </w:r>
    </w:p>
    <w:p>
      <w:pPr>
        <w:pStyle w:val="zSubsection"/>
      </w:pPr>
      <w:r>
        <w:tab/>
        <w:t>(2)</w:t>
      </w:r>
      <w:r>
        <w:tab/>
        <w:t xml:space="preserve">A topic may be approved under subregulation (1) if the Commissioner considers that — </w:t>
      </w:r>
    </w:p>
    <w:p>
      <w:pPr>
        <w:pStyle w:val="zIndenta"/>
      </w:pPr>
      <w:r>
        <w:tab/>
        <w:t>(a)</w:t>
      </w:r>
      <w:r>
        <w:tab/>
        <w:t>the topic relates to a CPD subject; and</w:t>
      </w:r>
    </w:p>
    <w:p>
      <w:pPr>
        <w:pStyle w:val="zIndenta"/>
      </w:pPr>
      <w:r>
        <w:tab/>
        <w:t>(b)</w:t>
      </w:r>
      <w:r>
        <w:tab/>
        <w:t>the topic is relevant to a licensee’s work as a licensee; and</w:t>
      </w:r>
    </w:p>
    <w:p>
      <w:pPr>
        <w:pStyle w:val="zIndenta"/>
      </w:pPr>
      <w:r>
        <w:lastRenderedPageBreak/>
        <w:tab/>
        <w:t>(c)</w:t>
      </w:r>
      <w:r>
        <w:tab/>
        <w:t>the completion of an educational activity dealing with the topic would extend a licensee’s knowledge and skills in an area relevant to the licensee’s legal or professional obligations, professional skills or business needs.</w:t>
      </w:r>
    </w:p>
    <w:p>
      <w:pPr>
        <w:pStyle w:val="zSubsection"/>
      </w:pPr>
      <w:r>
        <w:tab/>
        <w:t>(3)</w:t>
      </w:r>
      <w:r>
        <w:tab/>
        <w:t xml:space="preserve">The notice under subregulation (1) must — </w:t>
      </w:r>
    </w:p>
    <w:p>
      <w:pPr>
        <w:pStyle w:val="zIndenta"/>
      </w:pPr>
      <w:r>
        <w:tab/>
        <w:t>(a)</w:t>
      </w:r>
      <w:r>
        <w:tab/>
        <w:t>specify the CPD subject to which each approved CPD topic relates; and</w:t>
      </w:r>
    </w:p>
    <w:p>
      <w:pPr>
        <w:pStyle w:val="zIndenta"/>
      </w:pPr>
      <w:r>
        <w:tab/>
        <w:t>(b)</w:t>
      </w:r>
      <w:r>
        <w:tab/>
        <w:t>be published on the Commissioner’s website.</w:t>
      </w:r>
    </w:p>
    <w:p>
      <w:pPr>
        <w:pStyle w:val="zHeading5"/>
      </w:pPr>
      <w:bookmarkStart w:id="169" w:name="_Toc214538760"/>
      <w:bookmarkStart w:id="170" w:name="_Toc214961750"/>
      <w:r>
        <w:t>4H.</w:t>
      </w:r>
      <w:r>
        <w:tab/>
        <w:t>Mandatory CPD topic for CPD year</w:t>
      </w:r>
      <w:bookmarkEnd w:id="169"/>
      <w:bookmarkEnd w:id="170"/>
    </w:p>
    <w:p>
      <w:pPr>
        <w:pStyle w:val="zSubsection"/>
      </w:pPr>
      <w:r>
        <w:tab/>
        <w:t>(1)</w:t>
      </w:r>
      <w:r>
        <w:tab/>
        <w:t xml:space="preserve">The Commissioner may, by written notice, specify that an approved CPD topic is a mandatory CPD topic for a CPD year for — </w:t>
      </w:r>
    </w:p>
    <w:p>
      <w:pPr>
        <w:pStyle w:val="zIndenta"/>
      </w:pPr>
      <w:r>
        <w:tab/>
        <w:t>(a)</w:t>
      </w:r>
      <w:r>
        <w:tab/>
        <w:t xml:space="preserve">licensees generally; or </w:t>
      </w:r>
    </w:p>
    <w:p>
      <w:pPr>
        <w:pStyle w:val="zIndenta"/>
      </w:pPr>
      <w:r>
        <w:tab/>
        <w:t>(b)</w:t>
      </w:r>
      <w:r>
        <w:tab/>
        <w:t>a specified class of licensees.</w:t>
      </w:r>
    </w:p>
    <w:p>
      <w:pPr>
        <w:pStyle w:val="zSubsection"/>
      </w:pPr>
      <w:r>
        <w:tab/>
        <w:t>(2)</w:t>
      </w:r>
      <w:r>
        <w:tab/>
        <w:t xml:space="preserve">An approved CPD topic may be specified as a mandatory CPD topic under subregulation (1) if the Commissioner considers that it is necessary or desirable for licensees, or licensees of the specified class, to extend their knowledge or skills in relation to the topic, including because there have been — </w:t>
      </w:r>
    </w:p>
    <w:p>
      <w:pPr>
        <w:pStyle w:val="zIndenta"/>
      </w:pPr>
      <w:r>
        <w:tab/>
        <w:t>(a)</w:t>
      </w:r>
      <w:r>
        <w:tab/>
        <w:t>legislative or regulatory changes relevant to the topic; or</w:t>
      </w:r>
    </w:p>
    <w:p>
      <w:pPr>
        <w:pStyle w:val="zIndenta"/>
      </w:pPr>
      <w:r>
        <w:tab/>
        <w:t>(b)</w:t>
      </w:r>
      <w:r>
        <w:tab/>
        <w:t>industry developments relevant to the topic; or</w:t>
      </w:r>
    </w:p>
    <w:p>
      <w:pPr>
        <w:pStyle w:val="zIndenta"/>
      </w:pPr>
      <w:r>
        <w:tab/>
        <w:t>(c)</w:t>
      </w:r>
      <w:r>
        <w:tab/>
        <w:t>instances of non</w:t>
      </w:r>
      <w:r>
        <w:noBreakHyphen/>
        <w:t>compliance or suspected non</w:t>
      </w:r>
      <w:r>
        <w:noBreakHyphen/>
        <w:t>compliance in connection with the topic.</w:t>
      </w:r>
    </w:p>
    <w:p>
      <w:pPr>
        <w:pStyle w:val="zSubsection"/>
      </w:pPr>
      <w:r>
        <w:tab/>
        <w:t>(3)</w:t>
      </w:r>
      <w:r>
        <w:tab/>
        <w:t xml:space="preserve">The notice under subregulation (1) must — </w:t>
      </w:r>
    </w:p>
    <w:p>
      <w:pPr>
        <w:pStyle w:val="zIndenta"/>
      </w:pPr>
      <w:r>
        <w:tab/>
        <w:t>(a)</w:t>
      </w:r>
      <w:r>
        <w:tab/>
        <w:t>specify the number of CPD points required to be earned in relation to the mandatory CPD topic; and</w:t>
      </w:r>
    </w:p>
    <w:p>
      <w:pPr>
        <w:pStyle w:val="zIndenta"/>
      </w:pPr>
      <w:r>
        <w:lastRenderedPageBreak/>
        <w:tab/>
        <w:t>(b)</w:t>
      </w:r>
      <w:r>
        <w:tab/>
        <w:t>be published on the Commissioner’s website before the beginning of the CPD year to which it relates.</w:t>
      </w:r>
    </w:p>
    <w:p>
      <w:pPr>
        <w:pStyle w:val="zHeading5"/>
      </w:pPr>
      <w:bookmarkStart w:id="171" w:name="_Toc214538761"/>
      <w:bookmarkStart w:id="172" w:name="_Toc214961751"/>
      <w:r>
        <w:t>4I.</w:t>
      </w:r>
      <w:r>
        <w:tab/>
        <w:t>CPD content</w:t>
      </w:r>
      <w:bookmarkEnd w:id="171"/>
      <w:bookmarkEnd w:id="172"/>
    </w:p>
    <w:p>
      <w:pPr>
        <w:pStyle w:val="zSubsection"/>
      </w:pPr>
      <w:r>
        <w:tab/>
      </w:r>
      <w:r>
        <w:tab/>
        <w:t xml:space="preserve">An educational activity meets the requirements of this regulation if it — </w:t>
      </w:r>
    </w:p>
    <w:p>
      <w:pPr>
        <w:pStyle w:val="zIndenta"/>
      </w:pPr>
      <w:r>
        <w:tab/>
        <w:t>(a)</w:t>
      </w:r>
      <w:r>
        <w:tab/>
        <w:t>is an activity of significant intellectual or practical content; and</w:t>
      </w:r>
    </w:p>
    <w:p>
      <w:pPr>
        <w:pStyle w:val="zIndenta"/>
      </w:pPr>
      <w:r>
        <w:tab/>
        <w:t>(b)</w:t>
      </w:r>
      <w:r>
        <w:tab/>
        <w:t>deals primarily with matters relating to a licensee’s work as a licensee; and</w:t>
      </w:r>
    </w:p>
    <w:p>
      <w:pPr>
        <w:pStyle w:val="zIndenta"/>
      </w:pPr>
      <w:r>
        <w:tab/>
        <w:t>(c)</w:t>
      </w:r>
      <w:r>
        <w:tab/>
        <w:t>extends a licensee’s knowledge and skills in areas that are relevant to the licensee’s legal or professional obligations, professional skills or business needs.</w:t>
      </w:r>
    </w:p>
    <w:p>
      <w:pPr>
        <w:pStyle w:val="zHeading5"/>
      </w:pPr>
      <w:bookmarkStart w:id="173" w:name="_Toc214538762"/>
      <w:bookmarkStart w:id="174" w:name="_Toc214961752"/>
      <w:r>
        <w:t>4J.</w:t>
      </w:r>
      <w:r>
        <w:tab/>
        <w:t>CPD records: providers</w:t>
      </w:r>
      <w:bookmarkEnd w:id="173"/>
      <w:bookmarkEnd w:id="174"/>
    </w:p>
    <w:p>
      <w:pPr>
        <w:pStyle w:val="zSubsection"/>
      </w:pPr>
      <w:r>
        <w:tab/>
        <w:t>(1)</w:t>
      </w:r>
      <w:r>
        <w:tab/>
        <w:t>This regulation applies if a licensee completes a CPD activity.</w:t>
      </w:r>
    </w:p>
    <w:p>
      <w:pPr>
        <w:pStyle w:val="zSubsection"/>
      </w:pPr>
      <w:r>
        <w:tab/>
        <w:t>(2)</w:t>
      </w:r>
      <w:r>
        <w:tab/>
        <w:t>The approved CPD provider in relation to the activity must give the licensee a record that confirms the licensee has completed the activity.</w:t>
      </w:r>
    </w:p>
    <w:p>
      <w:pPr>
        <w:pStyle w:val="zSubsection"/>
      </w:pPr>
      <w:r>
        <w:tab/>
        <w:t>(3)</w:t>
      </w:r>
      <w:r>
        <w:tab/>
        <w:t>The record must be provided within 14 days after the day on which the licensee completes the activity.</w:t>
      </w:r>
    </w:p>
    <w:p>
      <w:pPr>
        <w:pStyle w:val="zSubsection"/>
      </w:pPr>
      <w:r>
        <w:tab/>
        <w:t>(4)</w:t>
      </w:r>
      <w:r>
        <w:tab/>
        <w:t>The approved CPD provider must keep a copy of the record given under subregulation (2) for a period of 4 years from the day on which the licensee completes the activity.</w:t>
      </w:r>
    </w:p>
    <w:p>
      <w:pPr>
        <w:pStyle w:val="zSubsection"/>
      </w:pPr>
      <w:r>
        <w:tab/>
        <w:t>(5)</w:t>
      </w:r>
      <w:r>
        <w:tab/>
        <w:t>The Commissioner may, by written notice, require an approved CPD provider to produce a copy of the record kept under subregulation (4).</w:t>
      </w:r>
    </w:p>
    <w:p>
      <w:pPr>
        <w:pStyle w:val="zSubsection"/>
      </w:pPr>
      <w:r>
        <w:lastRenderedPageBreak/>
        <w:tab/>
        <w:t>(6)</w:t>
      </w:r>
      <w:r>
        <w:tab/>
        <w:t>A failure of an approved CPD provider to comply with this regulation may be taken into account by the Commissioner when deciding whether to grant the provider a further approval under regulation 4F(2).</w:t>
      </w:r>
    </w:p>
    <w:p>
      <w:pPr>
        <w:pStyle w:val="zHeading5"/>
      </w:pPr>
      <w:bookmarkStart w:id="175" w:name="_Toc214538763"/>
      <w:bookmarkStart w:id="176" w:name="_Toc214961753"/>
      <w:r>
        <w:t>4K.</w:t>
      </w:r>
      <w:r>
        <w:tab/>
        <w:t>CPD records: licensees</w:t>
      </w:r>
      <w:bookmarkEnd w:id="175"/>
      <w:bookmarkEnd w:id="176"/>
    </w:p>
    <w:p>
      <w:pPr>
        <w:pStyle w:val="zSubsection"/>
      </w:pPr>
      <w:r>
        <w:tab/>
        <w:t>(1)</w:t>
      </w:r>
      <w:r>
        <w:tab/>
        <w:t>A licensee must keep evidence demonstrating compliance with the educational requirements applicable to the licensee under section 41B of the Act, including any record given to the licensee under regulation 4J(2).</w:t>
      </w:r>
    </w:p>
    <w:p>
      <w:pPr>
        <w:pStyle w:val="zPenstart"/>
      </w:pPr>
      <w:r>
        <w:tab/>
        <w:t>Penalty for this subregulation: a fine of $1 000.</w:t>
      </w:r>
    </w:p>
    <w:p>
      <w:pPr>
        <w:pStyle w:val="zSubsection"/>
      </w:pPr>
      <w:r>
        <w:tab/>
        <w:t>(2)</w:t>
      </w:r>
      <w:r>
        <w:tab/>
        <w:t>The licensee must keep the evidence referred to in subregulation (1) for a period of 4 years after the last day of the CPD year to which the evidence relates.</w:t>
      </w:r>
    </w:p>
    <w:p>
      <w:pPr>
        <w:pStyle w:val="zSubsection"/>
      </w:pPr>
      <w:r>
        <w:tab/>
        <w:t>(3)</w:t>
      </w:r>
      <w:r>
        <w:tab/>
        <w:t>The Commissioner may, by written notice, require a licensee to produce, in the approved manner, the evidence required to be kept under this regulation.</w:t>
      </w:r>
    </w:p>
    <w:p>
      <w:pPr>
        <w:pStyle w:val="zSubsection"/>
      </w:pPr>
      <w:r>
        <w:tab/>
        <w:t>(4)</w:t>
      </w:r>
      <w:r>
        <w:tab/>
        <w:t>The licensee must produce the evidence unless the licensee has a reasonable excuse for not producing it.</w:t>
      </w:r>
    </w:p>
    <w:p>
      <w:pPr>
        <w:pStyle w:val="zPenstart"/>
      </w:pPr>
      <w:r>
        <w:tab/>
        <w:t>Penalty for this subregulation: a fine of $1 000.</w:t>
      </w:r>
    </w:p>
    <w:p>
      <w:pPr>
        <w:pStyle w:val="BlankClose"/>
      </w:pPr>
    </w:p>
    <w:p>
      <w:pPr>
        <w:pStyle w:val="Heading5"/>
      </w:pPr>
      <w:bookmarkStart w:id="177" w:name="_Toc214538764"/>
      <w:bookmarkStart w:id="178" w:name="_Toc214961754"/>
      <w:r>
        <w:rPr>
          <w:rStyle w:val="CharSectno"/>
        </w:rPr>
        <w:t>37</w:t>
      </w:r>
      <w:r>
        <w:t>.</w:t>
      </w:r>
      <w:r>
        <w:tab/>
        <w:t>Part 4 heading inserted</w:t>
      </w:r>
      <w:bookmarkEnd w:id="177"/>
      <w:bookmarkEnd w:id="178"/>
    </w:p>
    <w:p>
      <w:pPr>
        <w:pStyle w:val="Subsection"/>
      </w:pPr>
      <w:r>
        <w:tab/>
      </w:r>
      <w:r>
        <w:tab/>
        <w:t>Before regulation 6 insert:</w:t>
      </w:r>
    </w:p>
    <w:p>
      <w:pPr>
        <w:pStyle w:val="BlankOpen"/>
      </w:pPr>
    </w:p>
    <w:p>
      <w:pPr>
        <w:pStyle w:val="zHeading2"/>
      </w:pPr>
      <w:bookmarkStart w:id="179" w:name="_Toc214538765"/>
      <w:bookmarkStart w:id="180" w:name="_Toc214538864"/>
      <w:bookmarkStart w:id="181" w:name="_Toc214538948"/>
      <w:bookmarkStart w:id="182" w:name="_Toc214539066"/>
      <w:bookmarkStart w:id="183" w:name="_Toc214961755"/>
      <w:r>
        <w:t>Part 4 — Licensing of settlement agents</w:t>
      </w:r>
      <w:bookmarkEnd w:id="179"/>
      <w:bookmarkEnd w:id="180"/>
      <w:bookmarkEnd w:id="181"/>
      <w:bookmarkEnd w:id="182"/>
      <w:bookmarkEnd w:id="183"/>
    </w:p>
    <w:p>
      <w:pPr>
        <w:pStyle w:val="BlankClose"/>
      </w:pPr>
    </w:p>
    <w:p>
      <w:pPr>
        <w:pStyle w:val="Heading5"/>
      </w:pPr>
      <w:bookmarkStart w:id="184" w:name="_Toc214538766"/>
      <w:bookmarkStart w:id="185" w:name="_Toc214961756"/>
      <w:r>
        <w:rPr>
          <w:rStyle w:val="CharSectno"/>
        </w:rPr>
        <w:lastRenderedPageBreak/>
        <w:t>38</w:t>
      </w:r>
      <w:r>
        <w:t>.</w:t>
      </w:r>
      <w:r>
        <w:tab/>
        <w:t>Part 5 heading inserted</w:t>
      </w:r>
      <w:bookmarkEnd w:id="184"/>
      <w:bookmarkEnd w:id="185"/>
    </w:p>
    <w:p>
      <w:pPr>
        <w:pStyle w:val="Subsection"/>
        <w:keepNext/>
      </w:pPr>
      <w:r>
        <w:tab/>
      </w:r>
      <w:r>
        <w:tab/>
        <w:t>After regulation 6 insert:</w:t>
      </w:r>
    </w:p>
    <w:p>
      <w:pPr>
        <w:pStyle w:val="BlankOpen"/>
      </w:pPr>
    </w:p>
    <w:p>
      <w:pPr>
        <w:pStyle w:val="zHeading2"/>
      </w:pPr>
      <w:bookmarkStart w:id="186" w:name="_Toc214538767"/>
      <w:bookmarkStart w:id="187" w:name="_Toc214538866"/>
      <w:bookmarkStart w:id="188" w:name="_Toc214538950"/>
      <w:bookmarkStart w:id="189" w:name="_Toc214539068"/>
      <w:bookmarkStart w:id="190" w:name="_Toc214961757"/>
      <w:r>
        <w:t>Part 5 — General controls</w:t>
      </w:r>
      <w:bookmarkEnd w:id="186"/>
      <w:bookmarkEnd w:id="187"/>
      <w:bookmarkEnd w:id="188"/>
      <w:bookmarkEnd w:id="189"/>
      <w:bookmarkEnd w:id="190"/>
    </w:p>
    <w:p>
      <w:pPr>
        <w:pStyle w:val="BlankClose"/>
      </w:pPr>
    </w:p>
    <w:p>
      <w:pPr>
        <w:pStyle w:val="Heading5"/>
      </w:pPr>
      <w:bookmarkStart w:id="191" w:name="_Toc214538768"/>
      <w:bookmarkStart w:id="192" w:name="_Toc214961758"/>
      <w:r>
        <w:rPr>
          <w:rStyle w:val="CharSectno"/>
        </w:rPr>
        <w:t>39</w:t>
      </w:r>
      <w:r>
        <w:t>.</w:t>
      </w:r>
      <w:r>
        <w:tab/>
        <w:t>Part 6 heading inserted</w:t>
      </w:r>
      <w:bookmarkEnd w:id="191"/>
      <w:bookmarkEnd w:id="192"/>
    </w:p>
    <w:p>
      <w:pPr>
        <w:pStyle w:val="Subsection"/>
      </w:pPr>
      <w:r>
        <w:tab/>
      </w:r>
      <w:r>
        <w:tab/>
        <w:t>After regulation 6AA insert:</w:t>
      </w:r>
    </w:p>
    <w:p>
      <w:pPr>
        <w:pStyle w:val="BlankOpen"/>
      </w:pPr>
    </w:p>
    <w:p>
      <w:pPr>
        <w:pStyle w:val="zHeading2"/>
      </w:pPr>
      <w:bookmarkStart w:id="193" w:name="_Toc214538769"/>
      <w:bookmarkStart w:id="194" w:name="_Toc214538868"/>
      <w:bookmarkStart w:id="195" w:name="_Toc214538952"/>
      <w:bookmarkStart w:id="196" w:name="_Toc214539070"/>
      <w:bookmarkStart w:id="197" w:name="_Toc214961759"/>
      <w:r>
        <w:t>Part 6 — Trust accounts</w:t>
      </w:r>
      <w:bookmarkEnd w:id="193"/>
      <w:bookmarkEnd w:id="194"/>
      <w:bookmarkEnd w:id="195"/>
      <w:bookmarkEnd w:id="196"/>
      <w:bookmarkEnd w:id="197"/>
    </w:p>
    <w:p>
      <w:pPr>
        <w:pStyle w:val="BlankClose"/>
      </w:pPr>
    </w:p>
    <w:p>
      <w:pPr>
        <w:pStyle w:val="Heading5"/>
      </w:pPr>
      <w:bookmarkStart w:id="198" w:name="_Toc214538770"/>
      <w:bookmarkStart w:id="199" w:name="_Toc214961760"/>
      <w:r>
        <w:rPr>
          <w:rStyle w:val="CharSectno"/>
        </w:rPr>
        <w:t>40</w:t>
      </w:r>
      <w:r>
        <w:t>.</w:t>
      </w:r>
      <w:r>
        <w:tab/>
        <w:t>Regulation 6F amended</w:t>
      </w:r>
      <w:bookmarkEnd w:id="198"/>
      <w:bookmarkEnd w:id="199"/>
    </w:p>
    <w:p>
      <w:pPr>
        <w:pStyle w:val="Subsection"/>
      </w:pPr>
      <w:r>
        <w:tab/>
        <w:t>(1)</w:t>
      </w:r>
      <w:r>
        <w:tab/>
        <w:t>Before regulation 6F(1) insert:</w:t>
      </w:r>
    </w:p>
    <w:p>
      <w:pPr>
        <w:pStyle w:val="BlankOpen"/>
      </w:pPr>
    </w:p>
    <w:p>
      <w:pPr>
        <w:pStyle w:val="zSubsection"/>
      </w:pPr>
      <w:r>
        <w:tab/>
        <w:t>(1A)</w:t>
      </w:r>
      <w:r>
        <w:tab/>
        <w:t xml:space="preserve">In this regulation — </w:t>
      </w:r>
    </w:p>
    <w:p>
      <w:pPr>
        <w:pStyle w:val="zDefstart"/>
      </w:pPr>
      <w:r>
        <w:rPr>
          <w:b/>
        </w:rPr>
        <w:tab/>
      </w:r>
      <w:r>
        <w:rPr>
          <w:rStyle w:val="CharDefText"/>
        </w:rPr>
        <w:t>money record</w:t>
      </w:r>
      <w:r>
        <w:t xml:space="preserve"> means a record under section 50(1)(b) of the Act.</w:t>
      </w:r>
    </w:p>
    <w:p>
      <w:pPr>
        <w:pStyle w:val="BlankClose"/>
      </w:pPr>
    </w:p>
    <w:p>
      <w:pPr>
        <w:pStyle w:val="Subsection"/>
      </w:pPr>
      <w:r>
        <w:tab/>
        <w:t>(2)</w:t>
      </w:r>
      <w:r>
        <w:tab/>
        <w:t>In regulation 6F(1) delete “record shall be — ” and insert:</w:t>
      </w:r>
    </w:p>
    <w:p>
      <w:pPr>
        <w:pStyle w:val="BlankOpen"/>
      </w:pPr>
    </w:p>
    <w:p>
      <w:pPr>
        <w:pStyle w:val="Subsection"/>
      </w:pPr>
      <w:r>
        <w:tab/>
      </w:r>
      <w:r>
        <w:tab/>
        <w:t xml:space="preserve">money record must be — </w:t>
      </w:r>
    </w:p>
    <w:p>
      <w:pPr>
        <w:pStyle w:val="BlankClose"/>
      </w:pPr>
    </w:p>
    <w:p>
      <w:pPr>
        <w:pStyle w:val="Subsection"/>
      </w:pPr>
      <w:r>
        <w:tab/>
        <w:t>(3)</w:t>
      </w:r>
      <w:r>
        <w:tab/>
        <w:t>In regulation 6F(2) delete “record shall” and insert:</w:t>
      </w:r>
    </w:p>
    <w:p>
      <w:pPr>
        <w:pStyle w:val="BlankOpen"/>
      </w:pPr>
    </w:p>
    <w:p>
      <w:pPr>
        <w:pStyle w:val="Subsection"/>
      </w:pPr>
      <w:r>
        <w:tab/>
      </w:r>
      <w:r>
        <w:tab/>
        <w:t>money record must</w:t>
      </w:r>
    </w:p>
    <w:p>
      <w:pPr>
        <w:pStyle w:val="BlankClose"/>
      </w:pPr>
    </w:p>
    <w:p>
      <w:pPr>
        <w:pStyle w:val="Subsection"/>
        <w:keepNext/>
      </w:pPr>
      <w:r>
        <w:lastRenderedPageBreak/>
        <w:tab/>
        <w:t>(4)</w:t>
      </w:r>
      <w:r>
        <w:tab/>
        <w:t>In regulation 6F(3):</w:t>
      </w:r>
    </w:p>
    <w:p>
      <w:pPr>
        <w:pStyle w:val="Indenta"/>
        <w:keepNext/>
      </w:pPr>
      <w:r>
        <w:tab/>
        <w:t>(a)</w:t>
      </w:r>
      <w:r>
        <w:tab/>
        <w:t>delete “record shall” and insert:</w:t>
      </w:r>
    </w:p>
    <w:p>
      <w:pPr>
        <w:pStyle w:val="BlankOpen"/>
      </w:pPr>
    </w:p>
    <w:p>
      <w:pPr>
        <w:pStyle w:val="Indenta"/>
      </w:pPr>
      <w:r>
        <w:tab/>
      </w:r>
      <w:r>
        <w:tab/>
        <w:t>money record must</w:t>
      </w:r>
    </w:p>
    <w:p>
      <w:pPr>
        <w:pStyle w:val="BlankClose"/>
      </w:pPr>
    </w:p>
    <w:p>
      <w:pPr>
        <w:pStyle w:val="Indenta"/>
      </w:pPr>
      <w:r>
        <w:tab/>
        <w:t>(b)</w:t>
      </w:r>
      <w:r>
        <w:tab/>
        <w:t>delete ““record”.” and insert:</w:t>
      </w:r>
    </w:p>
    <w:p>
      <w:pPr>
        <w:pStyle w:val="BlankOpen"/>
      </w:pPr>
    </w:p>
    <w:p>
      <w:pPr>
        <w:pStyle w:val="Indenta"/>
      </w:pPr>
      <w:r>
        <w:tab/>
      </w:r>
      <w:r>
        <w:tab/>
        <w:t>“money record”.</w:t>
      </w:r>
    </w:p>
    <w:p>
      <w:pPr>
        <w:pStyle w:val="BlankClose"/>
      </w:pPr>
    </w:p>
    <w:p>
      <w:pPr>
        <w:pStyle w:val="Heading5"/>
      </w:pPr>
      <w:bookmarkStart w:id="200" w:name="_Toc214538771"/>
      <w:bookmarkStart w:id="201" w:name="_Toc214961761"/>
      <w:r>
        <w:rPr>
          <w:rStyle w:val="CharSectno"/>
        </w:rPr>
        <w:t>41</w:t>
      </w:r>
      <w:r>
        <w:t>.</w:t>
      </w:r>
      <w:r>
        <w:tab/>
        <w:t>Part 7 heading inserted</w:t>
      </w:r>
      <w:bookmarkEnd w:id="200"/>
      <w:bookmarkEnd w:id="201"/>
    </w:p>
    <w:p>
      <w:pPr>
        <w:pStyle w:val="Subsection"/>
      </w:pPr>
      <w:r>
        <w:tab/>
      </w:r>
      <w:r>
        <w:tab/>
        <w:t>After regulation 6F insert:</w:t>
      </w:r>
    </w:p>
    <w:p>
      <w:pPr>
        <w:pStyle w:val="BlankOpen"/>
      </w:pPr>
    </w:p>
    <w:p>
      <w:pPr>
        <w:pStyle w:val="zHeading2"/>
      </w:pPr>
      <w:bookmarkStart w:id="202" w:name="_Toc214538772"/>
      <w:bookmarkStart w:id="203" w:name="_Toc214538871"/>
      <w:bookmarkStart w:id="204" w:name="_Toc214538955"/>
      <w:bookmarkStart w:id="205" w:name="_Toc214539073"/>
      <w:bookmarkStart w:id="206" w:name="_Toc214961762"/>
      <w:r>
        <w:t>Part 7 — Miscellaneous</w:t>
      </w:r>
      <w:bookmarkEnd w:id="202"/>
      <w:bookmarkEnd w:id="203"/>
      <w:bookmarkEnd w:id="204"/>
      <w:bookmarkEnd w:id="205"/>
      <w:bookmarkEnd w:id="206"/>
    </w:p>
    <w:p>
      <w:pPr>
        <w:pStyle w:val="BlankClose"/>
      </w:pPr>
    </w:p>
    <w:p>
      <w:pPr>
        <w:pStyle w:val="Heading5"/>
      </w:pPr>
      <w:bookmarkStart w:id="207" w:name="_Toc214538773"/>
      <w:bookmarkStart w:id="208" w:name="_Toc214961763"/>
      <w:r>
        <w:rPr>
          <w:rStyle w:val="CharSectno"/>
        </w:rPr>
        <w:t>42</w:t>
      </w:r>
      <w:r>
        <w:t>.</w:t>
      </w:r>
      <w:r>
        <w:tab/>
        <w:t>Regulation 15 amended</w:t>
      </w:r>
      <w:bookmarkEnd w:id="207"/>
      <w:bookmarkEnd w:id="208"/>
    </w:p>
    <w:p>
      <w:pPr>
        <w:pStyle w:val="Subsection"/>
      </w:pPr>
      <w:r>
        <w:tab/>
      </w:r>
      <w:r>
        <w:tab/>
        <w:t>Delete regulation 15(2B) and insert:</w:t>
      </w:r>
    </w:p>
    <w:p>
      <w:pPr>
        <w:pStyle w:val="BlankOpen"/>
      </w:pPr>
    </w:p>
    <w:p>
      <w:pPr>
        <w:pStyle w:val="zSubsection"/>
      </w:pPr>
      <w:r>
        <w:tab/>
        <w:t>(2B)</w:t>
      </w:r>
      <w:r>
        <w:tab/>
        <w:t xml:space="preserve">The offences specified in Schedule 5 Part 3 are offences for which an infringement notice may be issued under the </w:t>
      </w:r>
      <w:r>
        <w:rPr>
          <w:i/>
        </w:rPr>
        <w:t>Criminal Procedure Act 2004</w:t>
      </w:r>
      <w:r>
        <w:t xml:space="preserve"> Part 2.</w:t>
      </w:r>
    </w:p>
    <w:p>
      <w:pPr>
        <w:pStyle w:val="BlankClose"/>
      </w:pPr>
    </w:p>
    <w:p>
      <w:pPr>
        <w:pStyle w:val="Heading5"/>
      </w:pPr>
      <w:bookmarkStart w:id="209" w:name="_Toc214538774"/>
      <w:bookmarkStart w:id="210" w:name="_Toc214961764"/>
      <w:r>
        <w:rPr>
          <w:rStyle w:val="CharSectno"/>
        </w:rPr>
        <w:t>43</w:t>
      </w:r>
      <w:r>
        <w:t>.</w:t>
      </w:r>
      <w:r>
        <w:tab/>
        <w:t>Part 8 heading inserted</w:t>
      </w:r>
      <w:bookmarkEnd w:id="209"/>
      <w:bookmarkEnd w:id="210"/>
    </w:p>
    <w:p>
      <w:pPr>
        <w:pStyle w:val="Subsection"/>
      </w:pPr>
      <w:r>
        <w:tab/>
      </w:r>
      <w:r>
        <w:tab/>
        <w:t>After regulation 16 insert:</w:t>
      </w:r>
    </w:p>
    <w:p>
      <w:pPr>
        <w:pStyle w:val="BlankOpen"/>
      </w:pPr>
    </w:p>
    <w:p>
      <w:pPr>
        <w:pStyle w:val="zHeading2"/>
      </w:pPr>
      <w:bookmarkStart w:id="211" w:name="_Toc214538775"/>
      <w:bookmarkStart w:id="212" w:name="_Toc214538874"/>
      <w:bookmarkStart w:id="213" w:name="_Toc214538958"/>
      <w:bookmarkStart w:id="214" w:name="_Toc214539076"/>
      <w:bookmarkStart w:id="215" w:name="_Toc214961765"/>
      <w:r>
        <w:t>Part 8 — Transitional provisions</w:t>
      </w:r>
      <w:bookmarkEnd w:id="211"/>
      <w:bookmarkEnd w:id="212"/>
      <w:bookmarkEnd w:id="213"/>
      <w:bookmarkEnd w:id="214"/>
      <w:bookmarkEnd w:id="215"/>
    </w:p>
    <w:p>
      <w:pPr>
        <w:pStyle w:val="BlankClose"/>
      </w:pPr>
    </w:p>
    <w:p>
      <w:pPr>
        <w:pStyle w:val="Heading5"/>
      </w:pPr>
      <w:bookmarkStart w:id="216" w:name="_Toc214538776"/>
      <w:bookmarkStart w:id="217" w:name="_Toc214961766"/>
      <w:r>
        <w:rPr>
          <w:rStyle w:val="CharSectno"/>
        </w:rPr>
        <w:lastRenderedPageBreak/>
        <w:t>44</w:t>
      </w:r>
      <w:r>
        <w:t>.</w:t>
      </w:r>
      <w:r>
        <w:tab/>
        <w:t>Regulation 19 inserted</w:t>
      </w:r>
      <w:bookmarkEnd w:id="216"/>
      <w:bookmarkEnd w:id="217"/>
    </w:p>
    <w:p>
      <w:pPr>
        <w:pStyle w:val="Subsection"/>
      </w:pPr>
      <w:r>
        <w:tab/>
      </w:r>
      <w:r>
        <w:tab/>
        <w:t>After regulation 18 insert:</w:t>
      </w:r>
    </w:p>
    <w:p>
      <w:pPr>
        <w:pStyle w:val="BlankOpen"/>
      </w:pPr>
    </w:p>
    <w:p>
      <w:pPr>
        <w:pStyle w:val="zHeading5"/>
      </w:pPr>
      <w:bookmarkStart w:id="218" w:name="_Toc214538777"/>
      <w:bookmarkStart w:id="219" w:name="_Toc214961767"/>
      <w:r>
        <w:t>19.</w:t>
      </w:r>
      <w:r>
        <w:tab/>
        <w:t xml:space="preserve">Transitional regulation for </w:t>
      </w:r>
      <w:r>
        <w:rPr>
          <w:i/>
        </w:rPr>
        <w:t>Commerce Regulations Amendment (Real Estate, Business and Settlement Agents) Regulations 2025</w:t>
      </w:r>
      <w:bookmarkEnd w:id="218"/>
      <w:bookmarkEnd w:id="219"/>
    </w:p>
    <w:p>
      <w:pPr>
        <w:pStyle w:val="zSubsection"/>
      </w:pPr>
      <w:r>
        <w:tab/>
        <w:t>(1)</w:t>
      </w:r>
      <w:r>
        <w:tab/>
        <w:t xml:space="preserve">In this regulation — </w:t>
      </w:r>
    </w:p>
    <w:p>
      <w:pPr>
        <w:pStyle w:val="zDefstart"/>
      </w:pPr>
      <w:r>
        <w:tab/>
      </w:r>
      <w:r>
        <w:rPr>
          <w:rStyle w:val="CharDefText"/>
        </w:rPr>
        <w:t>commencement day</w:t>
      </w:r>
      <w:r>
        <w:t xml:space="preserve"> means 1 January 2026.</w:t>
      </w:r>
    </w:p>
    <w:p>
      <w:pPr>
        <w:pStyle w:val="zSubsection"/>
      </w:pPr>
      <w:r>
        <w:tab/>
        <w:t>(2)</w:t>
      </w:r>
      <w:r>
        <w:tab/>
        <w:t>If a licensee completes a CPD activity in the period beginning on commencement day and ending on 31 March 2026, the activity is counted towards the educational requirements applicable to the licensee under section 41B of the Act for the CPD year beginning on 1 April 2026.</w:t>
      </w:r>
    </w:p>
    <w:p>
      <w:pPr>
        <w:pStyle w:val="zSubsection"/>
      </w:pPr>
      <w:r>
        <w:tab/>
        <w:t>(3)</w:t>
      </w:r>
      <w:r>
        <w:tab/>
        <w:t>The reference in regulation 4F(1) to CPD activities is, before commencement day, a reference to that term as defined in regulation 2 as it will be in force on commencement day.</w:t>
      </w:r>
    </w:p>
    <w:p>
      <w:pPr>
        <w:pStyle w:val="zSubsection"/>
        <w:rPr>
          <w:rStyle w:val="DraftersNotes"/>
          <w:b w:val="0"/>
          <w:i w:val="0"/>
          <w:sz w:val="24"/>
        </w:rPr>
      </w:pPr>
      <w:r>
        <w:tab/>
        <w:t>(4)</w:t>
      </w:r>
      <w:r>
        <w:tab/>
        <w:t>The reference in regulation 4F(3) to regulation 4I is, before commencement day, a reference to that regulation as it will be in force on commencement day.</w:t>
      </w:r>
    </w:p>
    <w:p>
      <w:pPr>
        <w:pStyle w:val="BlankClose"/>
      </w:pPr>
    </w:p>
    <w:p>
      <w:pPr>
        <w:pStyle w:val="Heading5"/>
      </w:pPr>
      <w:bookmarkStart w:id="220" w:name="_Toc214538778"/>
      <w:bookmarkStart w:id="221" w:name="_Toc214961768"/>
      <w:r>
        <w:rPr>
          <w:rStyle w:val="CharSectno"/>
        </w:rPr>
        <w:t>45</w:t>
      </w:r>
      <w:r>
        <w:t>.</w:t>
      </w:r>
      <w:r>
        <w:tab/>
        <w:t>Schedule 1A deleted</w:t>
      </w:r>
      <w:bookmarkEnd w:id="220"/>
      <w:bookmarkEnd w:id="221"/>
    </w:p>
    <w:p>
      <w:pPr>
        <w:pStyle w:val="Subsection"/>
      </w:pPr>
      <w:r>
        <w:tab/>
      </w:r>
      <w:r>
        <w:tab/>
        <w:t>Delete Schedule 1A.</w:t>
      </w:r>
    </w:p>
    <w:p>
      <w:pPr>
        <w:pStyle w:val="Heading5"/>
      </w:pPr>
      <w:bookmarkStart w:id="222" w:name="_Toc214538779"/>
      <w:bookmarkStart w:id="223" w:name="_Toc214961769"/>
      <w:r>
        <w:rPr>
          <w:rStyle w:val="CharSectno"/>
        </w:rPr>
        <w:lastRenderedPageBreak/>
        <w:t>46</w:t>
      </w:r>
      <w:r>
        <w:t>.</w:t>
      </w:r>
      <w:r>
        <w:tab/>
        <w:t>Schedule 5 amended</w:t>
      </w:r>
      <w:bookmarkEnd w:id="222"/>
      <w:bookmarkEnd w:id="223"/>
    </w:p>
    <w:p>
      <w:pPr>
        <w:pStyle w:val="Subsection"/>
        <w:keepNext/>
      </w:pPr>
      <w:r>
        <w:tab/>
      </w:r>
      <w:r>
        <w:tab/>
        <w:t>Delete Schedule 5 Part 3 and insert:</w:t>
      </w:r>
    </w:p>
    <w:p>
      <w:pPr>
        <w:pStyle w:val="BlankOpen"/>
      </w:pPr>
    </w:p>
    <w:p>
      <w:pPr>
        <w:pStyle w:val="zyHeading3"/>
        <w:rPr>
          <w:rStyle w:val="CharSDivText"/>
        </w:rPr>
      </w:pPr>
      <w:bookmarkStart w:id="224" w:name="_Toc214538780"/>
      <w:bookmarkStart w:id="225" w:name="_Toc214538879"/>
      <w:bookmarkStart w:id="226" w:name="_Toc214538963"/>
      <w:bookmarkStart w:id="227" w:name="_Toc214539081"/>
      <w:bookmarkStart w:id="228" w:name="_Toc214961770"/>
      <w:r>
        <w:rPr>
          <w:rStyle w:val="CharSDivNo"/>
        </w:rPr>
        <w:t>Part 3</w:t>
      </w:r>
      <w:r>
        <w:t> — </w:t>
      </w:r>
      <w:r>
        <w:rPr>
          <w:rStyle w:val="CharSDivText"/>
        </w:rPr>
        <w:t>Other offences</w:t>
      </w:r>
      <w:bookmarkEnd w:id="224"/>
      <w:bookmarkEnd w:id="225"/>
      <w:bookmarkEnd w:id="226"/>
      <w:bookmarkEnd w:id="227"/>
      <w:bookmarkEnd w:id="228"/>
    </w:p>
    <w:tbl>
      <w:tblPr>
        <w:tblW w:w="0" w:type="auto"/>
        <w:tblInd w:w="908" w:type="dxa"/>
        <w:tblLayout w:type="fixed"/>
        <w:tblCellMar>
          <w:left w:w="57" w:type="dxa"/>
          <w:right w:w="57" w:type="dxa"/>
        </w:tblCellMar>
        <w:tblLook w:val="0000" w:firstRow="0" w:lastRow="0" w:firstColumn="0" w:lastColumn="0" w:noHBand="0" w:noVBand="0"/>
      </w:tblPr>
      <w:tblGrid>
        <w:gridCol w:w="3685"/>
        <w:gridCol w:w="2127"/>
      </w:tblGrid>
      <w:tr>
        <w:trPr>
          <w:cantSplit/>
          <w:trHeight w:val="21"/>
        </w:trPr>
        <w:tc>
          <w:tcPr>
            <w:tcW w:w="3685" w:type="dxa"/>
            <w:tcBorders>
              <w:top w:val="single" w:sz="4" w:space="0" w:color="auto"/>
              <w:bottom w:val="single" w:sz="4" w:space="0" w:color="auto"/>
            </w:tcBorders>
            <w:noWrap/>
          </w:tcPr>
          <w:p>
            <w:pPr>
              <w:pStyle w:val="zyTableNAm"/>
              <w:rPr>
                <w:b/>
                <w:bCs/>
              </w:rPr>
            </w:pPr>
            <w:r>
              <w:rPr>
                <w:b/>
                <w:bCs/>
              </w:rPr>
              <w:t xml:space="preserve">Provision of the </w:t>
            </w:r>
            <w:r>
              <w:rPr>
                <w:b/>
                <w:bCs/>
                <w:i/>
                <w:iCs/>
              </w:rPr>
              <w:t>Settlement Agents Act 1981</w:t>
            </w:r>
          </w:p>
        </w:tc>
        <w:tc>
          <w:tcPr>
            <w:tcW w:w="2127" w:type="dxa"/>
            <w:tcBorders>
              <w:top w:val="single" w:sz="4" w:space="0" w:color="auto"/>
              <w:bottom w:val="single" w:sz="4" w:space="0" w:color="auto"/>
            </w:tcBorders>
            <w:noWrap/>
          </w:tcPr>
          <w:p>
            <w:pPr>
              <w:pStyle w:val="zyTableNAm"/>
              <w:rPr>
                <w:b/>
                <w:bCs/>
              </w:rPr>
            </w:pPr>
            <w:r>
              <w:rPr>
                <w:b/>
                <w:bCs/>
              </w:rPr>
              <w:t>Modified Penalty</w:t>
            </w:r>
          </w:p>
        </w:tc>
      </w:tr>
      <w:tr>
        <w:trPr>
          <w:cantSplit/>
          <w:trHeight w:val="21"/>
        </w:trPr>
        <w:tc>
          <w:tcPr>
            <w:tcW w:w="3685" w:type="dxa"/>
            <w:tcBorders>
              <w:top w:val="single" w:sz="4" w:space="0" w:color="auto"/>
              <w:bottom w:val="single" w:sz="4" w:space="0" w:color="auto"/>
            </w:tcBorders>
            <w:noWrap/>
          </w:tcPr>
          <w:p>
            <w:pPr>
              <w:pStyle w:val="zyTableNAm"/>
            </w:pPr>
            <w:r>
              <w:t>s. 41B</w:t>
            </w:r>
          </w:p>
        </w:tc>
        <w:tc>
          <w:tcPr>
            <w:tcW w:w="2127" w:type="dxa"/>
            <w:tcBorders>
              <w:top w:val="single" w:sz="4" w:space="0" w:color="auto"/>
              <w:bottom w:val="single" w:sz="4" w:space="0" w:color="auto"/>
            </w:tcBorders>
            <w:noWrap/>
          </w:tcPr>
          <w:p>
            <w:pPr>
              <w:pStyle w:val="zyTableNAm"/>
            </w:pPr>
            <w:r>
              <w:t>$1 000</w:t>
            </w:r>
          </w:p>
        </w:tc>
      </w:tr>
      <w:tr>
        <w:trPr>
          <w:cantSplit/>
          <w:trHeight w:val="21"/>
        </w:trPr>
        <w:tc>
          <w:tcPr>
            <w:tcW w:w="3685" w:type="dxa"/>
            <w:tcBorders>
              <w:top w:val="single" w:sz="4" w:space="0" w:color="auto"/>
              <w:bottom w:val="single" w:sz="4" w:space="0" w:color="auto"/>
            </w:tcBorders>
            <w:noWrap/>
          </w:tcPr>
          <w:p>
            <w:pPr>
              <w:pStyle w:val="zyTableNAm"/>
              <w:rPr>
                <w:b/>
              </w:rPr>
            </w:pPr>
            <w:r>
              <w:rPr>
                <w:b/>
              </w:rPr>
              <w:t xml:space="preserve">Provision of the </w:t>
            </w:r>
            <w:r>
              <w:rPr>
                <w:b/>
                <w:i/>
              </w:rPr>
              <w:t>Settlement Agents Regulations 1982</w:t>
            </w:r>
          </w:p>
        </w:tc>
        <w:tc>
          <w:tcPr>
            <w:tcW w:w="2127" w:type="dxa"/>
            <w:tcBorders>
              <w:top w:val="single" w:sz="4" w:space="0" w:color="auto"/>
              <w:bottom w:val="single" w:sz="4" w:space="0" w:color="auto"/>
            </w:tcBorders>
            <w:noWrap/>
          </w:tcPr>
          <w:p>
            <w:pPr>
              <w:pStyle w:val="zyTableNAm"/>
              <w:rPr>
                <w:b/>
              </w:rPr>
            </w:pPr>
            <w:r>
              <w:rPr>
                <w:b/>
              </w:rPr>
              <w:t>Modified Penalty</w:t>
            </w:r>
          </w:p>
        </w:tc>
      </w:tr>
      <w:tr>
        <w:trPr>
          <w:cantSplit/>
          <w:trHeight w:val="21"/>
        </w:trPr>
        <w:tc>
          <w:tcPr>
            <w:tcW w:w="3685" w:type="dxa"/>
            <w:tcBorders>
              <w:top w:val="single" w:sz="4" w:space="0" w:color="auto"/>
            </w:tcBorders>
            <w:noWrap/>
          </w:tcPr>
          <w:p>
            <w:pPr>
              <w:pStyle w:val="zyTableNAm"/>
            </w:pPr>
            <w:r>
              <w:t>r. 4K(1)</w:t>
            </w:r>
          </w:p>
        </w:tc>
        <w:tc>
          <w:tcPr>
            <w:tcW w:w="2127" w:type="dxa"/>
            <w:tcBorders>
              <w:top w:val="single" w:sz="4" w:space="0" w:color="auto"/>
            </w:tcBorders>
            <w:noWrap/>
          </w:tcPr>
          <w:p>
            <w:pPr>
              <w:pStyle w:val="zyTableNAm"/>
            </w:pPr>
            <w:r>
              <w:t>$200</w:t>
            </w:r>
          </w:p>
        </w:tc>
      </w:tr>
      <w:tr>
        <w:trPr>
          <w:cantSplit/>
          <w:trHeight w:val="21"/>
        </w:trPr>
        <w:tc>
          <w:tcPr>
            <w:tcW w:w="3685" w:type="dxa"/>
            <w:tcBorders>
              <w:bottom w:val="single" w:sz="4" w:space="0" w:color="auto"/>
            </w:tcBorders>
            <w:noWrap/>
          </w:tcPr>
          <w:p>
            <w:pPr>
              <w:pStyle w:val="zyTableNAm"/>
            </w:pPr>
            <w:r>
              <w:t>r. 4K(4)</w:t>
            </w:r>
          </w:p>
        </w:tc>
        <w:tc>
          <w:tcPr>
            <w:tcW w:w="2127" w:type="dxa"/>
            <w:tcBorders>
              <w:bottom w:val="single" w:sz="4" w:space="0" w:color="auto"/>
            </w:tcBorders>
            <w:noWrap/>
          </w:tcPr>
          <w:p>
            <w:pPr>
              <w:pStyle w:val="zyTableNAm"/>
            </w:pPr>
            <w:r>
              <w:t>$200</w:t>
            </w:r>
          </w:p>
        </w:tc>
      </w:tr>
    </w:tbl>
    <w:p>
      <w:pPr>
        <w:pStyle w:val="BlankClose"/>
      </w:pPr>
    </w:p>
    <w:p>
      <w:pPr>
        <w:pStyle w:val="Heading5"/>
      </w:pPr>
      <w:bookmarkStart w:id="229" w:name="_Toc214538781"/>
      <w:bookmarkStart w:id="230" w:name="_Toc214961771"/>
      <w:r>
        <w:rPr>
          <w:rStyle w:val="CharSectno"/>
        </w:rPr>
        <w:t>47</w:t>
      </w:r>
      <w:r>
        <w:t>.</w:t>
      </w:r>
      <w:r>
        <w:tab/>
        <w:t>Schedule 6 amended</w:t>
      </w:r>
      <w:bookmarkEnd w:id="229"/>
      <w:bookmarkEnd w:id="230"/>
    </w:p>
    <w:p>
      <w:pPr>
        <w:pStyle w:val="Subsection"/>
        <w:rPr>
          <w:szCs w:val="24"/>
        </w:rPr>
      </w:pPr>
      <w:r>
        <w:tab/>
      </w:r>
      <w:r>
        <w:tab/>
        <w:t>In Schedule 6 Forms 1 and 2 delete “</w:t>
      </w:r>
      <w:r>
        <w:rPr>
          <w:sz w:val="22"/>
        </w:rPr>
        <w:t>Mines,</w:t>
      </w:r>
      <w:r>
        <w:rPr>
          <w:szCs w:val="24"/>
        </w:rPr>
        <w:t>” (each occurrence) and insert:</w:t>
      </w:r>
    </w:p>
    <w:p>
      <w:pPr>
        <w:pStyle w:val="BlankOpen"/>
      </w:pPr>
    </w:p>
    <w:p>
      <w:pPr>
        <w:pStyle w:val="Subsection"/>
        <w:rPr>
          <w:sz w:val="22"/>
          <w:szCs w:val="22"/>
        </w:rPr>
      </w:pPr>
      <w:r>
        <w:tab/>
      </w:r>
      <w:r>
        <w:tab/>
      </w:r>
      <w:r>
        <w:rPr>
          <w:sz w:val="22"/>
          <w:szCs w:val="22"/>
        </w:rPr>
        <w:t xml:space="preserve">Local Government, </w:t>
      </w:r>
    </w:p>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K. COLLERAN,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2025/194</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Nov 2025</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2025/194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Nov 2025</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2025/194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Nov 2025</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2025/194</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Nov 2025</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2025/194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Nov 2025</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2025/194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Nov 2025</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Commerce Regulations Amendment (Real Estate, Business and Settlement Agents) Regulations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Commerce Regulations Amendment (Real Estate, Business and Settlement Agents) Regulations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Commerce Regulations Amendment (Real Estate, Business and Settlement Agents) Regulations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Commerce Regulations Amendment (Real Estate, Business and Settlement Agents) Regulations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1" w:name="Coversheet"/>
    <w:bookmarkEnd w:id="2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8"/>
  </w:num>
  <w:num w:numId="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915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1120134355"/>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11041536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104153612_GUID" w:val="d4d99238-4b6c-45d1-9ac2-7b68961a84d4"/>
    <w:docVar w:name="WAFER_202511041540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104154032_GUID" w:val="6c2d141c-1930-4e73-9876-c6cae20255ac"/>
    <w:docVar w:name="WAFER_202511131235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113123526_GUID" w:val="17c537c2-e72d-476a-b84f-b5383233e62d"/>
    <w:docVar w:name="WAFER_202511201343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1120134355_GUID" w:val="5f143bf7-9d4e-4758-b3cc-03a1a04959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5:docId w15:val="{E8B1F3F6-4F77-499A-A088-563D1671E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5415</Words>
  <Characters>27946</Characters>
  <Application>Microsoft Office Word</Application>
  <DocSecurity>0</DocSecurity>
  <Lines>1164</Lines>
  <Paragraphs>794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Commerce Regulations Amendment (Real Estate, Business and Settlement Agents) Regulations 2025 - 00-00-00</dc:title>
  <dc:subject/>
  <dc:creator/>
  <cp:keywords/>
  <dc:description/>
  <cp:lastModifiedBy>Master Repository Process</cp:lastModifiedBy>
  <cp:revision>4</cp:revision>
  <cp:lastPrinted>2021-03-14T07:59:00Z</cp:lastPrinted>
  <dcterms:created xsi:type="dcterms:W3CDTF">2025-11-25T03:42:00Z</dcterms:created>
  <dcterms:modified xsi:type="dcterms:W3CDTF">2025-11-25T03:42:00Z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55230</vt:lpwstr>
  </property>
  <property fmtid="{D5CDD505-2E9C-101B-9397-08002B2CF9AE}" pid="3" name="DocumentType">
    <vt:lpwstr>Reg</vt:lpwstr>
  </property>
  <property fmtid="{D5CDD505-2E9C-101B-9397-08002B2CF9AE}" pid="4" name="AsAtDate">
    <vt:lpwstr>26 Nov 2025</vt:lpwstr>
  </property>
  <property fmtid="{D5CDD505-2E9C-101B-9397-08002B2CF9AE}" pid="5" name="Suffix">
    <vt:lpwstr>00-00-00</vt:lpwstr>
  </property>
  <property fmtid="{D5CDD505-2E9C-101B-9397-08002B2CF9AE}" pid="6" name="Official">
    <vt:lpwstr/>
  </property>
  <property fmtid="{D5CDD505-2E9C-101B-9397-08002B2CF9AE}" pid="7" name="SLAPId">
    <vt:lpwstr>2025/194</vt:lpwstr>
  </property>
  <property fmtid="{D5CDD505-2E9C-101B-9397-08002B2CF9AE}" pid="8" name="PublishDate">
    <vt:lpwstr>26 Nov 2025</vt:lpwstr>
  </property>
  <property fmtid="{D5CDD505-2E9C-101B-9397-08002B2CF9AE}" pid="9" name="CommencementDate">
    <vt:lpwstr>20251126</vt:lpwstr>
  </property>
  <property fmtid="{D5CDD505-2E9C-101B-9397-08002B2CF9AE}" pid="10" name="CommencementAsAt">
    <vt:filetime>2025-11-25T16:00:00Z</vt:filetime>
  </property>
  <property fmtid="{D5CDD505-2E9C-101B-9397-08002B2CF9AE}" pid="11" name="CommencementYear">
    <vt:lpwstr>2025</vt:lpwstr>
  </property>
</Properties>
</file>