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Children and Community Services Act 2004</w:t>
      </w:r>
      <w:r>
        <w:fldChar w:fldCharType="end"/>
      </w:r>
    </w:p>
    <w:p>
      <w:pPr>
        <w:pStyle w:val="NameofActRegPage1"/>
        <w:spacing w:before="1800" w:after="4200"/>
        <w:ind w:left="284" w:right="151"/>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ind w:left="284" w:right="284"/>
      </w:pPr>
      <w:r>
        <w:fldChar w:fldCharType="begin"/>
      </w:r>
      <w:r>
        <w:instrText xml:space="preserve"> STYLEREF "Name Of Act/Reg"</w:instrText>
      </w:r>
      <w:r>
        <w:fldChar w:fldCharType="separate"/>
      </w:r>
      <w:r>
        <w:rPr>
          <w:noProof/>
        </w:rPr>
        <w:t>Children and Community Services Regulations 2006</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_Toc214956456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_Toc214956457 \h </w:instrText>
      </w:r>
      <w:r>
        <w:fldChar w:fldCharType="separate"/>
      </w:r>
      <w:r>
        <w:t>1</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_Toc214956458 \h </w:instrText>
      </w:r>
      <w:r>
        <w:fldChar w:fldCharType="separate"/>
      </w:r>
      <w:r>
        <w:t>1</w:t>
      </w:r>
      <w:r>
        <w:fldChar w:fldCharType="end"/>
      </w:r>
    </w:p>
    <w:p>
      <w:pPr>
        <w:pStyle w:val="TOC2"/>
        <w:tabs>
          <w:tab w:val="right" w:leader="dot" w:pos="7077"/>
        </w:tabs>
        <w:rPr>
          <w:rFonts w:asciiTheme="minorHAnsi" w:eastAsiaTheme="minorEastAsia" w:hAnsiTheme="minorHAnsi" w:cstheme="minorBidi"/>
          <w:b w:val="0"/>
          <w:sz w:val="22"/>
          <w:szCs w:val="22"/>
        </w:rPr>
      </w:pPr>
      <w:r>
        <w:t>Part 2 — Children in the CEO’s care</w:t>
      </w:r>
    </w:p>
    <w:p>
      <w:pPr>
        <w:pStyle w:val="TOC8"/>
        <w:rPr>
          <w:rFonts w:asciiTheme="minorHAnsi" w:eastAsiaTheme="minorEastAsia" w:hAnsiTheme="minorHAnsi" w:cstheme="minorBidi"/>
          <w:szCs w:val="22"/>
        </w:rPr>
      </w:pPr>
      <w:r>
        <w:t>4.</w:t>
      </w:r>
      <w:r>
        <w:tab/>
        <w:t>Approval of carers (Act s. 79(2)(a)(i))</w:t>
      </w:r>
      <w:r>
        <w:tab/>
      </w:r>
      <w:r>
        <w:fldChar w:fldCharType="begin"/>
      </w:r>
      <w:r>
        <w:instrText xml:space="preserve"> PAGEREF _Toc214956460 \h </w:instrText>
      </w:r>
      <w:r>
        <w:fldChar w:fldCharType="separate"/>
      </w:r>
      <w:r>
        <w:t>2</w:t>
      </w:r>
      <w:r>
        <w:fldChar w:fldCharType="end"/>
      </w:r>
    </w:p>
    <w:p>
      <w:pPr>
        <w:pStyle w:val="TOC8"/>
        <w:rPr>
          <w:rFonts w:asciiTheme="minorHAnsi" w:eastAsiaTheme="minorEastAsia" w:hAnsiTheme="minorHAnsi" w:cstheme="minorBidi"/>
          <w:szCs w:val="22"/>
        </w:rPr>
      </w:pPr>
      <w:r>
        <w:t>4A.</w:t>
      </w:r>
      <w:r>
        <w:tab/>
        <w:t>Interim placement arrangements (Act s. 79(2)(a)(iv))</w:t>
      </w:r>
      <w:r>
        <w:tab/>
      </w:r>
      <w:r>
        <w:fldChar w:fldCharType="begin"/>
      </w:r>
      <w:r>
        <w:instrText xml:space="preserve"> PAGEREF _Toc214956461 \h </w:instrText>
      </w:r>
      <w:r>
        <w:fldChar w:fldCharType="separate"/>
      </w:r>
      <w:r>
        <w:t>3</w:t>
      </w:r>
      <w:r>
        <w:fldChar w:fldCharType="end"/>
      </w:r>
    </w:p>
    <w:p>
      <w:pPr>
        <w:pStyle w:val="TOC8"/>
        <w:rPr>
          <w:rFonts w:asciiTheme="minorHAnsi" w:eastAsiaTheme="minorEastAsia" w:hAnsiTheme="minorHAnsi" w:cstheme="minorBidi"/>
          <w:szCs w:val="22"/>
        </w:rPr>
      </w:pPr>
      <w:r>
        <w:t>4AA.</w:t>
      </w:r>
      <w:r>
        <w:tab/>
        <w:t xml:space="preserve">Prescribed offices and positions (Act s. 124A </w:t>
      </w:r>
      <w:r>
        <w:rPr>
          <w:i/>
        </w:rPr>
        <w:t>departmental officer</w:t>
      </w:r>
      <w:r>
        <w:t>)</w:t>
      </w:r>
      <w:r>
        <w:tab/>
      </w:r>
      <w:r>
        <w:fldChar w:fldCharType="begin"/>
      </w:r>
      <w:r>
        <w:instrText xml:space="preserve"> PAGEREF _Toc214956462 \h </w:instrText>
      </w:r>
      <w:r>
        <w:fldChar w:fldCharType="separate"/>
      </w:r>
      <w:r>
        <w:t>4</w:t>
      </w:r>
      <w:r>
        <w:fldChar w:fldCharType="end"/>
      </w:r>
    </w:p>
    <w:p>
      <w:pPr>
        <w:pStyle w:val="TOC8"/>
        <w:rPr>
          <w:rFonts w:asciiTheme="minorHAnsi" w:eastAsiaTheme="minorEastAsia" w:hAnsiTheme="minorHAnsi" w:cstheme="minorBidi"/>
          <w:szCs w:val="22"/>
        </w:rPr>
      </w:pPr>
      <w:r>
        <w:t>4B.</w:t>
      </w:r>
      <w:r>
        <w:tab/>
        <w:t xml:space="preserve">Prescribed course (Act s. 124A </w:t>
      </w:r>
      <w:r>
        <w:rPr>
          <w:i/>
        </w:rPr>
        <w:t>teacher</w:t>
      </w:r>
      <w:r>
        <w:t>)</w:t>
      </w:r>
      <w:r>
        <w:tab/>
      </w:r>
      <w:r>
        <w:fldChar w:fldCharType="begin"/>
      </w:r>
      <w:r>
        <w:instrText xml:space="preserve"> PAGEREF _Toc214956463 \h </w:instrText>
      </w:r>
      <w:r>
        <w:fldChar w:fldCharType="separate"/>
      </w:r>
      <w:r>
        <w:t>5</w:t>
      </w:r>
      <w:r>
        <w:fldChar w:fldCharType="end"/>
      </w:r>
    </w:p>
    <w:p>
      <w:pPr>
        <w:pStyle w:val="TOC8"/>
        <w:rPr>
          <w:rFonts w:asciiTheme="minorHAnsi" w:eastAsiaTheme="minorEastAsia" w:hAnsiTheme="minorHAnsi" w:cstheme="minorBidi"/>
          <w:szCs w:val="22"/>
        </w:rPr>
      </w:pPr>
      <w:r>
        <w:t>4BA.</w:t>
      </w:r>
      <w:r>
        <w:tab/>
        <w:t xml:space="preserve">Prescribed duties (Act s. 124A </w:t>
      </w:r>
      <w:r>
        <w:rPr>
          <w:i/>
        </w:rPr>
        <w:t>youth justice worker</w:t>
      </w:r>
      <w:r>
        <w:t>)</w:t>
      </w:r>
      <w:r>
        <w:tab/>
      </w:r>
      <w:r>
        <w:fldChar w:fldCharType="begin"/>
      </w:r>
      <w:r>
        <w:instrText xml:space="preserve"> PAGEREF _Toc214956464 \h </w:instrText>
      </w:r>
      <w:r>
        <w:fldChar w:fldCharType="separate"/>
      </w:r>
      <w:r>
        <w:t>5</w:t>
      </w:r>
      <w:r>
        <w:fldChar w:fldCharType="end"/>
      </w:r>
    </w:p>
    <w:p>
      <w:pPr>
        <w:pStyle w:val="TOC8"/>
        <w:rPr>
          <w:rFonts w:asciiTheme="minorHAnsi" w:eastAsiaTheme="minorEastAsia" w:hAnsiTheme="minorHAnsi" w:cstheme="minorBidi"/>
          <w:szCs w:val="22"/>
        </w:rPr>
      </w:pPr>
      <w:r>
        <w:t>5.</w:t>
      </w:r>
      <w:r>
        <w:tab/>
        <w:t>Records, prescribed information for (Act s. 128)</w:t>
      </w:r>
      <w:r>
        <w:tab/>
      </w:r>
      <w:r>
        <w:fldChar w:fldCharType="begin"/>
      </w:r>
      <w:r>
        <w:instrText xml:space="preserve"> PAGEREF _Toc214956465 \h </w:instrText>
      </w:r>
      <w:r>
        <w:fldChar w:fldCharType="separate"/>
      </w:r>
      <w:r>
        <w:t>6</w:t>
      </w:r>
      <w:r>
        <w:fldChar w:fldCharType="end"/>
      </w:r>
    </w:p>
    <w:p>
      <w:pPr>
        <w:pStyle w:val="TOC2"/>
        <w:tabs>
          <w:tab w:val="right" w:leader="dot" w:pos="7077"/>
        </w:tabs>
        <w:rPr>
          <w:rFonts w:asciiTheme="minorHAnsi" w:eastAsiaTheme="minorEastAsia" w:hAnsiTheme="minorHAnsi" w:cstheme="minorBidi"/>
          <w:b w:val="0"/>
          <w:sz w:val="22"/>
          <w:szCs w:val="22"/>
        </w:rPr>
      </w:pPr>
      <w:r>
        <w:t>Part 3 — Restraint, search and seizure</w:t>
      </w:r>
    </w:p>
    <w:p>
      <w:pPr>
        <w:pStyle w:val="TOC8"/>
        <w:rPr>
          <w:rFonts w:asciiTheme="minorHAnsi" w:eastAsiaTheme="minorEastAsia" w:hAnsiTheme="minorHAnsi" w:cstheme="minorBidi"/>
          <w:szCs w:val="22"/>
        </w:rPr>
      </w:pPr>
      <w:r>
        <w:t>6.</w:t>
      </w:r>
      <w:r>
        <w:tab/>
        <w:t>Prescribed amount (Act s. 112 “disposable article”)</w:t>
      </w:r>
      <w:r>
        <w:tab/>
      </w:r>
      <w:r>
        <w:fldChar w:fldCharType="begin"/>
      </w:r>
      <w:r>
        <w:instrText xml:space="preserve"> PAGEREF _Toc214956467 \h </w:instrText>
      </w:r>
      <w:r>
        <w:fldChar w:fldCharType="separate"/>
      </w:r>
      <w:r>
        <w:t>8</w:t>
      </w:r>
      <w:r>
        <w:fldChar w:fldCharType="end"/>
      </w:r>
    </w:p>
    <w:p>
      <w:pPr>
        <w:pStyle w:val="TOC8"/>
        <w:rPr>
          <w:rFonts w:asciiTheme="minorHAnsi" w:eastAsiaTheme="minorEastAsia" w:hAnsiTheme="minorHAnsi" w:cstheme="minorBidi"/>
          <w:szCs w:val="22"/>
        </w:rPr>
      </w:pPr>
      <w:r>
        <w:t>7.</w:t>
      </w:r>
      <w:r>
        <w:tab/>
        <w:t>Restraint of child under Act s. 114, officer’s duties after</w:t>
      </w:r>
      <w:r>
        <w:tab/>
      </w:r>
      <w:r>
        <w:fldChar w:fldCharType="begin"/>
      </w:r>
      <w:r>
        <w:instrText xml:space="preserve"> PAGEREF _Toc214956468 \h </w:instrText>
      </w:r>
      <w:r>
        <w:fldChar w:fldCharType="separate"/>
      </w:r>
      <w:r>
        <w:t>8</w:t>
      </w:r>
      <w:r>
        <w:fldChar w:fldCharType="end"/>
      </w:r>
    </w:p>
    <w:p>
      <w:pPr>
        <w:pStyle w:val="TOC8"/>
        <w:rPr>
          <w:rFonts w:asciiTheme="minorHAnsi" w:eastAsiaTheme="minorEastAsia" w:hAnsiTheme="minorHAnsi" w:cstheme="minorBidi"/>
          <w:szCs w:val="22"/>
        </w:rPr>
      </w:pPr>
      <w:r>
        <w:t>8.</w:t>
      </w:r>
      <w:r>
        <w:tab/>
        <w:t>Articles seized under Act s. 116, dealing with</w:t>
      </w:r>
      <w:r>
        <w:tab/>
      </w:r>
      <w:r>
        <w:fldChar w:fldCharType="begin"/>
      </w:r>
      <w:r>
        <w:instrText xml:space="preserve"> PAGEREF _Toc214956469 \h </w:instrText>
      </w:r>
      <w:r>
        <w:fldChar w:fldCharType="separate"/>
      </w:r>
      <w:r>
        <w:t>8</w:t>
      </w:r>
      <w:r>
        <w:fldChar w:fldCharType="end"/>
      </w:r>
    </w:p>
    <w:p>
      <w:pPr>
        <w:pStyle w:val="TOC2"/>
        <w:tabs>
          <w:tab w:val="right" w:leader="dot" w:pos="7077"/>
        </w:tabs>
        <w:rPr>
          <w:rFonts w:asciiTheme="minorHAnsi" w:eastAsiaTheme="minorEastAsia" w:hAnsiTheme="minorHAnsi" w:cstheme="minorBidi"/>
          <w:b w:val="0"/>
          <w:sz w:val="22"/>
          <w:szCs w:val="22"/>
        </w:rPr>
      </w:pPr>
      <w:r>
        <w:t>Part 4AA</w:t>
      </w:r>
      <w:r>
        <w:rPr>
          <w:b w:val="0"/>
        </w:rPr>
        <w:t> </w:t>
      </w:r>
      <w:r>
        <w:t>—</w:t>
      </w:r>
      <w:r>
        <w:rPr>
          <w:b w:val="0"/>
        </w:rPr>
        <w:t> </w:t>
      </w:r>
      <w:r>
        <w:t>Warrants</w:t>
      </w:r>
    </w:p>
    <w:p>
      <w:pPr>
        <w:pStyle w:val="TOC8"/>
        <w:rPr>
          <w:rFonts w:asciiTheme="minorHAnsi" w:eastAsiaTheme="minorEastAsia" w:hAnsiTheme="minorHAnsi" w:cstheme="minorBidi"/>
          <w:szCs w:val="22"/>
        </w:rPr>
      </w:pPr>
      <w:r>
        <w:t>9AA.</w:t>
      </w:r>
      <w:r>
        <w:tab/>
        <w:t>Form of warrant (access) (Act s. 121(1))</w:t>
      </w:r>
      <w:r>
        <w:tab/>
      </w:r>
      <w:r>
        <w:fldChar w:fldCharType="begin"/>
      </w:r>
      <w:r>
        <w:instrText xml:space="preserve"> PAGEREF _Toc214956471 \h </w:instrText>
      </w:r>
      <w:r>
        <w:fldChar w:fldCharType="separate"/>
      </w:r>
      <w:r>
        <w:t>9</w:t>
      </w:r>
      <w:r>
        <w:fldChar w:fldCharType="end"/>
      </w:r>
    </w:p>
    <w:p>
      <w:pPr>
        <w:pStyle w:val="TOC8"/>
        <w:rPr>
          <w:rFonts w:asciiTheme="minorHAnsi" w:eastAsiaTheme="minorEastAsia" w:hAnsiTheme="minorHAnsi" w:cstheme="minorBidi"/>
          <w:szCs w:val="22"/>
        </w:rPr>
      </w:pPr>
      <w:r>
        <w:t>9AB.</w:t>
      </w:r>
      <w:r>
        <w:tab/>
        <w:t>Form of warrant (apprehension) (Act s. 122(1))</w:t>
      </w:r>
      <w:r>
        <w:tab/>
      </w:r>
      <w:r>
        <w:fldChar w:fldCharType="begin"/>
      </w:r>
      <w:r>
        <w:instrText xml:space="preserve"> PAGEREF _Toc214956472 \h </w:instrText>
      </w:r>
      <w:r>
        <w:fldChar w:fldCharType="separate"/>
      </w:r>
      <w:r>
        <w:t>9</w:t>
      </w:r>
      <w:r>
        <w:fldChar w:fldCharType="end"/>
      </w:r>
    </w:p>
    <w:p>
      <w:pPr>
        <w:pStyle w:val="TOC8"/>
        <w:rPr>
          <w:rFonts w:asciiTheme="minorHAnsi" w:eastAsiaTheme="minorEastAsia" w:hAnsiTheme="minorHAnsi" w:cstheme="minorBidi"/>
          <w:szCs w:val="22"/>
        </w:rPr>
      </w:pPr>
      <w:r>
        <w:lastRenderedPageBreak/>
        <w:t>9AC.</w:t>
      </w:r>
      <w:r>
        <w:tab/>
        <w:t>Form of warrant (provisional protection and care) (Act s. 123(1))</w:t>
      </w:r>
      <w:r>
        <w:tab/>
      </w:r>
      <w:r>
        <w:fldChar w:fldCharType="begin"/>
      </w:r>
      <w:r>
        <w:instrText xml:space="preserve"> PAGEREF _Toc214956473 \h </w:instrText>
      </w:r>
      <w:r>
        <w:fldChar w:fldCharType="separate"/>
      </w:r>
      <w:r>
        <w:t>9</w:t>
      </w:r>
      <w:r>
        <w:fldChar w:fldCharType="end"/>
      </w:r>
    </w:p>
    <w:p>
      <w:pPr>
        <w:pStyle w:val="TOC8"/>
        <w:rPr>
          <w:rFonts w:asciiTheme="minorHAnsi" w:eastAsiaTheme="minorEastAsia" w:hAnsiTheme="minorHAnsi" w:cstheme="minorBidi"/>
          <w:szCs w:val="22"/>
        </w:rPr>
      </w:pPr>
      <w:r>
        <w:t>9AD.</w:t>
      </w:r>
      <w:r>
        <w:tab/>
        <w:t>Information in application for entry warrant (Act s. 241L(2)(a))</w:t>
      </w:r>
      <w:r>
        <w:tab/>
      </w:r>
      <w:r>
        <w:fldChar w:fldCharType="begin"/>
      </w:r>
      <w:r>
        <w:instrText xml:space="preserve"> PAGEREF _Toc214956474 \h </w:instrText>
      </w:r>
      <w:r>
        <w:fldChar w:fldCharType="separate"/>
      </w:r>
      <w:r>
        <w:t>9</w:t>
      </w:r>
      <w:r>
        <w:fldChar w:fldCharType="end"/>
      </w:r>
    </w:p>
    <w:p>
      <w:pPr>
        <w:pStyle w:val="TOC8"/>
        <w:rPr>
          <w:rFonts w:asciiTheme="minorHAnsi" w:eastAsiaTheme="minorEastAsia" w:hAnsiTheme="minorHAnsi" w:cstheme="minorBidi"/>
          <w:szCs w:val="22"/>
        </w:rPr>
      </w:pPr>
      <w:r>
        <w:t>9AE.</w:t>
      </w:r>
      <w:r>
        <w:tab/>
        <w:t>Form of entry warrant (Act s. 241M(3))</w:t>
      </w:r>
      <w:r>
        <w:tab/>
      </w:r>
      <w:r>
        <w:fldChar w:fldCharType="begin"/>
      </w:r>
      <w:r>
        <w:instrText xml:space="preserve"> PAGEREF _Toc214956475 \h </w:instrText>
      </w:r>
      <w:r>
        <w:fldChar w:fldCharType="separate"/>
      </w:r>
      <w:r>
        <w:t>10</w:t>
      </w:r>
      <w:r>
        <w:fldChar w:fldCharType="end"/>
      </w:r>
    </w:p>
    <w:p>
      <w:pPr>
        <w:pStyle w:val="TOC2"/>
        <w:tabs>
          <w:tab w:val="right" w:leader="dot" w:pos="7077"/>
        </w:tabs>
        <w:rPr>
          <w:rFonts w:asciiTheme="minorHAnsi" w:eastAsiaTheme="minorEastAsia" w:hAnsiTheme="minorHAnsi" w:cstheme="minorBidi"/>
          <w:b w:val="0"/>
          <w:sz w:val="22"/>
          <w:szCs w:val="22"/>
        </w:rPr>
      </w:pPr>
      <w:r>
        <w:t>Part 4 — Pre</w:t>
      </w:r>
      <w:r>
        <w:noBreakHyphen/>
        <w:t>hearing conferences</w:t>
      </w:r>
    </w:p>
    <w:p>
      <w:pPr>
        <w:pStyle w:val="TOC8"/>
        <w:rPr>
          <w:rFonts w:asciiTheme="minorHAnsi" w:eastAsiaTheme="minorEastAsia" w:hAnsiTheme="minorHAnsi" w:cstheme="minorBidi"/>
          <w:szCs w:val="22"/>
        </w:rPr>
      </w:pPr>
      <w:r>
        <w:t>9.</w:t>
      </w:r>
      <w:r>
        <w:tab/>
        <w:t>Terms used</w:t>
      </w:r>
      <w:r>
        <w:tab/>
      </w:r>
      <w:r>
        <w:fldChar w:fldCharType="begin"/>
      </w:r>
      <w:r>
        <w:instrText xml:space="preserve"> PAGEREF _Toc214956477 \h </w:instrText>
      </w:r>
      <w:r>
        <w:fldChar w:fldCharType="separate"/>
      </w:r>
      <w:r>
        <w:t>11</w:t>
      </w:r>
      <w:r>
        <w:fldChar w:fldCharType="end"/>
      </w:r>
    </w:p>
    <w:p>
      <w:pPr>
        <w:pStyle w:val="TOC8"/>
        <w:rPr>
          <w:rFonts w:asciiTheme="minorHAnsi" w:eastAsiaTheme="minorEastAsia" w:hAnsiTheme="minorHAnsi" w:cstheme="minorBidi"/>
          <w:szCs w:val="22"/>
        </w:rPr>
      </w:pPr>
      <w:r>
        <w:t>10.</w:t>
      </w:r>
      <w:r>
        <w:tab/>
        <w:t>Convenors, appointment of (Act s. 136)</w:t>
      </w:r>
      <w:r>
        <w:tab/>
      </w:r>
      <w:r>
        <w:fldChar w:fldCharType="begin"/>
      </w:r>
      <w:r>
        <w:instrText xml:space="preserve"> PAGEREF _Toc214956478 \h </w:instrText>
      </w:r>
      <w:r>
        <w:fldChar w:fldCharType="separate"/>
      </w:r>
      <w:r>
        <w:t>11</w:t>
      </w:r>
      <w:r>
        <w:fldChar w:fldCharType="end"/>
      </w:r>
    </w:p>
    <w:p>
      <w:pPr>
        <w:pStyle w:val="TOC8"/>
        <w:rPr>
          <w:rFonts w:asciiTheme="minorHAnsi" w:eastAsiaTheme="minorEastAsia" w:hAnsiTheme="minorHAnsi" w:cstheme="minorBidi"/>
          <w:szCs w:val="22"/>
        </w:rPr>
      </w:pPr>
      <w:r>
        <w:t>11.</w:t>
      </w:r>
      <w:r>
        <w:tab/>
        <w:t>Terms and conditions of convenors’ appointments</w:t>
      </w:r>
      <w:r>
        <w:tab/>
      </w:r>
      <w:r>
        <w:fldChar w:fldCharType="begin"/>
      </w:r>
      <w:r>
        <w:instrText xml:space="preserve"> PAGEREF _Toc214956479 \h </w:instrText>
      </w:r>
      <w:r>
        <w:fldChar w:fldCharType="separate"/>
      </w:r>
      <w:r>
        <w:t>11</w:t>
      </w:r>
      <w:r>
        <w:fldChar w:fldCharType="end"/>
      </w:r>
    </w:p>
    <w:p>
      <w:pPr>
        <w:pStyle w:val="TOC8"/>
        <w:rPr>
          <w:rFonts w:asciiTheme="minorHAnsi" w:eastAsiaTheme="minorEastAsia" w:hAnsiTheme="minorHAnsi" w:cstheme="minorBidi"/>
          <w:szCs w:val="22"/>
        </w:rPr>
      </w:pPr>
      <w:r>
        <w:t>12.</w:t>
      </w:r>
      <w:r>
        <w:tab/>
        <w:t>Resignation by convenor</w:t>
      </w:r>
      <w:r>
        <w:tab/>
      </w:r>
      <w:r>
        <w:fldChar w:fldCharType="begin"/>
      </w:r>
      <w:r>
        <w:instrText xml:space="preserve"> PAGEREF _Toc214956480 \h </w:instrText>
      </w:r>
      <w:r>
        <w:fldChar w:fldCharType="separate"/>
      </w:r>
      <w:r>
        <w:t>11</w:t>
      </w:r>
      <w:r>
        <w:fldChar w:fldCharType="end"/>
      </w:r>
    </w:p>
    <w:p>
      <w:pPr>
        <w:pStyle w:val="TOC8"/>
        <w:rPr>
          <w:rFonts w:asciiTheme="minorHAnsi" w:eastAsiaTheme="minorEastAsia" w:hAnsiTheme="minorHAnsi" w:cstheme="minorBidi"/>
          <w:szCs w:val="22"/>
        </w:rPr>
      </w:pPr>
      <w:r>
        <w:t>13.</w:t>
      </w:r>
      <w:r>
        <w:tab/>
        <w:t>Removing convenor from office</w:t>
      </w:r>
      <w:r>
        <w:tab/>
      </w:r>
      <w:r>
        <w:fldChar w:fldCharType="begin"/>
      </w:r>
      <w:r>
        <w:instrText xml:space="preserve"> PAGEREF _Toc214956481 \h </w:instrText>
      </w:r>
      <w:r>
        <w:fldChar w:fldCharType="separate"/>
      </w:r>
      <w:r>
        <w:t>12</w:t>
      </w:r>
      <w:r>
        <w:fldChar w:fldCharType="end"/>
      </w:r>
    </w:p>
    <w:p>
      <w:pPr>
        <w:pStyle w:val="TOC8"/>
        <w:rPr>
          <w:rFonts w:asciiTheme="minorHAnsi" w:eastAsiaTheme="minorEastAsia" w:hAnsiTheme="minorHAnsi" w:cstheme="minorBidi"/>
          <w:szCs w:val="22"/>
        </w:rPr>
      </w:pPr>
      <w:r>
        <w:t>14.</w:t>
      </w:r>
      <w:r>
        <w:tab/>
        <w:t>People who may attend pre</w:t>
      </w:r>
      <w:r>
        <w:noBreakHyphen/>
        <w:t>hearing conference</w:t>
      </w:r>
      <w:r>
        <w:tab/>
      </w:r>
      <w:r>
        <w:fldChar w:fldCharType="begin"/>
      </w:r>
      <w:r>
        <w:instrText xml:space="preserve"> PAGEREF _Toc214956482 \h </w:instrText>
      </w:r>
      <w:r>
        <w:fldChar w:fldCharType="separate"/>
      </w:r>
      <w:r>
        <w:t>12</w:t>
      </w:r>
      <w:r>
        <w:fldChar w:fldCharType="end"/>
      </w:r>
    </w:p>
    <w:p>
      <w:pPr>
        <w:pStyle w:val="TOC8"/>
        <w:rPr>
          <w:rFonts w:asciiTheme="minorHAnsi" w:eastAsiaTheme="minorEastAsia" w:hAnsiTheme="minorHAnsi" w:cstheme="minorBidi"/>
          <w:szCs w:val="22"/>
        </w:rPr>
      </w:pPr>
      <w:r>
        <w:t>15.</w:t>
      </w:r>
      <w:r>
        <w:tab/>
        <w:t>Participation using video link, audio link etc.</w:t>
      </w:r>
      <w:r>
        <w:tab/>
      </w:r>
      <w:r>
        <w:fldChar w:fldCharType="begin"/>
      </w:r>
      <w:r>
        <w:instrText xml:space="preserve"> PAGEREF _Toc214956483 \h </w:instrText>
      </w:r>
      <w:r>
        <w:fldChar w:fldCharType="separate"/>
      </w:r>
      <w:r>
        <w:t>12</w:t>
      </w:r>
      <w:r>
        <w:fldChar w:fldCharType="end"/>
      </w:r>
    </w:p>
    <w:p>
      <w:pPr>
        <w:pStyle w:val="TOC2"/>
        <w:tabs>
          <w:tab w:val="right" w:leader="dot" w:pos="7077"/>
        </w:tabs>
        <w:rPr>
          <w:rFonts w:asciiTheme="minorHAnsi" w:eastAsiaTheme="minorEastAsia" w:hAnsiTheme="minorHAnsi" w:cstheme="minorBidi"/>
          <w:b w:val="0"/>
          <w:sz w:val="22"/>
          <w:szCs w:val="22"/>
        </w:rPr>
      </w:pPr>
      <w:r>
        <w:t>Part 5A</w:t>
      </w:r>
      <w:r>
        <w:rPr>
          <w:b w:val="0"/>
        </w:rPr>
        <w:t> </w:t>
      </w:r>
      <w:r>
        <w:t>—</w:t>
      </w:r>
      <w:r>
        <w:rPr>
          <w:b w:val="0"/>
        </w:rPr>
        <w:t> </w:t>
      </w:r>
      <w:r>
        <w:t>Parentage testing procedures and reports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16A.</w:t>
      </w:r>
      <w:r>
        <w:tab/>
        <w:t>Terms used</w:t>
      </w:r>
      <w:r>
        <w:tab/>
      </w:r>
      <w:r>
        <w:fldChar w:fldCharType="begin"/>
      </w:r>
      <w:r>
        <w:instrText xml:space="preserve"> PAGEREF _Toc214956486 \h </w:instrText>
      </w:r>
      <w:r>
        <w:fldChar w:fldCharType="separate"/>
      </w:r>
      <w:r>
        <w:t>13</w:t>
      </w:r>
      <w:r>
        <w:fldChar w:fldCharType="end"/>
      </w:r>
    </w:p>
    <w:p>
      <w:pPr>
        <w:pStyle w:val="TOC8"/>
        <w:rPr>
          <w:rFonts w:asciiTheme="minorHAnsi" w:eastAsiaTheme="minorEastAsia" w:hAnsiTheme="minorHAnsi" w:cstheme="minorBidi"/>
          <w:szCs w:val="22"/>
        </w:rPr>
      </w:pPr>
      <w:r>
        <w:t>16B.</w:t>
      </w:r>
      <w:r>
        <w:tab/>
        <w:t>Parentage testing procedures (Act s. 136A)</w:t>
      </w:r>
      <w:r>
        <w:tab/>
      </w:r>
      <w:r>
        <w:fldChar w:fldCharType="begin"/>
      </w:r>
      <w:r>
        <w:instrText xml:space="preserve"> PAGEREF _Toc214956487 \h </w:instrText>
      </w:r>
      <w:r>
        <w:fldChar w:fldCharType="separate"/>
      </w:r>
      <w:r>
        <w:t>14</w:t>
      </w:r>
      <w:r>
        <w:fldChar w:fldCharType="end"/>
      </w:r>
    </w:p>
    <w:p>
      <w:pPr>
        <w:pStyle w:val="TOC8"/>
        <w:rPr>
          <w:rFonts w:asciiTheme="minorHAnsi" w:eastAsiaTheme="minorEastAsia" w:hAnsiTheme="minorHAnsi" w:cstheme="minorBidi"/>
          <w:szCs w:val="22"/>
        </w:rPr>
      </w:pPr>
      <w:r>
        <w:t>16C.</w:t>
      </w:r>
      <w:r>
        <w:tab/>
        <w:t>Compliance with regulations</w:t>
      </w:r>
      <w:r>
        <w:tab/>
      </w:r>
      <w:r>
        <w:fldChar w:fldCharType="begin"/>
      </w:r>
      <w:r>
        <w:instrText xml:space="preserve"> PAGEREF _Toc214956488 \h </w:instrText>
      </w:r>
      <w:r>
        <w:fldChar w:fldCharType="separate"/>
      </w:r>
      <w:r>
        <w:t>14</w:t>
      </w:r>
      <w:r>
        <w:fldChar w:fldCharType="end"/>
      </w:r>
    </w:p>
    <w:p>
      <w:pPr>
        <w:pStyle w:val="TOC4"/>
        <w:tabs>
          <w:tab w:val="right" w:leader="dot" w:pos="7077"/>
        </w:tabs>
        <w:rPr>
          <w:rFonts w:asciiTheme="minorHAnsi" w:eastAsiaTheme="minorEastAsia" w:hAnsiTheme="minorHAnsi" w:cstheme="minorBidi"/>
          <w:b w:val="0"/>
          <w:szCs w:val="22"/>
        </w:rPr>
      </w:pPr>
      <w:r>
        <w:t>Division 2 — Collection, storage and testing of samples</w:t>
      </w:r>
    </w:p>
    <w:p>
      <w:pPr>
        <w:pStyle w:val="TOC8"/>
        <w:rPr>
          <w:rFonts w:asciiTheme="minorHAnsi" w:eastAsiaTheme="minorEastAsia" w:hAnsiTheme="minorHAnsi" w:cstheme="minorBidi"/>
          <w:szCs w:val="22"/>
        </w:rPr>
      </w:pPr>
      <w:r>
        <w:t>16D.</w:t>
      </w:r>
      <w:r>
        <w:tab/>
        <w:t>Bodily samples, who may take</w:t>
      </w:r>
      <w:r>
        <w:tab/>
      </w:r>
      <w:r>
        <w:fldChar w:fldCharType="begin"/>
      </w:r>
      <w:r>
        <w:instrText xml:space="preserve"> PAGEREF _Toc214956490 \h </w:instrText>
      </w:r>
      <w:r>
        <w:fldChar w:fldCharType="separate"/>
      </w:r>
      <w:r>
        <w:t>15</w:t>
      </w:r>
      <w:r>
        <w:fldChar w:fldCharType="end"/>
      </w:r>
    </w:p>
    <w:p>
      <w:pPr>
        <w:pStyle w:val="TOC8"/>
        <w:rPr>
          <w:rFonts w:asciiTheme="minorHAnsi" w:eastAsiaTheme="minorEastAsia" w:hAnsiTheme="minorHAnsi" w:cstheme="minorBidi"/>
          <w:szCs w:val="22"/>
        </w:rPr>
      </w:pPr>
      <w:r>
        <w:t>16E.</w:t>
      </w:r>
      <w:r>
        <w:tab/>
        <w:t>Information about donor to be given before bodily sample taken</w:t>
      </w:r>
      <w:r>
        <w:tab/>
      </w:r>
      <w:r>
        <w:fldChar w:fldCharType="begin"/>
      </w:r>
      <w:r>
        <w:instrText xml:space="preserve"> PAGEREF _Toc214956491 \h </w:instrText>
      </w:r>
      <w:r>
        <w:fldChar w:fldCharType="separate"/>
      </w:r>
      <w:r>
        <w:t>15</w:t>
      </w:r>
      <w:r>
        <w:fldChar w:fldCharType="end"/>
      </w:r>
    </w:p>
    <w:p>
      <w:pPr>
        <w:pStyle w:val="TOC8"/>
        <w:rPr>
          <w:rFonts w:asciiTheme="minorHAnsi" w:eastAsiaTheme="minorEastAsia" w:hAnsiTheme="minorHAnsi" w:cstheme="minorBidi"/>
          <w:szCs w:val="22"/>
        </w:rPr>
      </w:pPr>
      <w:r>
        <w:t>16F.</w:t>
      </w:r>
      <w:r>
        <w:tab/>
        <w:t>Blood samples, taking of</w:t>
      </w:r>
      <w:r>
        <w:tab/>
      </w:r>
      <w:r>
        <w:fldChar w:fldCharType="begin"/>
      </w:r>
      <w:r>
        <w:instrText xml:space="preserve"> PAGEREF _Toc214956492 \h </w:instrText>
      </w:r>
      <w:r>
        <w:fldChar w:fldCharType="separate"/>
      </w:r>
      <w:r>
        <w:t>16</w:t>
      </w:r>
      <w:r>
        <w:fldChar w:fldCharType="end"/>
      </w:r>
    </w:p>
    <w:p>
      <w:pPr>
        <w:pStyle w:val="TOC8"/>
        <w:rPr>
          <w:rFonts w:asciiTheme="minorHAnsi" w:eastAsiaTheme="minorEastAsia" w:hAnsiTheme="minorHAnsi" w:cstheme="minorBidi"/>
          <w:szCs w:val="22"/>
        </w:rPr>
      </w:pPr>
      <w:r>
        <w:t>16G.</w:t>
      </w:r>
      <w:r>
        <w:tab/>
        <w:t>Bodily samples for DNA typing, taking of</w:t>
      </w:r>
      <w:r>
        <w:tab/>
      </w:r>
      <w:r>
        <w:fldChar w:fldCharType="begin"/>
      </w:r>
      <w:r>
        <w:instrText xml:space="preserve"> PAGEREF _Toc214956493 \h </w:instrText>
      </w:r>
      <w:r>
        <w:fldChar w:fldCharType="separate"/>
      </w:r>
      <w:r>
        <w:t>17</w:t>
      </w:r>
      <w:r>
        <w:fldChar w:fldCharType="end"/>
      </w:r>
    </w:p>
    <w:p>
      <w:pPr>
        <w:pStyle w:val="TOC8"/>
        <w:rPr>
          <w:rFonts w:asciiTheme="minorHAnsi" w:eastAsiaTheme="minorEastAsia" w:hAnsiTheme="minorHAnsi" w:cstheme="minorBidi"/>
          <w:szCs w:val="22"/>
        </w:rPr>
      </w:pPr>
      <w:r>
        <w:t>16H.</w:t>
      </w:r>
      <w:r>
        <w:tab/>
        <w:t>Bodily samples, procedure for dealing with immediately after taking</w:t>
      </w:r>
      <w:r>
        <w:tab/>
      </w:r>
      <w:r>
        <w:fldChar w:fldCharType="begin"/>
      </w:r>
      <w:r>
        <w:instrText xml:space="preserve"> PAGEREF _Toc214956494 \h </w:instrText>
      </w:r>
      <w:r>
        <w:fldChar w:fldCharType="separate"/>
      </w:r>
      <w:r>
        <w:t>17</w:t>
      </w:r>
      <w:r>
        <w:fldChar w:fldCharType="end"/>
      </w:r>
    </w:p>
    <w:p>
      <w:pPr>
        <w:pStyle w:val="TOC8"/>
        <w:rPr>
          <w:rFonts w:asciiTheme="minorHAnsi" w:eastAsiaTheme="minorEastAsia" w:hAnsiTheme="minorHAnsi" w:cstheme="minorBidi"/>
          <w:szCs w:val="22"/>
        </w:rPr>
      </w:pPr>
      <w:r>
        <w:t>16I.</w:t>
      </w:r>
      <w:r>
        <w:tab/>
        <w:t>Sampler’s duties after taking bodily sample</w:t>
      </w:r>
      <w:r>
        <w:tab/>
      </w:r>
      <w:r>
        <w:fldChar w:fldCharType="begin"/>
      </w:r>
      <w:r>
        <w:instrText xml:space="preserve"> PAGEREF _Toc214956495 \h </w:instrText>
      </w:r>
      <w:r>
        <w:fldChar w:fldCharType="separate"/>
      </w:r>
      <w:r>
        <w:t>19</w:t>
      </w:r>
      <w:r>
        <w:fldChar w:fldCharType="end"/>
      </w:r>
    </w:p>
    <w:p>
      <w:pPr>
        <w:pStyle w:val="TOC8"/>
        <w:rPr>
          <w:rFonts w:asciiTheme="minorHAnsi" w:eastAsiaTheme="minorEastAsia" w:hAnsiTheme="minorHAnsi" w:cstheme="minorBidi"/>
          <w:szCs w:val="22"/>
        </w:rPr>
      </w:pPr>
      <w:r>
        <w:t>16J.</w:t>
      </w:r>
      <w:r>
        <w:tab/>
        <w:t>Packing, storing and transporting bodily samples for testing</w:t>
      </w:r>
      <w:r>
        <w:tab/>
      </w:r>
      <w:r>
        <w:fldChar w:fldCharType="begin"/>
      </w:r>
      <w:r>
        <w:instrText xml:space="preserve"> PAGEREF _Toc214956496 \h </w:instrText>
      </w:r>
      <w:r>
        <w:fldChar w:fldCharType="separate"/>
      </w:r>
      <w:r>
        <w:t>19</w:t>
      </w:r>
      <w:r>
        <w:fldChar w:fldCharType="end"/>
      </w:r>
    </w:p>
    <w:p>
      <w:pPr>
        <w:pStyle w:val="TOC8"/>
        <w:rPr>
          <w:rFonts w:asciiTheme="minorHAnsi" w:eastAsiaTheme="minorEastAsia" w:hAnsiTheme="minorHAnsi" w:cstheme="minorBidi"/>
          <w:szCs w:val="22"/>
        </w:rPr>
      </w:pPr>
      <w:r>
        <w:t>16K.</w:t>
      </w:r>
      <w:r>
        <w:tab/>
        <w:t>Time for testing bodily samples</w:t>
      </w:r>
      <w:r>
        <w:tab/>
      </w:r>
      <w:r>
        <w:fldChar w:fldCharType="begin"/>
      </w:r>
      <w:r>
        <w:instrText xml:space="preserve"> PAGEREF _Toc214956497 \h </w:instrText>
      </w:r>
      <w:r>
        <w:fldChar w:fldCharType="separate"/>
      </w:r>
      <w:r>
        <w:t>19</w:t>
      </w:r>
      <w:r>
        <w:fldChar w:fldCharType="end"/>
      </w:r>
    </w:p>
    <w:p>
      <w:pPr>
        <w:pStyle w:val="TOC4"/>
        <w:tabs>
          <w:tab w:val="right" w:leader="dot" w:pos="7077"/>
        </w:tabs>
        <w:rPr>
          <w:rFonts w:asciiTheme="minorHAnsi" w:eastAsiaTheme="minorEastAsia" w:hAnsiTheme="minorHAnsi" w:cstheme="minorBidi"/>
          <w:b w:val="0"/>
          <w:szCs w:val="22"/>
        </w:rPr>
      </w:pPr>
      <w:r>
        <w:t>Division 3 — Reports</w:t>
      </w:r>
    </w:p>
    <w:p>
      <w:pPr>
        <w:pStyle w:val="TOC8"/>
        <w:rPr>
          <w:rFonts w:asciiTheme="minorHAnsi" w:eastAsiaTheme="minorEastAsia" w:hAnsiTheme="minorHAnsi" w:cstheme="minorBidi"/>
          <w:szCs w:val="22"/>
        </w:rPr>
      </w:pPr>
      <w:r>
        <w:t>16L.</w:t>
      </w:r>
      <w:r>
        <w:tab/>
        <w:t>Reports of testing (Act s. 136H(b))</w:t>
      </w:r>
      <w:r>
        <w:tab/>
      </w:r>
      <w:r>
        <w:fldChar w:fldCharType="begin"/>
      </w:r>
      <w:r>
        <w:instrText xml:space="preserve"> PAGEREF _Toc214956499 \h </w:instrText>
      </w:r>
      <w:r>
        <w:fldChar w:fldCharType="separate"/>
      </w:r>
      <w:r>
        <w:t>20</w:t>
      </w:r>
      <w:r>
        <w:fldChar w:fldCharType="end"/>
      </w:r>
    </w:p>
    <w:p>
      <w:pPr>
        <w:pStyle w:val="TOC2"/>
        <w:tabs>
          <w:tab w:val="right" w:leader="dot" w:pos="7077"/>
        </w:tabs>
        <w:rPr>
          <w:rFonts w:asciiTheme="minorHAnsi" w:eastAsiaTheme="minorEastAsia" w:hAnsiTheme="minorHAnsi" w:cstheme="minorBidi"/>
          <w:b w:val="0"/>
          <w:sz w:val="22"/>
          <w:szCs w:val="22"/>
        </w:rPr>
      </w:pPr>
      <w:r>
        <w:t>Part 5 — Reports about child</w:t>
      </w:r>
    </w:p>
    <w:p>
      <w:pPr>
        <w:pStyle w:val="TOC8"/>
        <w:rPr>
          <w:rFonts w:asciiTheme="minorHAnsi" w:eastAsiaTheme="minorEastAsia" w:hAnsiTheme="minorHAnsi" w:cstheme="minorBidi"/>
          <w:szCs w:val="22"/>
        </w:rPr>
      </w:pPr>
      <w:r>
        <w:t>16.</w:t>
      </w:r>
      <w:r>
        <w:tab/>
        <w:t>Terms used</w:t>
      </w:r>
      <w:r>
        <w:tab/>
      </w:r>
      <w:r>
        <w:fldChar w:fldCharType="begin"/>
      </w:r>
      <w:r>
        <w:instrText xml:space="preserve"> PAGEREF _Toc214956501 \h </w:instrText>
      </w:r>
      <w:r>
        <w:fldChar w:fldCharType="separate"/>
      </w:r>
      <w:r>
        <w:t>21</w:t>
      </w:r>
      <w:r>
        <w:fldChar w:fldCharType="end"/>
      </w:r>
    </w:p>
    <w:p>
      <w:pPr>
        <w:pStyle w:val="TOC8"/>
        <w:rPr>
          <w:rFonts w:asciiTheme="minorHAnsi" w:eastAsiaTheme="minorEastAsia" w:hAnsiTheme="minorHAnsi" w:cstheme="minorBidi"/>
          <w:szCs w:val="22"/>
        </w:rPr>
      </w:pPr>
      <w:r>
        <w:lastRenderedPageBreak/>
        <w:t>17.</w:t>
      </w:r>
      <w:r>
        <w:tab/>
        <w:t>Appointing people to provide reports (Act s. 139)</w:t>
      </w:r>
      <w:r>
        <w:tab/>
      </w:r>
      <w:r>
        <w:fldChar w:fldCharType="begin"/>
      </w:r>
      <w:r>
        <w:instrText xml:space="preserve"> PAGEREF _Toc214956502 \h </w:instrText>
      </w:r>
      <w:r>
        <w:fldChar w:fldCharType="separate"/>
      </w:r>
      <w:r>
        <w:t>21</w:t>
      </w:r>
      <w:r>
        <w:fldChar w:fldCharType="end"/>
      </w:r>
    </w:p>
    <w:p>
      <w:pPr>
        <w:pStyle w:val="TOC8"/>
        <w:rPr>
          <w:rFonts w:asciiTheme="minorHAnsi" w:eastAsiaTheme="minorEastAsia" w:hAnsiTheme="minorHAnsi" w:cstheme="minorBidi"/>
          <w:szCs w:val="22"/>
        </w:rPr>
      </w:pPr>
      <w:r>
        <w:t>18.</w:t>
      </w:r>
      <w:r>
        <w:tab/>
        <w:t>President to establish panel</w:t>
      </w:r>
      <w:r>
        <w:tab/>
      </w:r>
      <w:r>
        <w:fldChar w:fldCharType="begin"/>
      </w:r>
      <w:r>
        <w:instrText xml:space="preserve"> PAGEREF _Toc214956503 \h </w:instrText>
      </w:r>
      <w:r>
        <w:fldChar w:fldCharType="separate"/>
      </w:r>
      <w:r>
        <w:t>21</w:t>
      </w:r>
      <w:r>
        <w:fldChar w:fldCharType="end"/>
      </w:r>
    </w:p>
    <w:p>
      <w:pPr>
        <w:pStyle w:val="TOC8"/>
        <w:rPr>
          <w:rFonts w:asciiTheme="minorHAnsi" w:eastAsiaTheme="minorEastAsia" w:hAnsiTheme="minorHAnsi" w:cstheme="minorBidi"/>
          <w:szCs w:val="22"/>
        </w:rPr>
      </w:pPr>
      <w:r>
        <w:t>19.</w:t>
      </w:r>
      <w:r>
        <w:tab/>
        <w:t>Terms and conditions of appointment under Act s. 139</w:t>
      </w:r>
      <w:r>
        <w:tab/>
      </w:r>
      <w:r>
        <w:fldChar w:fldCharType="begin"/>
      </w:r>
      <w:r>
        <w:instrText xml:space="preserve"> PAGEREF _Toc214956504 \h </w:instrText>
      </w:r>
      <w:r>
        <w:fldChar w:fldCharType="separate"/>
      </w:r>
      <w:r>
        <w:t>22</w:t>
      </w:r>
      <w:r>
        <w:fldChar w:fldCharType="end"/>
      </w:r>
    </w:p>
    <w:p>
      <w:pPr>
        <w:pStyle w:val="TOC8"/>
        <w:rPr>
          <w:rFonts w:asciiTheme="minorHAnsi" w:eastAsiaTheme="minorEastAsia" w:hAnsiTheme="minorHAnsi" w:cstheme="minorBidi"/>
          <w:szCs w:val="22"/>
        </w:rPr>
      </w:pPr>
      <w:r>
        <w:t>20.</w:t>
      </w:r>
      <w:r>
        <w:tab/>
        <w:t>Costs of report</w:t>
      </w:r>
      <w:r>
        <w:tab/>
      </w:r>
      <w:r>
        <w:fldChar w:fldCharType="begin"/>
      </w:r>
      <w:r>
        <w:instrText xml:space="preserve"> PAGEREF _Toc214956505 \h </w:instrText>
      </w:r>
      <w:r>
        <w:fldChar w:fldCharType="separate"/>
      </w:r>
      <w:r>
        <w:t>22</w:t>
      </w:r>
      <w:r>
        <w:fldChar w:fldCharType="end"/>
      </w:r>
    </w:p>
    <w:p>
      <w:pPr>
        <w:pStyle w:val="TOC2"/>
        <w:tabs>
          <w:tab w:val="right" w:leader="dot" w:pos="7077"/>
        </w:tabs>
        <w:rPr>
          <w:rFonts w:asciiTheme="minorHAnsi" w:eastAsiaTheme="minorEastAsia" w:hAnsiTheme="minorHAnsi" w:cstheme="minorBidi"/>
          <w:b w:val="0"/>
          <w:sz w:val="22"/>
          <w:szCs w:val="22"/>
        </w:rPr>
      </w:pPr>
      <w:r>
        <w:t>Part 6 — Miscellaneous</w:t>
      </w:r>
    </w:p>
    <w:p>
      <w:pPr>
        <w:pStyle w:val="TOC8"/>
        <w:rPr>
          <w:rFonts w:asciiTheme="minorHAnsi" w:eastAsiaTheme="minorEastAsia" w:hAnsiTheme="minorHAnsi" w:cstheme="minorBidi"/>
          <w:szCs w:val="22"/>
        </w:rPr>
      </w:pPr>
      <w:r>
        <w:t>20A.</w:t>
      </w:r>
      <w:r>
        <w:tab/>
        <w:t>Prescribed authorities (Act s. 28A)</w:t>
      </w:r>
      <w:r>
        <w:tab/>
      </w:r>
      <w:r>
        <w:fldChar w:fldCharType="begin"/>
      </w:r>
      <w:r>
        <w:instrText xml:space="preserve"> PAGEREF _Toc214956507 \h </w:instrText>
      </w:r>
      <w:r>
        <w:fldChar w:fldCharType="separate"/>
      </w:r>
      <w:r>
        <w:t>23</w:t>
      </w:r>
      <w:r>
        <w:fldChar w:fldCharType="end"/>
      </w:r>
    </w:p>
    <w:p>
      <w:pPr>
        <w:pStyle w:val="TOC8"/>
        <w:rPr>
          <w:rFonts w:asciiTheme="minorHAnsi" w:eastAsiaTheme="minorEastAsia" w:hAnsiTheme="minorHAnsi" w:cstheme="minorBidi"/>
          <w:szCs w:val="22"/>
        </w:rPr>
      </w:pPr>
      <w:r>
        <w:t>21.</w:t>
      </w:r>
      <w:r>
        <w:tab/>
        <w:t>Payments to special guardians (Act s. 65)</w:t>
      </w:r>
      <w:r>
        <w:tab/>
      </w:r>
      <w:r>
        <w:fldChar w:fldCharType="begin"/>
      </w:r>
      <w:r>
        <w:instrText xml:space="preserve"> PAGEREF _Toc214956508 \h </w:instrText>
      </w:r>
      <w:r>
        <w:fldChar w:fldCharType="separate"/>
      </w:r>
      <w:r>
        <w:t>24</w:t>
      </w:r>
      <w:r>
        <w:fldChar w:fldCharType="end"/>
      </w:r>
    </w:p>
    <w:p>
      <w:pPr>
        <w:pStyle w:val="TOC8"/>
        <w:rPr>
          <w:rFonts w:asciiTheme="minorHAnsi" w:eastAsiaTheme="minorEastAsia" w:hAnsiTheme="minorHAnsi" w:cstheme="minorBidi"/>
          <w:szCs w:val="22"/>
        </w:rPr>
      </w:pPr>
      <w:r>
        <w:t>21A.</w:t>
      </w:r>
      <w:r>
        <w:tab/>
        <w:t>Work prescribed (Act s. 191(4))</w:t>
      </w:r>
      <w:r>
        <w:tab/>
      </w:r>
      <w:r>
        <w:fldChar w:fldCharType="begin"/>
      </w:r>
      <w:r>
        <w:instrText xml:space="preserve"> PAGEREF _Toc214956509 \h </w:instrText>
      </w:r>
      <w:r>
        <w:fldChar w:fldCharType="separate"/>
      </w:r>
      <w:r>
        <w:t>25</w:t>
      </w:r>
      <w:r>
        <w:fldChar w:fldCharType="end"/>
      </w:r>
    </w:p>
    <w:p>
      <w:pPr>
        <w:pStyle w:val="TOC8"/>
        <w:rPr>
          <w:rFonts w:asciiTheme="minorHAnsi" w:eastAsiaTheme="minorEastAsia" w:hAnsiTheme="minorHAnsi" w:cstheme="minorBidi"/>
          <w:szCs w:val="22"/>
        </w:rPr>
      </w:pPr>
      <w:r>
        <w:t>21B.</w:t>
      </w:r>
      <w:r>
        <w:tab/>
        <w:t>Prescribed personal material (Act s. 97(1))</w:t>
      </w:r>
      <w:r>
        <w:tab/>
      </w:r>
      <w:r>
        <w:fldChar w:fldCharType="begin"/>
      </w:r>
      <w:r>
        <w:instrText xml:space="preserve"> PAGEREF _Toc214956510 \h </w:instrText>
      </w:r>
      <w:r>
        <w:fldChar w:fldCharType="separate"/>
      </w:r>
      <w:r>
        <w:t>25</w:t>
      </w:r>
      <w:r>
        <w:fldChar w:fldCharType="end"/>
      </w:r>
    </w:p>
    <w:p>
      <w:pPr>
        <w:pStyle w:val="TOC8"/>
        <w:rPr>
          <w:rFonts w:asciiTheme="minorHAnsi" w:eastAsiaTheme="minorEastAsia" w:hAnsiTheme="minorHAnsi" w:cstheme="minorBidi"/>
          <w:szCs w:val="22"/>
        </w:rPr>
      </w:pPr>
      <w:r>
        <w:t>22.</w:t>
      </w:r>
      <w:r>
        <w:tab/>
        <w:t>Public authorities to which s. 22(4AA) applies</w:t>
      </w:r>
      <w:r>
        <w:tab/>
      </w:r>
      <w:r>
        <w:fldChar w:fldCharType="begin"/>
      </w:r>
      <w:r>
        <w:instrText xml:space="preserve"> PAGEREF _Toc214956511 \h </w:instrText>
      </w:r>
      <w:r>
        <w:fldChar w:fldCharType="separate"/>
      </w:r>
      <w:r>
        <w:t>26</w:t>
      </w:r>
      <w:r>
        <w:fldChar w:fldCharType="end"/>
      </w:r>
    </w:p>
    <w:p>
      <w:pPr>
        <w:pStyle w:val="TOC8"/>
        <w:rPr>
          <w:rFonts w:asciiTheme="minorHAnsi" w:eastAsiaTheme="minorEastAsia" w:hAnsiTheme="minorHAnsi" w:cstheme="minorBidi"/>
          <w:szCs w:val="22"/>
        </w:rPr>
      </w:pPr>
      <w:r>
        <w:t>23.</w:t>
      </w:r>
      <w:r>
        <w:tab/>
        <w:t>Prescribed criteria for person preparing report under s. 61(2B)</w:t>
      </w:r>
      <w:r>
        <w:tab/>
      </w:r>
      <w:r>
        <w:fldChar w:fldCharType="begin"/>
      </w:r>
      <w:r>
        <w:instrText xml:space="preserve"> PAGEREF _Toc214956512 \h </w:instrText>
      </w:r>
      <w:r>
        <w:fldChar w:fldCharType="separate"/>
      </w:r>
      <w:r>
        <w:t>28</w:t>
      </w:r>
      <w:r>
        <w:fldChar w:fldCharType="end"/>
      </w:r>
    </w:p>
    <w:p>
      <w:pPr>
        <w:pStyle w:val="TOC8"/>
        <w:rPr>
          <w:rFonts w:asciiTheme="minorHAnsi" w:eastAsiaTheme="minorEastAsia" w:hAnsiTheme="minorHAnsi" w:cstheme="minorBidi"/>
          <w:szCs w:val="22"/>
        </w:rPr>
      </w:pPr>
      <w:r>
        <w:t>23B.</w:t>
      </w:r>
      <w:r>
        <w:tab/>
        <w:t>Prescribed legal proceedings (Act s. 124F(2))</w:t>
      </w:r>
      <w:r>
        <w:tab/>
      </w:r>
      <w:r>
        <w:fldChar w:fldCharType="begin"/>
      </w:r>
      <w:r>
        <w:instrText xml:space="preserve"> PAGEREF _Toc214956513 \h </w:instrText>
      </w:r>
      <w:r>
        <w:fldChar w:fldCharType="separate"/>
      </w:r>
      <w:r>
        <w:t>29</w:t>
      </w:r>
      <w:r>
        <w:fldChar w:fldCharType="end"/>
      </w:r>
    </w:p>
    <w:p>
      <w:pPr>
        <w:pStyle w:val="TOC8"/>
        <w:rPr>
          <w:rFonts w:asciiTheme="minorHAnsi" w:eastAsiaTheme="minorEastAsia" w:hAnsiTheme="minorHAnsi" w:cstheme="minorBidi"/>
          <w:szCs w:val="22"/>
        </w:rPr>
      </w:pPr>
      <w:r>
        <w:t>23C.</w:t>
      </w:r>
      <w:r>
        <w:tab/>
        <w:t>Prescribed legal proceedings (Act s. 240(2))</w:t>
      </w:r>
      <w:r>
        <w:tab/>
      </w:r>
      <w:r>
        <w:fldChar w:fldCharType="begin"/>
      </w:r>
      <w:r>
        <w:instrText xml:space="preserve"> PAGEREF _Toc214956514 \h </w:instrText>
      </w:r>
      <w:r>
        <w:fldChar w:fldCharType="separate"/>
      </w:r>
      <w:r>
        <w:t>29</w:t>
      </w:r>
      <w:r>
        <w:fldChar w:fldCharType="end"/>
      </w:r>
    </w:p>
    <w:p>
      <w:pPr>
        <w:pStyle w:val="TOC2"/>
        <w:tabs>
          <w:tab w:val="right" w:leader="dot" w:pos="7077"/>
        </w:tabs>
        <w:rPr>
          <w:rFonts w:asciiTheme="minorHAnsi" w:eastAsiaTheme="minorEastAsia" w:hAnsiTheme="minorHAnsi" w:cstheme="minorBidi"/>
          <w:b w:val="0"/>
          <w:sz w:val="22"/>
          <w:szCs w:val="22"/>
        </w:rPr>
      </w:pPr>
      <w:r>
        <w:t>Part 7 — Transitional arrangements</w:t>
      </w:r>
    </w:p>
    <w:p>
      <w:pPr>
        <w:pStyle w:val="TOC8"/>
        <w:rPr>
          <w:rFonts w:asciiTheme="minorHAnsi" w:eastAsiaTheme="minorEastAsia" w:hAnsiTheme="minorHAnsi" w:cstheme="minorBidi"/>
          <w:szCs w:val="22"/>
        </w:rPr>
      </w:pPr>
      <w:r>
        <w:t>24.</w:t>
      </w:r>
      <w:r>
        <w:tab/>
        <w:t>Term used: commencement day</w:t>
      </w:r>
      <w:r>
        <w:tab/>
      </w:r>
      <w:r>
        <w:fldChar w:fldCharType="begin"/>
      </w:r>
      <w:r>
        <w:instrText xml:space="preserve"> PAGEREF _Toc214956516 \h </w:instrText>
      </w:r>
      <w:r>
        <w:fldChar w:fldCharType="separate"/>
      </w:r>
      <w:r>
        <w:t>30</w:t>
      </w:r>
      <w:r>
        <w:fldChar w:fldCharType="end"/>
      </w:r>
    </w:p>
    <w:p>
      <w:pPr>
        <w:pStyle w:val="TOC8"/>
        <w:rPr>
          <w:rFonts w:asciiTheme="minorHAnsi" w:eastAsiaTheme="minorEastAsia" w:hAnsiTheme="minorHAnsi" w:cstheme="minorBidi"/>
          <w:szCs w:val="22"/>
        </w:rPr>
      </w:pPr>
      <w:r>
        <w:t>29.</w:t>
      </w:r>
      <w:r>
        <w:tab/>
        <w:t>Certain children in care as at 1 Mar 2006</w:t>
      </w:r>
      <w:r>
        <w:tab/>
      </w:r>
      <w:r>
        <w:fldChar w:fldCharType="begin"/>
      </w:r>
      <w:r>
        <w:instrText xml:space="preserve"> PAGEREF _Toc214956517 \h </w:instrText>
      </w:r>
      <w:r>
        <w:fldChar w:fldCharType="separate"/>
      </w:r>
      <w:r>
        <w:t>30</w:t>
      </w:r>
      <w:r>
        <w:fldChar w:fldCharType="end"/>
      </w:r>
    </w:p>
    <w:p>
      <w:pPr>
        <w:pStyle w:val="TOC2"/>
        <w:tabs>
          <w:tab w:val="right" w:leader="dot" w:pos="7077"/>
        </w:tabs>
        <w:rPr>
          <w:rFonts w:asciiTheme="minorHAnsi" w:eastAsiaTheme="minorEastAsia" w:hAnsiTheme="minorHAnsi" w:cstheme="minorBidi"/>
          <w:b w:val="0"/>
          <w:sz w:val="22"/>
          <w:szCs w:val="22"/>
        </w:rPr>
      </w:pPr>
      <w:r>
        <w:t>Schedule 1 — Forms</w:t>
      </w:r>
    </w:p>
    <w:p>
      <w:pPr>
        <w:pStyle w:val="TOC8"/>
        <w:rPr>
          <w:rFonts w:asciiTheme="minorHAnsi" w:eastAsiaTheme="minorEastAsia" w:hAnsiTheme="minorHAnsi" w:cstheme="minorBidi"/>
          <w:szCs w:val="22"/>
        </w:rPr>
      </w:pPr>
      <w:r>
        <w:t>1.</w:t>
      </w:r>
      <w:r>
        <w:tab/>
        <w:t>Warrant (access)</w:t>
      </w:r>
      <w:r>
        <w:tab/>
      </w:r>
      <w:r>
        <w:fldChar w:fldCharType="begin"/>
      </w:r>
      <w:r>
        <w:instrText xml:space="preserve"> PAGEREF _Toc214956519 \h </w:instrText>
      </w:r>
      <w:r>
        <w:fldChar w:fldCharType="separate"/>
      </w:r>
      <w:r>
        <w:t>31</w:t>
      </w:r>
      <w:r>
        <w:fldChar w:fldCharType="end"/>
      </w:r>
    </w:p>
    <w:p>
      <w:pPr>
        <w:pStyle w:val="TOC8"/>
        <w:rPr>
          <w:rFonts w:asciiTheme="minorHAnsi" w:eastAsiaTheme="minorEastAsia" w:hAnsiTheme="minorHAnsi" w:cstheme="minorBidi"/>
          <w:szCs w:val="22"/>
        </w:rPr>
      </w:pPr>
      <w:r>
        <w:t>2.</w:t>
      </w:r>
      <w:r>
        <w:tab/>
        <w:t>Warrant (apprehension)</w:t>
      </w:r>
      <w:r>
        <w:tab/>
      </w:r>
      <w:r>
        <w:fldChar w:fldCharType="begin"/>
      </w:r>
      <w:r>
        <w:instrText xml:space="preserve"> PAGEREF _Toc214956520 \h </w:instrText>
      </w:r>
      <w:r>
        <w:fldChar w:fldCharType="separate"/>
      </w:r>
      <w:r>
        <w:t>33</w:t>
      </w:r>
      <w:r>
        <w:fldChar w:fldCharType="end"/>
      </w:r>
    </w:p>
    <w:p>
      <w:pPr>
        <w:pStyle w:val="TOC8"/>
        <w:rPr>
          <w:rFonts w:asciiTheme="minorHAnsi" w:eastAsiaTheme="minorEastAsia" w:hAnsiTheme="minorHAnsi" w:cstheme="minorBidi"/>
          <w:szCs w:val="22"/>
        </w:rPr>
      </w:pPr>
      <w:r>
        <w:t>3.</w:t>
      </w:r>
      <w:r>
        <w:tab/>
        <w:t>Warrant (provisional protection and care)</w:t>
      </w:r>
      <w:r>
        <w:tab/>
      </w:r>
      <w:r>
        <w:fldChar w:fldCharType="begin"/>
      </w:r>
      <w:r>
        <w:instrText xml:space="preserve"> PAGEREF _Toc214956521 \h </w:instrText>
      </w:r>
      <w:r>
        <w:fldChar w:fldCharType="separate"/>
      </w:r>
      <w:r>
        <w:t>35</w:t>
      </w:r>
      <w:r>
        <w:fldChar w:fldCharType="end"/>
      </w:r>
    </w:p>
    <w:p>
      <w:pPr>
        <w:pStyle w:val="TOC8"/>
        <w:rPr>
          <w:rFonts w:asciiTheme="minorHAnsi" w:eastAsiaTheme="minorEastAsia" w:hAnsiTheme="minorHAnsi" w:cstheme="minorBidi"/>
          <w:szCs w:val="22"/>
        </w:rPr>
      </w:pPr>
      <w:r>
        <w:t>3A.</w:t>
      </w:r>
      <w:r>
        <w:tab/>
        <w:t>Entry warrant</w:t>
      </w:r>
      <w:r>
        <w:tab/>
      </w:r>
      <w:r>
        <w:fldChar w:fldCharType="begin"/>
      </w:r>
      <w:r>
        <w:instrText xml:space="preserve"> PAGEREF _Toc214956522 \h </w:instrText>
      </w:r>
      <w:r>
        <w:fldChar w:fldCharType="separate"/>
      </w:r>
      <w:r>
        <w:t>37</w:t>
      </w:r>
      <w:r>
        <w:fldChar w:fldCharType="end"/>
      </w:r>
    </w:p>
    <w:p>
      <w:pPr>
        <w:pStyle w:val="TOC8"/>
        <w:rPr>
          <w:rFonts w:asciiTheme="minorHAnsi" w:eastAsiaTheme="minorEastAsia" w:hAnsiTheme="minorHAnsi" w:cstheme="minorBidi"/>
          <w:szCs w:val="22"/>
        </w:rPr>
      </w:pPr>
      <w:r>
        <w:t>4.</w:t>
      </w:r>
      <w:r>
        <w:tab/>
        <w:t>Parentage testing procedure</w:t>
      </w:r>
      <w:r>
        <w:tab/>
      </w:r>
      <w:r>
        <w:fldChar w:fldCharType="begin"/>
      </w:r>
      <w:r>
        <w:instrText xml:space="preserve"> PAGEREF _Toc214956523 \h </w:instrText>
      </w:r>
      <w:r>
        <w:fldChar w:fldCharType="separate"/>
      </w:r>
      <w:r>
        <w:t>39</w:t>
      </w:r>
      <w:r>
        <w:fldChar w:fldCharType="end"/>
      </w:r>
    </w:p>
    <w:p>
      <w:pPr>
        <w:pStyle w:val="TOC8"/>
        <w:rPr>
          <w:rFonts w:asciiTheme="minorHAnsi" w:eastAsiaTheme="minorEastAsia" w:hAnsiTheme="minorHAnsi" w:cstheme="minorBidi"/>
          <w:szCs w:val="22"/>
        </w:rPr>
      </w:pPr>
      <w:r>
        <w:t>5.</w:t>
      </w:r>
      <w:r>
        <w:tab/>
        <w:t>Parentage testing procedure</w:t>
      </w:r>
      <w:r>
        <w:tab/>
      </w:r>
      <w:r>
        <w:fldChar w:fldCharType="begin"/>
      </w:r>
      <w:r>
        <w:instrText xml:space="preserve"> PAGEREF _Toc214956524 \h </w:instrText>
      </w:r>
      <w:r>
        <w:fldChar w:fldCharType="separate"/>
      </w:r>
      <w:r>
        <w:t>42</w:t>
      </w:r>
      <w:r>
        <w:fldChar w:fldCharType="end"/>
      </w:r>
    </w:p>
    <w:p>
      <w:pPr>
        <w:pStyle w:val="TOC8"/>
        <w:rPr>
          <w:rFonts w:asciiTheme="minorHAnsi" w:eastAsiaTheme="minorEastAsia" w:hAnsiTheme="minorHAnsi" w:cstheme="minorBidi"/>
          <w:szCs w:val="22"/>
        </w:rPr>
      </w:pPr>
      <w:r>
        <w:t>6.</w:t>
      </w:r>
      <w:r>
        <w:tab/>
        <w:t>Parentage testing procedure report</w:t>
      </w:r>
      <w:r>
        <w:tab/>
      </w:r>
      <w:r>
        <w:fldChar w:fldCharType="begin"/>
      </w:r>
      <w:r>
        <w:instrText xml:space="preserve"> PAGEREF _Toc214956525 \h </w:instrText>
      </w:r>
      <w:r>
        <w:fldChar w:fldCharType="separate"/>
      </w:r>
      <w:r>
        <w:t>43</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_Toc214956527 \h </w:instrText>
      </w:r>
      <w:r>
        <w:fldChar w:fldCharType="separate"/>
      </w:r>
      <w:r>
        <w:t>47</w:t>
      </w:r>
      <w:r>
        <w:fldChar w:fldCharType="end"/>
      </w:r>
    </w:p>
    <w:p>
      <w:pPr>
        <w:pStyle w:val="TOC8"/>
        <w:rPr>
          <w:rFonts w:asciiTheme="minorHAnsi" w:eastAsiaTheme="minorEastAsia" w:hAnsiTheme="minorHAnsi" w:cstheme="minorBidi"/>
          <w:szCs w:val="22"/>
        </w:rPr>
      </w:pPr>
      <w:r>
        <w:tab/>
        <w:t>Editorial changes table</w:t>
      </w:r>
      <w:r>
        <w:tab/>
      </w:r>
      <w:r>
        <w:fldChar w:fldCharType="begin"/>
      </w:r>
      <w:r>
        <w:instrText xml:space="preserve"> PAGEREF _Toc214956528 \h </w:instrText>
      </w:r>
      <w:r>
        <w:fldChar w:fldCharType="separate"/>
      </w:r>
      <w:r>
        <w:t>51</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_Toc214956529 \h </w:instrText>
      </w:r>
      <w:r>
        <w:fldChar w:fldCharType="separate"/>
      </w:r>
      <w:r>
        <w:t>51</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2" w:name="_Toc214541567"/>
      <w:bookmarkStart w:id="3" w:name="_Toc214542054"/>
      <w:bookmarkStart w:id="4" w:name="_Toc214956455"/>
      <w:r>
        <w:rPr>
          <w:rStyle w:val="CharPartNo"/>
        </w:rPr>
        <w:t>Part 1</w:t>
      </w:r>
      <w:r>
        <w:rPr>
          <w:rStyle w:val="CharDivNo"/>
        </w:rPr>
        <w:t> </w:t>
      </w:r>
      <w:r>
        <w:t>—</w:t>
      </w:r>
      <w:r>
        <w:rPr>
          <w:rStyle w:val="CharDivText"/>
        </w:rPr>
        <w:t> </w:t>
      </w:r>
      <w:r>
        <w:rPr>
          <w:rStyle w:val="CharPartText"/>
        </w:rPr>
        <w:t>Preliminary</w:t>
      </w:r>
      <w:bookmarkEnd w:id="2"/>
      <w:bookmarkEnd w:id="3"/>
      <w:bookmarkEnd w:id="4"/>
    </w:p>
    <w:p>
      <w:pPr>
        <w:pStyle w:val="Heading5"/>
      </w:pPr>
      <w:bookmarkStart w:id="5" w:name="_Toc214956456"/>
      <w:r>
        <w:rPr>
          <w:rStyle w:val="CharSectno"/>
        </w:rPr>
        <w:t>1</w:t>
      </w:r>
      <w:r>
        <w:t>.</w:t>
      </w:r>
      <w:r>
        <w:tab/>
        <w:t>Citation</w:t>
      </w:r>
      <w:bookmarkEnd w:id="5"/>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6" w:name="_Toc214956457"/>
      <w:r>
        <w:rPr>
          <w:rStyle w:val="CharSectno"/>
        </w:rPr>
        <w:t>2</w:t>
      </w:r>
      <w:r>
        <w:rPr>
          <w:spacing w:val="-2"/>
        </w:rPr>
        <w:t>.</w:t>
      </w:r>
      <w:r>
        <w:rPr>
          <w:spacing w:val="-2"/>
        </w:rPr>
        <w:tab/>
        <w:t>Commencement</w:t>
      </w:r>
      <w:bookmarkEnd w:id="6"/>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7" w:name="_Toc214956458"/>
      <w:r>
        <w:rPr>
          <w:rStyle w:val="CharSectno"/>
        </w:rPr>
        <w:t>3</w:t>
      </w:r>
      <w:r>
        <w:t>.</w:t>
      </w:r>
      <w:r>
        <w:tab/>
        <w:t>Terms used</w:t>
      </w:r>
      <w:bookmarkEnd w:id="7"/>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8" w:name="_Toc214541571"/>
      <w:bookmarkStart w:id="9" w:name="_Toc214542058"/>
      <w:bookmarkStart w:id="10" w:name="_Toc214956459"/>
      <w:r>
        <w:rPr>
          <w:rStyle w:val="CharPartNo"/>
        </w:rPr>
        <w:lastRenderedPageBreak/>
        <w:t>Part 2</w:t>
      </w:r>
      <w:r>
        <w:rPr>
          <w:rStyle w:val="CharDivNo"/>
        </w:rPr>
        <w:t> </w:t>
      </w:r>
      <w:r>
        <w:t>—</w:t>
      </w:r>
      <w:r>
        <w:rPr>
          <w:rStyle w:val="CharDivText"/>
        </w:rPr>
        <w:t> </w:t>
      </w:r>
      <w:r>
        <w:rPr>
          <w:rStyle w:val="CharPartText"/>
        </w:rPr>
        <w:t>Children in the CEO’s care</w:t>
      </w:r>
      <w:bookmarkEnd w:id="8"/>
      <w:bookmarkEnd w:id="9"/>
      <w:bookmarkEnd w:id="10"/>
    </w:p>
    <w:p>
      <w:pPr>
        <w:pStyle w:val="Heading5"/>
      </w:pPr>
      <w:bookmarkStart w:id="11" w:name="_Toc214956460"/>
      <w:r>
        <w:rPr>
          <w:rStyle w:val="CharSectno"/>
        </w:rPr>
        <w:t>4</w:t>
      </w:r>
      <w:r>
        <w:t>.</w:t>
      </w:r>
      <w:r>
        <w:tab/>
        <w:t>Approval of carers (Act s. 79(2)(a)(i))</w:t>
      </w:r>
      <w:bookmarkEnd w:id="11"/>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(Screening)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(Screening) Act 2004</w:t>
      </w:r>
      <w:r>
        <w:t>; or</w:t>
      </w:r>
    </w:p>
    <w:p>
      <w:pPr>
        <w:pStyle w:val="Indenta"/>
      </w:pPr>
      <w:r>
        <w:lastRenderedPageBreak/>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12" w:name="_Toc214956461"/>
      <w:r>
        <w:rPr>
          <w:rStyle w:val="CharSectno"/>
        </w:rPr>
        <w:t>4A</w:t>
      </w:r>
      <w:r>
        <w:t>.</w:t>
      </w:r>
      <w:r>
        <w:tab/>
        <w:t>Interim placement arrangements (Act s. 79(2)(a)(iv))</w:t>
      </w:r>
      <w:bookmarkEnd w:id="12"/>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keepNext/>
        <w:keepLines/>
      </w:pPr>
      <w:r>
        <w:lastRenderedPageBreak/>
        <w:tab/>
        <w:t>(b)</w:t>
      </w:r>
      <w:r>
        <w:tab/>
        <w:t>the interim carer must consent to the CEO carrying out any check (including a criminal record check) that the 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w:t>
      </w:r>
      <w:r>
        <w:rPr>
          <w:i/>
          <w:iCs/>
        </w:rPr>
        <w:t>Screening</w:t>
      </w:r>
      <w:r>
        <w:rPr>
          <w:i/>
        </w:rPr>
        <w:t>)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13" w:name="_Toc214956462"/>
      <w:r>
        <w:rPr>
          <w:rStyle w:val="CharSectno"/>
        </w:rPr>
        <w:t>4AA</w:t>
      </w:r>
      <w:r>
        <w:t>.</w:t>
      </w:r>
      <w:r>
        <w:tab/>
        <w:t xml:space="preserve">Prescribed offices and positions (Act s. 124A </w:t>
      </w:r>
      <w:r>
        <w:rPr>
          <w:i/>
        </w:rPr>
        <w:t>departmental officer</w:t>
      </w:r>
      <w:r>
        <w:t>)</w:t>
      </w:r>
      <w:bookmarkEnd w:id="13"/>
    </w:p>
    <w:p>
      <w:pPr>
        <w:pStyle w:val="Subsection"/>
      </w:pPr>
      <w:r>
        <w:tab/>
      </w:r>
      <w:r>
        <w:tab/>
        <w:t xml:space="preserve">For the purposes of paragraph (a)(ii) of the definition of </w:t>
      </w:r>
      <w:r>
        <w:rPr>
          <w:b/>
          <w:i/>
        </w:rPr>
        <w:t>departmental officer</w:t>
      </w:r>
      <w:r>
        <w:t xml:space="preserve"> in section 124A, each of the following offices or positions is prescribed —</w:t>
      </w:r>
    </w:p>
    <w:p>
      <w:pPr>
        <w:pStyle w:val="Indenta"/>
      </w:pPr>
      <w:r>
        <w:tab/>
        <w:t>(a)</w:t>
      </w:r>
      <w:r>
        <w:tab/>
        <w:t>family support officer;</w:t>
      </w:r>
    </w:p>
    <w:p>
      <w:pPr>
        <w:pStyle w:val="Indenta"/>
      </w:pPr>
      <w:r>
        <w:tab/>
        <w:t>(b)</w:t>
      </w:r>
      <w:r>
        <w:tab/>
        <w:t>cook in a secure care facility;</w:t>
      </w:r>
    </w:p>
    <w:p>
      <w:pPr>
        <w:pStyle w:val="Indenta"/>
      </w:pPr>
      <w:r>
        <w:lastRenderedPageBreak/>
        <w:tab/>
        <w:t>(c)</w:t>
      </w:r>
      <w:r>
        <w:tab/>
        <w:t xml:space="preserve">any office or position to which a person is appointed on a casual employment basis under the </w:t>
      </w:r>
      <w:r>
        <w:rPr>
          <w:i/>
        </w:rPr>
        <w:t xml:space="preserve">Public Sector Management Act 1994 </w:t>
      </w:r>
      <w:r>
        <w:t>section 100(2) by the employing authority of the Department.</w:t>
      </w:r>
    </w:p>
    <w:p>
      <w:pPr>
        <w:pStyle w:val="Footnotesection"/>
      </w:pPr>
      <w:r>
        <w:tab/>
        <w:t>[Regulation 4AA inserted: SL 2023/179 r. 4.]</w:t>
      </w:r>
    </w:p>
    <w:p>
      <w:pPr>
        <w:pStyle w:val="Heading5"/>
      </w:pPr>
      <w:bookmarkStart w:id="14" w:name="_Toc214956463"/>
      <w:r>
        <w:rPr>
          <w:rStyle w:val="CharSectno"/>
        </w:rPr>
        <w:t>4B</w:t>
      </w:r>
      <w:r>
        <w:t>.</w:t>
      </w:r>
      <w:r>
        <w:tab/>
        <w:t xml:space="preserve">Prescribed course (Act s. 124A </w:t>
      </w:r>
      <w:r>
        <w:rPr>
          <w:i/>
        </w:rPr>
        <w:t>teacher</w:t>
      </w:r>
      <w:r>
        <w:t>)</w:t>
      </w:r>
      <w:bookmarkEnd w:id="14"/>
    </w:p>
    <w:p>
      <w:pPr>
        <w:pStyle w:val="Subsection"/>
      </w:pPr>
      <w:r>
        <w:tab/>
      </w:r>
      <w:r>
        <w:tab/>
        <w:t xml:space="preserve">A course is prescribed for the purposes of paragraph (c)(ii) of the definition of </w:t>
      </w:r>
      <w:r>
        <w:rPr>
          <w:b/>
          <w:i/>
        </w:rPr>
        <w:t>teacher</w:t>
      </w:r>
      <w:r>
        <w:t xml:space="preserve"> in section 124A if — </w:t>
      </w:r>
    </w:p>
    <w:p>
      <w:pPr>
        <w:pStyle w:val="Indenta"/>
      </w:pPr>
      <w:r>
        <w:tab/>
        <w:t>(a)</w:t>
      </w:r>
      <w:r>
        <w:tab/>
        <w:t xml:space="preserve">the course is an approved VET course as defined in the </w:t>
      </w:r>
      <w:r>
        <w:rPr>
          <w:i/>
        </w:rPr>
        <w:t>Vocational Education and Training Act 1996</w:t>
      </w:r>
      <w:r>
        <w:t xml:space="preserve"> section 5(1); and</w:t>
      </w:r>
    </w:p>
    <w:p>
      <w:pPr>
        <w:pStyle w:val="Indenta"/>
        <w:keepNext/>
      </w:pPr>
      <w:r>
        <w:tab/>
        <w:t>(b)</w:t>
      </w:r>
      <w:r>
        <w:tab/>
        <w:t xml:space="preserve">the course is provided by — </w:t>
      </w:r>
    </w:p>
    <w:p>
      <w:pPr>
        <w:pStyle w:val="Indenti"/>
      </w:pPr>
      <w:r>
        <w:tab/>
        <w:t>(i)</w:t>
      </w:r>
      <w:r>
        <w:tab/>
        <w:t xml:space="preserve">a college established under the </w:t>
      </w:r>
      <w:r>
        <w:rPr>
          <w:i/>
        </w:rPr>
        <w:t>Vocational Education and Training Act 1996</w:t>
      </w:r>
      <w:r>
        <w:t xml:space="preserve"> section 35; and</w:t>
      </w:r>
    </w:p>
    <w:p>
      <w:pPr>
        <w:pStyle w:val="Indenti"/>
      </w:pPr>
      <w:r>
        <w:tab/>
        <w:t>(ii)</w:t>
      </w:r>
      <w:r>
        <w:tab/>
        <w:t xml:space="preserve">a person employed under the </w:t>
      </w:r>
      <w:r>
        <w:rPr>
          <w:i/>
        </w:rPr>
        <w:t>Vocational Education and Training Act 1996</w:t>
      </w:r>
      <w:r>
        <w:t xml:space="preserve"> section 47;</w:t>
      </w:r>
    </w:p>
    <w:p>
      <w:pPr>
        <w:pStyle w:val="Indenta"/>
      </w:pPr>
      <w:r>
        <w:tab/>
      </w:r>
      <w:r>
        <w:tab/>
        <w:t>and</w:t>
      </w:r>
    </w:p>
    <w:p>
      <w:pPr>
        <w:pStyle w:val="Indenta"/>
      </w:pPr>
      <w:r>
        <w:tab/>
        <w:t>(c)</w:t>
      </w:r>
      <w:r>
        <w:tab/>
        <w:t>the course is provided for students who include children.</w:t>
      </w:r>
    </w:p>
    <w:p>
      <w:pPr>
        <w:pStyle w:val="Footnotesection"/>
      </w:pPr>
      <w:r>
        <w:tab/>
        <w:t>[Regulation 4B inserted: SL 2023/110 r. 4.]</w:t>
      </w:r>
    </w:p>
    <w:p>
      <w:pPr>
        <w:pStyle w:val="Heading5"/>
      </w:pPr>
      <w:bookmarkStart w:id="15" w:name="_Toc214956464"/>
      <w:r>
        <w:rPr>
          <w:rStyle w:val="CharSectno"/>
        </w:rPr>
        <w:t>4BA</w:t>
      </w:r>
      <w:r>
        <w:t>.</w:t>
      </w:r>
      <w:r>
        <w:tab/>
        <w:t xml:space="preserve">Prescribed duties (Act s. 124A </w:t>
      </w:r>
      <w:r>
        <w:rPr>
          <w:i/>
        </w:rPr>
        <w:t>youth justice worker</w:t>
      </w:r>
      <w:r>
        <w:t>)</w:t>
      </w:r>
      <w:bookmarkEnd w:id="15"/>
    </w:p>
    <w:p>
      <w:pPr>
        <w:pStyle w:val="Subsection"/>
      </w:pPr>
      <w:r>
        <w:tab/>
        <w:t>(1)</w:t>
      </w:r>
      <w:r>
        <w:tab/>
        <w:t xml:space="preserve">In this regulation — </w:t>
      </w:r>
    </w:p>
    <w:p>
      <w:pPr>
        <w:pStyle w:val="Defstart"/>
      </w:pPr>
      <w:r>
        <w:tab/>
      </w:r>
      <w:r>
        <w:rPr>
          <w:rStyle w:val="CharDefText"/>
        </w:rPr>
        <w:t>contact</w:t>
      </w:r>
      <w:r>
        <w:t xml:space="preserve"> includes any of the following — </w:t>
      </w:r>
    </w:p>
    <w:p>
      <w:pPr>
        <w:pStyle w:val="Defpara"/>
      </w:pPr>
      <w:r>
        <w:tab/>
        <w:t>(a)</w:t>
      </w:r>
      <w:r>
        <w:tab/>
        <w:t>any form of oral communication, whether face to face, by telephone or otherwise;</w:t>
      </w:r>
    </w:p>
    <w:p>
      <w:pPr>
        <w:pStyle w:val="Defpara"/>
      </w:pPr>
      <w:r>
        <w:tab/>
        <w:t>(b)</w:t>
      </w:r>
      <w:r>
        <w:tab/>
        <w:t>any form of written communication;</w:t>
      </w:r>
    </w:p>
    <w:p>
      <w:pPr>
        <w:pStyle w:val="Defpara"/>
      </w:pPr>
      <w:r>
        <w:tab/>
        <w:t>(c)</w:t>
      </w:r>
      <w:r>
        <w:tab/>
        <w:t>any form of electronic communication.</w:t>
      </w:r>
    </w:p>
    <w:p>
      <w:pPr>
        <w:pStyle w:val="Subsection"/>
        <w:keepNext/>
      </w:pPr>
      <w:r>
        <w:lastRenderedPageBreak/>
        <w:tab/>
        <w:t>(2)</w:t>
      </w:r>
      <w:r>
        <w:tab/>
        <w:t xml:space="preserve">For the purposes of paragraph (a)(vi) of the definition of </w:t>
      </w:r>
      <w:r>
        <w:rPr>
          <w:b/>
          <w:i/>
        </w:rPr>
        <w:t xml:space="preserve">youth justice worker </w:t>
      </w:r>
      <w:r>
        <w:t>in section 124A, the duties are any of the following —</w:t>
      </w:r>
    </w:p>
    <w:p>
      <w:pPr>
        <w:pStyle w:val="Indenta"/>
      </w:pPr>
      <w:r>
        <w:tab/>
        <w:t>(a)</w:t>
      </w:r>
      <w:r>
        <w:tab/>
        <w:t>any duty that involves material contact with children;</w:t>
      </w:r>
    </w:p>
    <w:p>
      <w:pPr>
        <w:pStyle w:val="Indenta"/>
      </w:pPr>
      <w:r>
        <w:tab/>
        <w:t>(b)</w:t>
      </w:r>
      <w:r>
        <w:tab/>
        <w:t>supervision of children;</w:t>
      </w:r>
    </w:p>
    <w:p>
      <w:pPr>
        <w:pStyle w:val="Indenta"/>
      </w:pPr>
      <w:r>
        <w:tab/>
        <w:t>(c)</w:t>
      </w:r>
      <w:r>
        <w:tab/>
        <w:t>monitoring of children.</w:t>
      </w:r>
    </w:p>
    <w:p>
      <w:pPr>
        <w:pStyle w:val="Footnotesection"/>
      </w:pPr>
      <w:r>
        <w:tab/>
        <w:t>[Regulation 4BA inserted: SL 2025/57 r. 4.]</w:t>
      </w:r>
    </w:p>
    <w:p>
      <w:pPr>
        <w:pStyle w:val="Heading5"/>
      </w:pPr>
      <w:bookmarkStart w:id="16" w:name="_Toc214956465"/>
      <w:r>
        <w:rPr>
          <w:rStyle w:val="CharSectno"/>
        </w:rPr>
        <w:t>5</w:t>
      </w:r>
      <w:r>
        <w:t>.</w:t>
      </w:r>
      <w:r>
        <w:tab/>
        <w:t>Records, prescribed information for (Act s. 128)</w:t>
      </w:r>
      <w:bookmarkEnd w:id="16"/>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lastRenderedPageBreak/>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17" w:name="_Toc214541578"/>
      <w:bookmarkStart w:id="18" w:name="_Toc214542065"/>
      <w:bookmarkStart w:id="19" w:name="_Toc214956466"/>
      <w:r>
        <w:rPr>
          <w:rStyle w:val="CharPartNo"/>
        </w:rPr>
        <w:lastRenderedPageBreak/>
        <w:t>Part 3</w:t>
      </w:r>
      <w:r>
        <w:rPr>
          <w:rStyle w:val="CharDivNo"/>
        </w:rPr>
        <w:t> </w:t>
      </w:r>
      <w:r>
        <w:t>—</w:t>
      </w:r>
      <w:r>
        <w:rPr>
          <w:rStyle w:val="CharDivText"/>
        </w:rPr>
        <w:t> </w:t>
      </w:r>
      <w:r>
        <w:rPr>
          <w:rStyle w:val="CharPartText"/>
        </w:rPr>
        <w:t>Restraint, search and seizure</w:t>
      </w:r>
      <w:bookmarkEnd w:id="17"/>
      <w:bookmarkEnd w:id="18"/>
      <w:bookmarkEnd w:id="19"/>
    </w:p>
    <w:p>
      <w:pPr>
        <w:pStyle w:val="Heading5"/>
      </w:pPr>
      <w:bookmarkStart w:id="20" w:name="_Toc214956467"/>
      <w:r>
        <w:rPr>
          <w:rStyle w:val="CharSectno"/>
        </w:rPr>
        <w:t>6</w:t>
      </w:r>
      <w:r>
        <w:t>.</w:t>
      </w:r>
      <w:r>
        <w:tab/>
        <w:t>Prescribed amount (Act s. 112 “disposable article”)</w:t>
      </w:r>
      <w:bookmarkEnd w:id="20"/>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21" w:name="_Toc214956468"/>
      <w:r>
        <w:rPr>
          <w:rStyle w:val="CharSectno"/>
        </w:rPr>
        <w:t>7</w:t>
      </w:r>
      <w:r>
        <w:t>.</w:t>
      </w:r>
      <w:r>
        <w:tab/>
        <w:t>Restraint of child under Act s. 114, officer’s duties after</w:t>
      </w:r>
      <w:bookmarkEnd w:id="21"/>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22" w:name="_Toc214956469"/>
      <w:r>
        <w:rPr>
          <w:rStyle w:val="CharSectno"/>
        </w:rPr>
        <w:t>8</w:t>
      </w:r>
      <w:r>
        <w:t>.</w:t>
      </w:r>
      <w:r>
        <w:tab/>
        <w:t>Articles seized under Act s. 116, dealing with</w:t>
      </w:r>
      <w:bookmarkEnd w:id="22"/>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23" w:name="_Toc214541582"/>
      <w:bookmarkStart w:id="24" w:name="_Toc214542069"/>
      <w:bookmarkStart w:id="25" w:name="_Toc214956470"/>
      <w:r>
        <w:rPr>
          <w:rStyle w:val="CharPartNo"/>
        </w:rPr>
        <w:lastRenderedPageBreak/>
        <w:t>Part 4AA</w:t>
      </w:r>
      <w:r>
        <w:rPr>
          <w:b w:val="0"/>
        </w:rPr>
        <w:t> </w:t>
      </w:r>
      <w:r>
        <w:t>—</w:t>
      </w:r>
      <w:r>
        <w:rPr>
          <w:b w:val="0"/>
        </w:rPr>
        <w:t> </w:t>
      </w:r>
      <w:r>
        <w:rPr>
          <w:rStyle w:val="CharPartText"/>
        </w:rPr>
        <w:t>Warrants</w:t>
      </w:r>
      <w:bookmarkEnd w:id="23"/>
      <w:bookmarkEnd w:id="24"/>
      <w:bookmarkEnd w:id="25"/>
    </w:p>
    <w:p>
      <w:pPr>
        <w:pStyle w:val="Footnoteheading"/>
      </w:pPr>
      <w:r>
        <w:tab/>
        <w:t>[Heading inserted: Gazette 19 Jun 2009 p. 2226.]</w:t>
      </w:r>
    </w:p>
    <w:p>
      <w:pPr>
        <w:pStyle w:val="Heading5"/>
      </w:pPr>
      <w:bookmarkStart w:id="26" w:name="_Toc214956471"/>
      <w:r>
        <w:rPr>
          <w:rStyle w:val="CharSectno"/>
        </w:rPr>
        <w:t>9AA</w:t>
      </w:r>
      <w:r>
        <w:t>.</w:t>
      </w:r>
      <w:r>
        <w:tab/>
        <w:t>Form of warrant (access) (Act s. 121(1))</w:t>
      </w:r>
      <w:bookmarkEnd w:id="26"/>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27" w:name="_Toc214956472"/>
      <w:r>
        <w:rPr>
          <w:rStyle w:val="CharSectno"/>
        </w:rPr>
        <w:t>9AB</w:t>
      </w:r>
      <w:r>
        <w:t>.</w:t>
      </w:r>
      <w:r>
        <w:tab/>
        <w:t>Form of warrant (apprehension) (Act s. 122(1))</w:t>
      </w:r>
      <w:bookmarkEnd w:id="27"/>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28" w:name="_Toc214956473"/>
      <w:r>
        <w:rPr>
          <w:rStyle w:val="CharSectno"/>
        </w:rPr>
        <w:t>9AC</w:t>
      </w:r>
      <w:r>
        <w:t>.</w:t>
      </w:r>
      <w:r>
        <w:tab/>
        <w:t>Form of warrant (provisional protection and care) (Act s. 123(1))</w:t>
      </w:r>
      <w:bookmarkEnd w:id="28"/>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29" w:name="_Toc214956474"/>
      <w:r>
        <w:rPr>
          <w:rStyle w:val="CharSectno"/>
        </w:rPr>
        <w:t>9AD</w:t>
      </w:r>
      <w:r>
        <w:t>.</w:t>
      </w:r>
      <w:r>
        <w:tab/>
        <w:t>Information in application for entry warrant (Act s. 241L(2)(a))</w:t>
      </w:r>
      <w:bookmarkEnd w:id="29"/>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lastRenderedPageBreak/>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30" w:name="_Toc214956475"/>
      <w:r>
        <w:rPr>
          <w:rStyle w:val="CharSectno"/>
        </w:rPr>
        <w:t>9AE</w:t>
      </w:r>
      <w:r>
        <w:t>.</w:t>
      </w:r>
      <w:r>
        <w:tab/>
        <w:t>Form of entry warrant (Act s. 241M(3))</w:t>
      </w:r>
      <w:bookmarkEnd w:id="30"/>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31" w:name="_Toc214541588"/>
      <w:bookmarkStart w:id="32" w:name="_Toc214542075"/>
      <w:bookmarkStart w:id="33" w:name="_Toc214956476"/>
      <w:r>
        <w:rPr>
          <w:rStyle w:val="CharPartNo"/>
        </w:rPr>
        <w:lastRenderedPageBreak/>
        <w:t>Part 4</w:t>
      </w:r>
      <w:r>
        <w:rPr>
          <w:rStyle w:val="CharDivNo"/>
        </w:rPr>
        <w:t> </w:t>
      </w:r>
      <w:r>
        <w:t>—</w:t>
      </w:r>
      <w:r>
        <w:rPr>
          <w:rStyle w:val="CharDivText"/>
        </w:rPr>
        <w:t> </w:t>
      </w:r>
      <w:r>
        <w:rPr>
          <w:rStyle w:val="CharPartText"/>
        </w:rPr>
        <w:t>Pre</w:t>
      </w:r>
      <w:r>
        <w:rPr>
          <w:rStyle w:val="CharPartText"/>
        </w:rPr>
        <w:noBreakHyphen/>
        <w:t>hearing conferences</w:t>
      </w:r>
      <w:bookmarkEnd w:id="31"/>
      <w:bookmarkEnd w:id="32"/>
      <w:bookmarkEnd w:id="33"/>
    </w:p>
    <w:p>
      <w:pPr>
        <w:pStyle w:val="Heading5"/>
      </w:pPr>
      <w:bookmarkStart w:id="34" w:name="_Toc214956477"/>
      <w:r>
        <w:rPr>
          <w:rStyle w:val="CharSectno"/>
        </w:rPr>
        <w:t>9</w:t>
      </w:r>
      <w:r>
        <w:t>.</w:t>
      </w:r>
      <w:r>
        <w:tab/>
        <w:t>Terms used</w:t>
      </w:r>
      <w:bookmarkEnd w:id="34"/>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35" w:name="_Toc214956478"/>
      <w:r>
        <w:rPr>
          <w:rStyle w:val="CharSectno"/>
        </w:rPr>
        <w:t>10</w:t>
      </w:r>
      <w:r>
        <w:t>.</w:t>
      </w:r>
      <w:r>
        <w:tab/>
        <w:t>Convenors, appointment of (Act s. 136)</w:t>
      </w:r>
      <w:bookmarkEnd w:id="35"/>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36" w:name="_Toc214956479"/>
      <w:r>
        <w:rPr>
          <w:rStyle w:val="CharSectno"/>
        </w:rPr>
        <w:t>11</w:t>
      </w:r>
      <w:r>
        <w:t>.</w:t>
      </w:r>
      <w:r>
        <w:tab/>
        <w:t>Terms and conditions of convenors’ appointments</w:t>
      </w:r>
      <w:bookmarkEnd w:id="36"/>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37" w:name="_Toc214956480"/>
      <w:r>
        <w:rPr>
          <w:rStyle w:val="CharSectno"/>
        </w:rPr>
        <w:t>12</w:t>
      </w:r>
      <w:r>
        <w:t>.</w:t>
      </w:r>
      <w:r>
        <w:tab/>
        <w:t>Resignation by convenor</w:t>
      </w:r>
      <w:bookmarkEnd w:id="37"/>
    </w:p>
    <w:p>
      <w:pPr>
        <w:pStyle w:val="Subsection"/>
      </w:pPr>
      <w:r>
        <w:tab/>
      </w:r>
      <w:r>
        <w:tab/>
        <w:t>A convenor appointed under regulation 10(b) may resign from office by giving the President a signed letter of resignation.</w:t>
      </w:r>
    </w:p>
    <w:p>
      <w:pPr>
        <w:pStyle w:val="Heading5"/>
      </w:pPr>
      <w:bookmarkStart w:id="38" w:name="_Toc214956481"/>
      <w:r>
        <w:rPr>
          <w:rStyle w:val="CharSectno"/>
        </w:rPr>
        <w:lastRenderedPageBreak/>
        <w:t>13</w:t>
      </w:r>
      <w:r>
        <w:t>.</w:t>
      </w:r>
      <w:r>
        <w:tab/>
        <w:t>Removing convenor from office</w:t>
      </w:r>
      <w:bookmarkEnd w:id="38"/>
    </w:p>
    <w:p>
      <w:pPr>
        <w:pStyle w:val="Subsection"/>
      </w:pPr>
      <w:r>
        <w:tab/>
      </w:r>
      <w:r>
        <w:tab/>
        <w:t>The President may remove a convenor appointed under regulation 10(b) from office at any time.</w:t>
      </w:r>
    </w:p>
    <w:p>
      <w:pPr>
        <w:pStyle w:val="Heading5"/>
      </w:pPr>
      <w:bookmarkStart w:id="39" w:name="_Toc214956482"/>
      <w:r>
        <w:rPr>
          <w:rStyle w:val="CharSectno"/>
        </w:rPr>
        <w:t>14</w:t>
      </w:r>
      <w:r>
        <w:t>.</w:t>
      </w:r>
      <w:r>
        <w:tab/>
        <w:t>People who may attend pre</w:t>
      </w:r>
      <w:r>
        <w:noBreakHyphen/>
        <w:t>hearing conference</w:t>
      </w:r>
      <w:bookmarkEnd w:id="39"/>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40" w:name="_Toc214956483"/>
      <w:r>
        <w:rPr>
          <w:rStyle w:val="CharSectno"/>
        </w:rPr>
        <w:t>15</w:t>
      </w:r>
      <w:r>
        <w:t>.</w:t>
      </w:r>
      <w:r>
        <w:tab/>
        <w:t>Participation using video link, audio link etc.</w:t>
      </w:r>
      <w:bookmarkEnd w:id="40"/>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41" w:name="_Toc214541596"/>
      <w:bookmarkStart w:id="42" w:name="_Toc214542083"/>
      <w:bookmarkStart w:id="43" w:name="_Toc214956484"/>
      <w:r>
        <w:rPr>
          <w:rStyle w:val="CharPartNo"/>
        </w:rPr>
        <w:lastRenderedPageBreak/>
        <w:t>Part 5A</w:t>
      </w:r>
      <w:r>
        <w:rPr>
          <w:b w:val="0"/>
        </w:rPr>
        <w:t> </w:t>
      </w:r>
      <w:r>
        <w:t>—</w:t>
      </w:r>
      <w:r>
        <w:rPr>
          <w:b w:val="0"/>
        </w:rPr>
        <w:t> </w:t>
      </w:r>
      <w:r>
        <w:rPr>
          <w:rStyle w:val="CharPartText"/>
        </w:rPr>
        <w:t>Parentage testing procedures and reports</w:t>
      </w:r>
      <w:bookmarkEnd w:id="41"/>
      <w:bookmarkEnd w:id="42"/>
      <w:bookmarkEnd w:id="43"/>
    </w:p>
    <w:p>
      <w:pPr>
        <w:pStyle w:val="Footnoteheading"/>
      </w:pPr>
      <w:r>
        <w:tab/>
        <w:t>[Heading inserted: Gazette 28 Jan 2011 p. 243.]</w:t>
      </w:r>
    </w:p>
    <w:p>
      <w:pPr>
        <w:pStyle w:val="Heading3"/>
      </w:pPr>
      <w:bookmarkStart w:id="44" w:name="_Toc214541597"/>
      <w:bookmarkStart w:id="45" w:name="_Toc214542084"/>
      <w:bookmarkStart w:id="46" w:name="_Toc214956485"/>
      <w:r>
        <w:rPr>
          <w:rStyle w:val="CharDivNo"/>
        </w:rPr>
        <w:t>Division 1</w:t>
      </w:r>
      <w:r>
        <w:t> — </w:t>
      </w:r>
      <w:r>
        <w:rPr>
          <w:rStyle w:val="CharDivText"/>
        </w:rPr>
        <w:t>General</w:t>
      </w:r>
      <w:bookmarkEnd w:id="44"/>
      <w:bookmarkEnd w:id="45"/>
      <w:bookmarkEnd w:id="46"/>
    </w:p>
    <w:p>
      <w:pPr>
        <w:pStyle w:val="Footnoteheading"/>
      </w:pPr>
      <w:r>
        <w:tab/>
        <w:t>[Heading inserted: Gazette 28 Jan 2011 p. 243.]</w:t>
      </w:r>
    </w:p>
    <w:p>
      <w:pPr>
        <w:pStyle w:val="Heading5"/>
      </w:pPr>
      <w:bookmarkStart w:id="47" w:name="_Toc214956486"/>
      <w:r>
        <w:rPr>
          <w:rStyle w:val="CharSectno"/>
        </w:rPr>
        <w:t>16A</w:t>
      </w:r>
      <w:r>
        <w:t>.</w:t>
      </w:r>
      <w:r>
        <w:tab/>
        <w:t>Terms used</w:t>
      </w:r>
      <w:bookmarkEnd w:id="47"/>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 xml:space="preserve">if the child is in provisional protection and care, or is the subject of a protection order (time limited) or protection </w:t>
      </w:r>
      <w:r>
        <w:lastRenderedPageBreak/>
        <w:t>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48" w:name="_Toc214956487"/>
      <w:r>
        <w:rPr>
          <w:rStyle w:val="CharSectno"/>
        </w:rPr>
        <w:t>16B</w:t>
      </w:r>
      <w:r>
        <w:t>.</w:t>
      </w:r>
      <w:r>
        <w:tab/>
        <w:t>Parentage testing procedures (Act s. 136A)</w:t>
      </w:r>
      <w:bookmarkEnd w:id="48"/>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49" w:name="_Toc214956488"/>
      <w:r>
        <w:rPr>
          <w:rStyle w:val="CharSectno"/>
        </w:rPr>
        <w:t>16C</w:t>
      </w:r>
      <w:r>
        <w:t>.</w:t>
      </w:r>
      <w:r>
        <w:tab/>
        <w:t>Compliance with regulations</w:t>
      </w:r>
      <w:bookmarkEnd w:id="49"/>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lastRenderedPageBreak/>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50" w:name="_Toc214541601"/>
      <w:bookmarkStart w:id="51" w:name="_Toc214542088"/>
      <w:bookmarkStart w:id="52" w:name="_Toc214956489"/>
      <w:r>
        <w:rPr>
          <w:rStyle w:val="CharDivNo"/>
        </w:rPr>
        <w:t>Division 2</w:t>
      </w:r>
      <w:r>
        <w:t> — </w:t>
      </w:r>
      <w:r>
        <w:rPr>
          <w:rStyle w:val="CharDivText"/>
        </w:rPr>
        <w:t>Collection, storage and testing of samples</w:t>
      </w:r>
      <w:bookmarkEnd w:id="50"/>
      <w:bookmarkEnd w:id="51"/>
      <w:bookmarkEnd w:id="52"/>
    </w:p>
    <w:p>
      <w:pPr>
        <w:pStyle w:val="Footnoteheading"/>
      </w:pPr>
      <w:r>
        <w:tab/>
        <w:t>[Heading inserted: Gazette 28 Jan 2011 p. 245.]</w:t>
      </w:r>
    </w:p>
    <w:p>
      <w:pPr>
        <w:pStyle w:val="Heading5"/>
      </w:pPr>
      <w:bookmarkStart w:id="53" w:name="_Toc214956490"/>
      <w:r>
        <w:rPr>
          <w:rStyle w:val="CharSectno"/>
        </w:rPr>
        <w:t>16D</w:t>
      </w:r>
      <w:r>
        <w:t>.</w:t>
      </w:r>
      <w:r>
        <w:tab/>
        <w:t>Bodily samples, who may take</w:t>
      </w:r>
      <w:bookmarkEnd w:id="53"/>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54" w:name="_Toc214956491"/>
      <w:r>
        <w:rPr>
          <w:rStyle w:val="CharSectno"/>
        </w:rPr>
        <w:t>16E</w:t>
      </w:r>
      <w:r>
        <w:t>.</w:t>
      </w:r>
      <w:r>
        <w:tab/>
        <w:t>Information about donor to be given before bodily sample taken</w:t>
      </w:r>
      <w:bookmarkEnd w:id="54"/>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lastRenderedPageBreak/>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55" w:name="_Toc214956492"/>
      <w:r>
        <w:rPr>
          <w:rStyle w:val="CharSectno"/>
        </w:rPr>
        <w:t>16F</w:t>
      </w:r>
      <w:r>
        <w:t>.</w:t>
      </w:r>
      <w:r>
        <w:tab/>
        <w:t>Blood samples, taking of</w:t>
      </w:r>
      <w:bookmarkEnd w:id="55"/>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56" w:name="_Toc214956493"/>
      <w:r>
        <w:rPr>
          <w:rStyle w:val="CharSectno"/>
        </w:rPr>
        <w:lastRenderedPageBreak/>
        <w:t>16G</w:t>
      </w:r>
      <w:r>
        <w:t>.</w:t>
      </w:r>
      <w:r>
        <w:tab/>
        <w:t>Bodily samples for DNA typing, taking of</w:t>
      </w:r>
      <w:bookmarkEnd w:id="56"/>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57" w:name="_Toc214956494"/>
      <w:r>
        <w:rPr>
          <w:rStyle w:val="CharSectno"/>
        </w:rPr>
        <w:t>16H</w:t>
      </w:r>
      <w:r>
        <w:t>.</w:t>
      </w:r>
      <w:r>
        <w:tab/>
        <w:t>Bodily samples, procedure for dealing with immediately after taking</w:t>
      </w:r>
      <w:bookmarkEnd w:id="57"/>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lastRenderedPageBreak/>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58" w:name="_Toc214956495"/>
      <w:r>
        <w:rPr>
          <w:rStyle w:val="CharSectno"/>
        </w:rPr>
        <w:lastRenderedPageBreak/>
        <w:t>16I</w:t>
      </w:r>
      <w:r>
        <w:t>.</w:t>
      </w:r>
      <w:r>
        <w:tab/>
        <w:t>Sampler’s duties after taking bodily sample</w:t>
      </w:r>
      <w:bookmarkEnd w:id="58"/>
    </w:p>
    <w:p>
      <w:pPr>
        <w:pStyle w:val="Subsection"/>
        <w:keepNext/>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59" w:name="_Toc214956496"/>
      <w:r>
        <w:rPr>
          <w:rStyle w:val="CharSectno"/>
        </w:rPr>
        <w:t>16J</w:t>
      </w:r>
      <w:r>
        <w:t>.</w:t>
      </w:r>
      <w:r>
        <w:tab/>
        <w:t>Packing, storing and transporting bodily samples for testing</w:t>
      </w:r>
      <w:bookmarkEnd w:id="59"/>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60" w:name="_Toc214956497"/>
      <w:r>
        <w:rPr>
          <w:rStyle w:val="CharSectno"/>
        </w:rPr>
        <w:t>16K</w:t>
      </w:r>
      <w:r>
        <w:t>.</w:t>
      </w:r>
      <w:r>
        <w:tab/>
        <w:t>Time for testing bodily samples</w:t>
      </w:r>
      <w:bookmarkEnd w:id="60"/>
    </w:p>
    <w:p>
      <w:pPr>
        <w:pStyle w:val="Subsection"/>
      </w:pPr>
      <w:r>
        <w:tab/>
        <w:t>(1)</w:t>
      </w:r>
      <w:r>
        <w:tab/>
        <w:t xml:space="preserve">A laboratory to which a bodily sample has been sent for testing must ensure that the testing is completed — </w:t>
      </w:r>
    </w:p>
    <w:p>
      <w:pPr>
        <w:pStyle w:val="Indenta"/>
      </w:pPr>
      <w:r>
        <w:tab/>
        <w:t>(a)</w:t>
      </w:r>
      <w:r>
        <w:tab/>
        <w:t xml:space="preserve">if the proposed procedure is red cell antigen blood grouping, red cell enzyme blood grouping or testing for </w:t>
      </w:r>
      <w:r>
        <w:lastRenderedPageBreak/>
        <w:t>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61" w:name="_Toc214541610"/>
      <w:bookmarkStart w:id="62" w:name="_Toc214542097"/>
      <w:bookmarkStart w:id="63" w:name="_Toc214956498"/>
      <w:r>
        <w:rPr>
          <w:rStyle w:val="CharDivNo"/>
        </w:rPr>
        <w:t>Division 3</w:t>
      </w:r>
      <w:r>
        <w:t> — </w:t>
      </w:r>
      <w:r>
        <w:rPr>
          <w:rStyle w:val="CharDivText"/>
        </w:rPr>
        <w:t>Reports</w:t>
      </w:r>
      <w:bookmarkEnd w:id="61"/>
      <w:bookmarkEnd w:id="62"/>
      <w:bookmarkEnd w:id="63"/>
    </w:p>
    <w:p>
      <w:pPr>
        <w:pStyle w:val="Footnoteheading"/>
        <w:keepNext/>
      </w:pPr>
      <w:r>
        <w:tab/>
        <w:t>[Heading inserted: Gazette 28 Jan 2011 p. 248.]</w:t>
      </w:r>
    </w:p>
    <w:p>
      <w:pPr>
        <w:pStyle w:val="Heading5"/>
      </w:pPr>
      <w:bookmarkStart w:id="64" w:name="_Toc214956499"/>
      <w:r>
        <w:rPr>
          <w:rStyle w:val="CharSectno"/>
        </w:rPr>
        <w:t>16L</w:t>
      </w:r>
      <w:r>
        <w:t>.</w:t>
      </w:r>
      <w:r>
        <w:tab/>
        <w:t>Reports of testing (Act s. 136H(b))</w:t>
      </w:r>
      <w:bookmarkEnd w:id="64"/>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65" w:name="_Toc214541612"/>
      <w:bookmarkStart w:id="66" w:name="_Toc214542099"/>
      <w:bookmarkStart w:id="67" w:name="_Toc214956500"/>
      <w:r>
        <w:rPr>
          <w:rStyle w:val="CharPartNo"/>
        </w:rPr>
        <w:lastRenderedPageBreak/>
        <w:t>Part 5</w:t>
      </w:r>
      <w:r>
        <w:rPr>
          <w:rStyle w:val="CharDivNo"/>
        </w:rPr>
        <w:t> </w:t>
      </w:r>
      <w:r>
        <w:t>—</w:t>
      </w:r>
      <w:r>
        <w:rPr>
          <w:rStyle w:val="CharDivText"/>
        </w:rPr>
        <w:t> </w:t>
      </w:r>
      <w:r>
        <w:rPr>
          <w:rStyle w:val="CharPartText"/>
        </w:rPr>
        <w:t>Reports about child</w:t>
      </w:r>
      <w:bookmarkEnd w:id="65"/>
      <w:bookmarkEnd w:id="66"/>
      <w:bookmarkEnd w:id="67"/>
    </w:p>
    <w:p>
      <w:pPr>
        <w:pStyle w:val="Heading5"/>
      </w:pPr>
      <w:bookmarkStart w:id="68" w:name="_Toc214956501"/>
      <w:r>
        <w:rPr>
          <w:rStyle w:val="CharSectno"/>
        </w:rPr>
        <w:t>16</w:t>
      </w:r>
      <w:r>
        <w:t>.</w:t>
      </w:r>
      <w:r>
        <w:tab/>
        <w:t>Terms used</w:t>
      </w:r>
      <w:bookmarkEnd w:id="68"/>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69" w:name="_Toc214956502"/>
      <w:r>
        <w:rPr>
          <w:rStyle w:val="CharSectno"/>
        </w:rPr>
        <w:t>17</w:t>
      </w:r>
      <w:r>
        <w:t>.</w:t>
      </w:r>
      <w:r>
        <w:tab/>
        <w:t>Appointing people to provide reports (Act s. 139)</w:t>
      </w:r>
      <w:bookmarkEnd w:id="69"/>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70" w:name="_Toc214956503"/>
      <w:r>
        <w:rPr>
          <w:rStyle w:val="CharSectno"/>
        </w:rPr>
        <w:t>18</w:t>
      </w:r>
      <w:r>
        <w:t>.</w:t>
      </w:r>
      <w:r>
        <w:tab/>
        <w:t>President to establish panel</w:t>
      </w:r>
      <w:bookmarkEnd w:id="70"/>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71" w:name="_Toc214956504"/>
      <w:r>
        <w:rPr>
          <w:rStyle w:val="CharSectno"/>
        </w:rPr>
        <w:lastRenderedPageBreak/>
        <w:t>19</w:t>
      </w:r>
      <w:r>
        <w:t>.</w:t>
      </w:r>
      <w:r>
        <w:tab/>
        <w:t>Terms and conditions of appointment under Act s. 139</w:t>
      </w:r>
      <w:bookmarkEnd w:id="71"/>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72" w:name="_Toc214956505"/>
      <w:r>
        <w:rPr>
          <w:rStyle w:val="CharSectno"/>
        </w:rPr>
        <w:t>20</w:t>
      </w:r>
      <w:r>
        <w:t>.</w:t>
      </w:r>
      <w:r>
        <w:tab/>
        <w:t>Costs of report</w:t>
      </w:r>
      <w:bookmarkEnd w:id="72"/>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73" w:name="_Toc214541618"/>
      <w:bookmarkStart w:id="74" w:name="_Toc214542105"/>
      <w:bookmarkStart w:id="75" w:name="_Toc214956506"/>
      <w:r>
        <w:rPr>
          <w:rStyle w:val="CharPartNo"/>
        </w:rPr>
        <w:lastRenderedPageBreak/>
        <w:t>Part 6</w:t>
      </w:r>
      <w:r>
        <w:rPr>
          <w:rStyle w:val="CharDivNo"/>
        </w:rPr>
        <w:t> </w:t>
      </w:r>
      <w:r>
        <w:t>—</w:t>
      </w:r>
      <w:r>
        <w:rPr>
          <w:rStyle w:val="CharDivText"/>
        </w:rPr>
        <w:t> </w:t>
      </w:r>
      <w:r>
        <w:rPr>
          <w:rStyle w:val="CharPartText"/>
        </w:rPr>
        <w:t>Miscellaneous</w:t>
      </w:r>
      <w:bookmarkEnd w:id="73"/>
      <w:bookmarkEnd w:id="74"/>
      <w:bookmarkEnd w:id="75"/>
    </w:p>
    <w:p>
      <w:pPr>
        <w:pStyle w:val="Heading5"/>
      </w:pPr>
      <w:bookmarkStart w:id="76" w:name="_Toc214956507"/>
      <w:r>
        <w:rPr>
          <w:rStyle w:val="CharSectno"/>
        </w:rPr>
        <w:t>20A</w:t>
      </w:r>
      <w:r>
        <w:t>.</w:t>
      </w:r>
      <w:r>
        <w:tab/>
        <w:t>Prescribed authorities (Act s. 28A)</w:t>
      </w:r>
      <w:bookmarkEnd w:id="76"/>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lastRenderedPageBreak/>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 SL 2022/49 r. 7; SL 2023/52 r. 4; SL 2023/172 r. 4.]</w:t>
      </w:r>
    </w:p>
    <w:p>
      <w:pPr>
        <w:pStyle w:val="Heading5"/>
      </w:pPr>
      <w:bookmarkStart w:id="77" w:name="_Toc214956508"/>
      <w:r>
        <w:rPr>
          <w:rStyle w:val="CharSectno"/>
        </w:rPr>
        <w:t>21</w:t>
      </w:r>
      <w:r>
        <w:t>.</w:t>
      </w:r>
      <w:r>
        <w:tab/>
        <w:t>Payments to special guardians (Act s. 65)</w:t>
      </w:r>
      <w:bookmarkEnd w:id="77"/>
    </w:p>
    <w:p>
      <w:pPr>
        <w:pStyle w:val="Subsection"/>
      </w:pPr>
      <w:r>
        <w:tab/>
        <w:t>(1)</w:t>
      </w:r>
      <w:r>
        <w:tab/>
        <w:t>For the purposes of section 65 the scale of amounts set out in the Table is prescribed.</w:t>
      </w:r>
    </w:p>
    <w:p>
      <w:pPr>
        <w:pStyle w:val="THeadingNAm"/>
      </w:pPr>
      <w:r>
        <w:lastRenderedPageBreak/>
        <w:t>Table</w:t>
      </w:r>
    </w:p>
    <w:tbl>
      <w:tblPr>
        <w:tblW w:w="6096" w:type="dxa"/>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3969"/>
        <w:gridCol w:w="1418"/>
      </w:tblGrid>
      <w:tr>
        <w:trPr>
          <w:tblHeader/>
        </w:trPr>
        <w:tc>
          <w:tcPr>
            <w:tcW w:w="709" w:type="dxa"/>
          </w:tcPr>
          <w:p>
            <w:pPr>
              <w:pStyle w:val="TableNAm"/>
              <w:rPr>
                <w:b/>
                <w:bCs/>
              </w:rPr>
            </w:pPr>
            <w:r>
              <w:rPr>
                <w:b/>
                <w:bCs/>
              </w:rPr>
              <w:t>Item</w:t>
            </w:r>
          </w:p>
        </w:tc>
        <w:tc>
          <w:tcPr>
            <w:tcW w:w="3969" w:type="dxa"/>
          </w:tcPr>
          <w:p>
            <w:pPr>
              <w:pStyle w:val="TableNAm"/>
              <w:rPr>
                <w:b/>
                <w:bCs/>
              </w:rPr>
            </w:pPr>
            <w:r>
              <w:rPr>
                <w:b/>
                <w:bCs/>
              </w:rPr>
              <w:t>Class of children</w:t>
            </w:r>
          </w:p>
        </w:tc>
        <w:tc>
          <w:tcPr>
            <w:tcW w:w="1418" w:type="dxa"/>
          </w:tcPr>
          <w:p>
            <w:pPr>
              <w:pStyle w:val="TableNAm"/>
              <w:rPr>
                <w:b/>
                <w:bCs/>
              </w:rPr>
            </w:pPr>
            <w:r>
              <w:rPr>
                <w:b/>
                <w:bCs/>
              </w:rPr>
              <w:t>Amount</w:t>
            </w:r>
          </w:p>
        </w:tc>
      </w:tr>
      <w:tr>
        <w:tc>
          <w:tcPr>
            <w:tcW w:w="709" w:type="dxa"/>
          </w:tcPr>
          <w:p>
            <w:pPr>
              <w:pStyle w:val="TableNAm"/>
            </w:pPr>
            <w:r>
              <w:t>1.</w:t>
            </w:r>
          </w:p>
        </w:tc>
        <w:tc>
          <w:tcPr>
            <w:tcW w:w="3969" w:type="dxa"/>
          </w:tcPr>
          <w:p>
            <w:pPr>
              <w:pStyle w:val="TableNAm"/>
            </w:pPr>
            <w:r>
              <w:t>Children who are under 7 years of age</w:t>
            </w:r>
          </w:p>
        </w:tc>
        <w:tc>
          <w:tcPr>
            <w:tcW w:w="1418" w:type="dxa"/>
            <w:vAlign w:val="bottom"/>
          </w:tcPr>
          <w:p>
            <w:pPr>
              <w:pStyle w:val="TableNAm"/>
              <w:jc w:val="center"/>
            </w:pPr>
            <w:r>
              <w:t>$487</w:t>
            </w:r>
          </w:p>
        </w:tc>
      </w:tr>
      <w:tr>
        <w:tc>
          <w:tcPr>
            <w:tcW w:w="709" w:type="dxa"/>
          </w:tcPr>
          <w:p>
            <w:pPr>
              <w:pStyle w:val="TableNAm"/>
            </w:pPr>
            <w:r>
              <w:t>2.</w:t>
            </w:r>
          </w:p>
        </w:tc>
        <w:tc>
          <w:tcPr>
            <w:tcW w:w="3969" w:type="dxa"/>
          </w:tcPr>
          <w:p>
            <w:pPr>
              <w:pStyle w:val="TableNAm"/>
            </w:pPr>
            <w:r>
              <w:t>Children who have reached 7 years of age but are under 13 years of age</w:t>
            </w:r>
          </w:p>
        </w:tc>
        <w:tc>
          <w:tcPr>
            <w:tcW w:w="1418" w:type="dxa"/>
            <w:vAlign w:val="bottom"/>
          </w:tcPr>
          <w:p>
            <w:pPr>
              <w:pStyle w:val="TableNAm"/>
              <w:jc w:val="center"/>
            </w:pPr>
            <w:r>
              <w:t>$576</w:t>
            </w:r>
          </w:p>
        </w:tc>
      </w:tr>
      <w:tr>
        <w:tc>
          <w:tcPr>
            <w:tcW w:w="709" w:type="dxa"/>
          </w:tcPr>
          <w:p>
            <w:pPr>
              <w:pStyle w:val="TableNAm"/>
            </w:pPr>
            <w:r>
              <w:t>3.</w:t>
            </w:r>
          </w:p>
        </w:tc>
        <w:tc>
          <w:tcPr>
            <w:tcW w:w="3969" w:type="dxa"/>
          </w:tcPr>
          <w:p>
            <w:pPr>
              <w:pStyle w:val="TableNAm"/>
            </w:pPr>
            <w:r>
              <w:t>Children who have reached 13 years of age</w:t>
            </w:r>
          </w:p>
        </w:tc>
        <w:tc>
          <w:tcPr>
            <w:tcW w:w="1418" w:type="dxa"/>
            <w:vAlign w:val="bottom"/>
          </w:tcPr>
          <w:p>
            <w:pPr>
              <w:pStyle w:val="TableNAm"/>
              <w:jc w:val="center"/>
            </w:pPr>
            <w:r>
              <w:t>$697</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 6; SL 2023/93 r. 6; SL 2024/108 r. 6; SL 2025/159 r. 4.]</w:t>
      </w:r>
    </w:p>
    <w:p>
      <w:pPr>
        <w:pStyle w:val="Heading5"/>
      </w:pPr>
      <w:bookmarkStart w:id="78" w:name="_Toc214956509"/>
      <w:r>
        <w:rPr>
          <w:rStyle w:val="CharSectno"/>
        </w:rPr>
        <w:t>21A</w:t>
      </w:r>
      <w:r>
        <w:t>.</w:t>
      </w:r>
      <w:r>
        <w:tab/>
        <w:t>Work prescribed (Act s. 191(4))</w:t>
      </w:r>
      <w:bookmarkEnd w:id="78"/>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79" w:name="_Toc214956510"/>
      <w:r>
        <w:rPr>
          <w:rStyle w:val="CharSectno"/>
        </w:rPr>
        <w:t>21B</w:t>
      </w:r>
      <w:r>
        <w:t>.</w:t>
      </w:r>
      <w:r>
        <w:tab/>
        <w:t>Prescribed personal material (Act s. 97(1))</w:t>
      </w:r>
      <w:bookmarkEnd w:id="79"/>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lastRenderedPageBreak/>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80" w:name="_Toc214956511"/>
      <w:r>
        <w:rPr>
          <w:rStyle w:val="CharSectno"/>
        </w:rPr>
        <w:t>22</w:t>
      </w:r>
      <w:r>
        <w:t>.</w:t>
      </w:r>
      <w:r>
        <w:tab/>
        <w:t>Public authorities to which s. 22(4AA) applies</w:t>
      </w:r>
      <w:bookmarkEnd w:id="80"/>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lastRenderedPageBreak/>
        <w:tab/>
        <w:t>(d)</w:t>
      </w:r>
      <w:r>
        <w:tab/>
        <w:t xml:space="preserve">the department of the Public Service principally assisting in the administration of the </w:t>
      </w:r>
      <w:r>
        <w:rPr>
          <w:i/>
        </w:rPr>
        <w:t>School Education Act 1999</w:t>
      </w:r>
      <w:r>
        <w:t>;</w:t>
      </w:r>
    </w:p>
    <w:p>
      <w:pPr>
        <w:pStyle w:val="Indenta"/>
        <w:keepNext/>
        <w:keepLines/>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Indenta"/>
      </w:pPr>
      <w:r>
        <w:tab/>
        <w:t>(f)</w:t>
      </w:r>
      <w:r>
        <w:tab/>
        <w:t xml:space="preserve">the health service provider with the corporate name “North Metropolitan Health Service” established under the </w:t>
      </w:r>
      <w:r>
        <w:rPr>
          <w:i/>
        </w:rPr>
        <w:t>Health Services (Health Service Providers) Order 2016</w:t>
      </w:r>
      <w:r>
        <w:t xml:space="preserve"> clause 8(1);</w:t>
      </w:r>
    </w:p>
    <w:p>
      <w:pPr>
        <w:pStyle w:val="Indenta"/>
      </w:pPr>
      <w:r>
        <w:tab/>
        <w:t>(g)</w:t>
      </w:r>
      <w:r>
        <w:tab/>
        <w:t xml:space="preserve">the health service provider with the corporate name “South Metropolitan Health Service” established under the </w:t>
      </w:r>
      <w:r>
        <w:rPr>
          <w:i/>
        </w:rPr>
        <w:t>Health Services (Health Service Providers) Order 2016</w:t>
      </w:r>
      <w:r>
        <w:t xml:space="preserve"> clause 9(1);</w:t>
      </w:r>
    </w:p>
    <w:p>
      <w:pPr>
        <w:pStyle w:val="Indenta"/>
      </w:pPr>
      <w:r>
        <w:tab/>
        <w:t>(h)</w:t>
      </w:r>
      <w:r>
        <w:tab/>
        <w:t xml:space="preserve">the health service provider with the corporate name “East Metropolitan Health Service” established under the </w:t>
      </w:r>
      <w:r>
        <w:rPr>
          <w:i/>
        </w:rPr>
        <w:t>Health Services (Health Service Providers) Order 2016</w:t>
      </w:r>
      <w:r>
        <w:t xml:space="preserve"> clause 10(1);</w:t>
      </w:r>
    </w:p>
    <w:p>
      <w:pPr>
        <w:pStyle w:val="Indenta"/>
      </w:pPr>
      <w:r>
        <w:tab/>
        <w:t>(i)</w:t>
      </w:r>
      <w:r>
        <w:tab/>
        <w:t xml:space="preserve">the health service provider with the corporate name “Child and Adolescent Health Service” established under the </w:t>
      </w:r>
      <w:r>
        <w:rPr>
          <w:i/>
        </w:rPr>
        <w:t>Health Services (Health Service Providers) Order 2016</w:t>
      </w:r>
      <w:r>
        <w:t xml:space="preserve"> clause 12(1);</w:t>
      </w:r>
    </w:p>
    <w:p>
      <w:pPr>
        <w:pStyle w:val="Indenta"/>
      </w:pPr>
      <w:r>
        <w:tab/>
        <w:t>(j)</w:t>
      </w:r>
      <w:r>
        <w:tab/>
        <w:t xml:space="preserve">the health service provider with the corporate name “WA Country Health Service” established under the </w:t>
      </w:r>
      <w:r>
        <w:rPr>
          <w:i/>
        </w:rPr>
        <w:t>Health Services (Health Service Providers) Order 2016</w:t>
      </w:r>
      <w:r>
        <w:t xml:space="preserve"> clause 14(1).</w:t>
      </w:r>
    </w:p>
    <w:p>
      <w:pPr>
        <w:pStyle w:val="Footnotesection"/>
      </w:pPr>
      <w:r>
        <w:tab/>
        <w:t>[Regulation 22 inserted: SL 2022/49 r. 8; amended: SL 2022/168 r. 4.]</w:t>
      </w:r>
    </w:p>
    <w:p>
      <w:pPr>
        <w:pStyle w:val="Heading5"/>
      </w:pPr>
      <w:bookmarkStart w:id="81" w:name="_Toc214956512"/>
      <w:r>
        <w:rPr>
          <w:rStyle w:val="CharSectno"/>
        </w:rPr>
        <w:lastRenderedPageBreak/>
        <w:t>23</w:t>
      </w:r>
      <w:r>
        <w:t>.</w:t>
      </w:r>
      <w:r>
        <w:tab/>
        <w:t>Prescribed criteria for person preparing report under s. 61(2B)</w:t>
      </w:r>
      <w:bookmarkEnd w:id="81"/>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tab/>
        <w:t>(b)</w:t>
      </w:r>
      <w:r>
        <w:tab/>
        <w:t xml:space="preserve">an individual (other than an officer of the Department) who — </w:t>
      </w:r>
    </w:p>
    <w:p>
      <w:pPr>
        <w:pStyle w:val="Indenti"/>
      </w:pPr>
      <w:r>
        <w:tab/>
        <w:t>(i)</w:t>
      </w:r>
      <w:r>
        <w:tab/>
        <w:t>is an Aboriginal person or Torres Strait Islander; and</w:t>
      </w:r>
    </w:p>
    <w:p>
      <w:pPr>
        <w:pStyle w:val="Indenti"/>
      </w:pPr>
      <w:r>
        <w:lastRenderedPageBreak/>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5"/>
      </w:pPr>
      <w:bookmarkStart w:id="82" w:name="_Toc214534652"/>
      <w:bookmarkStart w:id="83" w:name="_Toc214536404"/>
      <w:bookmarkStart w:id="84" w:name="_Toc214956513"/>
      <w:r>
        <w:rPr>
          <w:rStyle w:val="CharSectno"/>
        </w:rPr>
        <w:t>23B</w:t>
      </w:r>
      <w:r>
        <w:t>.</w:t>
      </w:r>
      <w:r>
        <w:tab/>
        <w:t>Prescribed legal proceedings (Act s. 124F(2))</w:t>
      </w:r>
      <w:bookmarkEnd w:id="82"/>
      <w:bookmarkEnd w:id="83"/>
      <w:bookmarkEnd w:id="84"/>
    </w:p>
    <w:p>
      <w:pPr>
        <w:pStyle w:val="Subsection"/>
      </w:pPr>
      <w:r>
        <w:tab/>
      </w:r>
      <w:r>
        <w:tab/>
        <w:t xml:space="preserve">A proceeding under the </w:t>
      </w:r>
      <w:r>
        <w:rPr>
          <w:i/>
          <w:iCs/>
        </w:rPr>
        <w:t>Coroners Act 1996</w:t>
      </w:r>
      <w:r>
        <w:t xml:space="preserve"> is a prescribed legal proceeding for the purposes of section 124F(2).</w:t>
      </w:r>
    </w:p>
    <w:p>
      <w:pPr>
        <w:pStyle w:val="Footnotesection"/>
      </w:pPr>
      <w:r>
        <w:tab/>
        <w:t>[Regulation 23B inserted: SL 2025/191 r. 4.]</w:t>
      </w:r>
    </w:p>
    <w:p>
      <w:pPr>
        <w:pStyle w:val="Heading5"/>
      </w:pPr>
      <w:bookmarkStart w:id="85" w:name="_Toc214534653"/>
      <w:bookmarkStart w:id="86" w:name="_Toc214536405"/>
      <w:bookmarkStart w:id="87" w:name="_Toc214956514"/>
      <w:r>
        <w:rPr>
          <w:rStyle w:val="CharSectno"/>
        </w:rPr>
        <w:t>23C</w:t>
      </w:r>
      <w:r>
        <w:t>.</w:t>
      </w:r>
      <w:r>
        <w:tab/>
        <w:t>Prescribed legal proceedings (Act s. 240(2))</w:t>
      </w:r>
      <w:bookmarkEnd w:id="85"/>
      <w:bookmarkEnd w:id="86"/>
      <w:bookmarkEnd w:id="87"/>
    </w:p>
    <w:p>
      <w:pPr>
        <w:pStyle w:val="Subsection"/>
      </w:pPr>
      <w:r>
        <w:tab/>
      </w:r>
      <w:r>
        <w:tab/>
        <w:t xml:space="preserve">A proceeding under the </w:t>
      </w:r>
      <w:r>
        <w:rPr>
          <w:i/>
          <w:iCs/>
        </w:rPr>
        <w:t>Coroners Act 1996</w:t>
      </w:r>
      <w:r>
        <w:t xml:space="preserve"> is a prescribed legal proceeding for the purposes of section 240(2).</w:t>
      </w:r>
    </w:p>
    <w:p>
      <w:pPr>
        <w:pStyle w:val="Footnotesection"/>
      </w:pPr>
      <w:r>
        <w:tab/>
        <w:t>[Regulation 23C inserted: SL 2025/191 r. 4.]</w:t>
      </w:r>
    </w:p>
    <w:p>
      <w:pPr>
        <w:pStyle w:val="Heading2"/>
      </w:pPr>
      <w:bookmarkStart w:id="88" w:name="_Toc214541625"/>
      <w:bookmarkStart w:id="89" w:name="_Toc214542114"/>
      <w:bookmarkStart w:id="90" w:name="_Toc214956515"/>
      <w:r>
        <w:rPr>
          <w:rStyle w:val="CharPartNo"/>
        </w:rPr>
        <w:lastRenderedPageBreak/>
        <w:t>Part 7</w:t>
      </w:r>
      <w:r>
        <w:rPr>
          <w:rStyle w:val="CharDivNo"/>
        </w:rPr>
        <w:t> </w:t>
      </w:r>
      <w:r>
        <w:t>—</w:t>
      </w:r>
      <w:r>
        <w:rPr>
          <w:rStyle w:val="CharDivText"/>
        </w:rPr>
        <w:t> </w:t>
      </w:r>
      <w:r>
        <w:rPr>
          <w:rStyle w:val="CharPartText"/>
        </w:rPr>
        <w:t>Transitional arrangements</w:t>
      </w:r>
      <w:bookmarkEnd w:id="88"/>
      <w:bookmarkEnd w:id="89"/>
      <w:bookmarkEnd w:id="90"/>
    </w:p>
    <w:p>
      <w:pPr>
        <w:pStyle w:val="Heading5"/>
      </w:pPr>
      <w:bookmarkStart w:id="91" w:name="_Toc214956516"/>
      <w:r>
        <w:rPr>
          <w:rStyle w:val="CharSectno"/>
        </w:rPr>
        <w:t>24</w:t>
      </w:r>
      <w:r>
        <w:t>.</w:t>
      </w:r>
      <w:r>
        <w:tab/>
        <w:t>Term used: commencement day</w:t>
      </w:r>
      <w:bookmarkEnd w:id="91"/>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92" w:name="_Toc214956517"/>
      <w:r>
        <w:rPr>
          <w:rStyle w:val="CharSectno"/>
        </w:rPr>
        <w:t>29</w:t>
      </w:r>
      <w:r>
        <w:t>.</w:t>
      </w:r>
      <w:r>
        <w:tab/>
        <w:t>Certain children in care as at 1 Mar 2006</w:t>
      </w:r>
      <w:bookmarkEnd w:id="92"/>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21"/>
          <w:headerReference w:type="default" r:id="rId22"/>
          <w:headerReference w:type="first" r:id="rId23"/>
          <w:endnotePr>
            <w:numFmt w:val="decimal"/>
          </w:endnotePr>
          <w:pgSz w:w="11907" w:h="16840" w:code="9"/>
          <w:pgMar w:top="2376" w:right="2405" w:bottom="3542" w:left="2405" w:header="706" w:footer="3544" w:gutter="0"/>
          <w:pgNumType w:start="1"/>
          <w:cols w:space="720"/>
          <w:noEndnote/>
          <w:titlePg/>
          <w:docGrid w:linePitch="326"/>
        </w:sectPr>
      </w:pPr>
    </w:p>
    <w:p>
      <w:pPr>
        <w:pStyle w:val="yScheduleHeading"/>
      </w:pPr>
      <w:bookmarkStart w:id="93" w:name="_Toc214541628"/>
      <w:bookmarkStart w:id="94" w:name="_Toc214542117"/>
      <w:bookmarkStart w:id="95" w:name="_Toc214956518"/>
      <w:r>
        <w:rPr>
          <w:rStyle w:val="CharSchNo"/>
        </w:rPr>
        <w:lastRenderedPageBreak/>
        <w:t>Schedule 1</w:t>
      </w:r>
      <w:r>
        <w:rPr>
          <w:rStyle w:val="CharSDivNo"/>
        </w:rPr>
        <w:t> </w:t>
      </w:r>
      <w:r>
        <w:t>—</w:t>
      </w:r>
      <w:r>
        <w:rPr>
          <w:rStyle w:val="CharSDivText"/>
        </w:rPr>
        <w:t> </w:t>
      </w:r>
      <w:r>
        <w:rPr>
          <w:rStyle w:val="CharSchText"/>
        </w:rPr>
        <w:t>Forms</w:t>
      </w:r>
      <w:bookmarkEnd w:id="93"/>
      <w:bookmarkEnd w:id="94"/>
      <w:bookmarkEnd w:id="95"/>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96" w:name="_Toc214956519"/>
      <w:r>
        <w:rPr>
          <w:rStyle w:val="CharSClsNo"/>
        </w:rPr>
        <w:t>1</w:t>
      </w:r>
      <w:r>
        <w:t>.</w:t>
      </w:r>
      <w:r>
        <w:tab/>
        <w:t>Warrant (access)</w:t>
      </w:r>
      <w:bookmarkEnd w:id="96"/>
    </w:p>
    <w:tbl>
      <w:tblPr>
        <w:tblW w:w="70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lastRenderedPageBreak/>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97" w:name="_Toc214956520"/>
      <w:r>
        <w:rPr>
          <w:rStyle w:val="CharSClsNo"/>
        </w:rPr>
        <w:lastRenderedPageBreak/>
        <w:t>2</w:t>
      </w:r>
      <w:r>
        <w:t>.</w:t>
      </w:r>
      <w:r>
        <w:tab/>
        <w:t>Warrant (apprehension)</w:t>
      </w:r>
      <w:bookmarkEnd w:id="97"/>
    </w:p>
    <w:tbl>
      <w:tblPr>
        <w:tblW w:w="70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lastRenderedPageBreak/>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98" w:name="_Toc214956521"/>
      <w:r>
        <w:rPr>
          <w:rStyle w:val="CharSClsNo"/>
        </w:rPr>
        <w:lastRenderedPageBreak/>
        <w:t>3</w:t>
      </w:r>
      <w:r>
        <w:t>.</w:t>
      </w:r>
      <w:r>
        <w:tab/>
        <w:t>Warrant (provisional protection and care)</w:t>
      </w:r>
      <w:bookmarkEnd w:id="98"/>
    </w:p>
    <w:tbl>
      <w:tblPr>
        <w:tblW w:w="70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lastRenderedPageBreak/>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99" w:name="_Toc214956522"/>
      <w:r>
        <w:rPr>
          <w:rStyle w:val="CharSClsNo"/>
        </w:rPr>
        <w:lastRenderedPageBreak/>
        <w:t>3A</w:t>
      </w:r>
      <w:r>
        <w:t>.</w:t>
      </w:r>
      <w:r>
        <w:tab/>
        <w:t>Entry warrant</w:t>
      </w:r>
      <w:bookmarkEnd w:id="99"/>
    </w:p>
    <w:tbl>
      <w:tblPr>
        <w:tblW w:w="6913" w:type="dxa"/>
        <w:tblInd w:w="137"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lastRenderedPageBreak/>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100" w:name="_Toc214956523"/>
      <w:r>
        <w:rPr>
          <w:rStyle w:val="CharSClsNo"/>
        </w:rPr>
        <w:lastRenderedPageBreak/>
        <w:t>4</w:t>
      </w:r>
      <w:r>
        <w:t>.</w:t>
      </w:r>
      <w:r>
        <w:rPr>
          <w:b w:val="0"/>
        </w:rPr>
        <w:tab/>
      </w:r>
      <w:r>
        <w:t>Parentage testing procedure</w:t>
      </w:r>
      <w:bookmarkEnd w:id="100"/>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lastRenderedPageBreak/>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lastRenderedPageBreak/>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101" w:name="_Toc214956524"/>
      <w:r>
        <w:rPr>
          <w:rStyle w:val="CharSClsNo"/>
        </w:rPr>
        <w:lastRenderedPageBreak/>
        <w:t>5</w:t>
      </w:r>
      <w:r>
        <w:t>.</w:t>
      </w:r>
      <w:r>
        <w:rPr>
          <w:b w:val="0"/>
        </w:rPr>
        <w:tab/>
      </w:r>
      <w:r>
        <w:t>Parentage testing procedure</w:t>
      </w:r>
      <w:bookmarkEnd w:id="101"/>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102" w:name="_Toc214956525"/>
      <w:r>
        <w:rPr>
          <w:rStyle w:val="CharSClsNo"/>
        </w:rPr>
        <w:lastRenderedPageBreak/>
        <w:t>6</w:t>
      </w:r>
      <w:r>
        <w:t>.</w:t>
      </w:r>
      <w:r>
        <w:rPr>
          <w:b w:val="0"/>
        </w:rPr>
        <w:tab/>
      </w:r>
      <w:r>
        <w:t>Parentage testing procedure report</w:t>
      </w:r>
      <w:bookmarkEnd w:id="102"/>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lastRenderedPageBreak/>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lastRenderedPageBreak/>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lastRenderedPageBreak/>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outlineLvl w:val="0"/>
        <w:sectPr>
          <w:headerReference w:type="even" r:id="rId25"/>
          <w:headerReference w:type="default" r:id="rId26"/>
          <w:pgSz w:w="11907" w:h="16840" w:code="9"/>
          <w:pgMar w:top="2381" w:right="2410" w:bottom="3544" w:left="2410" w:header="720" w:footer="3544" w:gutter="0"/>
          <w:cols w:space="720"/>
        </w:sectPr>
      </w:pPr>
    </w:p>
    <w:p>
      <w:pPr>
        <w:pStyle w:val="nHeading2"/>
      </w:pPr>
      <w:bookmarkStart w:id="104" w:name="_Toc214541636"/>
      <w:bookmarkStart w:id="105" w:name="_Toc214542125"/>
      <w:bookmarkStart w:id="106" w:name="_Toc214956526"/>
      <w:r>
        <w:lastRenderedPageBreak/>
        <w:t>Notes</w:t>
      </w:r>
      <w:bookmarkEnd w:id="104"/>
      <w:bookmarkEnd w:id="105"/>
      <w:bookmarkEnd w:id="106"/>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or versions that include editorial changes made under the </w:t>
      </w:r>
      <w:r>
        <w:rPr>
          <w:i/>
        </w:rPr>
        <w:t>Legislation Act 2021</w:t>
      </w:r>
      <w:r>
        <w:t xml:space="preserve"> Part 3, see the compilation table. For provisions affected by editorial changes see the editorial changes table.</w:t>
      </w:r>
    </w:p>
    <w:p>
      <w:pPr>
        <w:pStyle w:val="nHeading3"/>
      </w:pPr>
      <w:bookmarkStart w:id="107" w:name="_Toc214956527"/>
      <w:r>
        <w:t>Compilation table</w:t>
      </w:r>
      <w:bookmarkEnd w:id="107"/>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2"/>
      </w:tblGrid>
      <w:tr>
        <w:trPr>
          <w:cantSplit/>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2"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9"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2"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2"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2"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2"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2"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2"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2"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2"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lastRenderedPageBreak/>
              <w:t>Children and Community Services Amendment Regulations 2011</w:t>
            </w:r>
          </w:p>
        </w:tc>
        <w:tc>
          <w:tcPr>
            <w:tcW w:w="1276" w:type="dxa"/>
          </w:tcPr>
          <w:p>
            <w:pPr>
              <w:pStyle w:val="nTable"/>
              <w:spacing w:after="40"/>
            </w:pPr>
            <w:r>
              <w:t>28 Jan 2011 p. 243-56</w:t>
            </w:r>
          </w:p>
        </w:tc>
        <w:tc>
          <w:tcPr>
            <w:tcW w:w="2692"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2"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2"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2"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2"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2"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2"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2"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40"/>
              <w:rPr>
                <w:i/>
              </w:rPr>
            </w:pPr>
            <w:r>
              <w:rPr>
                <w:i/>
              </w:rPr>
              <w:lastRenderedPageBreak/>
              <w:t>Children and Community Services Amendment Regulations 2016</w:t>
            </w:r>
          </w:p>
        </w:tc>
        <w:tc>
          <w:tcPr>
            <w:tcW w:w="1276" w:type="dxa"/>
            <w:shd w:val="clear" w:color="auto" w:fill="auto"/>
          </w:tcPr>
          <w:p>
            <w:pPr>
              <w:pStyle w:val="nTable"/>
              <w:keepNext/>
              <w:spacing w:after="40"/>
            </w:pPr>
            <w:r>
              <w:t>24 Jun 2016 p. 2295-6</w:t>
            </w:r>
          </w:p>
        </w:tc>
        <w:tc>
          <w:tcPr>
            <w:tcW w:w="2692"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2"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2"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2" w:type="dxa"/>
          </w:tcPr>
          <w:p>
            <w:pPr>
              <w:pStyle w:val="nTable"/>
              <w:keepNext/>
              <w:spacing w:after="40"/>
              <w:rPr>
                <w:snapToGrid w:val="0"/>
              </w:rPr>
            </w:pPr>
            <w:r>
              <w:rPr>
                <w:snapToGrid w:val="0"/>
              </w:rPr>
              <w:t>1 Jul 2019 (see r. 2(b))</w:t>
            </w:r>
          </w:p>
        </w:tc>
      </w:tr>
      <w:tr>
        <w:trPr>
          <w:cantSplit/>
        </w:trPr>
        <w:tc>
          <w:tcPr>
            <w:tcW w:w="3119"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2"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9"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2"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9"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2"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2" w:type="dxa"/>
          </w:tcPr>
          <w:p>
            <w:pPr>
              <w:pStyle w:val="nTable"/>
              <w:keepNext/>
              <w:spacing w:after="40"/>
            </w:pPr>
            <w:r>
              <w:t>r. 1 and 2: 30 Jul 2021 (see r. 2(a));</w:t>
            </w:r>
            <w:r>
              <w:br/>
              <w:t>Regulations other than r. 1 and 2: 31 Jul 2021 (see r. 2(b))</w:t>
            </w:r>
          </w:p>
        </w:tc>
      </w:tr>
      <w:tr>
        <w:tc>
          <w:tcPr>
            <w:tcW w:w="3119" w:type="dxa"/>
            <w:tcBorders>
              <w:top w:val="nil"/>
              <w:bottom w:val="nil"/>
            </w:tcBorders>
          </w:tcPr>
          <w:p>
            <w:pPr>
              <w:pStyle w:val="nTable"/>
              <w:spacing w:after="40"/>
            </w:pPr>
            <w:r>
              <w:rPr>
                <w:i/>
              </w:rPr>
              <w:t>Children and Community Services Amendment Regulations 2022</w:t>
            </w:r>
          </w:p>
        </w:tc>
        <w:tc>
          <w:tcPr>
            <w:tcW w:w="1276" w:type="dxa"/>
            <w:tcBorders>
              <w:top w:val="nil"/>
              <w:bottom w:val="nil"/>
            </w:tcBorders>
          </w:tcPr>
          <w:p>
            <w:pPr>
              <w:pStyle w:val="nTable"/>
              <w:spacing w:after="40"/>
            </w:pPr>
            <w:r>
              <w:t>SL 2022/49 22 Apr 2022</w:t>
            </w:r>
          </w:p>
        </w:tc>
        <w:tc>
          <w:tcPr>
            <w:tcW w:w="2692" w:type="dxa"/>
            <w:tcBorders>
              <w:top w:val="nil"/>
              <w:bottom w:val="nil"/>
            </w:tcBorders>
          </w:tcPr>
          <w:p>
            <w:pPr>
              <w:pStyle w:val="nTable"/>
              <w:spacing w:after="40"/>
            </w:pPr>
            <w:r>
              <w:t>r. 1 and 2: 22 Apr 2022 (see r. 2(a));</w:t>
            </w:r>
            <w:r>
              <w:br/>
              <w:t>Regulations other than r. 1 and 2: 1 May 2022 (see r. 2(b))</w:t>
            </w:r>
          </w:p>
        </w:tc>
      </w:tr>
      <w:tr>
        <w:tc>
          <w:tcPr>
            <w:tcW w:w="3119" w:type="dxa"/>
            <w:tcBorders>
              <w:top w:val="nil"/>
              <w:bottom w:val="nil"/>
            </w:tcBorders>
          </w:tcPr>
          <w:p>
            <w:pPr>
              <w:pStyle w:val="nTable"/>
              <w:spacing w:after="40"/>
              <w:rPr>
                <w:i/>
              </w:rPr>
            </w:pPr>
            <w:r>
              <w:rPr>
                <w:i/>
              </w:rPr>
              <w:t>Child Protection Regulations Amendment (Fees and Payments) Regulations 2022</w:t>
            </w:r>
            <w:r>
              <w:t xml:space="preserve"> Pt. 3</w:t>
            </w:r>
          </w:p>
        </w:tc>
        <w:tc>
          <w:tcPr>
            <w:tcW w:w="1276" w:type="dxa"/>
            <w:tcBorders>
              <w:top w:val="nil"/>
              <w:bottom w:val="nil"/>
            </w:tcBorders>
          </w:tcPr>
          <w:p>
            <w:pPr>
              <w:pStyle w:val="nTable"/>
              <w:spacing w:after="40"/>
            </w:pPr>
            <w:r>
              <w:t>SL 2022/87 17 Jun 2022</w:t>
            </w:r>
          </w:p>
        </w:tc>
        <w:tc>
          <w:tcPr>
            <w:tcW w:w="2692" w:type="dxa"/>
            <w:tcBorders>
              <w:top w:val="nil"/>
              <w:bottom w:val="nil"/>
            </w:tcBorders>
          </w:tcPr>
          <w:p>
            <w:pPr>
              <w:pStyle w:val="nTable"/>
              <w:spacing w:after="40"/>
            </w:pPr>
            <w:r>
              <w:t>1 Jul 2022 (see r. 2(b))</w:t>
            </w:r>
          </w:p>
        </w:tc>
      </w:tr>
      <w:tr>
        <w:tc>
          <w:tcPr>
            <w:tcW w:w="3119" w:type="dxa"/>
            <w:tcBorders>
              <w:top w:val="nil"/>
              <w:bottom w:val="nil"/>
            </w:tcBorders>
          </w:tcPr>
          <w:p>
            <w:pPr>
              <w:pStyle w:val="nTable"/>
              <w:spacing w:after="40"/>
              <w:rPr>
                <w:i/>
              </w:rPr>
            </w:pPr>
            <w:r>
              <w:rPr>
                <w:i/>
              </w:rPr>
              <w:lastRenderedPageBreak/>
              <w:t>Children and Community Services Amendment Regulations (No. 3) 2022</w:t>
            </w:r>
          </w:p>
        </w:tc>
        <w:tc>
          <w:tcPr>
            <w:tcW w:w="1276" w:type="dxa"/>
            <w:tcBorders>
              <w:top w:val="nil"/>
              <w:bottom w:val="nil"/>
            </w:tcBorders>
          </w:tcPr>
          <w:p>
            <w:pPr>
              <w:pStyle w:val="nTable"/>
              <w:spacing w:after="40"/>
            </w:pPr>
            <w:r>
              <w:t>SL 2022/168 21 Oct 2022</w:t>
            </w:r>
          </w:p>
        </w:tc>
        <w:tc>
          <w:tcPr>
            <w:tcW w:w="2692" w:type="dxa"/>
            <w:tcBorders>
              <w:top w:val="nil"/>
              <w:bottom w:val="nil"/>
            </w:tcBorders>
          </w:tcPr>
          <w:p>
            <w:pPr>
              <w:pStyle w:val="nTable"/>
              <w:spacing w:after="40"/>
            </w:pPr>
            <w:r>
              <w:t>r. 1 and 2: 21 Oct 2022 (see r. 2(a));</w:t>
            </w:r>
            <w:r>
              <w:br/>
              <w:t>Regulations other than r. 1 and 2: 1 Nov 2022 (see r. 2(b))</w:t>
            </w:r>
          </w:p>
        </w:tc>
      </w:tr>
      <w:tr>
        <w:tc>
          <w:tcPr>
            <w:tcW w:w="3119" w:type="dxa"/>
            <w:tcBorders>
              <w:top w:val="nil"/>
              <w:bottom w:val="nil"/>
            </w:tcBorders>
          </w:tcPr>
          <w:p>
            <w:pPr>
              <w:pStyle w:val="nTable"/>
              <w:spacing w:after="40"/>
              <w:rPr>
                <w:i/>
              </w:rPr>
            </w:pPr>
            <w:r>
              <w:rPr>
                <w:i/>
              </w:rPr>
              <w:t>Children and Community Services Amendment Regulations 2023</w:t>
            </w:r>
            <w:r>
              <w:t xml:space="preserve"> </w:t>
            </w:r>
          </w:p>
        </w:tc>
        <w:tc>
          <w:tcPr>
            <w:tcW w:w="1276" w:type="dxa"/>
            <w:tcBorders>
              <w:top w:val="nil"/>
              <w:bottom w:val="nil"/>
            </w:tcBorders>
          </w:tcPr>
          <w:p>
            <w:pPr>
              <w:pStyle w:val="nTable"/>
              <w:spacing w:after="40"/>
            </w:pPr>
            <w:r>
              <w:t>SL 2023/52 19 May 2023</w:t>
            </w:r>
          </w:p>
        </w:tc>
        <w:tc>
          <w:tcPr>
            <w:tcW w:w="2692" w:type="dxa"/>
            <w:tcBorders>
              <w:top w:val="nil"/>
              <w:bottom w:val="nil"/>
            </w:tcBorders>
          </w:tcPr>
          <w:p>
            <w:pPr>
              <w:pStyle w:val="nTable"/>
              <w:spacing w:after="40"/>
            </w:pPr>
            <w:r>
              <w:t>r. 1 and 2: 19 May 2023 (see r. 2(a));</w:t>
            </w:r>
            <w:r>
              <w:br/>
              <w:t>Regulations other than r. 1 and 2: 1 Jul 2023 (see r. 2(b))</w:t>
            </w:r>
          </w:p>
        </w:tc>
      </w:tr>
      <w:tr>
        <w:tc>
          <w:tcPr>
            <w:tcW w:w="3119" w:type="dxa"/>
            <w:tcBorders>
              <w:top w:val="nil"/>
              <w:bottom w:val="nil"/>
            </w:tcBorders>
          </w:tcPr>
          <w:p>
            <w:pPr>
              <w:pStyle w:val="nTable"/>
              <w:spacing w:after="40"/>
              <w:rPr>
                <w:i/>
              </w:rPr>
            </w:pPr>
            <w:r>
              <w:rPr>
                <w:i/>
              </w:rPr>
              <w:t>Child Protection Regulations Amendment (Fees and Payments) Regulations 2023</w:t>
            </w:r>
            <w:r>
              <w:t xml:space="preserve"> Pt. 3</w:t>
            </w:r>
          </w:p>
        </w:tc>
        <w:tc>
          <w:tcPr>
            <w:tcW w:w="1276" w:type="dxa"/>
            <w:tcBorders>
              <w:top w:val="nil"/>
              <w:bottom w:val="nil"/>
            </w:tcBorders>
          </w:tcPr>
          <w:p>
            <w:pPr>
              <w:pStyle w:val="nTable"/>
              <w:spacing w:after="40"/>
            </w:pPr>
            <w:r>
              <w:t>SL 2023/93 30 Jun 2023</w:t>
            </w:r>
          </w:p>
        </w:tc>
        <w:tc>
          <w:tcPr>
            <w:tcW w:w="2692" w:type="dxa"/>
            <w:tcBorders>
              <w:top w:val="nil"/>
              <w:bottom w:val="nil"/>
            </w:tcBorders>
          </w:tcPr>
          <w:p>
            <w:pPr>
              <w:pStyle w:val="nTable"/>
              <w:spacing w:after="40"/>
            </w:pPr>
            <w:r>
              <w:t>1 Jul 2023 (see r. 2(b))</w:t>
            </w:r>
          </w:p>
        </w:tc>
      </w:tr>
      <w:tr>
        <w:tc>
          <w:tcPr>
            <w:tcW w:w="3119" w:type="dxa"/>
            <w:tcBorders>
              <w:top w:val="nil"/>
              <w:bottom w:val="nil"/>
            </w:tcBorders>
          </w:tcPr>
          <w:p>
            <w:pPr>
              <w:pStyle w:val="nTable"/>
              <w:spacing w:after="40"/>
              <w:rPr>
                <w:i/>
              </w:rPr>
            </w:pPr>
            <w:r>
              <w:rPr>
                <w:i/>
              </w:rPr>
              <w:t>Children and Community Services Amendment Regulations (No. 2) 2023</w:t>
            </w:r>
          </w:p>
        </w:tc>
        <w:tc>
          <w:tcPr>
            <w:tcW w:w="1276" w:type="dxa"/>
            <w:tcBorders>
              <w:top w:val="nil"/>
              <w:bottom w:val="nil"/>
            </w:tcBorders>
          </w:tcPr>
          <w:p>
            <w:pPr>
              <w:pStyle w:val="nTable"/>
              <w:spacing w:after="40"/>
            </w:pPr>
            <w:r>
              <w:t>SL 2023/110 14 Jul 2023</w:t>
            </w:r>
          </w:p>
        </w:tc>
        <w:tc>
          <w:tcPr>
            <w:tcW w:w="2692" w:type="dxa"/>
            <w:tcBorders>
              <w:top w:val="nil"/>
              <w:bottom w:val="nil"/>
            </w:tcBorders>
          </w:tcPr>
          <w:p>
            <w:pPr>
              <w:pStyle w:val="nTable"/>
              <w:spacing w:after="40"/>
            </w:pPr>
            <w:r>
              <w:t>r. 1 and 2: 14 Jul 2023 (see r. 2(a));</w:t>
            </w:r>
            <w:r>
              <w:br/>
              <w:t>Regulations other than r. 1 and 2: 15 Jul 2023 (see r. 2(b))</w:t>
            </w:r>
          </w:p>
        </w:tc>
      </w:tr>
      <w:tr>
        <w:tc>
          <w:tcPr>
            <w:tcW w:w="3119" w:type="dxa"/>
            <w:tcBorders>
              <w:top w:val="nil"/>
              <w:bottom w:val="nil"/>
            </w:tcBorders>
          </w:tcPr>
          <w:p>
            <w:pPr>
              <w:pStyle w:val="nTable"/>
              <w:spacing w:after="40"/>
              <w:rPr>
                <w:i/>
              </w:rPr>
            </w:pPr>
            <w:r>
              <w:rPr>
                <w:i/>
              </w:rPr>
              <w:t>Children and Community Services Amendment Regulations (No. 3) 2023</w:t>
            </w:r>
          </w:p>
        </w:tc>
        <w:tc>
          <w:tcPr>
            <w:tcW w:w="1276" w:type="dxa"/>
            <w:tcBorders>
              <w:top w:val="nil"/>
              <w:bottom w:val="nil"/>
            </w:tcBorders>
          </w:tcPr>
          <w:p>
            <w:pPr>
              <w:pStyle w:val="nTable"/>
              <w:spacing w:after="40"/>
            </w:pPr>
            <w:r>
              <w:t>SL 2023/172 1 Nov 2023</w:t>
            </w:r>
          </w:p>
        </w:tc>
        <w:tc>
          <w:tcPr>
            <w:tcW w:w="2692" w:type="dxa"/>
            <w:tcBorders>
              <w:top w:val="nil"/>
              <w:bottom w:val="nil"/>
            </w:tcBorders>
          </w:tcPr>
          <w:p>
            <w:pPr>
              <w:pStyle w:val="nTable"/>
              <w:spacing w:after="40"/>
            </w:pPr>
            <w:r>
              <w:t>r. 1 and 2: 1 Nov 2023 (see r. 2(a));</w:t>
            </w:r>
            <w:r>
              <w:br/>
              <w:t>Regulations other than r. 1 and 2: 15 Nov 2023 (see r. 2(b) and SL 2023/161 cl. 2)</w:t>
            </w:r>
          </w:p>
        </w:tc>
      </w:tr>
      <w:tr>
        <w:tc>
          <w:tcPr>
            <w:tcW w:w="3119" w:type="dxa"/>
            <w:tcBorders>
              <w:top w:val="nil"/>
              <w:bottom w:val="nil"/>
            </w:tcBorders>
          </w:tcPr>
          <w:p>
            <w:pPr>
              <w:pStyle w:val="nTable"/>
              <w:spacing w:after="40"/>
              <w:rPr>
                <w:i/>
              </w:rPr>
            </w:pPr>
            <w:r>
              <w:rPr>
                <w:i/>
              </w:rPr>
              <w:t>Children and Community Services Amendment Regulations (No. 4) 2023</w:t>
            </w:r>
          </w:p>
        </w:tc>
        <w:tc>
          <w:tcPr>
            <w:tcW w:w="1276" w:type="dxa"/>
            <w:tcBorders>
              <w:top w:val="nil"/>
              <w:bottom w:val="nil"/>
            </w:tcBorders>
          </w:tcPr>
          <w:p>
            <w:pPr>
              <w:pStyle w:val="nTable"/>
              <w:spacing w:after="40"/>
            </w:pPr>
            <w:r>
              <w:t>SL 2023/179 15 Nov 2023</w:t>
            </w:r>
          </w:p>
        </w:tc>
        <w:tc>
          <w:tcPr>
            <w:tcW w:w="2692" w:type="dxa"/>
            <w:tcBorders>
              <w:top w:val="nil"/>
              <w:bottom w:val="nil"/>
            </w:tcBorders>
          </w:tcPr>
          <w:p>
            <w:pPr>
              <w:pStyle w:val="nTable"/>
              <w:spacing w:after="40"/>
            </w:pPr>
            <w:r>
              <w:t>r. 1 and 2: 15 Nov 2023 (see r. 2(a));</w:t>
            </w:r>
            <w:r>
              <w:br/>
              <w:t>Regulations other than r. 1 and 2: 16 Nov 2023 (see r. 2(b))</w:t>
            </w:r>
          </w:p>
        </w:tc>
      </w:tr>
      <w:tr>
        <w:tc>
          <w:tcPr>
            <w:tcW w:w="7087" w:type="dxa"/>
            <w:gridSpan w:val="3"/>
            <w:tcBorders>
              <w:top w:val="nil"/>
              <w:bottom w:val="nil"/>
            </w:tcBorders>
          </w:tcPr>
          <w:p>
            <w:pPr>
              <w:pStyle w:val="nTable"/>
              <w:spacing w:after="40"/>
            </w:pPr>
            <w:r>
              <w:rPr>
                <w:b/>
                <w:i/>
                <w:noProof/>
              </w:rPr>
              <w:t>Children and Community Services Regulations 2006</w:t>
            </w:r>
            <w:r>
              <w:rPr>
                <w:b/>
              </w:rPr>
              <w:t xml:space="preserve"> with editorial changes as at 14 Jun 2024</w:t>
            </w:r>
          </w:p>
        </w:tc>
      </w:tr>
      <w:tr>
        <w:tc>
          <w:tcPr>
            <w:tcW w:w="3119" w:type="dxa"/>
            <w:tcBorders>
              <w:top w:val="nil"/>
              <w:bottom w:val="nil"/>
            </w:tcBorders>
          </w:tcPr>
          <w:p>
            <w:pPr>
              <w:pStyle w:val="nTable"/>
              <w:spacing w:after="40"/>
              <w:rPr>
                <w:bCs/>
                <w:iCs/>
                <w:noProof/>
              </w:rPr>
            </w:pPr>
            <w:r>
              <w:rPr>
                <w:bCs/>
                <w:i/>
                <w:noProof/>
              </w:rPr>
              <w:t xml:space="preserve">Child Protection Regulations Amendment (Fees and Payments) Regulations 2024 </w:t>
            </w:r>
            <w:r>
              <w:rPr>
                <w:bCs/>
                <w:iCs/>
                <w:noProof/>
              </w:rPr>
              <w:t>Pt. 3</w:t>
            </w:r>
          </w:p>
        </w:tc>
        <w:tc>
          <w:tcPr>
            <w:tcW w:w="1276" w:type="dxa"/>
            <w:tcBorders>
              <w:top w:val="nil"/>
              <w:bottom w:val="nil"/>
            </w:tcBorders>
          </w:tcPr>
          <w:p>
            <w:pPr>
              <w:pStyle w:val="nTable"/>
              <w:spacing w:after="40"/>
              <w:rPr>
                <w:bCs/>
                <w:iCs/>
                <w:noProof/>
              </w:rPr>
            </w:pPr>
            <w:r>
              <w:rPr>
                <w:bCs/>
                <w:iCs/>
                <w:noProof/>
              </w:rPr>
              <w:t>SL 2024/108 26 Jun 2024</w:t>
            </w:r>
          </w:p>
        </w:tc>
        <w:tc>
          <w:tcPr>
            <w:tcW w:w="2692" w:type="dxa"/>
            <w:tcBorders>
              <w:top w:val="nil"/>
              <w:bottom w:val="nil"/>
            </w:tcBorders>
          </w:tcPr>
          <w:p>
            <w:pPr>
              <w:pStyle w:val="nTable"/>
              <w:spacing w:after="40"/>
              <w:rPr>
                <w:bCs/>
                <w:iCs/>
                <w:noProof/>
              </w:rPr>
            </w:pPr>
            <w:r>
              <w:rPr>
                <w:bCs/>
                <w:iCs/>
                <w:noProof/>
              </w:rPr>
              <w:t>1 Jul 2024 (see r. 2(b))</w:t>
            </w:r>
          </w:p>
        </w:tc>
      </w:tr>
      <w:tr>
        <w:tc>
          <w:tcPr>
            <w:tcW w:w="3119" w:type="dxa"/>
            <w:tcBorders>
              <w:top w:val="nil"/>
              <w:bottom w:val="nil"/>
            </w:tcBorders>
          </w:tcPr>
          <w:p>
            <w:pPr>
              <w:pStyle w:val="nTable"/>
              <w:spacing w:after="40"/>
              <w:rPr>
                <w:bCs/>
                <w:i/>
                <w:noProof/>
              </w:rPr>
            </w:pPr>
            <w:r>
              <w:rPr>
                <w:i/>
              </w:rPr>
              <w:t>Children and Community Services Amendment Regulations 2025</w:t>
            </w:r>
          </w:p>
        </w:tc>
        <w:tc>
          <w:tcPr>
            <w:tcW w:w="1276" w:type="dxa"/>
            <w:tcBorders>
              <w:top w:val="nil"/>
              <w:bottom w:val="nil"/>
            </w:tcBorders>
          </w:tcPr>
          <w:p>
            <w:pPr>
              <w:pStyle w:val="nTable"/>
              <w:spacing w:after="40"/>
              <w:rPr>
                <w:bCs/>
                <w:iCs/>
                <w:noProof/>
              </w:rPr>
            </w:pPr>
            <w:r>
              <w:t>SL 2025/57 16 Apr 2025</w:t>
            </w:r>
          </w:p>
        </w:tc>
        <w:tc>
          <w:tcPr>
            <w:tcW w:w="2692" w:type="dxa"/>
            <w:tcBorders>
              <w:top w:val="nil"/>
              <w:bottom w:val="nil"/>
            </w:tcBorders>
          </w:tcPr>
          <w:p>
            <w:pPr>
              <w:pStyle w:val="nTable"/>
              <w:spacing w:after="40"/>
              <w:rPr>
                <w:bCs/>
                <w:iCs/>
                <w:noProof/>
              </w:rPr>
            </w:pPr>
            <w:r>
              <w:t>r. 1 and 2: 16 Apr 2025 (see r. 2(a));</w:t>
            </w:r>
            <w:r>
              <w:br/>
              <w:t>Regulations other than r. 1 and 2: 1 May 2025 (see r. 2(b))</w:t>
            </w:r>
          </w:p>
        </w:tc>
      </w:tr>
      <w:tr>
        <w:tc>
          <w:tcPr>
            <w:tcW w:w="3119" w:type="dxa"/>
            <w:tcBorders>
              <w:top w:val="nil"/>
              <w:bottom w:val="nil"/>
            </w:tcBorders>
          </w:tcPr>
          <w:p>
            <w:pPr>
              <w:pStyle w:val="nTable"/>
              <w:spacing w:after="40"/>
              <w:rPr>
                <w:i/>
              </w:rPr>
            </w:pPr>
            <w:r>
              <w:rPr>
                <w:i/>
              </w:rPr>
              <w:t>Children and Community Services Amendment Regulations (No. 2) 2025</w:t>
            </w:r>
          </w:p>
        </w:tc>
        <w:tc>
          <w:tcPr>
            <w:tcW w:w="1276" w:type="dxa"/>
            <w:tcBorders>
              <w:top w:val="nil"/>
              <w:bottom w:val="nil"/>
            </w:tcBorders>
          </w:tcPr>
          <w:p>
            <w:pPr>
              <w:pStyle w:val="nTable"/>
              <w:spacing w:after="40"/>
            </w:pPr>
            <w:r>
              <w:t>SL 2025/159 3 Sep 2025</w:t>
            </w:r>
          </w:p>
        </w:tc>
        <w:tc>
          <w:tcPr>
            <w:tcW w:w="2692" w:type="dxa"/>
            <w:tcBorders>
              <w:top w:val="nil"/>
              <w:bottom w:val="nil"/>
            </w:tcBorders>
          </w:tcPr>
          <w:p>
            <w:pPr>
              <w:pStyle w:val="nTable"/>
              <w:spacing w:after="40"/>
            </w:pPr>
            <w:r>
              <w:t>r. 1 and 2: 3 Sep 2025 (see r. 2(a));</w:t>
            </w:r>
            <w:r>
              <w:br/>
              <w:t>Regulations other than r. 1 and 2: 4 Sep 2025 (see r. 2(b))</w:t>
            </w:r>
          </w:p>
        </w:tc>
      </w:tr>
      <w:tr>
        <w:tc>
          <w:tcPr>
            <w:tcW w:w="3119" w:type="dxa"/>
            <w:tcBorders>
              <w:top w:val="nil"/>
              <w:bottom w:val="single" w:sz="4" w:space="0" w:color="auto"/>
            </w:tcBorders>
          </w:tcPr>
          <w:p>
            <w:pPr>
              <w:pStyle w:val="nTable"/>
              <w:spacing w:after="40"/>
              <w:rPr>
                <w:i/>
              </w:rPr>
            </w:pPr>
            <w:r>
              <w:rPr>
                <w:i/>
              </w:rPr>
              <w:t>Children and Community Services Amendment Regulations (No. 3) 2025</w:t>
            </w:r>
          </w:p>
        </w:tc>
        <w:tc>
          <w:tcPr>
            <w:tcW w:w="1276" w:type="dxa"/>
            <w:tcBorders>
              <w:top w:val="nil"/>
              <w:bottom w:val="single" w:sz="4" w:space="0" w:color="auto"/>
            </w:tcBorders>
          </w:tcPr>
          <w:p>
            <w:pPr>
              <w:pStyle w:val="nTable"/>
              <w:spacing w:after="40"/>
            </w:pPr>
            <w:r>
              <w:t>SL 2025/191 26 Nov 2025</w:t>
            </w:r>
          </w:p>
        </w:tc>
        <w:tc>
          <w:tcPr>
            <w:tcW w:w="2692" w:type="dxa"/>
            <w:tcBorders>
              <w:top w:val="nil"/>
              <w:bottom w:val="single" w:sz="4" w:space="0" w:color="auto"/>
            </w:tcBorders>
          </w:tcPr>
          <w:p>
            <w:pPr>
              <w:pStyle w:val="nTable"/>
              <w:spacing w:after="40"/>
            </w:pPr>
            <w:r>
              <w:t>r. 1 and 2: 26 Nov 2025 (see r. 2(a));</w:t>
            </w:r>
            <w:r>
              <w:br/>
              <w:t>Regulations other than r. 1 and 2: 27 Nov 2025 (see r. 2(b))</w:t>
            </w:r>
          </w:p>
        </w:tc>
      </w:tr>
    </w:tbl>
    <w:p>
      <w:pPr>
        <w:pStyle w:val="nHeading3"/>
        <w:keepLines/>
      </w:pPr>
      <w:bookmarkStart w:id="108" w:name="_Toc214956528"/>
      <w:r>
        <w:lastRenderedPageBreak/>
        <w:t>Editorial changes table</w:t>
      </w:r>
      <w:bookmarkEnd w:id="108"/>
    </w:p>
    <w:p>
      <w:pPr>
        <w:pStyle w:val="nStatement"/>
        <w:keepNext/>
        <w:keepLines/>
      </w:pPr>
      <w:r>
        <w:t xml:space="preserve">The </w:t>
      </w:r>
      <w:r>
        <w:rPr>
          <w:i/>
        </w:rPr>
        <w:t>Legislation Act 2021</w:t>
      </w:r>
      <w:r>
        <w:t xml:space="preserve"> Part 3 authorises the Parliamentary Counsel to make editorial changes to laws. This power cannot be used to change the effect of a law. If an editorial change is made to a law, the law has effect as if the change had been made by another law that amended the law and commenced on the day on which the change is made.</w:t>
      </w:r>
    </w:p>
    <w:p>
      <w:pPr>
        <w:pStyle w:val="nStatement"/>
        <w:keepNext/>
      </w:pPr>
    </w:p>
    <w:p>
      <w:pPr>
        <w:pStyle w:val="nStatement"/>
        <w:keepNext/>
      </w:pPr>
      <w:r>
        <w:t>To see the editorial changes included in a version of a law, see the compare document for that version on the WA Legislation website.</w:t>
      </w:r>
    </w:p>
    <w:tbl>
      <w:tblPr>
        <w:tblW w:w="7060"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807"/>
        <w:gridCol w:w="2694"/>
        <w:gridCol w:w="1559"/>
      </w:tblGrid>
      <w:tr>
        <w:trPr>
          <w:tblHeader/>
        </w:trPr>
        <w:tc>
          <w:tcPr>
            <w:tcW w:w="2807" w:type="dxa"/>
          </w:tcPr>
          <w:p>
            <w:pPr>
              <w:pStyle w:val="nTable"/>
              <w:spacing w:after="40"/>
              <w:rPr>
                <w:b/>
              </w:rPr>
            </w:pPr>
            <w:r>
              <w:rPr>
                <w:b/>
              </w:rPr>
              <w:t>Provision/s affected</w:t>
            </w:r>
          </w:p>
        </w:tc>
        <w:tc>
          <w:tcPr>
            <w:tcW w:w="2694" w:type="dxa"/>
          </w:tcPr>
          <w:p>
            <w:pPr>
              <w:pStyle w:val="nTable"/>
              <w:spacing w:after="40"/>
              <w:rPr>
                <w:b/>
              </w:rPr>
            </w:pPr>
            <w:r>
              <w:rPr>
                <w:b/>
              </w:rPr>
              <w:t xml:space="preserve">Authorising provision of </w:t>
            </w:r>
            <w:r>
              <w:rPr>
                <w:b/>
                <w:i/>
                <w:iCs/>
              </w:rPr>
              <w:t>Legislation Act 2021</w:t>
            </w:r>
            <w:r>
              <w:rPr>
                <w:b/>
              </w:rPr>
              <w:t xml:space="preserve"> Part 3</w:t>
            </w:r>
          </w:p>
        </w:tc>
        <w:tc>
          <w:tcPr>
            <w:tcW w:w="1559" w:type="dxa"/>
          </w:tcPr>
          <w:p>
            <w:pPr>
              <w:pStyle w:val="nTable"/>
              <w:spacing w:after="40"/>
              <w:rPr>
                <w:b/>
              </w:rPr>
            </w:pPr>
            <w:r>
              <w:rPr>
                <w:b/>
              </w:rPr>
              <w:t>Effective date</w:t>
            </w:r>
            <w:r>
              <w:br/>
            </w:r>
            <w:r>
              <w:rPr>
                <w:b/>
              </w:rPr>
              <w:t>of change</w:t>
            </w:r>
          </w:p>
        </w:tc>
      </w:tr>
      <w:tr>
        <w:tc>
          <w:tcPr>
            <w:tcW w:w="2807" w:type="dxa"/>
          </w:tcPr>
          <w:p>
            <w:pPr>
              <w:pStyle w:val="nTable"/>
              <w:spacing w:after="40"/>
            </w:pPr>
            <w:r>
              <w:t>r. 4(1)(b) and (2)(b) and 4A(3)(c)</w:t>
            </w:r>
          </w:p>
        </w:tc>
        <w:tc>
          <w:tcPr>
            <w:tcW w:w="2694" w:type="dxa"/>
          </w:tcPr>
          <w:p>
            <w:pPr>
              <w:pStyle w:val="nTable"/>
              <w:spacing w:after="40"/>
            </w:pPr>
            <w:r>
              <w:t>s. 25(2)</w:t>
            </w:r>
          </w:p>
        </w:tc>
        <w:tc>
          <w:tcPr>
            <w:tcW w:w="1559" w:type="dxa"/>
          </w:tcPr>
          <w:p>
            <w:pPr>
              <w:pStyle w:val="nTable"/>
              <w:spacing w:after="40"/>
            </w:pPr>
            <w:r>
              <w:t>14 Jun 2024</w:t>
            </w:r>
          </w:p>
        </w:tc>
      </w:tr>
    </w:tbl>
    <w:p>
      <w:pPr>
        <w:pStyle w:val="nHeading3"/>
      </w:pPr>
      <w:bookmarkStart w:id="109" w:name="_Toc214956529"/>
      <w:r>
        <w:t>Other notes</w:t>
      </w:r>
      <w:bookmarkEnd w:id="109"/>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7"/>
          <w:headerReference w:type="default" r:id="rId28"/>
          <w:pgSz w:w="11907" w:h="16840" w:code="9"/>
          <w:pgMar w:top="2376" w:right="2404" w:bottom="3544" w:left="2404" w:header="720" w:footer="3544" w:gutter="0"/>
          <w:cols w:space="720"/>
          <w:noEndnote/>
          <w:docGrid w:linePitch="326"/>
        </w:sectPr>
      </w:pPr>
    </w:p>
    <w:p>
      <w:pPr>
        <w:pStyle w:val="nHeading2"/>
        <w:rPr>
          <w:sz w:val="28"/>
        </w:rPr>
      </w:pPr>
      <w:bookmarkStart w:id="111" w:name="_Toc214541640"/>
      <w:bookmarkStart w:id="112" w:name="_Toc214542129"/>
      <w:bookmarkStart w:id="113" w:name="_Toc214956530"/>
      <w:r>
        <w:rPr>
          <w:sz w:val="28"/>
        </w:rPr>
        <w:lastRenderedPageBreak/>
        <w:t>Defined terms</w:t>
      </w:r>
      <w:bookmarkEnd w:id="111"/>
      <w:bookmarkEnd w:id="112"/>
      <w:bookmarkEnd w:id="113"/>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Aboriginal or Torres Strait Islander organisation</w:t>
      </w:r>
      <w:r>
        <w:tab/>
        <w:t>23(1)</w:t>
      </w:r>
    </w:p>
    <w:p>
      <w:pPr>
        <w:pStyle w:val="DefinedTerms"/>
      </w:pPr>
      <w:r>
        <w:t>audio link</w:t>
      </w:r>
      <w:r>
        <w:tab/>
        <w:t>9</w:t>
      </w:r>
    </w:p>
    <w:p>
      <w:pPr>
        <w:pStyle w:val="DefinedTerms"/>
      </w:pPr>
      <w:r>
        <w:t>bodily sample</w:t>
      </w:r>
      <w:r>
        <w:tab/>
        <w:t>16A</w:t>
      </w:r>
    </w:p>
    <w:p>
      <w:pPr>
        <w:pStyle w:val="DefinedTerms"/>
      </w:pPr>
      <w:r>
        <w:t>care plan</w:t>
      </w:r>
      <w:r>
        <w:tab/>
        <w:t>5(2)</w:t>
      </w:r>
    </w:p>
    <w:p>
      <w:pPr>
        <w:pStyle w:val="DefinedTerms"/>
      </w:pPr>
      <w:r>
        <w:t>commencement day</w:t>
      </w:r>
      <w:r>
        <w:tab/>
        <w:t>24</w:t>
      </w:r>
    </w:p>
    <w:p>
      <w:pPr>
        <w:pStyle w:val="DefinedTerms"/>
      </w:pPr>
      <w:r>
        <w:t>contact</w:t>
      </w:r>
      <w:r>
        <w:tab/>
        <w:t>4BA(1)</w:t>
      </w:r>
    </w:p>
    <w:p>
      <w:pPr>
        <w:pStyle w:val="DefinedTerms"/>
      </w:pPr>
      <w:r>
        <w:t>donor</w:t>
      </w:r>
      <w:r>
        <w:tab/>
        <w:t>16A</w:t>
      </w:r>
    </w:p>
    <w:p>
      <w:pPr>
        <w:pStyle w:val="DefinedTerms"/>
      </w:pPr>
      <w:r>
        <w:t>guardian</w:t>
      </w:r>
      <w:r>
        <w:tab/>
        <w:t>16A</w:t>
      </w:r>
    </w:p>
    <w:p>
      <w:pPr>
        <w:pStyle w:val="DefinedTerms"/>
      </w:pPr>
      <w:r>
        <w:t>HLA</w:t>
      </w:r>
      <w:r>
        <w:tab/>
        <w:t>16A</w:t>
      </w:r>
    </w:p>
    <w:p>
      <w:pPr>
        <w:pStyle w:val="DefinedTerms"/>
      </w:pPr>
      <w:r>
        <w:t>incident</w:t>
      </w:r>
      <w:r>
        <w:tab/>
        <w:t>7</w:t>
      </w:r>
    </w:p>
    <w:p>
      <w:pPr>
        <w:pStyle w:val="DefinedTerms"/>
      </w:pPr>
      <w:r>
        <w:t>interim carer</w:t>
      </w:r>
      <w:r>
        <w:tab/>
        <w:t>4A(1)</w:t>
      </w:r>
    </w:p>
    <w:p>
      <w:pPr>
        <w:pStyle w:val="DefinedTerms"/>
      </w:pPr>
      <w:r>
        <w:t>interim placement arrangement</w:t>
      </w:r>
      <w:r>
        <w:tab/>
        <w:t>4A(2)</w:t>
      </w:r>
    </w:p>
    <w:p>
      <w:pPr>
        <w:pStyle w:val="DefinedTerms"/>
      </w:pPr>
      <w:r>
        <w:t>medical practitioner</w:t>
      </w:r>
      <w:r>
        <w:tab/>
        <w:t>16A</w:t>
      </w:r>
    </w:p>
    <w:p>
      <w:pPr>
        <w:pStyle w:val="DefinedTerms"/>
      </w:pPr>
      <w:r>
        <w:t>NATA</w:t>
      </w:r>
      <w:r>
        <w:tab/>
        <w:t>16A</w:t>
      </w:r>
    </w:p>
    <w:p>
      <w:pPr>
        <w:pStyle w:val="DefinedTerms"/>
      </w:pPr>
      <w:r>
        <w:t>nominated reporter</w:t>
      </w:r>
      <w:r>
        <w:tab/>
        <w:t>16A</w:t>
      </w:r>
    </w:p>
    <w:p>
      <w:pPr>
        <w:pStyle w:val="DefinedTerms"/>
      </w:pPr>
      <w:r>
        <w:t>panel</w:t>
      </w:r>
      <w:r>
        <w:tab/>
        <w:t>16</w:t>
      </w:r>
    </w:p>
    <w:p>
      <w:pPr>
        <w:pStyle w:val="DefinedTerms"/>
      </w:pPr>
      <w:r>
        <w:t>personal material</w:t>
      </w:r>
      <w:r>
        <w:tab/>
        <w:t>21B</w:t>
      </w:r>
    </w:p>
    <w:p>
      <w:pPr>
        <w:pStyle w:val="DefinedTerms"/>
      </w:pPr>
      <w:r>
        <w:t>President</w:t>
      </w:r>
      <w:r>
        <w:tab/>
        <w:t>3</w:t>
      </w:r>
    </w:p>
    <w:p>
      <w:pPr>
        <w:pStyle w:val="DefinedTerms"/>
      </w:pPr>
      <w:r>
        <w:t>provisional care plan</w:t>
      </w:r>
      <w:r>
        <w:tab/>
        <w:t>5(2)</w:t>
      </w:r>
    </w:p>
    <w:p>
      <w:pPr>
        <w:pStyle w:val="DefinedTerms"/>
      </w:pPr>
      <w:r>
        <w:t>report</w:t>
      </w:r>
      <w:r>
        <w:tab/>
        <w:t>16A, 16</w:t>
      </w:r>
    </w:p>
    <w:p>
      <w:pPr>
        <w:pStyle w:val="DefinedTerms"/>
      </w:pPr>
      <w:r>
        <w:t>represented person</w:t>
      </w:r>
      <w:r>
        <w:tab/>
        <w:t>16A</w:t>
      </w:r>
    </w:p>
    <w:p>
      <w:pPr>
        <w:pStyle w:val="DefinedTerms"/>
      </w:pPr>
      <w:r>
        <w:t>responsible person</w:t>
      </w:r>
      <w:r>
        <w:tab/>
        <w:t>16A</w:t>
      </w:r>
    </w:p>
    <w:p>
      <w:pPr>
        <w:pStyle w:val="DefinedTerms"/>
      </w:pPr>
      <w:r>
        <w:t>sample</w:t>
      </w:r>
      <w:r>
        <w:tab/>
        <w:t>16A</w:t>
      </w:r>
    </w:p>
    <w:p>
      <w:pPr>
        <w:pStyle w:val="DefinedTerms"/>
      </w:pPr>
      <w:r>
        <w:t>sampler</w:t>
      </w:r>
      <w:r>
        <w:tab/>
        <w:t>16A</w:t>
      </w:r>
    </w:p>
    <w:p>
      <w:pPr>
        <w:pStyle w:val="DefinedTerms"/>
      </w:pPr>
      <w:r>
        <w:t>section</w:t>
      </w:r>
      <w:r>
        <w:tab/>
        <w:t>3</w:t>
      </w:r>
    </w:p>
    <w:p>
      <w:pPr>
        <w:pStyle w:val="DefinedTerms"/>
      </w:pPr>
      <w:r>
        <w:t>seized article</w:t>
      </w:r>
      <w:r>
        <w:tab/>
        <w:t>8(1)</w:t>
      </w:r>
    </w:p>
    <w:p>
      <w:pPr>
        <w:pStyle w:val="DefinedTerms"/>
      </w:pPr>
      <w:r>
        <w:t>testing</w:t>
      </w:r>
      <w:r>
        <w:tab/>
        <w:t>16A</w:t>
      </w:r>
    </w:p>
    <w:p>
      <w:pPr>
        <w:pStyle w:val="DefinedTerms"/>
      </w:pPr>
      <w:r>
        <w:t>video link</w:t>
      </w:r>
      <w:r>
        <w:tab/>
        <w:t>9</w:t>
      </w:r>
    </w:p>
    <w:p/>
    <w:p>
      <w:pPr>
        <w:sectPr>
          <w:headerReference w:type="even" r:id="rId29"/>
          <w:headerReference w:type="default" r:id="rId30"/>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ROGER JACOBS, Acting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ROGER JACOBS, Acting Government Printer</w:t>
                      </w:r>
                    </w:p>
                  </w:txbxContent>
                </v:textbox>
                <w10:wrap anchorx="page" anchory="page"/>
              </v:shape>
            </w:pict>
          </mc:Fallback>
        </mc:AlternateContent>
      </w:r>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27 Nov 2025</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04-f0-00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27 Nov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04-f0-00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27 Nov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04-f0-00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lii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27 Nov 2025</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04-f0-00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27 Nov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li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04-f0-00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27 Nov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04-f0-00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103" w:name="Schedule"/>
    <w:bookmarkEnd w:id="103"/>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10" w:name="Compilation"/>
    <w:bookmarkEnd w:id="110"/>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bookmarkStart w:id="114" w:name="DefinedTerms"/>
    <w:bookmarkEnd w:id="114"/>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115" w:name="Coversheet"/>
    <w:bookmarkEnd w:id="11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61"/>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51120143023"/>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 w:name="WAFER_2022102415214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24152143_GUID" w:val="a26b83b4-5f4f-4e80-a518-c6153cddc528"/>
    <w:docVar w:name="WAFER_202305161343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34318_GUID" w:val="eb1edd6c-fbc3-4ca8-842b-0f911ceaf0c7"/>
    <w:docVar w:name="WAFER_202306261424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42445_GUID" w:val="0b8cfc5d-843f-4d65-af93-507a0bc4c8af"/>
    <w:docVar w:name="WAFER_2023062615020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50201_GUID" w:val="fe332450-80aa-4cf9-8093-a1e05d9c4665"/>
    <w:docVar w:name="WAFER_2023071017371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710173714_GUID" w:val="16e12a38-8540-4bd8-ae93-5a3404fad463"/>
    <w:docVar w:name="WAFER_2023102716261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027162611_GUID" w:val="f0ac8eb1-04f9-483d-9d39-66d3596fda69"/>
    <w:docVar w:name="WAFER_202310271628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1027162825_GUID" w:val="3373b49d-cad5-4da7-89c7-fefe7caf3c03"/>
    <w:docVar w:name="WAFER_2023110915030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1109150302_GUID" w:val="6b13ed7d-230b-401c-a53d-c7c8f6c45c4c"/>
    <w:docVar w:name="WAFER_2023122716051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0510_GUID" w:val="3b971305-d14e-4847-87b3-face586e6038"/>
    <w:docVar w:name="WAFER_202404160937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416093749_GUID" w:val="9f291612-0561-4d1c-bdd6-31bc798a00d2"/>
    <w:docVar w:name="WAFER_2024062108553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1085536_GUID" w:val="f6688b1a-97fb-471c-a45b-14f7daf16ea1"/>
    <w:docVar w:name="WAFER_202504110836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411083649_GUID" w:val="bb4b6fe4-9b4e-48f4-a3f7-16c590bee138"/>
    <w:docVar w:name="WAFER_2025042210484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422104840_GUID" w:val="e71887ef-a80b-4c6c-a888-05c95c53071d"/>
    <w:docVar w:name="WAFER_2025082912465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829124657_GUID" w:val="0d8bdf28-4bdf-4d49-a66a-92dd75268ada"/>
    <w:docVar w:name="WAFER_2025112014302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1120143023_GUID" w:val="168582b7-895b-4f90-a2c5-0a25d06c132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2A9FB-5C07-499D-86E9-B4B4506F7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11004</Words>
  <Characters>54581</Characters>
  <Application>Microsoft Office Word</Application>
  <DocSecurity>0</DocSecurity>
  <Lines>1949</Lines>
  <Paragraphs>1214</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64371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2006 - 04-f0-00</dc:title>
  <dc:subject/>
  <dc:creator/>
  <cp:keywords/>
  <dc:description/>
  <cp:lastModifiedBy>Master Repository Process</cp:lastModifiedBy>
  <cp:revision>4</cp:revision>
  <cp:lastPrinted>2016-08-22T01:27:00Z</cp:lastPrinted>
  <dcterms:created xsi:type="dcterms:W3CDTF">2025-11-25T03:56:00Z</dcterms:created>
  <dcterms:modified xsi:type="dcterms:W3CDTF">2025-11-25T03:56:00Z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No">
    <vt:lpwstr>4</vt:lpwstr>
  </property>
  <property fmtid="{D5CDD505-2E9C-101B-9397-08002B2CF9AE}" pid="6" name="ReprintedAsAt">
    <vt:filetime>2024-06-14T10:00:00Z</vt:filetime>
  </property>
  <property fmtid="{D5CDD505-2E9C-101B-9397-08002B2CF9AE}" pid="7" name="CommencementDate">
    <vt:lpwstr>20251127</vt:lpwstr>
  </property>
  <property fmtid="{D5CDD505-2E9C-101B-9397-08002B2CF9AE}" pid="8" name="CommencementAsAt">
    <vt:filetime>2025-11-26T16:00:00Z</vt:filetime>
  </property>
  <property fmtid="{D5CDD505-2E9C-101B-9397-08002B2CF9AE}" pid="9" name="CommencementYear">
    <vt:lpwstr>2025</vt:lpwstr>
  </property>
  <property fmtid="{D5CDD505-2E9C-101B-9397-08002B2CF9AE}" pid="10" name="AsAtDate">
    <vt:lpwstr>27 Nov 2025</vt:lpwstr>
  </property>
  <property fmtid="{D5CDD505-2E9C-101B-9397-08002B2CF9AE}" pid="11" name="Suffix">
    <vt:lpwstr>04-f0-00</vt:lpwstr>
  </property>
  <property fmtid="{D5CDD505-2E9C-101B-9397-08002B2CF9AE}" pid="12" name="Official">
    <vt:lpwstr/>
  </property>
</Properties>
</file>