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_Toc214974226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_Toc214974227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_Toc214974228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_Toc214974229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_Toc214974230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_Toc214974231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_Toc214974232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_Toc214974233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_Toc214974234 \h </w:instrText>
      </w:r>
      <w:r>
        <w:fldChar w:fldCharType="separate"/>
      </w:r>
      <w:r>
        <w:t>9</w:t>
      </w:r>
      <w:r>
        <w:fldChar w:fldCharType="end"/>
      </w:r>
    </w:p>
    <w:p>
      <w:pPr>
        <w:pStyle w:val="TOC8"/>
        <w:rPr>
          <w:rFonts w:asciiTheme="minorHAnsi" w:eastAsiaTheme="minorEastAsia" w:hAnsiTheme="minorHAnsi" w:cstheme="minorBidi"/>
          <w:szCs w:val="22"/>
        </w:rPr>
      </w:pPr>
      <w:r>
        <w:t>4AE.</w:t>
      </w:r>
      <w:r>
        <w:tab/>
        <w:t>Approval of CPD providers</w:t>
      </w:r>
      <w:r>
        <w:tab/>
      </w:r>
      <w:r>
        <w:fldChar w:fldCharType="begin"/>
      </w:r>
      <w:r>
        <w:instrText xml:space="preserve"> PAGEREF _Toc214974235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_Toc214974236 \h </w:instrText>
      </w:r>
      <w:r>
        <w:fldChar w:fldCharType="separate"/>
      </w:r>
      <w:r>
        <w:t>10</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_Toc214974237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_Toc214974238 \h </w:instrText>
      </w:r>
      <w:r>
        <w:fldChar w:fldCharType="separate"/>
      </w:r>
      <w:r>
        <w:t>15</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_Toc214974239 \h </w:instrText>
      </w:r>
      <w:r>
        <w:fldChar w:fldCharType="separate"/>
      </w:r>
      <w:r>
        <w:t>19</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_Toc214974240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_Toc214974241 \h </w:instrText>
      </w:r>
      <w:r>
        <w:fldChar w:fldCharType="separate"/>
      </w:r>
      <w:r>
        <w:t>21</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_Toc214974242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_Toc214974243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_Toc214974244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_Toc214974245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_Toc214974246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6H</w:t>
      </w:r>
      <w:r>
        <w:rPr>
          <w:snapToGrid w:val="0"/>
        </w:rPr>
        <w:t>.</w:t>
      </w:r>
      <w:r>
        <w:rPr>
          <w:snapToGrid w:val="0"/>
        </w:rPr>
        <w:tab/>
        <w:t>Record keeping requirements</w:t>
      </w:r>
      <w:r>
        <w:tab/>
      </w:r>
      <w:r>
        <w:fldChar w:fldCharType="begin"/>
      </w:r>
      <w:r>
        <w:instrText xml:space="preserve"> PAGEREF _Toc214974247 \h </w:instrText>
      </w:r>
      <w:r>
        <w:fldChar w:fldCharType="separate"/>
      </w:r>
      <w:r>
        <w:t>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_Toc214974248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_Toc214974249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_Toc214974250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_Toc214974251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_Toc214974252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_Toc214974253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_Toc214974254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_Toc214974255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_Toc214974256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_Toc214974257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_Toc214974258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_Toc214974259 \h </w:instrText>
      </w:r>
      <w:r>
        <w:fldChar w:fldCharType="separate"/>
      </w:r>
      <w:r>
        <w:t>30</w:t>
      </w:r>
      <w:r>
        <w:fldChar w:fldCharType="end"/>
      </w:r>
    </w:p>
    <w:p>
      <w:pPr>
        <w:pStyle w:val="TOC8"/>
        <w:rPr>
          <w:rFonts w:asciiTheme="minorHAnsi" w:eastAsiaTheme="minorEastAsia" w:hAnsiTheme="minorHAnsi" w:cstheme="minorBidi"/>
          <w:szCs w:val="22"/>
        </w:rPr>
      </w:pPr>
      <w:r>
        <w:t>17.</w:t>
      </w:r>
      <w:r>
        <w:tab/>
        <w:t xml:space="preserve">Transitional regulation for </w:t>
      </w:r>
      <w:r>
        <w:rPr>
          <w:i/>
          <w:iCs/>
        </w:rPr>
        <w:t>Real Estate and Business Agents (General) Amendment Regulations 2024</w:t>
      </w:r>
      <w:r>
        <w:tab/>
      </w:r>
      <w:r>
        <w:fldChar w:fldCharType="begin"/>
      </w:r>
      <w:r>
        <w:instrText xml:space="preserve"> PAGEREF _Toc214974260 \h </w:instrText>
      </w:r>
      <w:r>
        <w:fldChar w:fldCharType="separate"/>
      </w:r>
      <w:r>
        <w:t>31</w:t>
      </w:r>
      <w:r>
        <w:fldChar w:fldCharType="end"/>
      </w:r>
    </w:p>
    <w:p>
      <w:pPr>
        <w:pStyle w:val="TOC8"/>
        <w:rPr>
          <w:rFonts w:asciiTheme="minorHAnsi" w:eastAsiaTheme="minorEastAsia" w:hAnsiTheme="minorHAnsi" w:cstheme="minorBidi"/>
          <w:szCs w:val="22"/>
        </w:rPr>
      </w:pPr>
      <w:r>
        <w:t>18.</w:t>
      </w:r>
      <w:r>
        <w:tab/>
        <w:t xml:space="preserve">Transitional regulation for </w:t>
      </w:r>
      <w:r>
        <w:rPr>
          <w:i/>
        </w:rPr>
        <w:t>Commerce Regulations Amendment (Real Estate, Business and Settlement Agents) Regulations 2025</w:t>
      </w:r>
      <w:r>
        <w:tab/>
      </w:r>
      <w:r>
        <w:fldChar w:fldCharType="begin"/>
      </w:r>
      <w:r>
        <w:instrText xml:space="preserve"> PAGEREF _Toc214974261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_Toc214974267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_Toc214974268 \h </w:instrText>
      </w:r>
      <w:r>
        <w:fldChar w:fldCharType="separate"/>
      </w:r>
      <w:r>
        <w:t>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_Toc214974269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21497422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14974227"/>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214974228"/>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214974229"/>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41.]</w:t>
      </w:r>
    </w:p>
    <w:p>
      <w:pPr>
        <w:pStyle w:val="Heading5"/>
        <w:rPr>
          <w:snapToGrid w:val="0"/>
        </w:rPr>
      </w:pPr>
      <w:bookmarkStart w:id="6" w:name="_Toc214974230"/>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214974231"/>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214974232"/>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214974233"/>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214974234"/>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pPr>
      <w:bookmarkStart w:id="11" w:name="_Toc214538716"/>
      <w:bookmarkStart w:id="12" w:name="_Toc214539017"/>
      <w:bookmarkStart w:id="13" w:name="_Toc214974235"/>
      <w:r>
        <w:rPr>
          <w:rStyle w:val="CharSectno"/>
        </w:rPr>
        <w:t>4AE</w:t>
      </w:r>
      <w:r>
        <w:t>.</w:t>
      </w:r>
      <w:r>
        <w:tab/>
        <w:t>Approval of CPD providers</w:t>
      </w:r>
      <w:bookmarkEnd w:id="11"/>
      <w:bookmarkEnd w:id="12"/>
      <w:bookmarkEnd w:id="13"/>
    </w:p>
    <w:p>
      <w:pPr>
        <w:pStyle w:val="Subsection"/>
      </w:pPr>
      <w:r>
        <w:tab/>
        <w:t>(1)</w:t>
      </w:r>
      <w:r>
        <w:tab/>
        <w:t>A person may apply, in the approved form, to the Commissioner for approval to provide CPD activities.</w:t>
      </w:r>
    </w:p>
    <w:p>
      <w:pPr>
        <w:pStyle w:val="Subsection"/>
      </w:pPr>
      <w:r>
        <w:tab/>
        <w:t>(2)</w:t>
      </w:r>
      <w:r>
        <w:tab/>
        <w:t xml:space="preserve">The Commissioner may, by written notice given to the applicant — </w:t>
      </w:r>
    </w:p>
    <w:p>
      <w:pPr>
        <w:pStyle w:val="Indenta"/>
      </w:pPr>
      <w:r>
        <w:tab/>
        <w:t>(a)</w:t>
      </w:r>
      <w:r>
        <w:tab/>
        <w:t>grant the approval; or</w:t>
      </w:r>
    </w:p>
    <w:p>
      <w:pPr>
        <w:pStyle w:val="Indenta"/>
      </w:pPr>
      <w:r>
        <w:tab/>
        <w:t>(b)</w:t>
      </w:r>
      <w:r>
        <w:tab/>
        <w:t>refuse to grant the approval.</w:t>
      </w:r>
    </w:p>
    <w:p>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pPr>
        <w:pStyle w:val="Subsection"/>
      </w:pPr>
      <w:r>
        <w:lastRenderedPageBreak/>
        <w:tab/>
        <w:t>(4)</w:t>
      </w:r>
      <w:r>
        <w:tab/>
        <w:t>A notice given under subregulation (2)(a) of a decision to grant an approval must specify the period during which the approval has effect (which must not be more than 3 years).</w:t>
      </w:r>
    </w:p>
    <w:p>
      <w:pPr>
        <w:pStyle w:val="Subsection"/>
      </w:pPr>
      <w:r>
        <w:tab/>
        <w:t>(5)</w:t>
      </w:r>
      <w:r>
        <w:tab/>
        <w:t>A notice given under subregulation (2)(b) of a decision to refuse to grant an approval must include the reasons for the decision.</w:t>
      </w:r>
    </w:p>
    <w:p>
      <w:pPr>
        <w:pStyle w:val="Subsection"/>
      </w:pPr>
      <w:r>
        <w:tab/>
        <w:t>(6)</w:t>
      </w:r>
      <w:r>
        <w:tab/>
        <w:t>The Commissioner must publish a list of approved CPD providers on the Commissioner’s website.</w:t>
      </w:r>
    </w:p>
    <w:p>
      <w:pPr>
        <w:pStyle w:val="Footnotesection"/>
      </w:pPr>
      <w:r>
        <w:tab/>
        <w:t>[Regulation 4AE inserted: SL 2025/194 r. 12.]</w:t>
      </w:r>
    </w:p>
    <w:p>
      <w:pPr>
        <w:pStyle w:val="Heading5"/>
        <w:spacing w:before="260"/>
      </w:pPr>
      <w:bookmarkStart w:id="14" w:name="_Toc214974236"/>
      <w:r>
        <w:rPr>
          <w:rStyle w:val="CharSectno"/>
        </w:rPr>
        <w:t>4B</w:t>
      </w:r>
      <w:r>
        <w:t>.</w:t>
      </w:r>
      <w:r>
        <w:tab/>
        <w:t>Prescribed periods (Act s. 48(1), (2) and 49(2))</w:t>
      </w:r>
      <w:bookmarkEnd w:id="14"/>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5" w:name="_Toc214974237"/>
      <w:r>
        <w:rPr>
          <w:rStyle w:val="CharSectno"/>
        </w:rPr>
        <w:t>6</w:t>
      </w:r>
      <w:r>
        <w:t>.</w:t>
      </w:r>
      <w:r>
        <w:tab/>
        <w:t>Prescribed examinations for licence applicants (Act Sch. 1 cl. 1(a))</w:t>
      </w:r>
      <w:bookmarkEnd w:id="1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lastRenderedPageBreak/>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lastRenderedPageBreak/>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16" w:name="_Toc214974238"/>
      <w:r>
        <w:rPr>
          <w:rStyle w:val="CharSectno"/>
        </w:rPr>
        <w:t>6A</w:t>
      </w:r>
      <w:r>
        <w:t>.</w:t>
      </w:r>
      <w:r>
        <w:tab/>
        <w:t>Prescribed qualifications for certificate applicants (Act s. 47(2))</w:t>
      </w:r>
      <w:bookmarkEnd w:id="16"/>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lastRenderedPageBreak/>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lastRenderedPageBreak/>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7" w:name="_Toc214974239"/>
      <w:r>
        <w:rPr>
          <w:rStyle w:val="CharSectno"/>
        </w:rPr>
        <w:lastRenderedPageBreak/>
        <w:t>6B</w:t>
      </w:r>
      <w:r>
        <w:t>.</w:t>
      </w:r>
      <w:r>
        <w:tab/>
        <w:t>Certificate of registration, grant of (Act s. 47)</w:t>
      </w:r>
      <w:bookmarkEnd w:id="1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8" w:name="_Toc214974240"/>
      <w:r>
        <w:rPr>
          <w:rStyle w:val="CharSectno"/>
        </w:rPr>
        <w:t>6BA</w:t>
      </w:r>
      <w:r>
        <w:rPr>
          <w:snapToGrid w:val="0"/>
        </w:rPr>
        <w:t>.</w:t>
      </w:r>
      <w:r>
        <w:rPr>
          <w:snapToGrid w:val="0"/>
        </w:rPr>
        <w:tab/>
        <w:t>Appointment to act as agent, content of</w:t>
      </w:r>
      <w:bookmarkEnd w:id="18"/>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 xml:space="preserve">the commission, reward or other valuable consideration to be received by the agent for the </w:t>
      </w:r>
      <w:r>
        <w:rPr>
          <w:snapToGrid w:val="0"/>
        </w:rPr>
        <w:lastRenderedPageBreak/>
        <w:t>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9" w:name="_Toc214974241"/>
      <w:r>
        <w:rPr>
          <w:rStyle w:val="CharSectno"/>
        </w:rPr>
        <w:lastRenderedPageBreak/>
        <w:t>6BB</w:t>
      </w:r>
      <w:r>
        <w:t>.</w:t>
      </w:r>
      <w:r>
        <w:tab/>
        <w:t>Prescribed transaction</w:t>
      </w:r>
      <w:bookmarkEnd w:id="19"/>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20" w:name="_Toc214974242"/>
      <w:r>
        <w:rPr>
          <w:rStyle w:val="CharSectno"/>
        </w:rPr>
        <w:t>6C</w:t>
      </w:r>
      <w:r>
        <w:t>.</w:t>
      </w:r>
      <w:r>
        <w:tab/>
        <w:t>Authorised financial institution (Act s. 67), classes of body prescribed</w:t>
      </w:r>
      <w:bookmarkEnd w:id="2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21" w:name="_Toc214974243"/>
      <w:r>
        <w:rPr>
          <w:rStyle w:val="CharSectno"/>
        </w:rPr>
        <w:t>6D</w:t>
      </w:r>
      <w:r>
        <w:t>.</w:t>
      </w:r>
      <w:r>
        <w:tab/>
        <w:t>Trust accounts, designation of (Act s. 68(1))</w:t>
      </w:r>
      <w:bookmarkEnd w:id="21"/>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lastRenderedPageBreak/>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2" w:name="_Toc214974244"/>
      <w:r>
        <w:rPr>
          <w:rStyle w:val="CharSectno"/>
        </w:rPr>
        <w:t>6E</w:t>
      </w:r>
      <w:r>
        <w:t>.</w:t>
      </w:r>
      <w:r>
        <w:tab/>
        <w:t>Separate trust accounts, requests for, requirements prescribed (Act s. 68A(4))</w:t>
      </w:r>
      <w:bookmarkEnd w:id="22"/>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3" w:name="_Toc214974245"/>
      <w:r>
        <w:rPr>
          <w:rStyle w:val="CharSectno"/>
        </w:rPr>
        <w:t>6F</w:t>
      </w:r>
      <w:r>
        <w:t>.</w:t>
      </w:r>
      <w:r>
        <w:tab/>
        <w:t>Trust accounts, interest on (Act s. 68B(1))</w:t>
      </w:r>
      <w:bookmarkEnd w:id="23"/>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lastRenderedPageBreak/>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4" w:name="_Toc214974246"/>
      <w:r>
        <w:rPr>
          <w:rStyle w:val="CharSectno"/>
        </w:rPr>
        <w:t>6G</w:t>
      </w:r>
      <w:r>
        <w:t>.</w:t>
      </w:r>
      <w:r>
        <w:tab/>
        <w:t>Receipts by agents, information in (Act s. 69(1)(a))</w:t>
      </w:r>
      <w:bookmarkEnd w:id="24"/>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5" w:name="_Toc214974247"/>
      <w:r>
        <w:rPr>
          <w:rStyle w:val="CharSectno"/>
        </w:rPr>
        <w:lastRenderedPageBreak/>
        <w:t>6H</w:t>
      </w:r>
      <w:r>
        <w:rPr>
          <w:snapToGrid w:val="0"/>
        </w:rPr>
        <w:t>.</w:t>
      </w:r>
      <w:r>
        <w:rPr>
          <w:snapToGrid w:val="0"/>
        </w:rPr>
        <w:tab/>
        <w:t>Record keeping requirements</w:t>
      </w:r>
      <w:bookmarkEnd w:id="25"/>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6" w:name="_Toc214974248"/>
      <w:r>
        <w:rPr>
          <w:rStyle w:val="CharSectno"/>
        </w:rPr>
        <w:t>7</w:t>
      </w:r>
      <w:r>
        <w:rPr>
          <w:snapToGrid w:val="0"/>
        </w:rPr>
        <w:t>.</w:t>
      </w:r>
      <w:r>
        <w:rPr>
          <w:snapToGrid w:val="0"/>
        </w:rPr>
        <w:tab/>
        <w:t>Registers (Act s. 133(2))</w:t>
      </w:r>
      <w:bookmarkEnd w:id="26"/>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lastRenderedPageBreak/>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lastRenderedPageBreak/>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7" w:name="_Toc214974249"/>
      <w:r>
        <w:rPr>
          <w:rStyle w:val="CharSectno"/>
        </w:rPr>
        <w:t>7AA</w:t>
      </w:r>
      <w:r>
        <w:t>.</w:t>
      </w:r>
      <w:r>
        <w:tab/>
        <w:t>Lending institution (Act s. 131A), classes of body prescribed</w:t>
      </w:r>
      <w:bookmarkEnd w:id="2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 xml:space="preserve">of that definition, that </w:t>
      </w:r>
      <w:r>
        <w:rPr>
          <w:snapToGrid w:val="0"/>
        </w:rPr>
        <w:lastRenderedPageBreak/>
        <w:t>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8" w:name="_Toc214974250"/>
      <w:r>
        <w:rPr>
          <w:rStyle w:val="CharSectno"/>
        </w:rPr>
        <w:t>7B</w:t>
      </w:r>
      <w:r>
        <w:rPr>
          <w:snapToGrid w:val="0"/>
        </w:rPr>
        <w:t>.</w:t>
      </w:r>
      <w:r>
        <w:rPr>
          <w:snapToGrid w:val="0"/>
        </w:rPr>
        <w:tab/>
        <w:t>Maximum amount prescribed (Act s. 131M(3))</w:t>
      </w:r>
      <w:bookmarkEnd w:id="2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9" w:name="_Toc214974251"/>
      <w:r>
        <w:rPr>
          <w:rStyle w:val="CharSectno"/>
        </w:rPr>
        <w:t>8</w:t>
      </w:r>
      <w:r>
        <w:rPr>
          <w:snapToGrid w:val="0"/>
        </w:rPr>
        <w:t>.</w:t>
      </w:r>
      <w:r>
        <w:rPr>
          <w:snapToGrid w:val="0"/>
        </w:rPr>
        <w:tab/>
        <w:t>Changes in particulars, licensees to notify Commissioner of</w:t>
      </w:r>
      <w:bookmarkEnd w:id="29"/>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30" w:name="_Toc214974252"/>
      <w:r>
        <w:rPr>
          <w:rStyle w:val="CharSectno"/>
        </w:rPr>
        <w:t>9</w:t>
      </w:r>
      <w:r>
        <w:rPr>
          <w:snapToGrid w:val="0"/>
        </w:rPr>
        <w:t>.</w:t>
      </w:r>
      <w:r>
        <w:rPr>
          <w:snapToGrid w:val="0"/>
        </w:rPr>
        <w:tab/>
        <w:t xml:space="preserve">Fees and costs, </w:t>
      </w:r>
      <w:r>
        <w:t>recovery</w:t>
      </w:r>
      <w:r>
        <w:rPr>
          <w:snapToGrid w:val="0"/>
        </w:rPr>
        <w:t xml:space="preserve"> of</w:t>
      </w:r>
      <w:bookmarkEnd w:id="30"/>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lastRenderedPageBreak/>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31" w:name="_Toc214974253"/>
      <w:r>
        <w:rPr>
          <w:rStyle w:val="CharSectno"/>
        </w:rPr>
        <w:t>10</w:t>
      </w:r>
      <w:r>
        <w:rPr>
          <w:snapToGrid w:val="0"/>
        </w:rPr>
        <w:t>.</w:t>
      </w:r>
      <w:r>
        <w:rPr>
          <w:snapToGrid w:val="0"/>
        </w:rPr>
        <w:tab/>
      </w:r>
      <w:r>
        <w:t>Unsuccessful</w:t>
      </w:r>
      <w:r>
        <w:rPr>
          <w:snapToGrid w:val="0"/>
        </w:rPr>
        <w:t xml:space="preserve"> applicant for licence etc., refund to (Act s. 113)</w:t>
      </w:r>
      <w:bookmarkEnd w:id="31"/>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32" w:name="_Toc214974254"/>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2"/>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lastRenderedPageBreak/>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3" w:name="_Toc214974255"/>
      <w:r>
        <w:rPr>
          <w:rStyle w:val="CharSectno"/>
        </w:rPr>
        <w:t>12</w:t>
      </w:r>
      <w:r>
        <w:rPr>
          <w:snapToGrid w:val="0"/>
        </w:rPr>
        <w:t>.</w:t>
      </w:r>
      <w:r>
        <w:rPr>
          <w:snapToGrid w:val="0"/>
        </w:rPr>
        <w:tab/>
        <w:t>Fidelity Guarantee Account, claims against</w:t>
      </w:r>
      <w:bookmarkEnd w:id="33"/>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4" w:name="_Toc214974256"/>
      <w:r>
        <w:rPr>
          <w:rStyle w:val="CharSectno"/>
        </w:rPr>
        <w:t>13</w:t>
      </w:r>
      <w:r>
        <w:rPr>
          <w:snapToGrid w:val="0"/>
        </w:rPr>
        <w:t>.</w:t>
      </w:r>
      <w:r>
        <w:rPr>
          <w:snapToGrid w:val="0"/>
        </w:rPr>
        <w:tab/>
        <w:t>Codes of conduct prescribed to be published (Act s. 101)</w:t>
      </w:r>
      <w:bookmarkEnd w:id="34"/>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5" w:name="_Toc214974257"/>
      <w:r>
        <w:rPr>
          <w:rStyle w:val="CharSectno"/>
        </w:rPr>
        <w:t>14</w:t>
      </w:r>
      <w:r>
        <w:t>.</w:t>
      </w:r>
      <w:r>
        <w:tab/>
        <w:t>Infringement notices</w:t>
      </w:r>
      <w:bookmarkEnd w:id="3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lastRenderedPageBreak/>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6" w:name="_Toc214974258"/>
      <w:r>
        <w:rPr>
          <w:rStyle w:val="CharSectno"/>
        </w:rPr>
        <w:t>15</w:t>
      </w:r>
      <w:r>
        <w:t>.</w:t>
      </w:r>
      <w:r>
        <w:tab/>
        <w:t>Forms (Sch. 2)</w:t>
      </w:r>
      <w:bookmarkEnd w:id="36"/>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7" w:name="_Toc214974259"/>
      <w:r>
        <w:rPr>
          <w:rStyle w:val="CharSectno"/>
        </w:rPr>
        <w:t>16</w:t>
      </w:r>
      <w:r>
        <w:t>.</w:t>
      </w:r>
      <w:r>
        <w:tab/>
        <w:t xml:space="preserve">Transitional regulation for </w:t>
      </w:r>
      <w:r>
        <w:rPr>
          <w:i/>
        </w:rPr>
        <w:t>Real Estate and Business Agents (General) Amendment Regulations (No. 2) 2020</w:t>
      </w:r>
      <w:bookmarkEnd w:id="3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38" w:name="_Toc214974260"/>
      <w:r>
        <w:rPr>
          <w:rStyle w:val="CharSectno"/>
        </w:rPr>
        <w:lastRenderedPageBreak/>
        <w:t>17</w:t>
      </w:r>
      <w:r>
        <w:t>.</w:t>
      </w:r>
      <w:r>
        <w:tab/>
        <w:t xml:space="preserve">Transitional regulation for </w:t>
      </w:r>
      <w:r>
        <w:rPr>
          <w:i/>
          <w:iCs/>
        </w:rPr>
        <w:t>Real Estate and Business Agents (General) Amendment Regulations 2024</w:t>
      </w:r>
      <w:bookmarkEnd w:id="38"/>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keepNext/>
      </w:pPr>
      <w:r>
        <w:tab/>
        <w:t>[Regulation 17 inserted: SL 2024/152 r. 5.]</w:t>
      </w:r>
    </w:p>
    <w:p>
      <w:pPr>
        <w:pStyle w:val="Heading5"/>
      </w:pPr>
      <w:bookmarkStart w:id="39" w:name="_Toc214538738"/>
      <w:bookmarkStart w:id="40" w:name="_Toc214539039"/>
      <w:bookmarkStart w:id="41" w:name="_Toc214974261"/>
      <w:r>
        <w:rPr>
          <w:rStyle w:val="CharSectno"/>
        </w:rPr>
        <w:t>18</w:t>
      </w:r>
      <w:r>
        <w:t>.</w:t>
      </w:r>
      <w:r>
        <w:tab/>
        <w:t xml:space="preserve">Transitional regulation for </w:t>
      </w:r>
      <w:r>
        <w:rPr>
          <w:i/>
        </w:rPr>
        <w:t>Commerce Regulations Amendment (Real Estate, Business and Settlement Agents) Regulations 2025</w:t>
      </w:r>
      <w:bookmarkEnd w:id="39"/>
      <w:bookmarkEnd w:id="40"/>
      <w:bookmarkEnd w:id="41"/>
    </w:p>
    <w:p>
      <w:pPr>
        <w:pStyle w:val="Subsection"/>
      </w:pPr>
      <w:r>
        <w:tab/>
        <w:t>(1)</w:t>
      </w:r>
      <w:r>
        <w:tab/>
        <w:t xml:space="preserve">In this regulation — </w:t>
      </w:r>
    </w:p>
    <w:p>
      <w:pPr>
        <w:pStyle w:val="Defstart"/>
      </w:pPr>
      <w:r>
        <w:tab/>
      </w:r>
      <w:r>
        <w:rPr>
          <w:rStyle w:val="CharDefText"/>
        </w:rPr>
        <w:t>commencement day</w:t>
      </w:r>
      <w:r>
        <w:t xml:space="preserve"> means 1 January 2026.</w:t>
      </w:r>
    </w:p>
    <w:p>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pPr>
        <w:pStyle w:val="Subsection"/>
      </w:pPr>
      <w:r>
        <w:tab/>
        <w:t>(3)</w:t>
      </w:r>
      <w:r>
        <w:tab/>
        <w:t>The reference in regulation 4AE(1) to CPD activities is, before commencement day, a reference to that term as defined in regulation 2(1) as it will be in force on commencement day.</w:t>
      </w:r>
    </w:p>
    <w:p>
      <w:pPr>
        <w:pStyle w:val="Subsection"/>
      </w:pPr>
      <w:r>
        <w:tab/>
        <w:t>(4)</w:t>
      </w:r>
      <w:r>
        <w:tab/>
        <w:t>The reference in regulation 4AE(3) to regulation 4AH is, before commencement day, a reference to that regulation as it will be in force on commencement day.</w:t>
      </w:r>
    </w:p>
    <w:p>
      <w:pPr>
        <w:pStyle w:val="Footnotesection"/>
      </w:pPr>
      <w:r>
        <w:tab/>
        <w:t>[Regulation 18 inserted: SL 2025/194 r. 22.]</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2" w:name="_Toc214961315"/>
      <w:bookmarkStart w:id="43" w:name="_Toc214963561"/>
      <w:bookmarkStart w:id="44" w:name="_Toc214974262"/>
      <w:r>
        <w:rPr>
          <w:rStyle w:val="CharSchNo"/>
        </w:rPr>
        <w:lastRenderedPageBreak/>
        <w:t>Schedule 1</w:t>
      </w:r>
      <w:r>
        <w:t> — </w:t>
      </w:r>
      <w:r>
        <w:rPr>
          <w:rStyle w:val="CharSchText"/>
        </w:rPr>
        <w:t>Fees</w:t>
      </w:r>
      <w:bookmarkEnd w:id="42"/>
      <w:bookmarkEnd w:id="43"/>
      <w:bookmarkEnd w:id="44"/>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rPr>
          <w:rStyle w:val="CharSchNo"/>
          <w:b/>
          <w:snapToGrid/>
        </w:rPr>
      </w:pPr>
      <w:r>
        <w:tab/>
        <w:t>[Schedule 1 inserted: SL 2025/89 r. 42.]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6" w:name="_Toc214961316"/>
      <w:bookmarkStart w:id="47" w:name="_Toc214963562"/>
      <w:bookmarkStart w:id="48" w:name="_Toc214974263"/>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6"/>
      <w:bookmarkEnd w:id="47"/>
      <w:bookmarkEnd w:id="48"/>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9" w:name="_Toc214961317"/>
      <w:bookmarkStart w:id="50" w:name="_Toc214963563"/>
      <w:bookmarkStart w:id="51" w:name="_Toc214974264"/>
      <w:r>
        <w:rPr>
          <w:rStyle w:val="CharSchNo"/>
        </w:rPr>
        <w:lastRenderedPageBreak/>
        <w:t>Schedule 2</w:t>
      </w:r>
      <w:r>
        <w:rPr>
          <w:rStyle w:val="CharSDivNo"/>
        </w:rPr>
        <w:t> </w:t>
      </w:r>
      <w:r>
        <w:t>—</w:t>
      </w:r>
      <w:r>
        <w:rPr>
          <w:rStyle w:val="CharSDivText"/>
        </w:rPr>
        <w:t> </w:t>
      </w:r>
      <w:r>
        <w:rPr>
          <w:rStyle w:val="CharSchText"/>
        </w:rPr>
        <w:t>Forms</w:t>
      </w:r>
      <w:bookmarkEnd w:id="49"/>
      <w:bookmarkEnd w:id="50"/>
      <w:bookmarkEnd w:id="51"/>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52" w:name="_Toc214961318"/>
      <w:bookmarkStart w:id="53" w:name="_Toc214963564"/>
      <w:bookmarkStart w:id="54" w:name="_Toc214974265"/>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52"/>
      <w:bookmarkEnd w:id="53"/>
      <w:bookmarkEnd w:id="54"/>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55" w:name="_Toc214961319"/>
      <w:bookmarkStart w:id="56" w:name="_Toc214963565"/>
      <w:bookmarkStart w:id="57" w:name="_Toc214974266"/>
      <w:r>
        <w:lastRenderedPageBreak/>
        <w:t>Notes</w:t>
      </w:r>
      <w:bookmarkEnd w:id="55"/>
      <w:bookmarkEnd w:id="56"/>
      <w:bookmarkEnd w:id="57"/>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 w:name="_Toc214974267"/>
      <w:r>
        <w:t>Compilation table</w:t>
      </w:r>
      <w:bookmarkEnd w:id="5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lastRenderedPageBreak/>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(Real Estate, Business and Settlement Agents) Regulations 2025</w:t>
            </w:r>
            <w:r>
              <w:rPr>
                <w:iCs/>
              </w:rPr>
              <w:t xml:space="preserve"> Pt. 2 (but only r. 3, 12 and 22)</w:t>
            </w:r>
          </w:p>
        </w:tc>
        <w:tc>
          <w:tcPr>
            <w:tcW w:w="1276" w:type="dxa"/>
            <w:tcBorders>
              <w:top w:val="nil"/>
              <w:bottom w:val="single" w:sz="4" w:space="0" w:color="auto"/>
            </w:tcBorders>
          </w:tcPr>
          <w:p>
            <w:pPr>
              <w:pStyle w:val="nTable"/>
              <w:spacing w:after="40"/>
            </w:pPr>
            <w:r>
              <w:t>SL 2025/194 26 Nov 2025</w:t>
            </w:r>
          </w:p>
        </w:tc>
        <w:tc>
          <w:tcPr>
            <w:tcW w:w="2693" w:type="dxa"/>
            <w:tcBorders>
              <w:top w:val="nil"/>
              <w:bottom w:val="single" w:sz="4" w:space="0" w:color="auto"/>
            </w:tcBorders>
          </w:tcPr>
          <w:p>
            <w:pPr>
              <w:pStyle w:val="nTable"/>
              <w:spacing w:after="40"/>
            </w:pPr>
            <w:r>
              <w:t>27 Nov 2025 (see r. 2(b))</w:t>
            </w:r>
          </w:p>
        </w:tc>
      </w:tr>
    </w:tbl>
    <w:p>
      <w:pPr>
        <w:pStyle w:val="nHeading3"/>
      </w:pPr>
      <w:bookmarkStart w:id="59" w:name="_Toc214974268"/>
      <w:r>
        <w:t>Uncommenced provisions table</w:t>
      </w:r>
      <w:bookmarkEnd w:id="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(Real Estate, Business and Settlement Agents) Regulations 2025</w:t>
            </w:r>
            <w:r>
              <w:rPr>
                <w:iCs/>
              </w:rPr>
              <w:t xml:space="preserve"> Pt. 2 (other than r. 3, 12 and 22)</w:t>
            </w:r>
          </w:p>
        </w:tc>
        <w:tc>
          <w:tcPr>
            <w:tcW w:w="1276" w:type="dxa"/>
          </w:tcPr>
          <w:p>
            <w:pPr>
              <w:pStyle w:val="nTable"/>
              <w:spacing w:after="40"/>
            </w:pPr>
            <w:r>
              <w:t>SL 2025/194 26 Nov 2025</w:t>
            </w:r>
          </w:p>
        </w:tc>
        <w:tc>
          <w:tcPr>
            <w:tcW w:w="2693" w:type="dxa"/>
          </w:tcPr>
          <w:p>
            <w:pPr>
              <w:pStyle w:val="nTable"/>
              <w:spacing w:after="40"/>
            </w:pPr>
            <w:r>
              <w:t>1 Jan 2026 (see r. 2(c))</w:t>
            </w:r>
          </w:p>
        </w:tc>
      </w:tr>
    </w:tbl>
    <w:p>
      <w:pPr>
        <w:pStyle w:val="nHeading3"/>
      </w:pPr>
      <w:bookmarkStart w:id="60" w:name="_Toc214974269"/>
      <w:r>
        <w:t>Other notes</w:t>
      </w:r>
      <w:bookmarkEnd w:id="60"/>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62" w:name="_Toc214974270"/>
      <w:r>
        <w:rPr>
          <w:sz w:val="28"/>
        </w:rPr>
        <w:lastRenderedPageBreak/>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 18(1)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3" w:name="DefinedTerms"/>
    <w:bookmarkEnd w:id="6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511050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5110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5110448_GUID" w:val="55166a49-ac53-4756-b92d-0e84e65c5a4e"/>
    <w:docVar w:name="WAFER_20251125110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5110507_GUID" w:val="a633539a-6634-458b-b90e-906e0e9cda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10971</Words>
  <Characters>54856</Characters>
  <Application>Microsoft Office Word</Application>
  <DocSecurity>0</DocSecurity>
  <Lines>2194</Lines>
  <Paragraphs>1371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1979 - 08-ae0-00</dc:title>
  <dc:subject/>
  <dc:creator/>
  <cp:keywords/>
  <dc:description/>
  <cp:lastModifiedBy>Master Repository Process</cp:lastModifiedBy>
  <cp:revision>4</cp:revision>
  <cp:lastPrinted>2014-10-02T03:16:00Z</cp:lastPrinted>
  <dcterms:created xsi:type="dcterms:W3CDTF">2025-11-25T06:53:00Z</dcterms:created>
  <dcterms:modified xsi:type="dcterms:W3CDTF">2025-11-25T06:53:00Z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20251127</vt:lpwstr>
  </property>
  <property fmtid="{D5CDD505-2E9C-101B-9397-08002B2CF9AE}" pid="8" name="CommencementAsAt">
    <vt:filetime>2025-11-26T16:00:00Z</vt:filetime>
  </property>
  <property fmtid="{D5CDD505-2E9C-101B-9397-08002B2CF9AE}" pid="9" name="CommencementYear">
    <vt:lpwstr>2025</vt:lpwstr>
  </property>
  <property fmtid="{D5CDD505-2E9C-101B-9397-08002B2CF9AE}" pid="10" name="AsAtDate">
    <vt:lpwstr>27 Nov 2025</vt:lpwstr>
  </property>
  <property fmtid="{D5CDD505-2E9C-101B-9397-08002B2CF9AE}" pid="11" name="Suffix">
    <vt:lpwstr>08-ae0-00</vt:lpwstr>
  </property>
  <property fmtid="{D5CDD505-2E9C-101B-9397-08002B2CF9AE}" pid="12" name="Official">
    <vt:lpwstr/>
  </property>
</Properties>
</file>