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17)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17)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_Toc215832751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_Toc215832752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17) 2025</w:t>
      </w:r>
    </w:p>
    <w:p>
      <w:pPr>
        <w:pStyle w:val="MadeBy"/>
        <w:rPr>
          <w:szCs w:val="24"/>
        </w:rPr>
      </w:pPr>
      <w:r>
        <w:rPr>
          <w:szCs w:val="24"/>
        </w:rPr>
        <w:t>Made under section 12(2)(c) of the Act.</w:t>
      </w:r>
    </w:p>
    <w:p>
      <w:pPr>
        <w:pStyle w:val="Heading5"/>
      </w:pPr>
      <w:bookmarkStart w:id="2" w:name="_Toc215832380"/>
      <w:bookmarkStart w:id="3" w:name="_Toc21583275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This notice is the </w:t>
      </w:r>
      <w:r>
        <w:rPr>
          <w:i/>
          <w:iCs/>
          <w:spacing w:val="-2"/>
        </w:rPr>
        <w:t>Therapeutic Goods (Legislative Instruments) Notice (No. 17) 2025</w:t>
      </w:r>
      <w:r>
        <w:rPr>
          <w:spacing w:val="-2"/>
        </w:rPr>
        <w:t>.</w:t>
      </w:r>
    </w:p>
    <w:p>
      <w:pPr>
        <w:pStyle w:val="Heading5"/>
      </w:pPr>
      <w:bookmarkStart w:id="4" w:name="_Toc215832381"/>
      <w:bookmarkStart w:id="5" w:name="_Toc215832752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>The following therapeutic legislative instrument has been made and published on the Federal Register of Legislation website www.legislation.gov.au:</w:t>
      </w:r>
    </w:p>
    <w:p>
      <w:pPr>
        <w:pStyle w:val="MiscellaneousBody"/>
        <w:tabs>
          <w:tab w:val="left" w:pos="2127"/>
        </w:tabs>
        <w:ind w:left="1276" w:hanging="42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1.</w:t>
      </w:r>
      <w:r>
        <w:rPr>
          <w:color w:val="000000" w:themeColor="text1"/>
          <w:szCs w:val="24"/>
        </w:rPr>
        <w:tab/>
        <w:t>Therapeutic Goods (Serious Scarcity and Substitutable Medicine) (Nicorandil) Instrument 2025</w:t>
      </w:r>
    </w:p>
    <w:p>
      <w:pPr>
        <w:pStyle w:val="PermNoteHeading"/>
        <w:tabs>
          <w:tab w:val="left" w:pos="426"/>
        </w:tabs>
        <w:ind w:left="709" w:firstLine="579"/>
      </w:pPr>
      <w:r>
        <w:t>Note: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600"/>
        <w:rPr>
          <w:b/>
          <w:bCs/>
          <w:sz w:val="22"/>
          <w:szCs w:val="18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 w:val="22"/>
          <w:szCs w:val="18"/>
        </w:rPr>
        <w:t>JANE LAURENCE</w:t>
      </w:r>
      <w:r>
        <w:rPr>
          <w:b/>
          <w:bCs/>
          <w:sz w:val="22"/>
          <w:szCs w:val="18"/>
        </w:rPr>
        <w:br/>
        <w:t>GENERAL COUNSEL AND 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17)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17)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17)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17)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0513053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051019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205101933_GUID" w:val="8ae72786-3522-4832-94da-9686af17295a"/>
    <w:docVar w:name="WAFER_202512051305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05130535_GUID" w:val="11ec91db-e0b4-422c-9ff3-d8d0ab626a3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9036B3A3-1F03-4857-9D9F-0B98AE61C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3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1497</Characters>
  <Application>Microsoft Office Word</Application>
  <DocSecurity>0</DocSecurity>
  <Lines>57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17)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2025-12-05T06:53:00Z</dcterms:created>
  <dcterms:modified xsi:type="dcterms:W3CDTF">2025-12-05T06:53:00Z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55750</vt:lpwstr>
  </property>
  <property fmtid="{D5CDD505-2E9C-101B-9397-08002B2CF9AE}" pid="3" name="DocumentType">
    <vt:lpwstr>Reg</vt:lpwstr>
  </property>
  <property fmtid="{D5CDD505-2E9C-101B-9397-08002B2CF9AE}" pid="4" name="AsAtDate">
    <vt:lpwstr>08 Dec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2025/195</vt:lpwstr>
  </property>
  <property fmtid="{D5CDD505-2E9C-101B-9397-08002B2CF9AE}" pid="8" name="PublishDate">
    <vt:lpwstr>8 Dec 2025</vt:lpwstr>
  </property>
  <property fmtid="{D5CDD505-2E9C-101B-9397-08002B2CF9AE}" pid="9" name="CommencementDate">
    <vt:lpwstr>20251208</vt:lpwstr>
  </property>
  <property fmtid="{D5CDD505-2E9C-101B-9397-08002B2CF9AE}" pid="10" name="CommencementAsAt">
    <vt:filetime>2025-12-07T16:00:00Z</vt:filetime>
  </property>
  <property fmtid="{D5CDD505-2E9C-101B-9397-08002B2CF9AE}" pid="11" name="CommencementYear">
    <vt:lpwstr>2025</vt:lpwstr>
  </property>
</Properties>
</file>