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Health Services Act 2016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Health Services (Health Service Provider Land) Amendment Order 2025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Health Services (Health Service Provider Land) Amendment Order 2025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_Toc216164122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_Toc216164123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Order amended</w:t>
      </w:r>
      <w:r>
        <w:tab/>
      </w:r>
      <w:r>
        <w:fldChar w:fldCharType="begin"/>
      </w:r>
      <w:r>
        <w:instrText xml:space="preserve"> PAGEREF _Toc216164124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Clause 3 amended</w:t>
      </w:r>
      <w:r>
        <w:tab/>
      </w:r>
      <w:r>
        <w:fldChar w:fldCharType="begin"/>
      </w:r>
      <w:r>
        <w:instrText xml:space="preserve"> PAGEREF _Toc216164125 \h </w:instrText>
      </w:r>
      <w:r>
        <w:fldChar w:fldCharType="separate"/>
      </w:r>
      <w:r>
        <w:t>1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Health Services Act 2016</w:t>
      </w:r>
    </w:p>
    <w:p>
      <w:pPr>
        <w:pStyle w:val="NameofActReg"/>
      </w:pPr>
      <w:r>
        <w:t>Health Services (Health Service Provider Land) Amendment Order 2025</w:t>
      </w:r>
    </w:p>
    <w:p>
      <w:pPr>
        <w:pStyle w:val="MadeBy"/>
      </w:pPr>
      <w:r>
        <w:t>Made by the Minister.</w:t>
      </w:r>
    </w:p>
    <w:p>
      <w:pPr>
        <w:pStyle w:val="Heading5"/>
      </w:pPr>
      <w:bookmarkStart w:id="2" w:name="_Toc216103332"/>
      <w:bookmarkStart w:id="3" w:name="_Toc216164122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This </w:t>
      </w:r>
      <w:r>
        <w:rPr>
          <w:spacing w:val="-2"/>
        </w:rPr>
        <w:t>order</w:t>
      </w:r>
      <w:r>
        <w:t xml:space="preserve"> is the </w:t>
      </w:r>
      <w:r>
        <w:rPr>
          <w:i/>
        </w:rPr>
        <w:t>Health Services (Health Service Provider Land) Amendment Order 2025</w:t>
      </w:r>
      <w:r>
        <w:t>.</w:t>
      </w:r>
    </w:p>
    <w:p>
      <w:pPr>
        <w:pStyle w:val="Heading5"/>
        <w:rPr>
          <w:spacing w:val="-2"/>
        </w:rPr>
      </w:pPr>
      <w:bookmarkStart w:id="5" w:name="_Toc216103333"/>
      <w:bookmarkStart w:id="6" w:name="_Toc216164123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This </w:t>
      </w:r>
      <w:r>
        <w:rPr>
          <w:spacing w:val="-2"/>
        </w:rPr>
        <w:t>order comes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clauses</w:t>
      </w:r>
      <w:r>
        <w:t xml:space="preserve"> 1 and 2 — on the day on which this </w:t>
      </w:r>
      <w:r>
        <w:rPr>
          <w:spacing w:val="-2"/>
        </w:rPr>
        <w:t>order</w:t>
      </w:r>
      <w:r>
        <w:t xml:space="preserve"> is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order</w:t>
      </w:r>
      <w:r>
        <w:t> — on the day after that day.</w:t>
      </w:r>
    </w:p>
    <w:p>
      <w:pPr>
        <w:pStyle w:val="Heading5"/>
        <w:rPr>
          <w:snapToGrid w:val="0"/>
        </w:rPr>
      </w:pPr>
      <w:bookmarkStart w:id="7" w:name="_Toc216103334"/>
      <w:bookmarkStart w:id="8" w:name="_Toc216164124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Order amended</w:t>
      </w:r>
      <w:bookmarkEnd w:id="7"/>
      <w:bookmarkEnd w:id="8"/>
    </w:p>
    <w:p>
      <w:pPr>
        <w:pStyle w:val="Subsection"/>
        <w:rPr>
          <w:rStyle w:val="DraftersNotes"/>
          <w:b w:val="0"/>
          <w:i w:val="0"/>
          <w:sz w:val="24"/>
        </w:rPr>
      </w:pPr>
      <w:r>
        <w:tab/>
      </w:r>
      <w:r>
        <w:tab/>
        <w:t xml:space="preserve">This </w:t>
      </w:r>
      <w:r>
        <w:rPr>
          <w:spacing w:val="-2"/>
        </w:rPr>
        <w:t>order amends</w:t>
      </w:r>
      <w:r>
        <w:t xml:space="preserve"> the </w:t>
      </w:r>
      <w:r>
        <w:rPr>
          <w:i/>
        </w:rPr>
        <w:t>Health Services (Health Service Provider Land) Order 2016</w:t>
      </w:r>
      <w:r>
        <w:t>.</w:t>
      </w:r>
    </w:p>
    <w:p>
      <w:pPr>
        <w:pStyle w:val="Heading5"/>
      </w:pPr>
      <w:bookmarkStart w:id="9" w:name="_Toc216103335"/>
      <w:bookmarkStart w:id="10" w:name="_Toc216164125"/>
      <w:r>
        <w:rPr>
          <w:rStyle w:val="CharSectno"/>
        </w:rPr>
        <w:t>4</w:t>
      </w:r>
      <w:r>
        <w:t>.</w:t>
      </w:r>
      <w:r>
        <w:tab/>
        <w:t>Clause 3 amended</w:t>
      </w:r>
      <w:bookmarkEnd w:id="9"/>
      <w:bookmarkEnd w:id="10"/>
    </w:p>
    <w:p>
      <w:pPr>
        <w:pStyle w:val="Subsection"/>
        <w:keepNext/>
      </w:pPr>
      <w:r>
        <w:tab/>
      </w:r>
      <w:r>
        <w:tab/>
        <w:t>In clause 3(1) in the Table Division 3:</w:t>
      </w:r>
    </w:p>
    <w:p>
      <w:pPr>
        <w:pStyle w:val="Indenta"/>
        <w:keepNext/>
      </w:pPr>
      <w:r>
        <w:tab/>
        <w:t>(a)</w:t>
      </w:r>
      <w:r>
        <w:tab/>
        <w:t>after the item for Bentley Hospital insert:</w:t>
      </w:r>
    </w:p>
    <w:p>
      <w:pPr>
        <w:pStyle w:val="BlankOpen"/>
      </w:pPr>
    </w:p>
    <w:tbl>
      <w:tblPr>
        <w:tblStyle w:val="TableGrid"/>
        <w:tblW w:w="4861" w:type="pct"/>
        <w:tblInd w:w="106" w:type="dxa"/>
        <w:tblBorders>
          <w:top w:val="single" w:sz="2" w:space="0" w:color="auto"/>
          <w:left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14"/>
        <w:gridCol w:w="1514"/>
        <w:gridCol w:w="1247"/>
        <w:gridCol w:w="825"/>
        <w:gridCol w:w="827"/>
        <w:gridCol w:w="957"/>
      </w:tblGrid>
      <w:tr>
        <w:trPr>
          <w:cantSplit/>
        </w:trPr>
        <w:tc>
          <w:tcPr>
            <w:tcW w:w="1099" w:type="pct"/>
          </w:tcPr>
          <w:p>
            <w:pPr>
              <w:pStyle w:val="zTableNAm"/>
              <w:keepNext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Byford Health Hub</w:t>
            </w:r>
          </w:p>
        </w:tc>
        <w:tc>
          <w:tcPr>
            <w:tcW w:w="1100" w:type="pct"/>
          </w:tcPr>
          <w:p>
            <w:pPr>
              <w:pStyle w:val="zTableNAm"/>
              <w:keepNext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 Bushman Glade, Byford</w:t>
            </w:r>
          </w:p>
        </w:tc>
        <w:tc>
          <w:tcPr>
            <w:tcW w:w="906" w:type="pct"/>
          </w:tcPr>
          <w:p>
            <w:pPr>
              <w:pStyle w:val="zTableNAm"/>
              <w:keepNext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502</w:t>
            </w:r>
          </w:p>
        </w:tc>
        <w:tc>
          <w:tcPr>
            <w:tcW w:w="599" w:type="pct"/>
          </w:tcPr>
          <w:p>
            <w:pPr>
              <w:pStyle w:val="zTableNAm"/>
              <w:keepNext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LR3177</w:t>
            </w:r>
          </w:p>
        </w:tc>
        <w:tc>
          <w:tcPr>
            <w:tcW w:w="601" w:type="pct"/>
          </w:tcPr>
          <w:p>
            <w:pPr>
              <w:pStyle w:val="zTableNAm"/>
              <w:keepNext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963</w:t>
            </w:r>
          </w:p>
        </w:tc>
        <w:tc>
          <w:tcPr>
            <w:tcW w:w="696" w:type="pct"/>
          </w:tcPr>
          <w:p>
            <w:pPr>
              <w:pStyle w:val="zTableNAm"/>
              <w:keepNext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54697</w:t>
            </w:r>
          </w:p>
        </w:tc>
      </w:tr>
    </w:tbl>
    <w:p>
      <w:pPr>
        <w:pStyle w:val="BlankClose"/>
      </w:pPr>
    </w:p>
    <w:p>
      <w:pPr>
        <w:pStyle w:val="Indenta"/>
        <w:keepNext/>
      </w:pPr>
      <w:r>
        <w:lastRenderedPageBreak/>
        <w:tab/>
        <w:t>(b)</w:t>
      </w:r>
      <w:r>
        <w:tab/>
        <w:t>at the end of the item for Royal Perth Hospital insert:</w:t>
      </w:r>
    </w:p>
    <w:p>
      <w:pPr>
        <w:pStyle w:val="BlankOpen"/>
      </w:pPr>
    </w:p>
    <w:tbl>
      <w:tblPr>
        <w:tblStyle w:val="TableGrid"/>
        <w:tblW w:w="4861" w:type="pct"/>
        <w:tblInd w:w="10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15"/>
        <w:gridCol w:w="1515"/>
        <w:gridCol w:w="1247"/>
        <w:gridCol w:w="825"/>
        <w:gridCol w:w="827"/>
        <w:gridCol w:w="955"/>
      </w:tblGrid>
      <w:tr>
        <w:trPr>
          <w:cantSplit/>
        </w:trPr>
        <w:tc>
          <w:tcPr>
            <w:tcW w:w="1100" w:type="pct"/>
          </w:tcPr>
          <w:p>
            <w:pPr>
              <w:pStyle w:val="zTableNAm"/>
              <w:keepNext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0" w:type="pct"/>
            <w:tcBorders>
              <w:bottom w:val="single" w:sz="4" w:space="0" w:color="auto"/>
            </w:tcBorders>
          </w:tcPr>
          <w:p>
            <w:pPr>
              <w:pStyle w:val="zTableNAm"/>
              <w:keepNext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32 Moore Street, East Perth</w:t>
            </w:r>
          </w:p>
        </w:tc>
        <w:tc>
          <w:tcPr>
            <w:tcW w:w="906" w:type="pct"/>
            <w:tcBorders>
              <w:bottom w:val="single" w:sz="4" w:space="0" w:color="auto"/>
            </w:tcBorders>
          </w:tcPr>
          <w:p>
            <w:pPr>
              <w:pStyle w:val="zTableNAm"/>
              <w:keepNext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1084</w:t>
            </w:r>
          </w:p>
        </w:tc>
        <w:tc>
          <w:tcPr>
            <w:tcW w:w="599" w:type="pct"/>
            <w:tcBorders>
              <w:bottom w:val="single" w:sz="4" w:space="0" w:color="auto"/>
            </w:tcBorders>
          </w:tcPr>
          <w:p>
            <w:pPr>
              <w:pStyle w:val="zTableNAm"/>
              <w:keepNext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LR3109</w:t>
            </w:r>
          </w:p>
        </w:tc>
        <w:tc>
          <w:tcPr>
            <w:tcW w:w="601" w:type="pct"/>
            <w:tcBorders>
              <w:bottom w:val="single" w:sz="4" w:space="0" w:color="auto"/>
            </w:tcBorders>
          </w:tcPr>
          <w:p>
            <w:pPr>
              <w:pStyle w:val="zTableNAm"/>
              <w:keepNext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664</w:t>
            </w:r>
          </w:p>
        </w:tc>
        <w:tc>
          <w:tcPr>
            <w:tcW w:w="695" w:type="pct"/>
            <w:tcBorders>
              <w:bottom w:val="single" w:sz="4" w:space="0" w:color="auto"/>
            </w:tcBorders>
          </w:tcPr>
          <w:p>
            <w:pPr>
              <w:pStyle w:val="zTableNAm"/>
              <w:keepNext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40152</w:t>
            </w:r>
          </w:p>
        </w:tc>
      </w:tr>
    </w:tbl>
    <w:p>
      <w:pPr>
        <w:pStyle w:val="BlankClose"/>
      </w:pPr>
    </w:p>
    <w:p>
      <w:pPr>
        <w:pStyle w:val="Indenta"/>
      </w:pPr>
      <w:r>
        <w:tab/>
        <w:t>(c)</w:t>
      </w:r>
      <w:r>
        <w:tab/>
        <w:t>after the item for Royal Perth Hospital insert:</w:t>
      </w:r>
    </w:p>
    <w:p>
      <w:pPr>
        <w:pStyle w:val="BlankOpen"/>
      </w:pPr>
    </w:p>
    <w:tbl>
      <w:tblPr>
        <w:tblStyle w:val="TableGrid"/>
        <w:tblW w:w="4861" w:type="pct"/>
        <w:tblInd w:w="10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14"/>
        <w:gridCol w:w="1514"/>
        <w:gridCol w:w="1247"/>
        <w:gridCol w:w="825"/>
        <w:gridCol w:w="827"/>
        <w:gridCol w:w="957"/>
      </w:tblGrid>
      <w:tr>
        <w:trPr>
          <w:cantSplit/>
        </w:trPr>
        <w:tc>
          <w:tcPr>
            <w:tcW w:w="1099" w:type="pct"/>
            <w:vMerge w:val="restart"/>
          </w:tcPr>
          <w:p>
            <w:pPr>
              <w:pStyle w:val="zTableNAm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The Medical Respite Centre – Ellison House</w:t>
            </w:r>
          </w:p>
        </w:tc>
        <w:tc>
          <w:tcPr>
            <w:tcW w:w="1100" w:type="pct"/>
            <w:tcBorders>
              <w:bottom w:val="nil"/>
            </w:tcBorders>
          </w:tcPr>
          <w:p>
            <w:pPr>
              <w:pStyle w:val="zTableNAm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240 Orrong Road, Carlisle</w:t>
            </w:r>
          </w:p>
        </w:tc>
        <w:tc>
          <w:tcPr>
            <w:tcW w:w="906" w:type="pct"/>
            <w:tcBorders>
              <w:bottom w:val="nil"/>
            </w:tcBorders>
          </w:tcPr>
          <w:p>
            <w:pPr>
              <w:pStyle w:val="zTableNAm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599" w:type="pct"/>
            <w:tcBorders>
              <w:bottom w:val="nil"/>
            </w:tcBorders>
          </w:tcPr>
          <w:p>
            <w:pPr>
              <w:pStyle w:val="zTableNAm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1724</w:t>
            </w:r>
          </w:p>
        </w:tc>
        <w:tc>
          <w:tcPr>
            <w:tcW w:w="601" w:type="pct"/>
            <w:tcBorders>
              <w:bottom w:val="nil"/>
            </w:tcBorders>
          </w:tcPr>
          <w:p>
            <w:pPr>
              <w:pStyle w:val="zTableNAm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747</w:t>
            </w:r>
          </w:p>
        </w:tc>
        <w:tc>
          <w:tcPr>
            <w:tcW w:w="696" w:type="pct"/>
            <w:tcBorders>
              <w:bottom w:val="nil"/>
            </w:tcBorders>
          </w:tcPr>
          <w:p>
            <w:pPr>
              <w:pStyle w:val="zTableNAm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>
        <w:trPr>
          <w:cantSplit/>
        </w:trPr>
        <w:tc>
          <w:tcPr>
            <w:tcW w:w="1099" w:type="pct"/>
            <w:vMerge/>
          </w:tcPr>
          <w:p>
            <w:pPr>
              <w:pStyle w:val="zTableNAm"/>
            </w:pPr>
          </w:p>
        </w:tc>
        <w:tc>
          <w:tcPr>
            <w:tcW w:w="1100" w:type="pct"/>
            <w:tcBorders>
              <w:top w:val="nil"/>
            </w:tcBorders>
          </w:tcPr>
          <w:p>
            <w:pPr>
              <w:pStyle w:val="zTableNAm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242 Orrong Road, Carlisle</w:t>
            </w:r>
          </w:p>
        </w:tc>
        <w:tc>
          <w:tcPr>
            <w:tcW w:w="906" w:type="pct"/>
            <w:tcBorders>
              <w:top w:val="nil"/>
            </w:tcBorders>
          </w:tcPr>
          <w:p>
            <w:pPr>
              <w:pStyle w:val="zTableNAm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  <w:tc>
          <w:tcPr>
            <w:tcW w:w="599" w:type="pct"/>
            <w:tcBorders>
              <w:top w:val="nil"/>
            </w:tcBorders>
          </w:tcPr>
          <w:p>
            <w:pPr>
              <w:pStyle w:val="zTableNAm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1346</w:t>
            </w:r>
          </w:p>
        </w:tc>
        <w:tc>
          <w:tcPr>
            <w:tcW w:w="601" w:type="pct"/>
            <w:tcBorders>
              <w:top w:val="nil"/>
            </w:tcBorders>
          </w:tcPr>
          <w:p>
            <w:pPr>
              <w:pStyle w:val="zTableNAm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735</w:t>
            </w:r>
          </w:p>
        </w:tc>
        <w:tc>
          <w:tcPr>
            <w:tcW w:w="696" w:type="pct"/>
            <w:tcBorders>
              <w:top w:val="nil"/>
            </w:tcBorders>
          </w:tcPr>
          <w:p>
            <w:pPr>
              <w:pStyle w:val="zTableNAm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>
      <w:pPr>
        <w:pStyle w:val="BlankClose"/>
      </w:pPr>
    </w:p>
    <w:p>
      <w:pPr>
        <w:pStyle w:val="ByCommand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M. HAMMAT, Minister for Health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right</wp:align>
                </wp:positionH>
                <wp:positionV relativeFrom="page">
                  <wp:posOffset>7378109</wp:posOffset>
                </wp:positionV>
                <wp:extent cx="127000" cy="712382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71238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ROGER JACOBS, Acting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-41.2pt;margin-top:580.95pt;width:10pt;height:56.1pt;z-index:251660288;visibility:visible;mso-wrap-style:square;mso-width-percent:1000;mso-height-percent:0;mso-wrap-distance-left:9pt;mso-wrap-distance-top:0;mso-wrap-distance-right:9pt;mso-wrap-distance-bottom:0;mso-position-horizontal:right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" stroked="f" strokeweight=".5pt">
                <v:textbox>
                  <w:txbxContent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ROGER JACOBS, Acting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2025/198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10 Dec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2025/198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10 Dec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2025/198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10 Dec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2025/198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10 Dec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2025/198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10 Dec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2025/198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10 Dec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Services (Health Service Provider Land) Amendment Order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Services (Health Service Provider Land) Amendment Order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Services (Health Service Provider Land) Amendment Order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cl.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Services (Health Service Provider Land) Amendment Order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11" w:name="Coversheet"/>
    <w:bookmarkEnd w:id="1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3670AB8"/>
    <w:multiLevelType w:val="hybridMultilevel"/>
    <w:tmpl w:val="B1FA4BAA"/>
    <w:lvl w:ilvl="0" w:tplc="D40A28B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2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5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20"/>
  </w:num>
  <w:num w:numId="3">
    <w:abstractNumId w:val="18"/>
  </w:num>
  <w:num w:numId="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6865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51208162054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50804124816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50804124816_GUID" w:val="497ceed9-4dc4-4893-a836-b6771b0f2781"/>
    <w:docVar w:name="WAFER_2025093010304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50930103043_GUID" w:val="bf70c9f6-ba59-4433-9d85-66cce319eae9"/>
    <w:docVar w:name="WAFER_2025093010310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50930103103_GUID" w:val="1f5dd43e-7d4b-4d6a-8d76-c914ffe3b32c"/>
    <w:docVar w:name="WAFER_2025120816205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51208162054_GUID" w:val="62fc06c9-613e-463a-9040-4b75576100db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6865"/>
    <o:shapelayout v:ext="edit">
      <o:idmap v:ext="edit" data="1"/>
    </o:shapelayout>
  </w:shapeDefaults>
  <w:decimalSymbol w:val="."/>
  <w:listSeparator w:val=","/>
  <w15:docId w15:val="{9052BF51-DD9C-4134-803F-93FF33EA3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311</Words>
  <Characters>1547</Characters>
  <Application>Microsoft Office Word</Application>
  <DocSecurity>0</DocSecurity>
  <Lines>110</Lines>
  <Paragraphs>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 Services (Health Service Provider Land) Amendment Order 2025 - 00-00-00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2025-12-09T02:52:00Z</dcterms:created>
  <dcterms:modified xsi:type="dcterms:W3CDTF">2025-12-09T02:52:00Z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55579</vt:lpwstr>
  </property>
  <property fmtid="{D5CDD505-2E9C-101B-9397-08002B2CF9AE}" pid="3" name="DocumentType">
    <vt:lpwstr>Reg</vt:lpwstr>
  </property>
  <property fmtid="{D5CDD505-2E9C-101B-9397-08002B2CF9AE}" pid="4" name="AsAtDate">
    <vt:lpwstr>10 Dec 2025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2025/198</vt:lpwstr>
  </property>
  <property fmtid="{D5CDD505-2E9C-101B-9397-08002B2CF9AE}" pid="8" name="PublishDate">
    <vt:lpwstr>10 Dec 2025</vt:lpwstr>
  </property>
  <property fmtid="{D5CDD505-2E9C-101B-9397-08002B2CF9AE}" pid="9" name="CommencementDate">
    <vt:lpwstr>20251210</vt:lpwstr>
  </property>
  <property fmtid="{D5CDD505-2E9C-101B-9397-08002B2CF9AE}" pid="10" name="CommencementAsAt">
    <vt:filetime>2025-12-09T16:00:00Z</vt:filetime>
  </property>
  <property fmtid="{D5CDD505-2E9C-101B-9397-08002B2CF9AE}" pid="11" name="CommencementYear">
    <vt:lpwstr>2025</vt:lpwstr>
  </property>
</Properties>
</file>