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Public Sector Management Act 1994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Public Sector Management (Breaches of Public Sector Standards) Amendment Regulations (No. 2) 2025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Public Sector Management (Breaches of Public Sector Standards) Amendment Regulations (No. 2)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_Toc216169488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_Toc216169489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_Toc216169490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3 amended</w:t>
      </w:r>
      <w:r>
        <w:tab/>
      </w:r>
      <w:r>
        <w:fldChar w:fldCharType="begin"/>
      </w:r>
      <w:r>
        <w:instrText xml:space="preserve"> PAGEREF _Toc216169491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Regulation 5 amended</w:t>
      </w:r>
      <w:r>
        <w:tab/>
      </w:r>
      <w:r>
        <w:fldChar w:fldCharType="begin"/>
      </w:r>
      <w:r>
        <w:instrText xml:space="preserve"> PAGEREF _Toc216169492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Regulation 6 amended</w:t>
      </w:r>
      <w:r>
        <w:tab/>
      </w:r>
      <w:r>
        <w:fldChar w:fldCharType="begin"/>
      </w:r>
      <w:r>
        <w:instrText xml:space="preserve"> PAGEREF _Toc216169493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Regulation 7 amended</w:t>
      </w:r>
      <w:r>
        <w:tab/>
      </w:r>
      <w:r>
        <w:fldChar w:fldCharType="begin"/>
      </w:r>
      <w:r>
        <w:instrText xml:space="preserve"> PAGEREF _Toc216169494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Regulation 32 inserted</w:t>
      </w:r>
      <w:r>
        <w:tab/>
      </w:r>
      <w:r>
        <w:fldChar w:fldCharType="begin"/>
      </w:r>
      <w:r>
        <w:instrText xml:space="preserve"> PAGEREF _Toc216169495 \h </w:instrText>
      </w:r>
      <w:r>
        <w:fldChar w:fldCharType="separate"/>
      </w:r>
      <w:r>
        <w:t>7</w:t>
      </w:r>
      <w:r>
        <w:fldChar w:fldCharType="end"/>
      </w:r>
    </w:p>
    <w:p>
      <w:pPr>
        <w:pStyle w:val="TOC9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32.</w:t>
      </w:r>
      <w:r>
        <w:rPr>
          <w:noProof/>
        </w:rPr>
        <w:tab/>
        <w:t xml:space="preserve">Transitional provision for </w:t>
      </w:r>
      <w:r>
        <w:rPr>
          <w:i/>
          <w:iCs/>
          <w:noProof/>
        </w:rPr>
        <w:t>Public Sector Management (Breaches of Public Sector Standards) Amendment Regulations (No. 2) 2025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_Toc216169496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Public Sector Management Act 1994</w:t>
      </w:r>
    </w:p>
    <w:p>
      <w:pPr>
        <w:pStyle w:val="NameofActReg"/>
      </w:pPr>
      <w:r>
        <w:t>Public Sector Management (Breaches of Public Sector Standards) Amendment Regulations (No. 2) 2025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215742927"/>
      <w:bookmarkStart w:id="3" w:name="_Toc216169488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Public Sector Management (Breaches of Public Sector Standards) Amendment Regulations (No. 2) 2025</w:t>
      </w:r>
      <w:r>
        <w:t>.</w:t>
      </w:r>
    </w:p>
    <w:p>
      <w:pPr>
        <w:pStyle w:val="Heading5"/>
        <w:rPr>
          <w:spacing w:val="-2"/>
        </w:rPr>
      </w:pPr>
      <w:bookmarkStart w:id="5" w:name="_Toc215742928"/>
      <w:bookmarkStart w:id="6" w:name="_Toc21616948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1 July 2026.</w:t>
      </w:r>
    </w:p>
    <w:p>
      <w:pPr>
        <w:pStyle w:val="Heading5"/>
        <w:rPr>
          <w:snapToGrid w:val="0"/>
        </w:rPr>
      </w:pPr>
      <w:bookmarkStart w:id="7" w:name="_Toc215742929"/>
      <w:bookmarkStart w:id="8" w:name="_Toc216169490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Public Sector Management (Breaches of Public Sector Standards) Regulations 2005</w:t>
      </w:r>
      <w:r>
        <w:t>.</w:t>
      </w:r>
    </w:p>
    <w:p>
      <w:pPr>
        <w:pStyle w:val="Heading5"/>
      </w:pPr>
      <w:bookmarkStart w:id="9" w:name="_Toc215742930"/>
      <w:bookmarkStart w:id="10" w:name="_Toc216169491"/>
      <w:r>
        <w:rPr>
          <w:rStyle w:val="CharSectno"/>
        </w:rPr>
        <w:t>4</w:t>
      </w:r>
      <w:r>
        <w:t>.</w:t>
      </w:r>
      <w:r>
        <w:tab/>
        <w:t>Regulation 3 amended</w:t>
      </w:r>
      <w:bookmarkEnd w:id="9"/>
      <w:bookmarkEnd w:id="10"/>
    </w:p>
    <w:p>
      <w:pPr>
        <w:pStyle w:val="Subsection"/>
        <w:rPr>
          <w:bCs/>
          <w:iCs/>
        </w:rPr>
      </w:pPr>
      <w:r>
        <w:tab/>
        <w:t>(1)</w:t>
      </w:r>
      <w:r>
        <w:tab/>
        <w:t xml:space="preserve">In regulation 3(1) delete the definition of </w:t>
      </w:r>
      <w:r>
        <w:rPr>
          <w:b/>
          <w:i/>
        </w:rPr>
        <w:t>public sector employment standard</w:t>
      </w:r>
      <w:r>
        <w:rPr>
          <w:bCs/>
          <w:iCs/>
        </w:rPr>
        <w:t>.</w:t>
      </w:r>
    </w:p>
    <w:p>
      <w:pPr>
        <w:pStyle w:val="Subsection"/>
        <w:keepNext/>
      </w:pPr>
      <w:r>
        <w:tab/>
        <w:t>(2)</w:t>
      </w:r>
      <w:r>
        <w:tab/>
        <w:t>In regulation 3(1) insert in alphabetical order:</w:t>
      </w:r>
    </w:p>
    <w:p>
      <w:pPr>
        <w:pStyle w:val="BlankOpen"/>
      </w:pPr>
    </w:p>
    <w:p>
      <w:pPr>
        <w:pStyle w:val="zDefstart"/>
      </w:pPr>
      <w:r>
        <w:tab/>
      </w:r>
      <w:r>
        <w:rPr>
          <w:rStyle w:val="CharDefText"/>
        </w:rPr>
        <w:t>recruitment standard</w:t>
      </w:r>
      <w:r>
        <w:t xml:space="preserve"> means the Commissioner’s instructions issued under section 21(1)(a)(i) or (ii) of </w:t>
      </w:r>
      <w:r>
        <w:lastRenderedPageBreak/>
        <w:t>the Act to the extent the instructions establish the public sector standards in respect of recruitment, selection, appointment, secondment and temporary deployment (acting) of employees;</w:t>
      </w:r>
    </w:p>
    <w:p>
      <w:pPr>
        <w:pStyle w:val="zDefstart"/>
      </w:pPr>
      <w:r>
        <w:tab/>
      </w:r>
      <w:r>
        <w:rPr>
          <w:rStyle w:val="CharDefText"/>
        </w:rPr>
        <w:t>transfer standard</w:t>
      </w:r>
      <w:r>
        <w:t xml:space="preserve"> means the Commissioner’s instructions issued under section 21(1)(a)(i) of the Act to the extent the instructions establish public sector standards in respect of the transfer of employees;</w:t>
      </w:r>
    </w:p>
    <w:p>
      <w:pPr>
        <w:pStyle w:val="BlankClose"/>
      </w:pPr>
    </w:p>
    <w:p>
      <w:pPr>
        <w:pStyle w:val="Subsection"/>
      </w:pPr>
      <w:r>
        <w:tab/>
        <w:t>(3)</w:t>
      </w:r>
      <w:r>
        <w:tab/>
        <w:t xml:space="preserve">In regulation 3(1) in the definition of </w:t>
      </w:r>
      <w:r>
        <w:rPr>
          <w:b/>
          <w:bCs/>
          <w:i/>
          <w:iCs/>
        </w:rPr>
        <w:t>notifiable employment decision</w:t>
      </w:r>
      <w:r>
        <w:t xml:space="preserve"> paragraph (a):</w:t>
      </w:r>
    </w:p>
    <w:p>
      <w:pPr>
        <w:pStyle w:val="Indenta"/>
      </w:pPr>
      <w:r>
        <w:tab/>
        <w:t>(a)</w:t>
      </w:r>
      <w:r>
        <w:tab/>
        <w:t>in subparagraph (i) delete “6 months; or”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12 months; or</w:t>
      </w:r>
    </w:p>
    <w:p>
      <w:pPr>
        <w:pStyle w:val="BlankClose"/>
      </w:pPr>
    </w:p>
    <w:p>
      <w:pPr>
        <w:pStyle w:val="Indenta"/>
      </w:pPr>
      <w:r>
        <w:tab/>
        <w:t>(b)</w:t>
      </w:r>
      <w:r>
        <w:tab/>
        <w:t>in subparagraph (ii) delete “6 months” (each occurrence)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12 months</w:t>
      </w:r>
    </w:p>
    <w:p>
      <w:pPr>
        <w:pStyle w:val="BlankClose"/>
      </w:pPr>
    </w:p>
    <w:p>
      <w:pPr>
        <w:pStyle w:val="SectAltNote"/>
      </w:pPr>
      <w:r>
        <w:tab/>
        <w:t>Note: The heading to amended regulation 3 is to read:</w:t>
      </w:r>
    </w:p>
    <w:p>
      <w:pPr>
        <w:pStyle w:val="SectAltHeading"/>
      </w:pPr>
      <w:r>
        <w:tab/>
      </w:r>
      <w:r>
        <w:tab/>
        <w:t>Terms used</w:t>
      </w:r>
    </w:p>
    <w:p>
      <w:pPr>
        <w:pStyle w:val="Heading5"/>
      </w:pPr>
      <w:bookmarkStart w:id="11" w:name="_Toc215742931"/>
      <w:bookmarkStart w:id="12" w:name="_Toc216169492"/>
      <w:r>
        <w:rPr>
          <w:rStyle w:val="CharSectno"/>
        </w:rPr>
        <w:t>5</w:t>
      </w:r>
      <w:r>
        <w:t>.</w:t>
      </w:r>
      <w:r>
        <w:tab/>
        <w:t>Regulation 5 amended</w:t>
      </w:r>
      <w:bookmarkEnd w:id="11"/>
      <w:bookmarkEnd w:id="12"/>
    </w:p>
    <w:p>
      <w:pPr>
        <w:pStyle w:val="Subsection"/>
      </w:pPr>
      <w:r>
        <w:tab/>
        <w:t>(1)</w:t>
      </w:r>
      <w:r>
        <w:tab/>
        <w:t>In regulation 5(2) and (3A) delete “public sector employment standard”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recruitment standard</w:t>
      </w:r>
    </w:p>
    <w:p>
      <w:pPr>
        <w:pStyle w:val="BlankClose"/>
      </w:pPr>
    </w:p>
    <w:p>
      <w:pPr>
        <w:pStyle w:val="Subsection"/>
        <w:keepNext/>
      </w:pPr>
      <w:r>
        <w:lastRenderedPageBreak/>
        <w:tab/>
        <w:t>(2)</w:t>
      </w:r>
      <w:r>
        <w:tab/>
        <w:t>Delete regulation 5(3)(c) and insert:</w:t>
      </w:r>
    </w:p>
    <w:p>
      <w:pPr>
        <w:pStyle w:val="BlankOpen"/>
      </w:pPr>
    </w:p>
    <w:p>
      <w:pPr>
        <w:pStyle w:val="zIndenta"/>
      </w:pPr>
      <w:r>
        <w:tab/>
        <w:t>(c)</w:t>
      </w:r>
      <w:r>
        <w:tab/>
        <w:t xml:space="preserve">the date no later than which the claim may be lodged with the public sector body, as follows — </w:t>
      </w:r>
    </w:p>
    <w:p>
      <w:pPr>
        <w:pStyle w:val="zIndenti"/>
      </w:pPr>
      <w:r>
        <w:tab/>
        <w:t>(i)</w:t>
      </w:r>
      <w:r>
        <w:tab/>
        <w:t>for a notice given to a person under subregulation (1) — the date that is 10 business days after the day on which the person is given the notice;</w:t>
      </w:r>
    </w:p>
    <w:p>
      <w:pPr>
        <w:pStyle w:val="zIndenti"/>
      </w:pPr>
      <w:r>
        <w:tab/>
        <w:t>(ii)</w:t>
      </w:r>
      <w:r>
        <w:tab/>
        <w:t>for a notice given to a person under subregulation (2) or (3A) — the date specified by the employing authority in the notice but not less than 4 business days after the day on which the person is given the notice;</w:t>
      </w:r>
    </w:p>
    <w:p>
      <w:pPr>
        <w:pStyle w:val="zIndenta"/>
      </w:pPr>
      <w:r>
        <w:tab/>
      </w:r>
      <w:r>
        <w:tab/>
        <w:t>and</w:t>
      </w:r>
    </w:p>
    <w:p>
      <w:pPr>
        <w:pStyle w:val="BlankClose"/>
      </w:pPr>
    </w:p>
    <w:p>
      <w:pPr>
        <w:pStyle w:val="Subsection"/>
      </w:pPr>
      <w:r>
        <w:tab/>
        <w:t>(3)</w:t>
      </w:r>
      <w:r>
        <w:tab/>
        <w:t>In regulation 5(3) after each of paragraphs (a) and (b)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and</w:t>
      </w:r>
    </w:p>
    <w:p>
      <w:pPr>
        <w:pStyle w:val="BlankClose"/>
      </w:pPr>
    </w:p>
    <w:p>
      <w:pPr>
        <w:pStyle w:val="Heading5"/>
      </w:pPr>
      <w:bookmarkStart w:id="13" w:name="_Toc215742932"/>
      <w:bookmarkStart w:id="14" w:name="_Toc216169493"/>
      <w:r>
        <w:rPr>
          <w:rStyle w:val="CharSectno"/>
        </w:rPr>
        <w:t>6</w:t>
      </w:r>
      <w:r>
        <w:t>.</w:t>
      </w:r>
      <w:r>
        <w:tab/>
        <w:t>Regulation 6 amended</w:t>
      </w:r>
      <w:bookmarkEnd w:id="13"/>
      <w:bookmarkEnd w:id="14"/>
    </w:p>
    <w:p>
      <w:pPr>
        <w:pStyle w:val="Subsection"/>
      </w:pPr>
      <w:r>
        <w:tab/>
        <w:t>(1)</w:t>
      </w:r>
      <w:r>
        <w:tab/>
        <w:t xml:space="preserve">In regulation 6(1A) in the definition of </w:t>
      </w:r>
      <w:r>
        <w:rPr>
          <w:b/>
          <w:bCs/>
          <w:i/>
          <w:iCs/>
        </w:rPr>
        <w:t>minimum period</w:t>
      </w:r>
      <w:r>
        <w:t>:</w:t>
      </w:r>
    </w:p>
    <w:p>
      <w:pPr>
        <w:pStyle w:val="Indenta"/>
      </w:pPr>
      <w:r>
        <w:tab/>
        <w:t>(a)</w:t>
      </w:r>
      <w:r>
        <w:tab/>
        <w:t>in paragraph (a) delete “6 months; or”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12 months; or</w:t>
      </w:r>
    </w:p>
    <w:p>
      <w:pPr>
        <w:pStyle w:val="BlankClose"/>
      </w:pPr>
    </w:p>
    <w:p>
      <w:pPr>
        <w:pStyle w:val="Indenta"/>
      </w:pPr>
      <w:r>
        <w:tab/>
        <w:t>(b)</w:t>
      </w:r>
      <w:r>
        <w:tab/>
        <w:t>in paragraph (b) delete “6 months” (each occurrence)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12 months</w:t>
      </w:r>
    </w:p>
    <w:p>
      <w:pPr>
        <w:pStyle w:val="BlankClose"/>
      </w:pPr>
    </w:p>
    <w:p>
      <w:pPr>
        <w:pStyle w:val="Subsection"/>
      </w:pPr>
      <w:r>
        <w:lastRenderedPageBreak/>
        <w:tab/>
        <w:t>(2)</w:t>
      </w:r>
      <w:r>
        <w:tab/>
        <w:t>In regulation 6(1) delete “(3)”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(3), (3A)</w:t>
      </w:r>
    </w:p>
    <w:p>
      <w:pPr>
        <w:pStyle w:val="BlankClose"/>
      </w:pPr>
    </w:p>
    <w:p>
      <w:pPr>
        <w:pStyle w:val="Subsection"/>
      </w:pPr>
      <w:r>
        <w:tab/>
        <w:t>(3)</w:t>
      </w:r>
      <w:r>
        <w:tab/>
        <w:t>Delete regulation 6(3) and (3A) and insert:</w:t>
      </w:r>
    </w:p>
    <w:p>
      <w:pPr>
        <w:pStyle w:val="BlankOpen"/>
      </w:pPr>
    </w:p>
    <w:p>
      <w:pPr>
        <w:pStyle w:val="zSubsection"/>
      </w:pPr>
      <w:r>
        <w:tab/>
        <w:t>(3)</w:t>
      </w:r>
      <w:r>
        <w:tab/>
        <w:t xml:space="preserve">Only the following persons may make a claim in respect of a breach of a recruitment standard — </w:t>
      </w:r>
    </w:p>
    <w:p>
      <w:pPr>
        <w:pStyle w:val="zIndenta"/>
        <w:keepNext/>
      </w:pPr>
      <w:r>
        <w:tab/>
        <w:t>(a)</w:t>
      </w:r>
      <w:r>
        <w:tab/>
        <w:t xml:space="preserve">a person who — </w:t>
      </w:r>
    </w:p>
    <w:p>
      <w:pPr>
        <w:pStyle w:val="zIndenti"/>
      </w:pPr>
      <w:r>
        <w:tab/>
        <w:t>(i)</w:t>
      </w:r>
      <w:r>
        <w:tab/>
        <w:t>applied unsuccessfully to be appointed to fill a vacancy for the minimum period, other than filling the vacancy by appointment from an appointment pool or by way of acting movement or transfer; and</w:t>
      </w:r>
    </w:p>
    <w:p>
      <w:pPr>
        <w:pStyle w:val="zIndenti"/>
      </w:pPr>
      <w:r>
        <w:tab/>
        <w:t>(ii)</w:t>
      </w:r>
      <w:r>
        <w:tab/>
        <w:t>claims there was a breach of the recruitment standard in relation to the process of appointment;</w:t>
      </w:r>
    </w:p>
    <w:p>
      <w:pPr>
        <w:pStyle w:val="zIndenta"/>
      </w:pPr>
      <w:r>
        <w:tab/>
        <w:t>(b)</w:t>
      </w:r>
      <w:r>
        <w:tab/>
        <w:t xml:space="preserve">a person who — </w:t>
      </w:r>
    </w:p>
    <w:p>
      <w:pPr>
        <w:pStyle w:val="zIndenti"/>
      </w:pPr>
      <w:r>
        <w:tab/>
        <w:t>(i)</w:t>
      </w:r>
      <w:r>
        <w:tab/>
        <w:t>applied unsuccessfully to be appointed to fill a temporary vacancy for the minimum period by way of acting movement; and</w:t>
      </w:r>
    </w:p>
    <w:p>
      <w:pPr>
        <w:pStyle w:val="zIndenti"/>
      </w:pPr>
      <w:r>
        <w:tab/>
        <w:t>(ii)</w:t>
      </w:r>
      <w:r>
        <w:tab/>
        <w:t>claims there was a breach of the recruitment standard in relation to the process of appointment;</w:t>
      </w:r>
    </w:p>
    <w:p>
      <w:pPr>
        <w:pStyle w:val="zIndenta"/>
      </w:pPr>
      <w:r>
        <w:tab/>
        <w:t>(c)</w:t>
      </w:r>
      <w:r>
        <w:tab/>
        <w:t xml:space="preserve">a person who — </w:t>
      </w:r>
    </w:p>
    <w:p>
      <w:pPr>
        <w:pStyle w:val="zIndenti"/>
      </w:pPr>
      <w:r>
        <w:tab/>
        <w:t>(i)</w:t>
      </w:r>
      <w:r>
        <w:tab/>
        <w:t>applied unsuccessfully to be selected to form part of an appointment pool; and</w:t>
      </w:r>
    </w:p>
    <w:p>
      <w:pPr>
        <w:pStyle w:val="zIndenti"/>
      </w:pPr>
      <w:r>
        <w:tab/>
        <w:t>(ii)</w:t>
      </w:r>
      <w:r>
        <w:tab/>
        <w:t>claims there was a breach of the recruitment standard in relation to the process of selection.</w:t>
      </w:r>
    </w:p>
    <w:p>
      <w:pPr>
        <w:pStyle w:val="zSubsection"/>
      </w:pPr>
      <w:r>
        <w:lastRenderedPageBreak/>
        <w:tab/>
        <w:t>(3A)</w:t>
      </w:r>
      <w:r>
        <w:tab/>
        <w:t xml:space="preserve">Only the following persons may make a claim in respect of a breach of the transfer standard — </w:t>
      </w:r>
    </w:p>
    <w:p>
      <w:pPr>
        <w:pStyle w:val="zIndenta"/>
        <w:keepNext/>
      </w:pPr>
      <w:r>
        <w:tab/>
        <w:t>(a)</w:t>
      </w:r>
      <w:r>
        <w:tab/>
        <w:t xml:space="preserve">a person who — </w:t>
      </w:r>
    </w:p>
    <w:p>
      <w:pPr>
        <w:pStyle w:val="zIndenti"/>
      </w:pPr>
      <w:r>
        <w:tab/>
        <w:t>(i)</w:t>
      </w:r>
      <w:r>
        <w:tab/>
        <w:t>applied unsuccessfully to fill a vacancy by way of transfer; and</w:t>
      </w:r>
    </w:p>
    <w:p>
      <w:pPr>
        <w:pStyle w:val="zIndenti"/>
      </w:pPr>
      <w:r>
        <w:tab/>
        <w:t>(ii)</w:t>
      </w:r>
      <w:r>
        <w:tab/>
        <w:t>claims there was a breach of the transfer standard in relation to the process of transfer;</w:t>
      </w:r>
    </w:p>
    <w:p>
      <w:pPr>
        <w:pStyle w:val="zIndenta"/>
        <w:keepNext/>
      </w:pPr>
      <w:r>
        <w:tab/>
        <w:t>(b)</w:t>
      </w:r>
      <w:r>
        <w:tab/>
        <w:t xml:space="preserve">a person who — </w:t>
      </w:r>
    </w:p>
    <w:p>
      <w:pPr>
        <w:pStyle w:val="zIndenti"/>
        <w:keepNext/>
      </w:pPr>
      <w:r>
        <w:tab/>
        <w:t>(i)</w:t>
      </w:r>
      <w:r>
        <w:tab/>
        <w:t>is being transferred; and</w:t>
      </w:r>
    </w:p>
    <w:p>
      <w:pPr>
        <w:pStyle w:val="zIndenti"/>
      </w:pPr>
      <w:r>
        <w:tab/>
        <w:t>(ii)</w:t>
      </w:r>
      <w:r>
        <w:tab/>
        <w:t>claims there was a breach of the transfer standard in relation to the process of transfer.</w:t>
      </w:r>
    </w:p>
    <w:p>
      <w:pPr>
        <w:pStyle w:val="BlankClose"/>
      </w:pPr>
    </w:p>
    <w:p>
      <w:pPr>
        <w:pStyle w:val="Subsection"/>
      </w:pPr>
      <w:r>
        <w:tab/>
        <w:t>(4)</w:t>
      </w:r>
      <w:r>
        <w:tab/>
        <w:t>In regulation 6(3B) delete “Subregulation (3)(d) and (e) does not apply” and insert:</w:t>
      </w:r>
    </w:p>
    <w:p>
      <w:pPr>
        <w:pStyle w:val="BlankOpen"/>
      </w:pPr>
    </w:p>
    <w:p>
      <w:pPr>
        <w:pStyle w:val="Subsection"/>
      </w:pPr>
      <w:r>
        <w:tab/>
      </w:r>
      <w:r>
        <w:tab/>
        <w:t>However, subregulation (3A) does not apply in relation</w:t>
      </w:r>
    </w:p>
    <w:p>
      <w:pPr>
        <w:pStyle w:val="BlankClose"/>
      </w:pPr>
    </w:p>
    <w:p>
      <w:pPr>
        <w:pStyle w:val="Subsection"/>
      </w:pPr>
      <w:r>
        <w:tab/>
        <w:t>(5)</w:t>
      </w:r>
      <w:r>
        <w:tab/>
        <w:t>Delete regulation 6(3C).</w:t>
      </w:r>
    </w:p>
    <w:p>
      <w:pPr>
        <w:pStyle w:val="Heading5"/>
      </w:pPr>
      <w:bookmarkStart w:id="15" w:name="_Toc215742933"/>
      <w:bookmarkStart w:id="16" w:name="_Toc216169494"/>
      <w:r>
        <w:rPr>
          <w:rStyle w:val="CharSectno"/>
        </w:rPr>
        <w:t>7</w:t>
      </w:r>
      <w:r>
        <w:t>.</w:t>
      </w:r>
      <w:r>
        <w:tab/>
        <w:t>Regulation 7 amended</w:t>
      </w:r>
      <w:bookmarkEnd w:id="15"/>
      <w:bookmarkEnd w:id="16"/>
    </w:p>
    <w:p>
      <w:pPr>
        <w:pStyle w:val="Subsection"/>
      </w:pPr>
      <w:r>
        <w:tab/>
        <w:t>(1)</w:t>
      </w:r>
      <w:r>
        <w:tab/>
        <w:t>Delete regulation 7(1) and insert:</w:t>
      </w:r>
    </w:p>
    <w:p>
      <w:pPr>
        <w:pStyle w:val="BlankOpen"/>
      </w:pPr>
    </w:p>
    <w:p>
      <w:pPr>
        <w:pStyle w:val="zSubsection"/>
      </w:pPr>
      <w:r>
        <w:tab/>
        <w:t>(1)</w:t>
      </w:r>
      <w:r>
        <w:tab/>
        <w:t xml:space="preserve">If a person makes a claim for relief to a public sector body under regulation 6(1), the claim must be lodged with the public sector body no later than — </w:t>
      </w:r>
    </w:p>
    <w:p>
      <w:pPr>
        <w:pStyle w:val="zIndenta"/>
        <w:rPr>
          <w:rStyle w:val="DraftersNotes"/>
          <w:b w:val="0"/>
          <w:i w:val="0"/>
          <w:sz w:val="24"/>
        </w:rPr>
      </w:pPr>
      <w:r>
        <w:tab/>
        <w:t>(a)</w:t>
      </w:r>
      <w:r>
        <w:tab/>
        <w:t>for a claim in respect of a reviewable decision referred to in regulation 5(1) — 10 business days after the day on which the person is given written notice under regulation 5(1) in relation to the claim; or</w:t>
      </w:r>
    </w:p>
    <w:p>
      <w:pPr>
        <w:pStyle w:val="zIndenta"/>
      </w:pPr>
      <w:r>
        <w:lastRenderedPageBreak/>
        <w:tab/>
        <w:t>(b)</w:t>
      </w:r>
      <w:r>
        <w:tab/>
        <w:t>for a claim in respect of a notifiable employment decision referred to in regulation 5(2) or (3A) — the date specified in the written notice given to the person under regulation 5(2) or (3A) in relation to the claim; or</w:t>
      </w:r>
    </w:p>
    <w:p>
      <w:pPr>
        <w:pStyle w:val="zIndenta"/>
      </w:pPr>
      <w:r>
        <w:tab/>
        <w:t>(c)</w:t>
      </w:r>
      <w:r>
        <w:tab/>
        <w:t>for a claim in respect of any other reviewable decision — 10 business days after the person first became aware of the reviewable decision or 30 business days after the reviewable decision was made, whichever period expires first.</w:t>
      </w:r>
    </w:p>
    <w:p>
      <w:pPr>
        <w:pStyle w:val="BlankClose"/>
      </w:pPr>
    </w:p>
    <w:p>
      <w:pPr>
        <w:pStyle w:val="Subsection"/>
      </w:pPr>
      <w:r>
        <w:tab/>
        <w:t>(2)</w:t>
      </w:r>
      <w:r>
        <w:tab/>
        <w:t>In regulation 7(2):</w:t>
      </w:r>
    </w:p>
    <w:p>
      <w:pPr>
        <w:pStyle w:val="Indenta"/>
      </w:pPr>
      <w:r>
        <w:tab/>
        <w:t>(a)</w:t>
      </w:r>
      <w:r>
        <w:tab/>
        <w:t>delete “If”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However, if</w:t>
      </w:r>
    </w:p>
    <w:p>
      <w:pPr>
        <w:pStyle w:val="BlankClose"/>
      </w:pPr>
    </w:p>
    <w:p>
      <w:pPr>
        <w:pStyle w:val="Indenta"/>
      </w:pPr>
      <w:r>
        <w:tab/>
        <w:t>(b)</w:t>
      </w:r>
      <w:r>
        <w:tab/>
        <w:t>delete “after the prescribed lodgement period within the period specified in the approval.”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  <w:t>within the period specified in the approval instead of the period required under subregulation (1).</w:t>
      </w:r>
    </w:p>
    <w:p>
      <w:pPr>
        <w:pStyle w:val="BlankClose"/>
      </w:pPr>
    </w:p>
    <w:p>
      <w:pPr>
        <w:pStyle w:val="Subsection"/>
      </w:pPr>
      <w:r>
        <w:tab/>
        <w:t>(3)</w:t>
      </w:r>
      <w:r>
        <w:tab/>
        <w:t>Delete regulation 7(5).</w:t>
      </w:r>
    </w:p>
    <w:p>
      <w:pPr>
        <w:pStyle w:val="Heading5"/>
      </w:pPr>
      <w:bookmarkStart w:id="17" w:name="_Toc215742934"/>
      <w:bookmarkStart w:id="18" w:name="_Toc216169495"/>
      <w:r>
        <w:rPr>
          <w:rStyle w:val="CharSectno"/>
        </w:rPr>
        <w:lastRenderedPageBreak/>
        <w:t>8</w:t>
      </w:r>
      <w:r>
        <w:t>.</w:t>
      </w:r>
      <w:r>
        <w:tab/>
        <w:t>Regulation 32 inserted</w:t>
      </w:r>
      <w:bookmarkEnd w:id="17"/>
      <w:bookmarkEnd w:id="18"/>
    </w:p>
    <w:p>
      <w:pPr>
        <w:pStyle w:val="Subsection"/>
        <w:keepNext/>
      </w:pPr>
      <w:r>
        <w:tab/>
      </w:r>
      <w:r>
        <w:tab/>
        <w:t>At the end of Part 5 insert:</w:t>
      </w:r>
    </w:p>
    <w:p>
      <w:pPr>
        <w:pStyle w:val="BlankOpen"/>
      </w:pPr>
    </w:p>
    <w:p>
      <w:pPr>
        <w:pStyle w:val="zHeading5"/>
        <w:rPr>
          <w:i/>
          <w:iCs/>
        </w:rPr>
      </w:pPr>
      <w:bookmarkStart w:id="19" w:name="_Toc215742935"/>
      <w:bookmarkStart w:id="20" w:name="_Toc216169496"/>
      <w:r>
        <w:t>32.</w:t>
      </w:r>
      <w:r>
        <w:tab/>
        <w:t xml:space="preserve">Transitional provision for </w:t>
      </w:r>
      <w:r>
        <w:rPr>
          <w:i/>
          <w:iCs/>
        </w:rPr>
        <w:t>Public Sector Management (Breaches of Public Sector Standards) Amendment Regulations (No. 2) 2025</w:t>
      </w:r>
      <w:bookmarkEnd w:id="19"/>
      <w:bookmarkEnd w:id="20"/>
    </w:p>
    <w:p>
      <w:pPr>
        <w:pStyle w:val="zSubsection"/>
      </w:pPr>
      <w:r>
        <w:tab/>
        <w:t>(1)</w:t>
      </w:r>
      <w:r>
        <w:tab/>
        <w:t xml:space="preserve">In this regulation — </w:t>
      </w:r>
    </w:p>
    <w:p>
      <w:pPr>
        <w:pStyle w:val="zDefstart"/>
      </w:pPr>
      <w:r>
        <w:tab/>
      </w:r>
      <w:r>
        <w:rPr>
          <w:rStyle w:val="CharDefText"/>
        </w:rPr>
        <w:t>commencement day</w:t>
      </w:r>
      <w:r>
        <w:t xml:space="preserve"> means the day on which the </w:t>
      </w:r>
      <w:r>
        <w:rPr>
          <w:i/>
          <w:iCs/>
        </w:rPr>
        <w:t xml:space="preserve">Public Sector Management (Breaches of Public Sector Standards) Amendment Regulations (No. 2) 2025 </w:t>
      </w:r>
      <w:r>
        <w:t>regulation 6 comes into operation;</w:t>
      </w:r>
    </w:p>
    <w:p>
      <w:pPr>
        <w:pStyle w:val="zDefstart"/>
      </w:pPr>
      <w:r>
        <w:tab/>
      </w:r>
      <w:r>
        <w:rPr>
          <w:rStyle w:val="CharDefText"/>
        </w:rPr>
        <w:t>former regulations</w:t>
      </w:r>
      <w:r>
        <w:t xml:space="preserve"> means these regulations as in force immediately before commencement day.</w:t>
      </w:r>
    </w:p>
    <w:p>
      <w:pPr>
        <w:pStyle w:val="zSubsection"/>
      </w:pPr>
      <w:r>
        <w:tab/>
        <w:t>(2)</w:t>
      </w:r>
      <w:r>
        <w:tab/>
        <w:t xml:space="preserve">This regulation applies if — </w:t>
      </w:r>
    </w:p>
    <w:p>
      <w:pPr>
        <w:pStyle w:val="zIndenta"/>
      </w:pPr>
      <w:r>
        <w:tab/>
        <w:t>(a)</w:t>
      </w:r>
      <w:r>
        <w:tab/>
        <w:t>an employing authority made a reviewable decision before commencement day; and</w:t>
      </w:r>
    </w:p>
    <w:p>
      <w:pPr>
        <w:pStyle w:val="zIndenta"/>
      </w:pPr>
      <w:r>
        <w:tab/>
        <w:t>(b)</w:t>
      </w:r>
      <w:r>
        <w:tab/>
        <w:t xml:space="preserve">before commencement day — </w:t>
      </w:r>
    </w:p>
    <w:p>
      <w:pPr>
        <w:pStyle w:val="zIndenti"/>
      </w:pPr>
      <w:r>
        <w:tab/>
        <w:t>(i)</w:t>
      </w:r>
      <w:r>
        <w:tab/>
        <w:t>the period for making a claim for relief in respect of the reviewable decision had not ended; or</w:t>
      </w:r>
    </w:p>
    <w:p>
      <w:pPr>
        <w:pStyle w:val="zIndenti"/>
      </w:pPr>
      <w:r>
        <w:tab/>
        <w:t>(ii)</w:t>
      </w:r>
      <w:r>
        <w:tab/>
        <w:t xml:space="preserve">a claim for relief in respect of the reviewable decision had not been concluded. </w:t>
      </w:r>
    </w:p>
    <w:p>
      <w:pPr>
        <w:pStyle w:val="zSubsection"/>
        <w:keepNext/>
      </w:pPr>
      <w:r>
        <w:tab/>
        <w:t>(3)</w:t>
      </w:r>
      <w:r>
        <w:tab/>
        <w:t xml:space="preserve">The former regulations continue to apply in relation to the reviewable decision and any claim for relief in respect of the reviewable decision despite any </w:t>
      </w:r>
      <w:r>
        <w:lastRenderedPageBreak/>
        <w:t>amendment of the former regulations on or after commencement day.</w:t>
      </w:r>
    </w:p>
    <w:p>
      <w:pPr>
        <w:pStyle w:val="BlankClose"/>
        <w:keepNext/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N. HAGLEY,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7487728</wp:posOffset>
                </wp:positionV>
                <wp:extent cx="127000" cy="664953"/>
                <wp:effectExtent l="0" t="0" r="1905" b="1905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649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ROGER JACOBS, Acting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D58BA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-41.2pt;margin-top:589.6pt;width:10pt;height:52.35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" stroked="f" strokeweight=".5pt">
                <v:textbox>
                  <w:txbxContent>
                    <w:p w14:paraId="47070380" w14:textId="01007352" w:rsidR="00AA20F9" w:rsidRDefault="00AA20F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 w:rsidR="00E5076E">
                        <w:rPr>
                          <w:sz w:val="16"/>
                        </w:rPr>
                        <w:fldChar w:fldCharType="begin"/>
                      </w:r>
                      <w:r w:rsidR="00E5076E">
                        <w:rPr>
                          <w:sz w:val="16"/>
                        </w:rPr>
                        <w:instrText xml:space="preserve"> DOCPROPERTY CommencementYear</w:instrText>
                      </w:r>
                      <w:r w:rsidR="00E5076E">
                        <w:rPr>
                          <w:sz w:val="16"/>
                        </w:rPr>
                        <w:fldChar w:fldCharType="separate"/>
                      </w:r>
                      <w:r w:rsidR="00C258B3">
                        <w:rPr>
                          <w:sz w:val="16"/>
                        </w:rPr>
                        <w:t>2025</w:t>
                      </w:r>
                      <w:r w:rsidR="00E5076E"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31E1DC3" w14:textId="77777777" w:rsidR="00AA20F9" w:rsidRDefault="00AA20F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568C0FE" w14:textId="49B134CA" w:rsidR="00AA20F9" w:rsidRDefault="00AA20F9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Attribute work as: © State of Western Australia</w:t>
                      </w:r>
                      <w:r w:rsidR="00E5076E">
                        <w:rPr>
                          <w:sz w:val="16"/>
                        </w:rPr>
                        <w:t xml:space="preserve"> </w:t>
                      </w:r>
                      <w:r w:rsidR="00E5076E">
                        <w:rPr>
                          <w:sz w:val="16"/>
                        </w:rPr>
                        <w:fldChar w:fldCharType="begin"/>
                      </w:r>
                      <w:r w:rsidR="00E5076E">
                        <w:rPr>
                          <w:sz w:val="16"/>
                        </w:rPr>
                        <w:instrText xml:space="preserve"> DOCPROPERTY CommencementYear</w:instrText>
                      </w:r>
                      <w:r w:rsidR="00E5076E">
                        <w:rPr>
                          <w:sz w:val="16"/>
                        </w:rPr>
                        <w:fldChar w:fldCharType="separate"/>
                      </w:r>
                      <w:r w:rsidR="00C258B3">
                        <w:rPr>
                          <w:sz w:val="16"/>
                        </w:rPr>
                        <w:t>2025</w:t>
                      </w:r>
                      <w:r w:rsidR="00E5076E"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EC0B38D" w14:textId="6B930C98" w:rsidR="00AA20F9" w:rsidRDefault="00AA20F9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 xml:space="preserve">By Authority: </w:t>
                      </w:r>
                      <w:r w:rsidR="00FF7817">
                        <w:rPr>
                          <w:rFonts w:ascii="Arial" w:hAnsi="Arial" w:cs="Arial"/>
                          <w:sz w:val="12"/>
                        </w:rPr>
                        <w:t>ROGER JACOBS</w:t>
                      </w:r>
                      <w:r>
                        <w:rPr>
                          <w:rFonts w:ascii="Arial" w:hAnsi="Arial" w:cs="Arial"/>
                          <w:sz w:val="12"/>
                        </w:rPr>
                        <w:t xml:space="preserve">, </w:t>
                      </w:r>
                      <w:r w:rsidR="00FF7817">
                        <w:rPr>
                          <w:rFonts w:ascii="Arial" w:hAnsi="Arial" w:cs="Arial"/>
                          <w:sz w:val="12"/>
                        </w:rPr>
                        <w:t xml:space="preserve">Acting </w:t>
                      </w:r>
                      <w:r>
                        <w:rPr>
                          <w:rFonts w:ascii="Arial" w:hAnsi="Arial" w:cs="Arial"/>
                          <w:sz w:val="12"/>
                        </w:rPr>
                        <w:t>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2025/196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2025/196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2025/196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2025/196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2025/196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2025/196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10 Dec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21" w:name="Coversheet"/>
    <w:bookmarkEnd w:id="2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Public Sector Management (Breaches of Public Sector Standards) Amendment Regulations (No. 2)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Public Sector Management (Breaches of Public Sector Standards) Amendment Regulations (No. 2)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Public Sector Management (Breaches of Public Sector Standards) Amendment Regulations (No. 2)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instrText>"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8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Public Sector Management (Breaches of Public Sector Standards) Amendment Regulations (No. 2)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\n 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IF 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0</w:instrText>
          </w:r>
          <w:r>
            <w:rPr>
              <w:b/>
            </w:rPr>
            <w:fldChar w:fldCharType="end"/>
          </w:r>
          <w:r>
            <w:rPr>
              <w:b/>
            </w:rPr>
            <w:instrText xml:space="preserve"> = 0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1</w:instrText>
          </w:r>
          <w:r>
            <w:rPr>
              <w:b/>
            </w:rPr>
            <w:fldChar w:fldCharType="end"/>
          </w:r>
          <w:r>
            <w:rPr>
              <w:b/>
            </w:rPr>
            <w:instrText>" "</w:instrTex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\n </w:instrText>
          </w:r>
          <w:r>
            <w:rPr>
              <w:b/>
            </w:rPr>
            <w:fldChar w:fldCharType="separate"/>
          </w:r>
          <w:r>
            <w:rPr>
              <w:b/>
            </w:rPr>
            <w:instrText>8</w:instrText>
          </w:r>
          <w:r>
            <w:rPr>
              <w:b/>
            </w:rPr>
            <w:fldChar w:fldCharType="end"/>
          </w:r>
          <w:r>
            <w:rPr>
              <w:b/>
            </w:rPr>
            <w:instrText>"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1204121426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5102211592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1022115926_GUID" w:val="c114110c-2f1a-4085-8b1b-6f8c07c045ed"/>
    <w:docVar w:name="WAFER_2025111015233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1110152332_GUID" w:val="64d6633c-5cc2-48c2-b78c-3ed59eda2bfb"/>
    <w:docVar w:name="WAFER_2025120412142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51204121426_GUID" w:val="f4876b97-e856-42cb-88d2-a0718d76770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."/>
  <w:listSeparator w:val=","/>
  <w15:docId w15:val="{F6AFF9B7-5204-477B-AA1D-12945AA7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uiPriority w:val="39"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1277</Words>
  <Characters>6577</Characters>
  <Application>Microsoft Office Word</Application>
  <DocSecurity>0</DocSecurity>
  <Lines>263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Sector Management (Breaches of Public Sector Standards) Amendment Regulations (No. 2) 2025 - 00-00-00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2025-12-09T02:52:00Z</dcterms:created>
  <dcterms:modified xsi:type="dcterms:W3CDTF">2025-12-09T02:52:00Z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55595</vt:lpwstr>
  </property>
  <property fmtid="{D5CDD505-2E9C-101B-9397-08002B2CF9AE}" pid="3" name="DocumentType">
    <vt:lpwstr>Reg</vt:lpwstr>
  </property>
  <property fmtid="{D5CDD505-2E9C-101B-9397-08002B2CF9AE}" pid="4" name="AsAtDate">
    <vt:lpwstr>10 Dec 2025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CommencementAsAt">
    <vt:filetime>2025-12-09T16:00:00Z</vt:filetime>
  </property>
  <property fmtid="{D5CDD505-2E9C-101B-9397-08002B2CF9AE}" pid="8" name="CommencementYear">
    <vt:lpwstr>2025</vt:lpwstr>
  </property>
  <property fmtid="{D5CDD505-2E9C-101B-9397-08002B2CF9AE}" pid="9" name="SLAPId">
    <vt:lpwstr>2025/196</vt:lpwstr>
  </property>
  <property fmtid="{D5CDD505-2E9C-101B-9397-08002B2CF9AE}" pid="10" name="PublishDate">
    <vt:lpwstr>10 Dec 2025</vt:lpwstr>
  </property>
  <property fmtid="{D5CDD505-2E9C-101B-9397-08002B2CF9AE}" pid="11" name="CommencementDate">
    <vt:lpwstr>20251210</vt:lpwstr>
  </property>
</Properties>
</file>