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Emergency Management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Emergency Management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Emergency Management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_Toc216784576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_Toc216784577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_Toc216784578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1A amended</w:t>
      </w:r>
      <w:r>
        <w:tab/>
      </w:r>
      <w:r>
        <w:fldChar w:fldCharType="begin"/>
      </w:r>
      <w:r>
        <w:instrText xml:space="preserve"> PAGEREF _Toc216784579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14B inserted</w:t>
      </w:r>
      <w:r>
        <w:tab/>
      </w:r>
      <w:r>
        <w:fldChar w:fldCharType="begin"/>
      </w:r>
      <w:r>
        <w:instrText xml:space="preserve"> PAGEREF _Toc216784580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14B.</w:t>
      </w:r>
      <w:r>
        <w:rPr>
          <w:noProof/>
        </w:rPr>
        <w:tab/>
        <w:t>Cybersecurity incidents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_Toc216784581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15 amended</w:t>
      </w:r>
      <w:r>
        <w:tab/>
      </w:r>
      <w:r>
        <w:fldChar w:fldCharType="begin"/>
      </w:r>
      <w:r>
        <w:instrText xml:space="preserve"> PAGEREF _Toc216784582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23C inserted</w:t>
      </w:r>
      <w:r>
        <w:tab/>
      </w:r>
      <w:r>
        <w:fldChar w:fldCharType="begin"/>
      </w:r>
      <w:r>
        <w:instrText xml:space="preserve"> PAGEREF _Toc216784583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23C.</w:t>
      </w:r>
      <w:r>
        <w:rPr>
          <w:noProof/>
        </w:rPr>
        <w:tab/>
        <w:t>Hazard management agency — Department of the Premier and Cabinet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_Toc216784584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23 amended</w:t>
      </w:r>
      <w:r>
        <w:tab/>
      </w:r>
      <w:r>
        <w:fldChar w:fldCharType="begin"/>
      </w:r>
      <w:r>
        <w:instrText xml:space="preserve"> PAGEREF _Toc216784585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Emergency Management Act 2005</w:t>
      </w:r>
    </w:p>
    <w:p>
      <w:pPr>
        <w:pStyle w:val="NameofActReg"/>
      </w:pPr>
      <w:r>
        <w:t>Emergency Management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6353473"/>
      <w:bookmarkStart w:id="3" w:name="_Toc21678457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Emergency Management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16353474"/>
      <w:bookmarkStart w:id="6" w:name="_Toc2167845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2026.</w:t>
      </w:r>
    </w:p>
    <w:p>
      <w:pPr>
        <w:pStyle w:val="Heading5"/>
        <w:rPr>
          <w:snapToGrid w:val="0"/>
        </w:rPr>
      </w:pPr>
      <w:bookmarkStart w:id="7" w:name="_Toc216353475"/>
      <w:bookmarkStart w:id="8" w:name="_Toc2167845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Emergency Management Regulations 2006</w:t>
      </w:r>
      <w:r>
        <w:t>.</w:t>
      </w:r>
    </w:p>
    <w:p>
      <w:pPr>
        <w:pStyle w:val="Heading5"/>
      </w:pPr>
      <w:bookmarkStart w:id="9" w:name="_Toc216353476"/>
      <w:bookmarkStart w:id="10" w:name="_Toc216784579"/>
      <w:r>
        <w:rPr>
          <w:rStyle w:val="CharSectno"/>
        </w:rPr>
        <w:t>4</w:t>
      </w:r>
      <w:r>
        <w:t>.</w:t>
      </w:r>
      <w:r>
        <w:tab/>
        <w:t>Regulation 1A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1A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cybersecurity incident</w:t>
      </w:r>
      <w:r>
        <w:t xml:space="preserve"> has the meaning given in regulation 14B(2);</w:t>
      </w:r>
    </w:p>
    <w:p>
      <w:pPr>
        <w:pStyle w:val="zDefstart"/>
      </w:pPr>
      <w:r>
        <w:tab/>
      </w:r>
      <w:r>
        <w:rPr>
          <w:rStyle w:val="CharDefText"/>
        </w:rPr>
        <w:t>electronic system</w:t>
      </w:r>
      <w:r>
        <w:t xml:space="preserve"> has the meaning given in regulation 14B(1);</w:t>
      </w:r>
    </w:p>
    <w:p>
      <w:pPr>
        <w:pStyle w:val="BlankClose"/>
      </w:pPr>
    </w:p>
    <w:p>
      <w:pPr>
        <w:pStyle w:val="Heading5"/>
      </w:pPr>
      <w:bookmarkStart w:id="11" w:name="_Toc216353477"/>
      <w:bookmarkStart w:id="12" w:name="_Toc216784580"/>
      <w:r>
        <w:rPr>
          <w:rStyle w:val="CharSectno"/>
        </w:rPr>
        <w:lastRenderedPageBreak/>
        <w:t>5</w:t>
      </w:r>
      <w:r>
        <w:t>.</w:t>
      </w:r>
      <w:r>
        <w:tab/>
        <w:t>Regulation 14B inserted</w:t>
      </w:r>
      <w:bookmarkEnd w:id="11"/>
      <w:bookmarkEnd w:id="12"/>
    </w:p>
    <w:p>
      <w:pPr>
        <w:pStyle w:val="Subsection"/>
      </w:pPr>
      <w:r>
        <w:tab/>
      </w:r>
      <w:r>
        <w:tab/>
        <w:t>After regulation 14A insert:</w:t>
      </w:r>
    </w:p>
    <w:p>
      <w:pPr>
        <w:pStyle w:val="BlankOpen"/>
      </w:pPr>
    </w:p>
    <w:p>
      <w:pPr>
        <w:pStyle w:val="zHeading5"/>
      </w:pPr>
      <w:bookmarkStart w:id="13" w:name="_Toc216353478"/>
      <w:bookmarkStart w:id="14" w:name="_Toc216784581"/>
      <w:r>
        <w:t>14B.</w:t>
      </w:r>
      <w:r>
        <w:tab/>
        <w:t>Cybersecurity incidents</w:t>
      </w:r>
      <w:bookmarkEnd w:id="13"/>
      <w:bookmarkEnd w:id="14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  <w:ind w:left="1474"/>
      </w:pPr>
      <w:r>
        <w:tab/>
      </w:r>
      <w:r>
        <w:rPr>
          <w:rStyle w:val="CharDefText"/>
        </w:rPr>
        <w:t>electronic system</w:t>
      </w:r>
      <w:r>
        <w:t xml:space="preserve"> — </w:t>
      </w:r>
    </w:p>
    <w:p>
      <w:pPr>
        <w:pStyle w:val="zDefpara"/>
      </w:pPr>
      <w:r>
        <w:tab/>
        <w:t>(a)</w:t>
      </w:r>
      <w:r>
        <w:tab/>
        <w:t>means a system that generates, collects, shares, sends, receives, stores, carries, processes, connects, uses or acts on or in relation to electronic information; and</w:t>
      </w:r>
    </w:p>
    <w:p>
      <w:pPr>
        <w:pStyle w:val="zDefpara"/>
      </w:pPr>
      <w:r>
        <w:tab/>
        <w:t>(b)</w:t>
      </w:r>
      <w:r>
        <w:tab/>
        <w:t xml:space="preserve">includes the following — </w:t>
      </w:r>
    </w:p>
    <w:p>
      <w:pPr>
        <w:pStyle w:val="zDefsubpara"/>
        <w:rPr>
          <w:rStyle w:val="DraftersNotes"/>
          <w:b w:val="0"/>
          <w:i w:val="0"/>
          <w:sz w:val="24"/>
        </w:rPr>
      </w:pPr>
      <w:r>
        <w:tab/>
        <w:t>(i)</w:t>
      </w:r>
      <w:r>
        <w:tab/>
        <w:t>any network, service, program, code or similar thing that is used by, within or in relation to the system;</w:t>
      </w:r>
    </w:p>
    <w:p>
      <w:pPr>
        <w:pStyle w:val="zDefsubpara"/>
      </w:pPr>
      <w:r>
        <w:tab/>
        <w:t>(ii)</w:t>
      </w:r>
      <w:r>
        <w:tab/>
        <w:t>any device, technology or similar thing that is used by, within or in relation to the system;</w:t>
      </w:r>
    </w:p>
    <w:p>
      <w:pPr>
        <w:pStyle w:val="zDefsubpara"/>
      </w:pPr>
      <w:r>
        <w:tab/>
        <w:t>(iii)</w:t>
      </w:r>
      <w:r>
        <w:tab/>
        <w:t>any electronic information to which the system does anything referred to in paragraph (a);</w:t>
      </w:r>
    </w:p>
    <w:p>
      <w:pPr>
        <w:pStyle w:val="zDefstart"/>
      </w:pPr>
      <w:r>
        <w:tab/>
      </w:r>
      <w:r>
        <w:rPr>
          <w:rStyle w:val="CharDefText"/>
        </w:rPr>
        <w:t>impair</w:t>
      </w:r>
      <w:r>
        <w:t xml:space="preserve">, in relation to an electronic system, includes the following — </w:t>
      </w:r>
    </w:p>
    <w:p>
      <w:pPr>
        <w:pStyle w:val="zDefpara"/>
      </w:pPr>
      <w:r>
        <w:tab/>
        <w:t>(a)</w:t>
      </w:r>
      <w:r>
        <w:tab/>
        <w:t>to gain unauthorised access to the system or electronic information that is used by, within or in relation to the system;</w:t>
      </w:r>
    </w:p>
    <w:p>
      <w:pPr>
        <w:pStyle w:val="zDefpara"/>
      </w:pPr>
      <w:r>
        <w:tab/>
        <w:t>(b)</w:t>
      </w:r>
      <w:r>
        <w:tab/>
        <w:t xml:space="preserve">to intercept electronic information that is used by, within or in relation to the system; </w:t>
      </w:r>
    </w:p>
    <w:p>
      <w:pPr>
        <w:pStyle w:val="zDefpara"/>
      </w:pPr>
      <w:r>
        <w:tab/>
        <w:t>(c)</w:t>
      </w:r>
      <w:r>
        <w:tab/>
        <w:t>to prevent the system from properly functioning.</w:t>
      </w:r>
    </w:p>
    <w:p>
      <w:pPr>
        <w:pStyle w:val="zSubsection"/>
        <w:keepNext/>
      </w:pPr>
      <w:r>
        <w:lastRenderedPageBreak/>
        <w:tab/>
        <w:t>(2)</w:t>
      </w:r>
      <w:r>
        <w:tab/>
        <w:t xml:space="preserve">A </w:t>
      </w:r>
      <w:r>
        <w:rPr>
          <w:rStyle w:val="CharDefText"/>
        </w:rPr>
        <w:t>cybersecurity incident</w:t>
      </w:r>
      <w:r>
        <w:t xml:space="preserve"> is an event or situation in which — </w:t>
      </w:r>
    </w:p>
    <w:p>
      <w:pPr>
        <w:pStyle w:val="zIndenta"/>
      </w:pPr>
      <w:r>
        <w:tab/>
        <w:t>(a)</w:t>
      </w:r>
      <w:r>
        <w:tab/>
        <w:t>an electronic system is modified or impaired as described in subregulation (3); or</w:t>
      </w:r>
    </w:p>
    <w:p>
      <w:pPr>
        <w:pStyle w:val="zIndenta"/>
      </w:pPr>
      <w:r>
        <w:tab/>
        <w:t>(b)</w:t>
      </w:r>
      <w:r>
        <w:tab/>
        <w:t>a threat is made that causes a person to have a reasonable suspicion that an electronic system is being or will be modified or impaired as described in subregulation (3); or</w:t>
      </w:r>
    </w:p>
    <w:p>
      <w:pPr>
        <w:pStyle w:val="zIndenta"/>
      </w:pPr>
      <w:r>
        <w:tab/>
        <w:t>(c)</w:t>
      </w:r>
      <w:r>
        <w:tab/>
        <w:t>a person reasonably suspects that an electronic system is being or will be modified or impaired as described in subregulation (3).</w:t>
      </w:r>
    </w:p>
    <w:p>
      <w:pPr>
        <w:pStyle w:val="zSubsection"/>
      </w:pPr>
      <w:r>
        <w:tab/>
        <w:t>(3)</w:t>
      </w:r>
      <w:r>
        <w:tab/>
        <w:t>For the purposes of subregulation (2)(a) to (c), the modification or impairment must be capable of causing or resulting in —</w:t>
      </w:r>
    </w:p>
    <w:p>
      <w:pPr>
        <w:pStyle w:val="zIndenta"/>
      </w:pPr>
      <w:r>
        <w:tab/>
        <w:t>(a)</w:t>
      </w:r>
      <w:r>
        <w:tab/>
        <w:t>loss of life, prejudice to the safety, or harm to the health, of persons or animals; or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destruction of, or damage to, property or any part of the environment.</w:t>
      </w:r>
    </w:p>
    <w:p>
      <w:pPr>
        <w:pStyle w:val="BlankClose"/>
      </w:pPr>
    </w:p>
    <w:p>
      <w:pPr>
        <w:pStyle w:val="Heading5"/>
      </w:pPr>
      <w:bookmarkStart w:id="15" w:name="_Toc216353479"/>
      <w:bookmarkStart w:id="16" w:name="_Toc216784582"/>
      <w:r>
        <w:rPr>
          <w:rStyle w:val="CharSectno"/>
        </w:rPr>
        <w:t>6</w:t>
      </w:r>
      <w:r>
        <w:t>.</w:t>
      </w:r>
      <w:r>
        <w:tab/>
        <w:t>Regulation 15 amended</w:t>
      </w:r>
      <w:bookmarkEnd w:id="15"/>
      <w:bookmarkEnd w:id="16"/>
    </w:p>
    <w:p>
      <w:pPr>
        <w:pStyle w:val="Subsection"/>
      </w:pPr>
      <w:r>
        <w:tab/>
      </w:r>
      <w:r>
        <w:tab/>
        <w:t>Delete regulation 15(n) and insert:</w:t>
      </w:r>
    </w:p>
    <w:p>
      <w:pPr>
        <w:pStyle w:val="BlankOpen"/>
      </w:pPr>
    </w:p>
    <w:p>
      <w:pPr>
        <w:pStyle w:val="zIndenta"/>
      </w:pPr>
      <w:r>
        <w:tab/>
        <w:t>(n)</w:t>
      </w:r>
      <w:r>
        <w:tab/>
        <w:t>hostile act;</w:t>
      </w:r>
    </w:p>
    <w:p>
      <w:pPr>
        <w:pStyle w:val="zIndenta"/>
        <w:keepNext/>
      </w:pPr>
      <w:r>
        <w:tab/>
        <w:t>(o)</w:t>
      </w:r>
      <w:r>
        <w:tab/>
        <w:t>cybersecurity incident.</w:t>
      </w:r>
    </w:p>
    <w:p>
      <w:pPr>
        <w:pStyle w:val="BlankClose"/>
      </w:pPr>
    </w:p>
    <w:p>
      <w:pPr>
        <w:pStyle w:val="Heading5"/>
      </w:pPr>
      <w:bookmarkStart w:id="17" w:name="_Toc216353480"/>
      <w:bookmarkStart w:id="18" w:name="_Toc216784583"/>
      <w:r>
        <w:rPr>
          <w:rStyle w:val="CharSectno"/>
        </w:rPr>
        <w:lastRenderedPageBreak/>
        <w:t>7</w:t>
      </w:r>
      <w:r>
        <w:t>.</w:t>
      </w:r>
      <w:r>
        <w:tab/>
        <w:t>Regulation 23C inserted</w:t>
      </w:r>
      <w:bookmarkEnd w:id="17"/>
      <w:bookmarkEnd w:id="18"/>
    </w:p>
    <w:p>
      <w:pPr>
        <w:pStyle w:val="Subsection"/>
        <w:keepNext/>
      </w:pPr>
      <w:r>
        <w:tab/>
      </w:r>
      <w:r>
        <w:tab/>
        <w:t>At the end of Part 3 insert:</w:t>
      </w:r>
    </w:p>
    <w:p>
      <w:pPr>
        <w:pStyle w:val="BlankOpen"/>
      </w:pPr>
    </w:p>
    <w:p>
      <w:pPr>
        <w:pStyle w:val="zHeading5"/>
      </w:pPr>
      <w:bookmarkStart w:id="19" w:name="_Toc216353481"/>
      <w:bookmarkStart w:id="20" w:name="_Toc216784584"/>
      <w:r>
        <w:t>23C.</w:t>
      </w:r>
      <w:r>
        <w:tab/>
        <w:t>Hazard management agency — Department of the Premier and Cabinet</w:t>
      </w:r>
      <w:bookmarkEnd w:id="19"/>
      <w:bookmarkEnd w:id="20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Department</w:t>
      </w:r>
      <w:r>
        <w:t xml:space="preserve"> means the department of the Public Service principally assisting the Premier.</w:t>
      </w:r>
    </w:p>
    <w:p>
      <w:pPr>
        <w:pStyle w:val="zSubsection"/>
      </w:pPr>
      <w:r>
        <w:tab/>
        <w:t>(2)</w:t>
      </w:r>
      <w:r>
        <w:tab/>
        <w:t>The Department is the hazard management agency for emergency management of the hazard set out in regulation 15(o) for the whole of the State.</w:t>
      </w:r>
    </w:p>
    <w:p>
      <w:pPr>
        <w:pStyle w:val="zSubsection"/>
      </w:pPr>
      <w:r>
        <w:tab/>
        <w:t>(3)</w:t>
      </w:r>
      <w:r>
        <w:tab/>
        <w:t xml:space="preserve">The chief executive officer of the Department is authorised to act in the name of the Department for the purposes of — </w:t>
      </w:r>
    </w:p>
    <w:p>
      <w:pPr>
        <w:pStyle w:val="zIndenta"/>
      </w:pPr>
      <w:r>
        <w:tab/>
        <w:t>(a)</w:t>
      </w:r>
      <w:r>
        <w:tab/>
        <w:t xml:space="preserve">sections 50 and 53 of the Act; and </w:t>
      </w:r>
    </w:p>
    <w:p>
      <w:pPr>
        <w:pStyle w:val="zIndenta"/>
      </w:pPr>
      <w:r>
        <w:tab/>
        <w:t>(b)</w:t>
      </w:r>
      <w:r>
        <w:tab/>
        <w:t>authorising under section 55(1) of the Act persons to act as hazard management officers.</w:t>
      </w:r>
    </w:p>
    <w:p>
      <w:pPr>
        <w:pStyle w:val="zSubsection"/>
      </w:pPr>
      <w:r>
        <w:tab/>
        <w:t>(4)</w:t>
      </w:r>
      <w:r>
        <w:tab/>
        <w:t xml:space="preserve">The Government Chief Information Officer employed by the Department is authorised to act in the name of the Department for the purposes of — </w:t>
      </w:r>
    </w:p>
    <w:p>
      <w:pPr>
        <w:pStyle w:val="zIndenta"/>
      </w:pPr>
      <w:r>
        <w:tab/>
        <w:t>(a)</w:t>
      </w:r>
      <w:r>
        <w:tab/>
        <w:t xml:space="preserve">sections 50 and 53 of the Act; and </w:t>
      </w:r>
    </w:p>
    <w:p>
      <w:pPr>
        <w:pStyle w:val="zIndenta"/>
      </w:pPr>
      <w:r>
        <w:tab/>
        <w:t>(b)</w:t>
      </w:r>
      <w:r>
        <w:tab/>
        <w:t>authorising under section 55(1) of the Act persons to act as hazard management officers.</w:t>
      </w:r>
    </w:p>
    <w:p>
      <w:pPr>
        <w:pStyle w:val="BlankClose"/>
      </w:pPr>
    </w:p>
    <w:p>
      <w:pPr>
        <w:pStyle w:val="Heading5"/>
      </w:pPr>
      <w:bookmarkStart w:id="21" w:name="_Toc216353482"/>
      <w:bookmarkStart w:id="22" w:name="_Toc216784585"/>
      <w:r>
        <w:rPr>
          <w:rStyle w:val="CharSectno"/>
        </w:rPr>
        <w:t>8</w:t>
      </w:r>
      <w:r>
        <w:t>.</w:t>
      </w:r>
      <w:r>
        <w:tab/>
        <w:t>Regulation 23 amended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>In regulation 23(c) delete “insurance.”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insurance;</w:t>
      </w:r>
    </w:p>
    <w:p>
      <w:pPr>
        <w:pStyle w:val="BlankClose"/>
      </w:pPr>
    </w:p>
    <w:p>
      <w:pPr>
        <w:pStyle w:val="Subsection"/>
      </w:pPr>
      <w:r>
        <w:lastRenderedPageBreak/>
        <w:tab/>
        <w:t>(2)</w:t>
      </w:r>
      <w:r>
        <w:tab/>
        <w:t>After regulation 23(c) insert:</w:t>
      </w:r>
    </w:p>
    <w:p>
      <w:pPr>
        <w:pStyle w:val="BlankOpen"/>
      </w:pPr>
    </w:p>
    <w:p>
      <w:pPr>
        <w:pStyle w:val="zIndenta"/>
      </w:pPr>
      <w:r>
        <w:tab/>
        <w:t>(d)</w:t>
      </w:r>
      <w:r>
        <w:tab/>
        <w:t xml:space="preserve">information relating to the person who owns, controls or manages electronic information; </w:t>
      </w:r>
    </w:p>
    <w:p>
      <w:pPr>
        <w:pStyle w:val="zIndenta"/>
      </w:pPr>
      <w:r>
        <w:tab/>
        <w:t>(e)</w:t>
      </w:r>
      <w:r>
        <w:tab/>
        <w:t>information relating to the person who owns, controls or manages an electronic system;</w:t>
      </w:r>
    </w:p>
    <w:p>
      <w:pPr>
        <w:pStyle w:val="zIndenta"/>
      </w:pPr>
      <w:r>
        <w:tab/>
        <w:t>(f)</w:t>
      </w:r>
      <w:r>
        <w:tab/>
        <w:t>if the emergency situation or state of emergency is in respect of a hazard that is a cybersecurity incident — information relating to the cybersecurity incident.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65EC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8A0BB28" w14:textId="03DCC062" w:rsidR="00531FCA" w:rsidRDefault="00531F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41F7F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38B6E3" w14:textId="77777777" w:rsidR="00531FCA" w:rsidRDefault="00531F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CCF5A2" w14:textId="3034DC2F" w:rsidR="00531FCA" w:rsidRDefault="00531F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41F7F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F83986" w14:textId="4D9CD494" w:rsidR="00531FCA" w:rsidRDefault="00531FC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="00B77A4B">
                        <w:rPr>
                          <w:rFonts w:ascii="Arial" w:hAnsi="Arial" w:cs="Arial"/>
                          <w:sz w:val="12"/>
                        </w:rPr>
                        <w:t>ROGER JACOBS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, </w:t>
                      </w:r>
                      <w:r w:rsidR="00B77A4B">
                        <w:rPr>
                          <w:rFonts w:ascii="Arial" w:hAnsi="Arial" w:cs="Arial"/>
                          <w:sz w:val="12"/>
                        </w:rPr>
                        <w:t xml:space="preserve">Acting 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21113502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041338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04133827_GUID" w:val="d5fed8f2-ad23-4e05-8f70-06c2305e15b8"/>
    <w:docVar w:name="WAFER_202503271319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27131925_GUID" w:val="87eb0b4c-ddbb-47b3-a06c-6af91a268d60"/>
    <w:docVar w:name="WAFER_202503271319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27131950_GUID" w:val="97140220-b38a-40b7-864c-1ea07bfc5090"/>
    <w:docVar w:name="WAFER_202504041103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04110305_GUID" w:val="a764b3a6-41d7-4ab2-8d31-4ed70d5a7eba"/>
    <w:docVar w:name="WAFER_202512111350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1135027_GUID" w:val="96e713b4-2cbd-41be-8367-dae42f975dc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1C83C93E-7C31-4E68-9694-6CF145FB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3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840</Words>
  <Characters>4444</Characters>
  <Application>Microsoft Office Word</Application>
  <DocSecurity>0</DocSecurity>
  <Lines>170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Management Amendment Regulations 2025 - 00-00-00</dc:title>
  <dc:subject/>
  <dc:creator/>
  <cp:keywords/>
  <dc:description/>
  <cp:lastModifiedBy>Master Repository Process</cp:lastModifiedBy>
  <cp:revision>4</cp:revision>
  <cp:lastPrinted>2024-12-11T07:43:00Z</cp:lastPrinted>
  <dcterms:created xsi:type="dcterms:W3CDTF">2025-12-16T06:30:00Z</dcterms:created>
  <dcterms:modified xsi:type="dcterms:W3CDTF">2025-12-16T06:30:00Z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55225</vt:lpwstr>
  </property>
  <property fmtid="{D5CDD505-2E9C-101B-9397-08002B2CF9AE}" pid="3" name="DocumentType">
    <vt:lpwstr>Reg</vt:lpwstr>
  </property>
  <property fmtid="{D5CDD505-2E9C-101B-9397-08002B2CF9AE}" pid="4" name="AsAtDate">
    <vt:lpwstr>17 Dec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2025/214</vt:lpwstr>
  </property>
  <property fmtid="{D5CDD505-2E9C-101B-9397-08002B2CF9AE}" pid="8" name="PublishDate">
    <vt:lpwstr>17 Dec 2025</vt:lpwstr>
  </property>
  <property fmtid="{D5CDD505-2E9C-101B-9397-08002B2CF9AE}" pid="9" name="CommencementDate">
    <vt:lpwstr>20251217</vt:lpwstr>
  </property>
  <property fmtid="{D5CDD505-2E9C-101B-9397-08002B2CF9AE}" pid="10" name="CommencementAsAt">
    <vt:filetime>2025-12-16T16:00:00Z</vt:filetime>
  </property>
  <property fmtid="{D5CDD505-2E9C-101B-9397-08002B2CF9AE}" pid="11" name="CommencementYear">
    <vt:lpwstr>2025</vt:lpwstr>
  </property>
</Properties>
</file>