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Local Government (Local Government Inspector)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(Local Government Inspector)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_Toc216783222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_Toc216783223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Breach complaints and general complaints (Part 8A of Act)</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_Toc216783225 \h </w:instrText>
      </w:r>
      <w:r>
        <w:fldChar w:fldCharType="separate"/>
      </w:r>
      <w:r>
        <w:t>2</w:t>
      </w:r>
      <w:r>
        <w:fldChar w:fldCharType="end"/>
      </w:r>
    </w:p>
    <w:p>
      <w:pPr>
        <w:pStyle w:val="TOC8"/>
        <w:rPr>
          <w:rFonts w:asciiTheme="minorHAnsi" w:eastAsiaTheme="minorEastAsia" w:hAnsiTheme="minorHAnsi" w:cstheme="minorBidi"/>
          <w:szCs w:val="22"/>
        </w:rPr>
      </w:pPr>
      <w:r>
        <w:t>4.</w:t>
      </w:r>
      <w:r>
        <w:tab/>
        <w:t>Conduct breaches (s. 8A.3 of Act)</w:t>
      </w:r>
      <w:r>
        <w:tab/>
      </w:r>
      <w:r>
        <w:fldChar w:fldCharType="begin"/>
      </w:r>
      <w:r>
        <w:instrText xml:space="preserve"> PAGEREF _Toc216783226 \h </w:instrText>
      </w:r>
      <w:r>
        <w:fldChar w:fldCharType="separate"/>
      </w:r>
      <w:r>
        <w:t>2</w:t>
      </w:r>
      <w:r>
        <w:fldChar w:fldCharType="end"/>
      </w:r>
    </w:p>
    <w:p>
      <w:pPr>
        <w:pStyle w:val="TOC8"/>
        <w:rPr>
          <w:rFonts w:asciiTheme="minorHAnsi" w:eastAsiaTheme="minorEastAsia" w:hAnsiTheme="minorHAnsi" w:cstheme="minorBidi"/>
          <w:szCs w:val="22"/>
        </w:rPr>
      </w:pPr>
      <w:r>
        <w:t>5.</w:t>
      </w:r>
      <w:r>
        <w:tab/>
        <w:t>Specified breaches (s. 8A.4 of Act)</w:t>
      </w:r>
      <w:r>
        <w:tab/>
      </w:r>
      <w:r>
        <w:fldChar w:fldCharType="begin"/>
      </w:r>
      <w:r>
        <w:instrText xml:space="preserve"> PAGEREF _Toc216783227 \h </w:instrText>
      </w:r>
      <w:r>
        <w:fldChar w:fldCharType="separate"/>
      </w:r>
      <w:r>
        <w:t>2</w:t>
      </w:r>
      <w:r>
        <w:fldChar w:fldCharType="end"/>
      </w:r>
    </w:p>
    <w:p>
      <w:pPr>
        <w:pStyle w:val="TOC8"/>
        <w:rPr>
          <w:rFonts w:asciiTheme="minorHAnsi" w:eastAsiaTheme="minorEastAsia" w:hAnsiTheme="minorHAnsi" w:cstheme="minorBidi"/>
          <w:szCs w:val="22"/>
        </w:rPr>
      </w:pPr>
      <w:r>
        <w:t>6.</w:t>
      </w:r>
      <w:r>
        <w:tab/>
        <w:t>Complaint alleging behavioural breach (s. 8A.12 of Act)</w:t>
      </w:r>
      <w:r>
        <w:tab/>
      </w:r>
      <w:r>
        <w:fldChar w:fldCharType="begin"/>
      </w:r>
      <w:r>
        <w:instrText xml:space="preserve"> PAGEREF _Toc216783228 \h </w:instrText>
      </w:r>
      <w:r>
        <w:fldChar w:fldCharType="separate"/>
      </w:r>
      <w:r>
        <w:t>2</w:t>
      </w:r>
      <w:r>
        <w:fldChar w:fldCharType="end"/>
      </w:r>
    </w:p>
    <w:p>
      <w:pPr>
        <w:pStyle w:val="TOC8"/>
        <w:rPr>
          <w:rFonts w:asciiTheme="minorHAnsi" w:eastAsiaTheme="minorEastAsia" w:hAnsiTheme="minorHAnsi" w:cstheme="minorBidi"/>
          <w:szCs w:val="22"/>
        </w:rPr>
      </w:pPr>
      <w:r>
        <w:t>7.</w:t>
      </w:r>
      <w:r>
        <w:tab/>
        <w:t>Mediation (s. 8A.15 and 8A.34 of Act)</w:t>
      </w:r>
      <w:r>
        <w:tab/>
      </w:r>
      <w:r>
        <w:fldChar w:fldCharType="begin"/>
      </w:r>
      <w:r>
        <w:instrText xml:space="preserve"> PAGEREF _Toc216783229 \h </w:instrText>
      </w:r>
      <w:r>
        <w:fldChar w:fldCharType="separate"/>
      </w:r>
      <w:r>
        <w:t>3</w:t>
      </w:r>
      <w:r>
        <w:fldChar w:fldCharType="end"/>
      </w:r>
    </w:p>
    <w:p>
      <w:pPr>
        <w:pStyle w:val="TOC8"/>
        <w:rPr>
          <w:rFonts w:asciiTheme="minorHAnsi" w:eastAsiaTheme="minorEastAsia" w:hAnsiTheme="minorHAnsi" w:cstheme="minorBidi"/>
          <w:szCs w:val="22"/>
        </w:rPr>
      </w:pPr>
      <w:r>
        <w:t>8.</w:t>
      </w:r>
      <w:r>
        <w:tab/>
        <w:t>Publication of censures and orders made by adjudicator (s. 8A.20 of Act)</w:t>
      </w:r>
      <w:r>
        <w:tab/>
      </w:r>
      <w:r>
        <w:fldChar w:fldCharType="begin"/>
      </w:r>
      <w:r>
        <w:instrText xml:space="preserve"> PAGEREF _Toc216783230 \h </w:instrText>
      </w:r>
      <w:r>
        <w:fldChar w:fldCharType="separate"/>
      </w:r>
      <w:r>
        <w:t>5</w:t>
      </w:r>
      <w:r>
        <w:fldChar w:fldCharType="end"/>
      </w:r>
    </w:p>
    <w:p>
      <w:pPr>
        <w:pStyle w:val="TOC8"/>
        <w:rPr>
          <w:rFonts w:asciiTheme="minorHAnsi" w:eastAsiaTheme="minorEastAsia" w:hAnsiTheme="minorHAnsi" w:cstheme="minorBidi"/>
          <w:szCs w:val="22"/>
        </w:rPr>
      </w:pPr>
      <w:r>
        <w:t>9.</w:t>
      </w:r>
      <w:r>
        <w:tab/>
        <w:t>Publication of censures and SAT orders (s. 8A.26 of Act)</w:t>
      </w:r>
      <w:r>
        <w:tab/>
      </w:r>
      <w:r>
        <w:fldChar w:fldCharType="begin"/>
      </w:r>
      <w:r>
        <w:instrText xml:space="preserve"> PAGEREF _Toc216783231 \h </w:instrText>
      </w:r>
      <w:r>
        <w:fldChar w:fldCharType="separate"/>
      </w:r>
      <w:r>
        <w:t>5</w:t>
      </w:r>
      <w:r>
        <w:fldChar w:fldCharType="end"/>
      </w:r>
    </w:p>
    <w:p>
      <w:pPr>
        <w:pStyle w:val="TOC8"/>
        <w:rPr>
          <w:rFonts w:asciiTheme="minorHAnsi" w:eastAsiaTheme="minorEastAsia" w:hAnsiTheme="minorHAnsi" w:cstheme="minorBidi"/>
          <w:szCs w:val="22"/>
        </w:rPr>
      </w:pPr>
      <w:r>
        <w:t>10.</w:t>
      </w:r>
      <w:r>
        <w:tab/>
        <w:t>Complaint or report about CEO (s. 8A.33 and 8A.35 of Act)</w:t>
      </w:r>
      <w:r>
        <w:tab/>
      </w:r>
      <w:r>
        <w:fldChar w:fldCharType="begin"/>
      </w:r>
      <w:r>
        <w:instrText xml:space="preserve"> PAGEREF _Toc216783232 \h </w:instrText>
      </w:r>
      <w:r>
        <w:fldChar w:fldCharType="separate"/>
      </w:r>
      <w:r>
        <w:t>5</w:t>
      </w:r>
      <w:r>
        <w:fldChar w:fldCharType="end"/>
      </w:r>
    </w:p>
    <w:p>
      <w:pPr>
        <w:pStyle w:val="TOC8"/>
        <w:rPr>
          <w:rFonts w:asciiTheme="minorHAnsi" w:eastAsiaTheme="minorEastAsia" w:hAnsiTheme="minorHAnsi" w:cstheme="minorBidi"/>
          <w:szCs w:val="22"/>
        </w:rPr>
      </w:pPr>
      <w:r>
        <w:t>11.</w:t>
      </w:r>
      <w:r>
        <w:tab/>
        <w:t>Confidentiality about complaints (s. 8A.36 of Act)</w:t>
      </w:r>
      <w:r>
        <w:tab/>
      </w:r>
      <w:r>
        <w:fldChar w:fldCharType="begin"/>
      </w:r>
      <w:r>
        <w:instrText xml:space="preserve"> PAGEREF _Toc216783233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Monitors (Part 8B Division 5 of Act)</w:t>
      </w:r>
    </w:p>
    <w:p>
      <w:pPr>
        <w:pStyle w:val="TOC8"/>
        <w:rPr>
          <w:rFonts w:asciiTheme="minorHAnsi" w:eastAsiaTheme="minorEastAsia" w:hAnsiTheme="minorHAnsi" w:cstheme="minorBidi"/>
          <w:szCs w:val="22"/>
        </w:rPr>
      </w:pPr>
      <w:r>
        <w:t>12.</w:t>
      </w:r>
      <w:r>
        <w:tab/>
        <w:t>Remuneration and expenses (s. 8B.39 and 8B.41 of Act)</w:t>
      </w:r>
      <w:r>
        <w:tab/>
      </w:r>
      <w:r>
        <w:fldChar w:fldCharType="begin"/>
      </w:r>
      <w:r>
        <w:instrText xml:space="preserve"> PAGEREF _Toc216783235 \h </w:instrText>
      </w:r>
      <w:r>
        <w:fldChar w:fldCharType="separate"/>
      </w:r>
      <w:r>
        <w:t>9</w:t>
      </w:r>
      <w:r>
        <w:fldChar w:fldCharType="end"/>
      </w:r>
    </w:p>
    <w:p>
      <w:pPr>
        <w:pStyle w:val="TOC8"/>
        <w:rPr>
          <w:rFonts w:asciiTheme="minorHAnsi" w:eastAsiaTheme="minorEastAsia" w:hAnsiTheme="minorHAnsi" w:cstheme="minorBidi"/>
          <w:szCs w:val="22"/>
        </w:rPr>
      </w:pPr>
      <w:r>
        <w:t>13.</w:t>
      </w:r>
      <w:r>
        <w:tab/>
        <w:t>Selection and appointment (s. 8B.41 of Act)</w:t>
      </w:r>
      <w:r>
        <w:tab/>
      </w:r>
      <w:r>
        <w:fldChar w:fldCharType="begin"/>
      </w:r>
      <w:r>
        <w:instrText xml:space="preserve"> PAGEREF _Toc216783236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w:t>
      </w:r>
      <w:r>
        <w:tab/>
        <w:t>Variation of terms of appointment (s. 8B.41 of Act)</w:t>
      </w:r>
      <w:r>
        <w:tab/>
      </w:r>
      <w:r>
        <w:fldChar w:fldCharType="begin"/>
      </w:r>
      <w:r>
        <w:instrText xml:space="preserve"> PAGEREF _Toc216783237 \h </w:instrText>
      </w:r>
      <w:r>
        <w:fldChar w:fldCharType="separate"/>
      </w:r>
      <w:r>
        <w:t>10</w:t>
      </w:r>
      <w:r>
        <w:fldChar w:fldCharType="end"/>
      </w:r>
    </w:p>
    <w:p>
      <w:pPr>
        <w:pStyle w:val="TOC8"/>
        <w:rPr>
          <w:rFonts w:asciiTheme="minorHAnsi" w:eastAsiaTheme="minorEastAsia" w:hAnsiTheme="minorHAnsi" w:cstheme="minorBidi"/>
          <w:szCs w:val="22"/>
        </w:rPr>
      </w:pPr>
      <w:r>
        <w:t>15.</w:t>
      </w:r>
      <w:r>
        <w:tab/>
        <w:t>Early termination of appointment (s. 8B.41 of Act)</w:t>
      </w:r>
      <w:r>
        <w:tab/>
      </w:r>
      <w:r>
        <w:fldChar w:fldCharType="begin"/>
      </w:r>
      <w:r>
        <w:instrText xml:space="preserve"> PAGEREF _Toc216783238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(s. 8B.41 of Act)</w:t>
      </w:r>
      <w:r>
        <w:tab/>
      </w:r>
      <w:r>
        <w:fldChar w:fldCharType="begin"/>
      </w:r>
      <w:r>
        <w:instrText xml:space="preserve"> PAGEREF _Toc216783239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Powers of authorised officers (Part 8B Division 6 of Act)</w:t>
      </w:r>
    </w:p>
    <w:p>
      <w:pPr>
        <w:pStyle w:val="TOC8"/>
        <w:rPr>
          <w:rFonts w:asciiTheme="minorHAnsi" w:eastAsiaTheme="minorEastAsia" w:hAnsiTheme="minorHAnsi" w:cstheme="minorBidi"/>
          <w:szCs w:val="22"/>
        </w:rPr>
      </w:pPr>
      <w:r>
        <w:t>17.</w:t>
      </w:r>
      <w:r>
        <w:tab/>
        <w:t>Application for entry warrant (s. 8B.50 of Act)</w:t>
      </w:r>
      <w:r>
        <w:tab/>
      </w:r>
      <w:r>
        <w:fldChar w:fldCharType="begin"/>
      </w:r>
      <w:r>
        <w:instrText xml:space="preserve"> PAGEREF _Toc216783241 \h </w:instrText>
      </w:r>
      <w:r>
        <w:fldChar w:fldCharType="separate"/>
      </w:r>
      <w:r>
        <w:t>13</w:t>
      </w:r>
      <w:r>
        <w:fldChar w:fldCharType="end"/>
      </w:r>
    </w:p>
    <w:p>
      <w:pPr>
        <w:pStyle w:val="TOC8"/>
        <w:rPr>
          <w:rFonts w:asciiTheme="minorHAnsi" w:eastAsiaTheme="minorEastAsia" w:hAnsiTheme="minorHAnsi" w:cstheme="minorBidi"/>
          <w:szCs w:val="22"/>
        </w:rPr>
      </w:pPr>
      <w:r>
        <w:t>18.</w:t>
      </w:r>
      <w:r>
        <w:tab/>
        <w:t>Form of entry warrant (s. 8B.51 of Act)</w:t>
      </w:r>
      <w:r>
        <w:tab/>
      </w:r>
      <w:r>
        <w:fldChar w:fldCharType="begin"/>
      </w:r>
      <w:r>
        <w:instrText xml:space="preserve"> PAGEREF _Toc216783242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 issued by authorised inspectorate officer (Part 9 Division 2 Subdivision 2A of Act)</w:t>
      </w:r>
    </w:p>
    <w:p>
      <w:pPr>
        <w:pStyle w:val="TOC8"/>
        <w:rPr>
          <w:rFonts w:asciiTheme="minorHAnsi" w:eastAsiaTheme="minorEastAsia" w:hAnsiTheme="minorHAnsi" w:cstheme="minorBidi"/>
          <w:szCs w:val="22"/>
        </w:rPr>
      </w:pPr>
      <w:r>
        <w:t>19.</w:t>
      </w:r>
      <w:r>
        <w:tab/>
        <w:t>Prescribed offences and modified penalties (s. 9.22B of Act)</w:t>
      </w:r>
      <w:r>
        <w:tab/>
      </w:r>
      <w:r>
        <w:fldChar w:fldCharType="begin"/>
      </w:r>
      <w:r>
        <w:instrText xml:space="preserve"> PAGEREF _Toc216783244 \h </w:instrText>
      </w:r>
      <w:r>
        <w:fldChar w:fldCharType="separate"/>
      </w:r>
      <w:r>
        <w:t>14</w:t>
      </w:r>
      <w:r>
        <w:fldChar w:fldCharType="end"/>
      </w:r>
    </w:p>
    <w:p>
      <w:pPr>
        <w:pStyle w:val="TOC8"/>
        <w:rPr>
          <w:rFonts w:asciiTheme="minorHAnsi" w:eastAsiaTheme="minorEastAsia" w:hAnsiTheme="minorHAnsi" w:cstheme="minorBidi"/>
          <w:szCs w:val="22"/>
        </w:rPr>
      </w:pPr>
      <w:r>
        <w:t>20.</w:t>
      </w:r>
      <w:r>
        <w:tab/>
        <w:t>Appointment of authorised inspectorate officer (s. 9.22C of Act)</w:t>
      </w:r>
      <w:r>
        <w:tab/>
      </w:r>
      <w:r>
        <w:fldChar w:fldCharType="begin"/>
      </w:r>
      <w:r>
        <w:instrText xml:space="preserve"> PAGEREF _Toc216783245 \h </w:instrText>
      </w:r>
      <w:r>
        <w:fldChar w:fldCharType="separate"/>
      </w:r>
      <w:r>
        <w:t>14</w:t>
      </w:r>
      <w:r>
        <w:fldChar w:fldCharType="end"/>
      </w:r>
    </w:p>
    <w:p>
      <w:pPr>
        <w:pStyle w:val="TOC8"/>
        <w:rPr>
          <w:rFonts w:asciiTheme="minorHAnsi" w:eastAsiaTheme="minorEastAsia" w:hAnsiTheme="minorHAnsi" w:cstheme="minorBidi"/>
          <w:szCs w:val="22"/>
        </w:rPr>
      </w:pPr>
      <w:r>
        <w:t>21.</w:t>
      </w:r>
      <w:r>
        <w:tab/>
        <w:t>Form of infringement notice and approved officer (s. 9.22C and 9.22E of Act)</w:t>
      </w:r>
      <w:r>
        <w:tab/>
      </w:r>
      <w:r>
        <w:fldChar w:fldCharType="begin"/>
      </w:r>
      <w:r>
        <w:instrText xml:space="preserve"> PAGEREF _Toc216783246 \h </w:instrText>
      </w:r>
      <w:r>
        <w:fldChar w:fldCharType="separate"/>
      </w:r>
      <w:r>
        <w:t>14</w:t>
      </w:r>
      <w:r>
        <w:fldChar w:fldCharType="end"/>
      </w:r>
    </w:p>
    <w:p>
      <w:pPr>
        <w:pStyle w:val="TOC8"/>
        <w:rPr>
          <w:rFonts w:asciiTheme="minorHAnsi" w:eastAsiaTheme="minorEastAsia" w:hAnsiTheme="minorHAnsi" w:cstheme="minorBidi"/>
          <w:szCs w:val="22"/>
        </w:rPr>
      </w:pPr>
      <w:r>
        <w:t>22.</w:t>
      </w:r>
      <w:r>
        <w:tab/>
        <w:t>Issuing infringement notices (s. 9.22D of Act)</w:t>
      </w:r>
      <w:r>
        <w:tab/>
      </w:r>
      <w:r>
        <w:fldChar w:fldCharType="begin"/>
      </w:r>
      <w:r>
        <w:instrText xml:space="preserve"> PAGEREF _Toc216783247 \h </w:instrText>
      </w:r>
      <w:r>
        <w:fldChar w:fldCharType="separate"/>
      </w:r>
      <w:r>
        <w:t>15</w:t>
      </w:r>
      <w:r>
        <w:fldChar w:fldCharType="end"/>
      </w:r>
    </w:p>
    <w:p>
      <w:pPr>
        <w:pStyle w:val="TOC8"/>
        <w:rPr>
          <w:rFonts w:asciiTheme="minorHAnsi" w:eastAsiaTheme="minorEastAsia" w:hAnsiTheme="minorHAnsi" w:cstheme="minorBidi"/>
          <w:szCs w:val="22"/>
        </w:rPr>
      </w:pPr>
      <w:r>
        <w:t>23.</w:t>
      </w:r>
      <w:r>
        <w:tab/>
        <w:t>Form of notice to withdraw infringement notice (s. 9.22G of Act)</w:t>
      </w:r>
      <w:r>
        <w:tab/>
      </w:r>
      <w:r>
        <w:fldChar w:fldCharType="begin"/>
      </w:r>
      <w:r>
        <w:instrText xml:space="preserve"> PAGEREF _Toc216783248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 (Schedule 9.3 clause 81(2) of Act)</w:t>
      </w:r>
    </w:p>
    <w:p>
      <w:pPr>
        <w:pStyle w:val="TOC8"/>
        <w:rPr>
          <w:rFonts w:asciiTheme="minorHAnsi" w:eastAsiaTheme="minorEastAsia" w:hAnsiTheme="minorHAnsi" w:cstheme="minorBidi"/>
          <w:szCs w:val="22"/>
        </w:rPr>
      </w:pPr>
      <w:r>
        <w:t>24.</w:t>
      </w:r>
      <w:r>
        <w:tab/>
        <w:t>Application</w:t>
      </w:r>
      <w:r>
        <w:tab/>
      </w:r>
      <w:r>
        <w:fldChar w:fldCharType="begin"/>
      </w:r>
      <w:r>
        <w:instrText xml:space="preserve"> PAGEREF _Toc216783250 \h </w:instrText>
      </w:r>
      <w:r>
        <w:fldChar w:fldCharType="separate"/>
      </w:r>
      <w:r>
        <w:t>16</w:t>
      </w:r>
      <w:r>
        <w:fldChar w:fldCharType="end"/>
      </w:r>
    </w:p>
    <w:p>
      <w:pPr>
        <w:pStyle w:val="TOC8"/>
        <w:rPr>
          <w:rFonts w:asciiTheme="minorHAnsi" w:eastAsiaTheme="minorEastAsia" w:hAnsiTheme="minorHAnsi" w:cstheme="minorBidi"/>
          <w:szCs w:val="22"/>
        </w:rPr>
      </w:pPr>
      <w:r>
        <w:t>25.</w:t>
      </w:r>
      <w:r>
        <w:tab/>
        <w:t>Publication of information relating to complaints</w:t>
      </w:r>
      <w:r>
        <w:tab/>
      </w:r>
      <w:r>
        <w:fldChar w:fldCharType="begin"/>
      </w:r>
      <w:r>
        <w:instrText xml:space="preserve"> PAGEREF _Toc216783251 \h </w:instrText>
      </w:r>
      <w:r>
        <w:fldChar w:fldCharType="separate"/>
      </w:r>
      <w:r>
        <w:t>16</w:t>
      </w:r>
      <w:r>
        <w:fldChar w:fldCharType="end"/>
      </w:r>
    </w:p>
    <w:p>
      <w:pPr>
        <w:pStyle w:val="TOC8"/>
        <w:rPr>
          <w:rFonts w:asciiTheme="minorHAnsi" w:eastAsiaTheme="minorEastAsia" w:hAnsiTheme="minorHAnsi" w:cstheme="minorBidi"/>
          <w:szCs w:val="22"/>
        </w:rPr>
      </w:pPr>
      <w:r>
        <w:t>26.</w:t>
      </w:r>
      <w:r>
        <w:tab/>
        <w:t>Provisions relating to s. 5.119(1) of Act</w:t>
      </w:r>
      <w:r>
        <w:tab/>
      </w:r>
      <w:r>
        <w:fldChar w:fldCharType="begin"/>
      </w:r>
      <w:r>
        <w:instrText xml:space="preserve"> PAGEREF _Toc216783252 \h </w:instrText>
      </w:r>
      <w:r>
        <w:fldChar w:fldCharType="separate"/>
      </w:r>
      <w:r>
        <w:t>17</w:t>
      </w:r>
      <w:r>
        <w:fldChar w:fldCharType="end"/>
      </w:r>
    </w:p>
    <w:p>
      <w:pPr>
        <w:pStyle w:val="TOC8"/>
        <w:rPr>
          <w:rFonts w:asciiTheme="minorHAnsi" w:eastAsiaTheme="minorEastAsia" w:hAnsiTheme="minorHAnsi" w:cstheme="minorBidi"/>
          <w:szCs w:val="22"/>
        </w:rPr>
      </w:pPr>
      <w:r>
        <w:t>27.</w:t>
      </w:r>
      <w:r>
        <w:tab/>
        <w:t>Confidentiality about complaints made before 1 January 2026</w:t>
      </w:r>
      <w:r>
        <w:tab/>
      </w:r>
      <w:r>
        <w:fldChar w:fldCharType="begin"/>
      </w:r>
      <w:r>
        <w:instrText xml:space="preserve"> PAGEREF _Toc216783253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 of entry warrant</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 of infringement notice</w:t>
      </w:r>
    </w:p>
    <w:p>
      <w:pPr>
        <w:pStyle w:val="TOC2"/>
        <w:tabs>
          <w:tab w:val="right" w:leader="dot" w:pos="7077"/>
        </w:tabs>
        <w:rPr>
          <w:rFonts w:asciiTheme="minorHAnsi" w:eastAsiaTheme="minorEastAsia" w:hAnsiTheme="minorHAnsi" w:cstheme="minorBidi"/>
          <w:b w:val="0"/>
          <w:sz w:val="22"/>
          <w:szCs w:val="22"/>
        </w:rPr>
      </w:pPr>
      <w:r>
        <w:t>Schedule 4 — Form of notice to withdraw infringement notice</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jc w:val="center"/>
      </w:pPr>
    </w:p>
    <w:p>
      <w:pPr>
        <w:pStyle w:val="PrincipalActReg"/>
      </w:pPr>
      <w:r>
        <w:t>Local Government Act 1995</w:t>
      </w:r>
    </w:p>
    <w:p>
      <w:pPr>
        <w:pStyle w:val="NameofActReg"/>
      </w:pPr>
      <w:r>
        <w:t>Local Government (Local Government Inspector) Regulations 2025</w:t>
      </w:r>
    </w:p>
    <w:p>
      <w:pPr>
        <w:pStyle w:val="MadeBy"/>
      </w:pPr>
      <w:r>
        <w:t>Made by the Governor in Executive Council.</w:t>
      </w:r>
    </w:p>
    <w:p>
      <w:pPr>
        <w:pStyle w:val="Heading2"/>
        <w:pageBreakBefore w:val="0"/>
        <w:spacing w:before="260"/>
      </w:pPr>
      <w:bookmarkStart w:id="2" w:name="_Toc216355341"/>
      <w:bookmarkStart w:id="3" w:name="_Toc216355427"/>
      <w:bookmarkStart w:id="4" w:name="_Toc216355500"/>
      <w:bookmarkStart w:id="5" w:name="_Toc216356046"/>
      <w:bookmarkStart w:id="6" w:name="_Toc21678322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16355342"/>
      <w:bookmarkStart w:id="8" w:name="_Toc216783222"/>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Local Government (Local Government Inspector) Regulations 2025</w:t>
      </w:r>
      <w:r>
        <w:t>.</w:t>
      </w:r>
    </w:p>
    <w:p>
      <w:pPr>
        <w:pStyle w:val="Heading5"/>
        <w:rPr>
          <w:spacing w:val="-2"/>
        </w:rPr>
      </w:pPr>
      <w:bookmarkStart w:id="10" w:name="_Toc216355343"/>
      <w:bookmarkStart w:id="11" w:name="_Toc21678322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January 2026.</w:t>
      </w:r>
    </w:p>
    <w:p>
      <w:pPr>
        <w:pStyle w:val="Heading2"/>
      </w:pPr>
      <w:bookmarkStart w:id="12" w:name="_Toc216355344"/>
      <w:bookmarkStart w:id="13" w:name="_Toc216355430"/>
      <w:bookmarkStart w:id="14" w:name="_Toc216355503"/>
      <w:bookmarkStart w:id="15" w:name="_Toc216356049"/>
      <w:bookmarkStart w:id="16" w:name="_Toc216783224"/>
      <w:r>
        <w:rPr>
          <w:rStyle w:val="CharPartNo"/>
        </w:rPr>
        <w:lastRenderedPageBreak/>
        <w:t>Part 2</w:t>
      </w:r>
      <w:r>
        <w:rPr>
          <w:rStyle w:val="CharDivNo"/>
        </w:rPr>
        <w:t> </w:t>
      </w:r>
      <w:r>
        <w:t>—</w:t>
      </w:r>
      <w:r>
        <w:rPr>
          <w:rStyle w:val="CharDivText"/>
        </w:rPr>
        <w:t> </w:t>
      </w:r>
      <w:r>
        <w:rPr>
          <w:rStyle w:val="CharPartText"/>
        </w:rPr>
        <w:t>Breach complaints and general complaints (Part 8A of Act)</w:t>
      </w:r>
      <w:bookmarkEnd w:id="12"/>
      <w:bookmarkEnd w:id="13"/>
      <w:bookmarkEnd w:id="14"/>
      <w:bookmarkEnd w:id="15"/>
      <w:bookmarkEnd w:id="16"/>
    </w:p>
    <w:p>
      <w:pPr>
        <w:pStyle w:val="Heading5"/>
      </w:pPr>
      <w:bookmarkStart w:id="17" w:name="_Toc216355345"/>
      <w:bookmarkStart w:id="18" w:name="_Toc216783225"/>
      <w:r>
        <w:rPr>
          <w:rStyle w:val="CharSectno"/>
        </w:rPr>
        <w:t>3</w:t>
      </w:r>
      <w:r>
        <w:t>.</w:t>
      </w:r>
      <w:r>
        <w:tab/>
        <w:t>Terms used</w:t>
      </w:r>
      <w:bookmarkEnd w:id="17"/>
      <w:bookmarkEnd w:id="18"/>
    </w:p>
    <w:p>
      <w:pPr>
        <w:pStyle w:val="Subsection"/>
      </w:pPr>
      <w:r>
        <w:tab/>
        <w:t>(1)</w:t>
      </w:r>
      <w:r>
        <w:tab/>
        <w:t xml:space="preserve">In this Part — </w:t>
      </w:r>
    </w:p>
    <w:p>
      <w:pPr>
        <w:pStyle w:val="Defstart"/>
      </w:pPr>
      <w:r>
        <w:tab/>
      </w:r>
      <w:r>
        <w:rPr>
          <w:rStyle w:val="CharDefText"/>
        </w:rPr>
        <w:t>adopted code of conduct</w:t>
      </w:r>
      <w:r>
        <w:t>, of a local government, means the code of conduct adopted by the local government under section 5.104 of the Act.</w:t>
      </w:r>
    </w:p>
    <w:p>
      <w:pPr>
        <w:pStyle w:val="Subsection"/>
      </w:pPr>
      <w:r>
        <w:tab/>
        <w:t>(2)</w:t>
      </w:r>
      <w:r>
        <w:tab/>
        <w:t>If a term used in this Part is given a meaning in section 8A.1 of the Act, it has the same meaning in this Part.</w:t>
      </w:r>
    </w:p>
    <w:p>
      <w:pPr>
        <w:pStyle w:val="Heading5"/>
      </w:pPr>
      <w:bookmarkStart w:id="19" w:name="_Toc216355346"/>
      <w:bookmarkStart w:id="20" w:name="_Toc216783226"/>
      <w:r>
        <w:rPr>
          <w:rStyle w:val="CharSectno"/>
        </w:rPr>
        <w:t>4</w:t>
      </w:r>
      <w:r>
        <w:t>.</w:t>
      </w:r>
      <w:r>
        <w:tab/>
        <w:t>Conduct breaches (s. 8A.3 of Act)</w:t>
      </w:r>
      <w:bookmarkEnd w:id="19"/>
      <w:bookmarkEnd w:id="20"/>
    </w:p>
    <w:p>
      <w:pPr>
        <w:pStyle w:val="Subsection"/>
      </w:pPr>
      <w:r>
        <w:tab/>
        <w:t>(1)</w:t>
      </w:r>
      <w:r>
        <w:tab/>
        <w:t xml:space="preserve">In this regulation — </w:t>
      </w:r>
    </w:p>
    <w:p>
      <w:pPr>
        <w:pStyle w:val="Defstart"/>
      </w:pPr>
      <w:r>
        <w:tab/>
      </w:r>
      <w:r>
        <w:rPr>
          <w:rStyle w:val="CharDefText"/>
        </w:rPr>
        <w:t>local law as to conduct</w:t>
      </w:r>
      <w:r>
        <w:t xml:space="preserve"> means a local law made under the Act that relates to the conduct of people at council meetings or meetings of a committee of a council.</w:t>
      </w:r>
    </w:p>
    <w:p>
      <w:pPr>
        <w:pStyle w:val="Subsection"/>
      </w:pPr>
      <w:r>
        <w:tab/>
        <w:t>(2)</w:t>
      </w:r>
      <w:r>
        <w:tab/>
        <w:t>For the purposes of section 8A.3(1)(b) of the Act, the contravention of a local law as to conduct is a conduct breach.</w:t>
      </w:r>
    </w:p>
    <w:p>
      <w:pPr>
        <w:pStyle w:val="Heading5"/>
      </w:pPr>
      <w:bookmarkStart w:id="21" w:name="_Toc216355347"/>
      <w:bookmarkStart w:id="22" w:name="_Toc216783227"/>
      <w:r>
        <w:rPr>
          <w:rStyle w:val="CharSectno"/>
        </w:rPr>
        <w:t>5</w:t>
      </w:r>
      <w:r>
        <w:t>.</w:t>
      </w:r>
      <w:r>
        <w:tab/>
        <w:t>Specified breaches (s. 8A.4 of Act)</w:t>
      </w:r>
      <w:bookmarkEnd w:id="21"/>
      <w:bookmarkEnd w:id="22"/>
    </w:p>
    <w:p>
      <w:pPr>
        <w:pStyle w:val="Subsection"/>
      </w:pPr>
      <w:r>
        <w:tab/>
      </w:r>
      <w:r>
        <w:tab/>
        <w:t xml:space="preserve">For the purposes of section 8A.4(2)(b) of the Act, an offence under the </w:t>
      </w:r>
      <w:r>
        <w:rPr>
          <w:i/>
        </w:rPr>
        <w:t>Local Government (Administration) Regulations 1996</w:t>
      </w:r>
      <w:r>
        <w:t xml:space="preserve"> regulation 36B is a specified offence.</w:t>
      </w:r>
    </w:p>
    <w:p>
      <w:pPr>
        <w:pStyle w:val="Heading5"/>
      </w:pPr>
      <w:bookmarkStart w:id="23" w:name="_Toc216355348"/>
      <w:bookmarkStart w:id="24" w:name="_Toc216783228"/>
      <w:r>
        <w:rPr>
          <w:rStyle w:val="CharSectno"/>
        </w:rPr>
        <w:t>6</w:t>
      </w:r>
      <w:r>
        <w:t>.</w:t>
      </w:r>
      <w:r>
        <w:tab/>
        <w:t>Complaint alleging behavioural breach (s. 8A.12 of Act)</w:t>
      </w:r>
      <w:bookmarkEnd w:id="23"/>
      <w:bookmarkEnd w:id="24"/>
    </w:p>
    <w:p>
      <w:pPr>
        <w:pStyle w:val="Subsection"/>
      </w:pPr>
      <w:r>
        <w:tab/>
        <w:t>(1)</w:t>
      </w:r>
      <w:r>
        <w:tab/>
        <w:t>This regulation applies for the purposes of section 8A.12(1) of the Act.</w:t>
      </w:r>
    </w:p>
    <w:p>
      <w:pPr>
        <w:pStyle w:val="Subsection"/>
      </w:pPr>
      <w:r>
        <w:tab/>
        <w:t>(2)</w:t>
      </w:r>
      <w:r>
        <w:tab/>
        <w:t>Subject to subregulation (3), the Inspector must refer the complaint to the local government concerned to be dealt with under the local government’s adopted code of conduct.</w:t>
      </w:r>
    </w:p>
    <w:p>
      <w:pPr>
        <w:pStyle w:val="Subsection"/>
      </w:pPr>
      <w:r>
        <w:tab/>
        <w:t>(3)</w:t>
      </w:r>
      <w:r>
        <w:tab/>
        <w:t xml:space="preserve">The Inspector must refer the complaint to the Principal Adjudicator under section 8A.13(1)(a) of the Act to be dealt </w:t>
      </w:r>
      <w:r>
        <w:lastRenderedPageBreak/>
        <w:t xml:space="preserve">with under Part 8A Division 5 of the Act as if the complaint were a breach complaint alleging a conduct breach if — </w:t>
      </w:r>
    </w:p>
    <w:p>
      <w:pPr>
        <w:pStyle w:val="Indenta"/>
      </w:pPr>
      <w:r>
        <w:tab/>
        <w:t>(a)</w:t>
      </w:r>
      <w:r>
        <w:tab/>
        <w:t>the respondent has, on at least 2 previous occasions, been found, under a local government’s adopted code of conduct, to have committed, on or after 1 January 2026, a behavioural breach; and</w:t>
      </w:r>
    </w:p>
    <w:p>
      <w:pPr>
        <w:pStyle w:val="Indenta"/>
      </w:pPr>
      <w:r>
        <w:tab/>
        <w:t>(b)</w:t>
      </w:r>
      <w:r>
        <w:tab/>
        <w:t>having regard to those behavioural breaches, the Inspector considers that the complaint ought to be dealt with under Part 8A Division 5 of the Act as if the complaint were a breach complaint alleging a conduct breach.</w:t>
      </w:r>
    </w:p>
    <w:p>
      <w:pPr>
        <w:pStyle w:val="Heading5"/>
      </w:pPr>
      <w:bookmarkStart w:id="25" w:name="_Toc216355349"/>
      <w:bookmarkStart w:id="26" w:name="_Toc216783229"/>
      <w:r>
        <w:rPr>
          <w:rStyle w:val="CharSectno"/>
        </w:rPr>
        <w:t>7</w:t>
      </w:r>
      <w:r>
        <w:t>.</w:t>
      </w:r>
      <w:r>
        <w:tab/>
        <w:t>Mediation (s. 8A.15 and 8A.34 of Act)</w:t>
      </w:r>
      <w:bookmarkEnd w:id="25"/>
      <w:bookmarkEnd w:id="26"/>
    </w:p>
    <w:p>
      <w:pPr>
        <w:pStyle w:val="Subsection"/>
      </w:pPr>
      <w:r>
        <w:tab/>
        <w:t>(1)</w:t>
      </w:r>
      <w:r>
        <w:tab/>
        <w:t>This regulation applies for the purposes of sections 8A.15(2) and 8A.34(4) of the Act.</w:t>
      </w:r>
    </w:p>
    <w:p>
      <w:pPr>
        <w:pStyle w:val="Subsection"/>
      </w:pPr>
      <w:r>
        <w:tab/>
        <w:t>(2)</w:t>
      </w:r>
      <w:r>
        <w:tab/>
        <w:t xml:space="preserve">The Principal Adjudicator must establish and maintain a panel (the </w:t>
      </w:r>
      <w:r>
        <w:rPr>
          <w:rStyle w:val="CharDefText"/>
        </w:rPr>
        <w:t>mediators panel</w:t>
      </w:r>
      <w:r>
        <w:t>) that consists of persons who the Principal Adjudicator considers to be suitably qualified and experienced to be mediators.</w:t>
      </w:r>
    </w:p>
    <w:p>
      <w:pPr>
        <w:pStyle w:val="Subsection"/>
      </w:pPr>
      <w:r>
        <w:tab/>
        <w:t>(3)</w:t>
      </w:r>
      <w:r>
        <w:tab/>
        <w:t>An adjudicator may be a member of the mediators panel.</w:t>
      </w:r>
    </w:p>
    <w:p>
      <w:pPr>
        <w:pStyle w:val="Subsection"/>
      </w:pPr>
      <w:r>
        <w:tab/>
        <w:t>(4)</w:t>
      </w:r>
      <w:r>
        <w:tab/>
        <w:t xml:space="preserve">If a complainant and respondent agree to a request to participate in mediation under section 8A.15(1) or 8A.34(3) of the Act — </w:t>
      </w:r>
    </w:p>
    <w:p>
      <w:pPr>
        <w:pStyle w:val="Indenta"/>
      </w:pPr>
      <w:r>
        <w:tab/>
        <w:t>(a)</w:t>
      </w:r>
      <w:r>
        <w:tab/>
        <w:t xml:space="preserve">the adjudicator or Inspector, as the case requires, must — </w:t>
      </w:r>
    </w:p>
    <w:p>
      <w:pPr>
        <w:pStyle w:val="Indenti"/>
      </w:pPr>
      <w:r>
        <w:tab/>
        <w:t>(i)</w:t>
      </w:r>
      <w:r>
        <w:tab/>
        <w:t>appoint a member of the mediators panel to be the mediator; and</w:t>
      </w:r>
    </w:p>
    <w:p>
      <w:pPr>
        <w:pStyle w:val="Indenti"/>
      </w:pPr>
      <w:r>
        <w:tab/>
        <w:t>(ii)</w:t>
      </w:r>
      <w:r>
        <w:tab/>
        <w:t>set the time within which the mediation must be completed;</w:t>
      </w:r>
    </w:p>
    <w:p>
      <w:pPr>
        <w:pStyle w:val="Indenta"/>
      </w:pPr>
      <w:r>
        <w:tab/>
      </w:r>
      <w:r>
        <w:tab/>
        <w:t>and</w:t>
      </w:r>
    </w:p>
    <w:p>
      <w:pPr>
        <w:pStyle w:val="Indenta"/>
      </w:pPr>
      <w:r>
        <w:tab/>
        <w:t>(b)</w:t>
      </w:r>
      <w:r>
        <w:tab/>
        <w:t>the mediator must determine the procedures to be followed for the mediation; and</w:t>
      </w:r>
    </w:p>
    <w:p>
      <w:pPr>
        <w:pStyle w:val="Indenta"/>
      </w:pPr>
      <w:r>
        <w:lastRenderedPageBreak/>
        <w:tab/>
        <w:t>(c)</w:t>
      </w:r>
      <w:r>
        <w:tab/>
        <w:t>the mediation must be completed within the time set under paragraph (a)(ii), subject to any extension of that time allowed by the adjudicator or Inspector, as the case requires; and</w:t>
      </w:r>
    </w:p>
    <w:p>
      <w:pPr>
        <w:pStyle w:val="Indenta"/>
      </w:pPr>
      <w:r>
        <w:tab/>
        <w:t>(d)</w:t>
      </w:r>
      <w:r>
        <w:tab/>
        <w:t>the mediator must report the outcome of the mediation to the adjudicator or Inspector, as the case requires; and</w:t>
      </w:r>
    </w:p>
    <w:p>
      <w:pPr>
        <w:pStyle w:val="Indenta"/>
      </w:pPr>
      <w:r>
        <w:tab/>
        <w:t>(e)</w:t>
      </w:r>
      <w:r>
        <w:tab/>
        <w:t>an amount equal to the costs of the mediation, as determined and certified by the Principal Adjudicator, must be paid to the State by the local government concerned.</w:t>
      </w:r>
    </w:p>
    <w:p>
      <w:pPr>
        <w:pStyle w:val="PermNoteHeading"/>
      </w:pPr>
      <w:r>
        <w:tab/>
        <w:t>Examples for this paragraph:</w:t>
      </w:r>
    </w:p>
    <w:p>
      <w:pPr>
        <w:pStyle w:val="PermNoteText"/>
      </w:pPr>
      <w:r>
        <w:tab/>
        <w:t>1.</w:t>
      </w:r>
      <w:r>
        <w:tab/>
        <w:t>The mediator’s remuneration and expenses.</w:t>
      </w:r>
    </w:p>
    <w:p>
      <w:pPr>
        <w:pStyle w:val="PermNoteText"/>
      </w:pPr>
      <w:r>
        <w:tab/>
        <w:t>2.</w:t>
      </w:r>
      <w:r>
        <w:tab/>
        <w:t>Administrative costs incurred by the State in connection with the mediation.</w:t>
      </w:r>
    </w:p>
    <w:p>
      <w:pPr>
        <w:pStyle w:val="Subsection"/>
      </w:pPr>
      <w:r>
        <w:tab/>
        <w:t>(5)</w:t>
      </w:r>
      <w:r>
        <w:tab/>
        <w:t>In the case of a mediation under section 8A.15(1) of the Act, the adjudicator cannot appoint themself to be the mediator under subregulation (4)(a)(i).</w:t>
      </w:r>
    </w:p>
    <w:p>
      <w:pPr>
        <w:pStyle w:val="Subsection"/>
      </w:pPr>
      <w:r>
        <w:tab/>
        <w:t>(6)</w:t>
      </w:r>
      <w:r>
        <w:tab/>
        <w:t>If, after a mediation under section 8A.15(1) of the Act, the adjudicator finds under section 8A.18 of the Act that a conduct breach has occurred, the adjudicator may order that the respondent pay to the local government concerned an amount equal to the amount to be paid by the local government to the State under subregulation (4)(e).</w:t>
      </w:r>
    </w:p>
    <w:p>
      <w:pPr>
        <w:pStyle w:val="Subsection"/>
      </w:pPr>
      <w:r>
        <w:tab/>
        <w:t>(7)</w:t>
      </w:r>
      <w:r>
        <w:tab/>
        <w:t>If, after a mediation under section 8A.34(3) of the Act, the Inspector forms the view under section 8A.34(5) of the Act that a person has contravened, or is contravening, a provision, the Inspector may order that the person pay to the local government concerned an amount equal to the amount to be paid by the local government to the State under subregulation (4)(e).</w:t>
      </w:r>
    </w:p>
    <w:p>
      <w:pPr>
        <w:pStyle w:val="Subsection"/>
      </w:pPr>
      <w:r>
        <w:tab/>
        <w:t>(8)</w:t>
      </w:r>
      <w:r>
        <w:tab/>
        <w:t>An amount certified under subregulation (4)(e), or ordered to be paid under subregulation (6) or (7), is recoverable by the State or the local government, as the case requires, in a court of competent jurisdiction as a debt due to the State or the local government.</w:t>
      </w:r>
    </w:p>
    <w:p>
      <w:pPr>
        <w:pStyle w:val="Heading5"/>
      </w:pPr>
      <w:bookmarkStart w:id="27" w:name="_Toc216355350"/>
      <w:bookmarkStart w:id="28" w:name="_Toc216783230"/>
      <w:r>
        <w:rPr>
          <w:rStyle w:val="CharSectno"/>
        </w:rPr>
        <w:lastRenderedPageBreak/>
        <w:t>8</w:t>
      </w:r>
      <w:r>
        <w:t>.</w:t>
      </w:r>
      <w:r>
        <w:tab/>
        <w:t>Publication of censures and orders made by adjudicator (s. 8A.20 of Act)</w:t>
      </w:r>
      <w:bookmarkEnd w:id="27"/>
      <w:bookmarkEnd w:id="28"/>
    </w:p>
    <w:p>
      <w:pPr>
        <w:pStyle w:val="Subsection"/>
      </w:pPr>
      <w:r>
        <w:tab/>
        <w:t>(1)</w:t>
      </w:r>
      <w:r>
        <w:tab/>
        <w:t>For the purposes of section 8A.20(2) of the Act, information referred to in section 8A.20(1) of the Act must be kept on the Inspector’s website for the period of 12 years beginning on the day on which the information is published on the Inspector’s website.</w:t>
      </w:r>
    </w:p>
    <w:p>
      <w:pPr>
        <w:pStyle w:val="Subsection"/>
      </w:pPr>
      <w:r>
        <w:tab/>
        <w:t>(2)</w:t>
      </w:r>
      <w:r>
        <w:tab/>
        <w:t xml:space="preserve">If an application is made under section 8A.22(1) of the Act for a review of a decision to make an order that is required to be published under section 8A.20(1) of the Act, the Inspector must also publish the following on the Inspector’s website as soon as practicable — </w:t>
      </w:r>
    </w:p>
    <w:p>
      <w:pPr>
        <w:pStyle w:val="Indenta"/>
      </w:pPr>
      <w:r>
        <w:tab/>
        <w:t>(a)</w:t>
      </w:r>
      <w:r>
        <w:tab/>
        <w:t>a note that the application has been made;</w:t>
      </w:r>
    </w:p>
    <w:p>
      <w:pPr>
        <w:pStyle w:val="Indenta"/>
      </w:pPr>
      <w:r>
        <w:tab/>
        <w:t>(b)</w:t>
      </w:r>
      <w:r>
        <w:tab/>
        <w:t>a note of the outcome of the application.</w:t>
      </w:r>
    </w:p>
    <w:p>
      <w:pPr>
        <w:pStyle w:val="Subsection"/>
      </w:pPr>
      <w:r>
        <w:tab/>
        <w:t>(3)</w:t>
      </w:r>
      <w:r>
        <w:tab/>
        <w:t>A note published under subregulation (2) must be kept on the Inspector’s website with the published order.</w:t>
      </w:r>
    </w:p>
    <w:p>
      <w:pPr>
        <w:pStyle w:val="Heading5"/>
      </w:pPr>
      <w:bookmarkStart w:id="29" w:name="_Toc216355351"/>
      <w:bookmarkStart w:id="30" w:name="_Toc216783231"/>
      <w:r>
        <w:rPr>
          <w:rStyle w:val="CharSectno"/>
        </w:rPr>
        <w:t>9</w:t>
      </w:r>
      <w:r>
        <w:t>.</w:t>
      </w:r>
      <w:r>
        <w:tab/>
        <w:t>Publication of censures and SAT orders (s. 8A.26 of Act)</w:t>
      </w:r>
      <w:bookmarkEnd w:id="29"/>
      <w:bookmarkEnd w:id="30"/>
    </w:p>
    <w:p>
      <w:pPr>
        <w:pStyle w:val="Subsection"/>
      </w:pPr>
      <w:r>
        <w:tab/>
        <w:t>(1)</w:t>
      </w:r>
      <w:r>
        <w:tab/>
        <w:t>This regulation applies for the purposes of section 8A.26(1)(c) and (4) of the Act.</w:t>
      </w:r>
    </w:p>
    <w:p>
      <w:pPr>
        <w:pStyle w:val="Subsection"/>
      </w:pPr>
      <w:r>
        <w:tab/>
        <w:t>(2)</w:t>
      </w:r>
      <w:r>
        <w:tab/>
        <w:t>Information referred to in section 8A.26(1)(a) or (b) of the Act must be kept on the Inspector’s website for the period of 12 years beginning on the day on which the information is published on the Inspector’s website.</w:t>
      </w:r>
    </w:p>
    <w:p>
      <w:pPr>
        <w:pStyle w:val="Subsection"/>
      </w:pPr>
      <w:r>
        <w:tab/>
        <w:t>(3)</w:t>
      </w:r>
      <w:r>
        <w:tab/>
        <w:t>If the Inspector includes a note under section 8A.26(3)(b) of the Act, the Inspector must include a note of the outcome of the appeal as soon as practicable.</w:t>
      </w:r>
    </w:p>
    <w:p>
      <w:pPr>
        <w:pStyle w:val="Heading5"/>
      </w:pPr>
      <w:bookmarkStart w:id="31" w:name="_Toc216355352"/>
      <w:bookmarkStart w:id="32" w:name="_Toc216783232"/>
      <w:r>
        <w:rPr>
          <w:rStyle w:val="CharSectno"/>
        </w:rPr>
        <w:t>10</w:t>
      </w:r>
      <w:r>
        <w:t>.</w:t>
      </w:r>
      <w:r>
        <w:tab/>
        <w:t>Complaint or report about CEO (s. 8A.33 and 8A.35 of Act)</w:t>
      </w:r>
      <w:bookmarkEnd w:id="31"/>
      <w:bookmarkEnd w:id="32"/>
    </w:p>
    <w:p>
      <w:pPr>
        <w:pStyle w:val="Subsection"/>
      </w:pPr>
      <w:r>
        <w:tab/>
        <w:t>(1)</w:t>
      </w:r>
      <w:r>
        <w:tab/>
        <w:t xml:space="preserve">In this regulation — </w:t>
      </w:r>
    </w:p>
    <w:p>
      <w:pPr>
        <w:pStyle w:val="Defstart"/>
      </w:pPr>
      <w:r>
        <w:tab/>
      </w:r>
      <w:r>
        <w:rPr>
          <w:rStyle w:val="CharDefText"/>
        </w:rPr>
        <w:t>employee</w:t>
      </w:r>
      <w:r>
        <w:t xml:space="preserve"> means an employee of the local government other than the CEO;</w:t>
      </w:r>
    </w:p>
    <w:p>
      <w:pPr>
        <w:pStyle w:val="Defstart"/>
      </w:pPr>
      <w:r>
        <w:lastRenderedPageBreak/>
        <w:tab/>
      </w:r>
      <w:r>
        <w:rPr>
          <w:rStyle w:val="CharDefText"/>
        </w:rPr>
        <w:t>matter</w:t>
      </w:r>
      <w:r>
        <w:t xml:space="preserve"> means, as the case requires — </w:t>
      </w:r>
    </w:p>
    <w:p>
      <w:pPr>
        <w:pStyle w:val="Defpara"/>
      </w:pPr>
      <w:r>
        <w:tab/>
        <w:t>(a)</w:t>
      </w:r>
      <w:r>
        <w:tab/>
        <w:t>the complaint relating to the CEO referred to in section 8A.33(6) of the Act; or</w:t>
      </w:r>
    </w:p>
    <w:p>
      <w:pPr>
        <w:pStyle w:val="Defpara"/>
      </w:pPr>
      <w:r>
        <w:tab/>
        <w:t>(b)</w:t>
      </w:r>
      <w:r>
        <w:tab/>
        <w:t>the investigator’s report referred to in section 8A.35(5) of the Act.</w:t>
      </w:r>
    </w:p>
    <w:p>
      <w:pPr>
        <w:pStyle w:val="Subsection"/>
      </w:pPr>
      <w:r>
        <w:tab/>
        <w:t>(2)</w:t>
      </w:r>
      <w:r>
        <w:tab/>
        <w:t>This regulation applies for the purposes of sections 8A.33(6) and 8A.35(5) of the Act.</w:t>
      </w:r>
    </w:p>
    <w:p>
      <w:pPr>
        <w:pStyle w:val="Subsection"/>
      </w:pPr>
      <w:r>
        <w:tab/>
        <w:t>(3)</w:t>
      </w:r>
      <w:r>
        <w:tab/>
        <w:t xml:space="preserve">In relation to the dealing with of the matter — </w:t>
      </w:r>
    </w:p>
    <w:p>
      <w:pPr>
        <w:pStyle w:val="Indenta"/>
      </w:pPr>
      <w:r>
        <w:tab/>
        <w:t>(a)</w:t>
      </w:r>
      <w:r>
        <w:tab/>
        <w:t>the role of the CEO, as described in section 5.41(1) to (5) of the Act, is to be performed by an employee nominated by the mayor or president; and</w:t>
      </w:r>
    </w:p>
    <w:p>
      <w:pPr>
        <w:pStyle w:val="Indenta"/>
      </w:pPr>
      <w:r>
        <w:tab/>
        <w:t>(b)</w:t>
      </w:r>
      <w:r>
        <w:tab/>
        <w:t>in performing that role, the employee is subject to the direction of the mayor or president.</w:t>
      </w:r>
    </w:p>
    <w:p>
      <w:pPr>
        <w:pStyle w:val="Subsection"/>
      </w:pPr>
      <w:r>
        <w:tab/>
        <w:t>(4)</w:t>
      </w:r>
      <w:r>
        <w:tab/>
        <w:t xml:space="preserve">Without limiting subregulation (3)(b), the mayor or president may direct the employee — </w:t>
      </w:r>
    </w:p>
    <w:p>
      <w:pPr>
        <w:pStyle w:val="Indenta"/>
      </w:pPr>
      <w:r>
        <w:tab/>
        <w:t>(a)</w:t>
      </w:r>
      <w:r>
        <w:tab/>
        <w:t>to determine the reports, advice or other assistance that the council will need in order to deal with the matter; and</w:t>
      </w:r>
    </w:p>
    <w:p>
      <w:pPr>
        <w:pStyle w:val="Indenta"/>
      </w:pPr>
      <w:r>
        <w:tab/>
        <w:t>(b)</w:t>
      </w:r>
      <w:r>
        <w:tab/>
        <w:t>to provide or procure those reports, advice or other assistance; and</w:t>
      </w:r>
    </w:p>
    <w:p>
      <w:pPr>
        <w:pStyle w:val="Indenta"/>
      </w:pPr>
      <w:r>
        <w:tab/>
        <w:t>(c)</w:t>
      </w:r>
      <w:r>
        <w:tab/>
        <w:t>to do anything else that the mayor or president considers appropriate in relation to the dealing with of the matter.</w:t>
      </w:r>
    </w:p>
    <w:p>
      <w:pPr>
        <w:pStyle w:val="Subsection"/>
      </w:pPr>
      <w:r>
        <w:tab/>
        <w:t>(5)</w:t>
      </w:r>
      <w:r>
        <w:tab/>
        <w:t xml:space="preserve">Without limiting subregulation (3), if the mayor or president decides to call for a special meeting of the council under section 5.4(a) of the Act for the purpose of dealing with the matter — </w:t>
      </w:r>
    </w:p>
    <w:p>
      <w:pPr>
        <w:pStyle w:val="Indenta"/>
      </w:pPr>
      <w:r>
        <w:tab/>
        <w:t>(a)</w:t>
      </w:r>
      <w:r>
        <w:tab/>
        <w:t>the notice under section 5.4(a) of the Act is to be given to an employee nominated by the mayor or president; and</w:t>
      </w:r>
    </w:p>
    <w:p>
      <w:pPr>
        <w:pStyle w:val="Indenta"/>
      </w:pPr>
      <w:r>
        <w:tab/>
        <w:t>(b)</w:t>
      </w:r>
      <w:r>
        <w:tab/>
        <w:t>that employee must then, at the direction of the mayor or president, perform the CEO’s function under section 5.5(2) of the Act.</w:t>
      </w:r>
    </w:p>
    <w:p>
      <w:pPr>
        <w:pStyle w:val="Heading5"/>
      </w:pPr>
      <w:bookmarkStart w:id="33" w:name="_Toc216355353"/>
      <w:bookmarkStart w:id="34" w:name="_Toc216783233"/>
      <w:r>
        <w:rPr>
          <w:rStyle w:val="CharSectno"/>
        </w:rPr>
        <w:lastRenderedPageBreak/>
        <w:t>11</w:t>
      </w:r>
      <w:r>
        <w:t>.</w:t>
      </w:r>
      <w:r>
        <w:tab/>
        <w:t>Confidentiality about complaints (s. 8A.36 of Act)</w:t>
      </w:r>
      <w:bookmarkEnd w:id="33"/>
      <w:bookmarkEnd w:id="34"/>
    </w:p>
    <w:p>
      <w:pPr>
        <w:pStyle w:val="Subsection"/>
      </w:pPr>
      <w:r>
        <w:tab/>
      </w:r>
      <w:r>
        <w:tab/>
        <w:t xml:space="preserve">For the purposes of section 8A.36(6)(h) of the Act, the disclosure or use of information to which section 8A.36(2) of the Act applies is authorised if any of the following has occurred — </w:t>
      </w:r>
    </w:p>
    <w:p>
      <w:pPr>
        <w:pStyle w:val="Indenta"/>
      </w:pPr>
      <w:r>
        <w:tab/>
        <w:t>(a)</w:t>
      </w:r>
      <w:r>
        <w:tab/>
        <w:t>the complaint is dismissed or withdrawn under the adopted code of conduct of the local government concerned;</w:t>
      </w:r>
    </w:p>
    <w:p>
      <w:pPr>
        <w:pStyle w:val="Indenta"/>
      </w:pPr>
      <w:r>
        <w:tab/>
        <w:t>(b)</w:t>
      </w:r>
      <w:r>
        <w:tab/>
        <w:t>a finding is made under the adopted code of conduct of the local government concerned as to whether the alleged breach the subject of the complaint has occurred;</w:t>
      </w:r>
    </w:p>
    <w:p>
      <w:pPr>
        <w:pStyle w:val="Indenta"/>
      </w:pPr>
      <w:r>
        <w:tab/>
        <w:t>(c)</w:t>
      </w:r>
      <w:r>
        <w:tab/>
        <w:t>the Inspector declines to accept the complaint under section 8A.8(1) of the Act;</w:t>
      </w:r>
    </w:p>
    <w:p>
      <w:pPr>
        <w:pStyle w:val="Indenta"/>
      </w:pPr>
      <w:r>
        <w:tab/>
        <w:t>(d)</w:t>
      </w:r>
      <w:r>
        <w:tab/>
        <w:t>the Inspector declines to continue dealing with the complaint under section 8A.8(2) of the Act;</w:t>
      </w:r>
    </w:p>
    <w:p>
      <w:pPr>
        <w:pStyle w:val="Indenta"/>
      </w:pPr>
      <w:r>
        <w:tab/>
        <w:t>(e)</w:t>
      </w:r>
      <w:r>
        <w:tab/>
        <w:t>the Inspector declines to accept the complaint under section 8A.9 of the Act;</w:t>
      </w:r>
    </w:p>
    <w:p>
      <w:pPr>
        <w:pStyle w:val="Indenta"/>
      </w:pPr>
      <w:r>
        <w:tab/>
        <w:t>(f)</w:t>
      </w:r>
      <w:r>
        <w:tab/>
        <w:t>the complaint is withdrawn under section 8A.16(1) of the Act (unless section 8A.16(4) of the Act applies);</w:t>
      </w:r>
    </w:p>
    <w:p>
      <w:pPr>
        <w:pStyle w:val="Indenta"/>
      </w:pPr>
      <w:r>
        <w:tab/>
        <w:t>(g)</w:t>
      </w:r>
      <w:r>
        <w:tab/>
        <w:t>the Inspector publishes information relating to the complaint under section 8A.20(1) or 8A.26(1) of the Act;</w:t>
      </w:r>
    </w:p>
    <w:p>
      <w:pPr>
        <w:pStyle w:val="Indenta"/>
      </w:pPr>
      <w:r>
        <w:tab/>
        <w:t>(h)</w:t>
      </w:r>
      <w:r>
        <w:tab/>
        <w:t>on an allegation under section 8A.24(1) of the Act, the State Administrative Tribunal refuses to find that the person against whom the allegation was made committed a specified breach;</w:t>
      </w:r>
    </w:p>
    <w:p>
      <w:pPr>
        <w:pStyle w:val="Indenta"/>
      </w:pPr>
      <w:r>
        <w:tab/>
        <w:t>(i)</w:t>
      </w:r>
      <w:r>
        <w:tab/>
        <w:t>the Inspector declines to accept the complaint under section 8A.31(1) of the Act;</w:t>
      </w:r>
    </w:p>
    <w:p>
      <w:pPr>
        <w:pStyle w:val="Indenta"/>
      </w:pPr>
      <w:r>
        <w:tab/>
        <w:t>(j)</w:t>
      </w:r>
      <w:r>
        <w:tab/>
        <w:t>the Inspector declines to continue dealing with the complaint under section 8A.31(2) of the Act;</w:t>
      </w:r>
    </w:p>
    <w:p>
      <w:pPr>
        <w:pStyle w:val="Indenta"/>
      </w:pPr>
      <w:r>
        <w:tab/>
        <w:t>(k)</w:t>
      </w:r>
      <w:r>
        <w:tab/>
        <w:t>the Inspector declines to accept the complaint under section 8A.32 of the Act;</w:t>
      </w:r>
    </w:p>
    <w:p>
      <w:pPr>
        <w:pStyle w:val="Indenta"/>
        <w:rPr>
          <w:b/>
          <w:bCs/>
        </w:rPr>
      </w:pPr>
      <w:r>
        <w:lastRenderedPageBreak/>
        <w:tab/>
        <w:t>(l)</w:t>
      </w:r>
      <w:r>
        <w:tab/>
        <w:t>after receiving a report in relation to the complaint from an investigator under section 8A.34 of the Act, the Inspector decides that the complaint is not to be dealt with any further under that section.</w:t>
      </w:r>
    </w:p>
    <w:p>
      <w:pPr>
        <w:pStyle w:val="Heading2"/>
      </w:pPr>
      <w:bookmarkStart w:id="35" w:name="_Toc216355354"/>
      <w:bookmarkStart w:id="36" w:name="_Toc216355440"/>
      <w:bookmarkStart w:id="37" w:name="_Toc216355513"/>
      <w:bookmarkStart w:id="38" w:name="_Toc216356059"/>
      <w:bookmarkStart w:id="39" w:name="_Toc216783234"/>
      <w:r>
        <w:rPr>
          <w:rStyle w:val="CharPartNo"/>
        </w:rPr>
        <w:lastRenderedPageBreak/>
        <w:t>Part 3</w:t>
      </w:r>
      <w:r>
        <w:rPr>
          <w:rStyle w:val="CharDivNo"/>
        </w:rPr>
        <w:t> </w:t>
      </w:r>
      <w:r>
        <w:t>—</w:t>
      </w:r>
      <w:r>
        <w:rPr>
          <w:rStyle w:val="CharDivText"/>
        </w:rPr>
        <w:t> </w:t>
      </w:r>
      <w:r>
        <w:rPr>
          <w:rStyle w:val="CharPartText"/>
        </w:rPr>
        <w:t>Monitors (Part 8B Division 5 of Act)</w:t>
      </w:r>
      <w:bookmarkEnd w:id="35"/>
      <w:bookmarkEnd w:id="36"/>
      <w:bookmarkEnd w:id="37"/>
      <w:bookmarkEnd w:id="38"/>
      <w:bookmarkEnd w:id="39"/>
    </w:p>
    <w:p>
      <w:pPr>
        <w:pStyle w:val="Heading5"/>
      </w:pPr>
      <w:bookmarkStart w:id="40" w:name="_Toc216355355"/>
      <w:bookmarkStart w:id="41" w:name="_Toc216783235"/>
      <w:r>
        <w:rPr>
          <w:rStyle w:val="CharSectno"/>
        </w:rPr>
        <w:t>12</w:t>
      </w:r>
      <w:r>
        <w:t>.</w:t>
      </w:r>
      <w:r>
        <w:tab/>
        <w:t>Remuneration and expenses (s. 8B.39 and 8B.41 of Act)</w:t>
      </w:r>
      <w:bookmarkEnd w:id="40"/>
      <w:bookmarkEnd w:id="41"/>
    </w:p>
    <w:p>
      <w:pPr>
        <w:pStyle w:val="Subsection"/>
      </w:pPr>
      <w:r>
        <w:tab/>
        <w:t>(1)</w:t>
      </w:r>
      <w:r>
        <w:tab/>
        <w:t>This regulation applies for the purposes of sections 8B.39(2)(c) and (g) and 8B.41(a), (b) and (c) of the Act.</w:t>
      </w:r>
    </w:p>
    <w:p>
      <w:pPr>
        <w:pStyle w:val="Subsection"/>
      </w:pPr>
      <w:r>
        <w:tab/>
        <w:t>(2)</w:t>
      </w:r>
      <w:r>
        <w:tab/>
        <w:t xml:space="preserve">Before appointing a monitor for a local government, the Inspector must — </w:t>
      </w:r>
    </w:p>
    <w:p>
      <w:pPr>
        <w:pStyle w:val="Indenta"/>
      </w:pPr>
      <w:r>
        <w:tab/>
        <w:t>(a)</w:t>
      </w:r>
      <w:r>
        <w:tab/>
        <w:t>determine the remuneration and expenses to be paid to the monitor and the procedure for their payment; and</w:t>
      </w:r>
    </w:p>
    <w:p>
      <w:pPr>
        <w:pStyle w:val="Indenta"/>
      </w:pPr>
      <w:r>
        <w:tab/>
        <w:t>(b)</w:t>
      </w:r>
      <w:r>
        <w:tab/>
        <w:t>include the determination in the monitor’s terms of appointment under section 8B.39 of the Act.</w:t>
      </w:r>
    </w:p>
    <w:p>
      <w:pPr>
        <w:pStyle w:val="Subsection"/>
      </w:pPr>
      <w:r>
        <w:tab/>
        <w:t>(3)</w:t>
      </w:r>
      <w:r>
        <w:tab/>
        <w:t xml:space="preserve">Without limiting what else may be included in the determination, the determination may provide as follows — </w:t>
      </w:r>
    </w:p>
    <w:p>
      <w:pPr>
        <w:pStyle w:val="Indenta"/>
      </w:pPr>
      <w:r>
        <w:tab/>
        <w:t>(a)</w:t>
      </w:r>
      <w:r>
        <w:tab/>
        <w:t>for the monitor to be paid an expense that is not otherwise covered by the determination if the expense is incurred with the Inspector’s prior approval;</w:t>
      </w:r>
    </w:p>
    <w:p>
      <w:pPr>
        <w:pStyle w:val="Indenta"/>
      </w:pPr>
      <w:r>
        <w:tab/>
        <w:t>(b)</w:t>
      </w:r>
      <w:r>
        <w:tab/>
        <w:t>for the local government to pay the monitor’s remuneration and expenses to the State (rather than to the monitor directly).</w:t>
      </w:r>
    </w:p>
    <w:p>
      <w:pPr>
        <w:pStyle w:val="Subsection"/>
      </w:pPr>
      <w:r>
        <w:tab/>
        <w:t>(4)</w:t>
      </w:r>
      <w:r>
        <w:tab/>
        <w:t>The local government must pay the monitor’s remuneration and expenses in accordance with the determination.</w:t>
      </w:r>
    </w:p>
    <w:p>
      <w:pPr>
        <w:pStyle w:val="Subsection"/>
      </w:pPr>
      <w:r>
        <w:tab/>
        <w:t>(5)</w:t>
      </w:r>
      <w:r>
        <w:tab/>
        <w:t>If the local government does not pay any remuneration or expense of the monitor in accordance with the determination, the unpaid amount is recoverable from the local government by the State in a court of competent jurisdiction as a debt due to the State.</w:t>
      </w:r>
    </w:p>
    <w:p>
      <w:pPr>
        <w:pStyle w:val="Heading5"/>
      </w:pPr>
      <w:bookmarkStart w:id="42" w:name="_Toc216355356"/>
      <w:bookmarkStart w:id="43" w:name="_Toc216783236"/>
      <w:r>
        <w:rPr>
          <w:rStyle w:val="CharSectno"/>
        </w:rPr>
        <w:t>13</w:t>
      </w:r>
      <w:r>
        <w:t>.</w:t>
      </w:r>
      <w:r>
        <w:tab/>
        <w:t>Selection and appointment (s. 8B.41 of Act)</w:t>
      </w:r>
      <w:bookmarkEnd w:id="42"/>
      <w:bookmarkEnd w:id="43"/>
    </w:p>
    <w:p>
      <w:pPr>
        <w:pStyle w:val="Subsection"/>
      </w:pPr>
      <w:r>
        <w:tab/>
        <w:t>(1)</w:t>
      </w:r>
      <w:r>
        <w:tab/>
        <w:t>This regulation applies for the purposes of section 8B.41(e) and (f) of the Act.</w:t>
      </w:r>
    </w:p>
    <w:p>
      <w:pPr>
        <w:pStyle w:val="Subsection"/>
        <w:keepNext/>
      </w:pPr>
      <w:r>
        <w:lastRenderedPageBreak/>
        <w:tab/>
        <w:t>(2)</w:t>
      </w:r>
      <w:r>
        <w:tab/>
        <w:t xml:space="preserve">None of the following can be selected or appointed as a monitor — </w:t>
      </w:r>
    </w:p>
    <w:p>
      <w:pPr>
        <w:pStyle w:val="Indenta"/>
      </w:pPr>
      <w:r>
        <w:tab/>
        <w:t>(a)</w:t>
      </w:r>
      <w:r>
        <w:tab/>
        <w:t>an inspectorate officer;</w:t>
      </w:r>
    </w:p>
    <w:p>
      <w:pPr>
        <w:pStyle w:val="Indenta"/>
      </w:pPr>
      <w:r>
        <w:tab/>
        <w:t>(b)</w:t>
      </w:r>
      <w:r>
        <w:tab/>
        <w:t>a member of a council;</w:t>
      </w:r>
    </w:p>
    <w:p>
      <w:pPr>
        <w:pStyle w:val="Indenta"/>
      </w:pPr>
      <w:r>
        <w:tab/>
        <w:t>(c)</w:t>
      </w:r>
      <w:r>
        <w:tab/>
        <w:t>a member of the governing body of a regional subsidiary;</w:t>
      </w:r>
    </w:p>
    <w:p>
      <w:pPr>
        <w:pStyle w:val="Indenta"/>
      </w:pPr>
      <w:r>
        <w:tab/>
        <w:t>(d)</w:t>
      </w:r>
      <w:r>
        <w:tab/>
        <w:t>an employee of a local government or regional subsidiary;</w:t>
      </w:r>
    </w:p>
    <w:p>
      <w:pPr>
        <w:pStyle w:val="Indenta"/>
      </w:pPr>
      <w:r>
        <w:tab/>
        <w:t>(e)</w:t>
      </w:r>
      <w:r>
        <w:tab/>
        <w:t>an employee of WALGA or the Local Government Professionals Australia (WA);</w:t>
      </w:r>
    </w:p>
    <w:p>
      <w:pPr>
        <w:pStyle w:val="Indenta"/>
      </w:pPr>
      <w:r>
        <w:tab/>
        <w:t>(f)</w:t>
      </w:r>
      <w:r>
        <w:tab/>
        <w:t xml:space="preserve">a member of the governing body of, or an employee of, a body corporate the activities of which are, wholly or mainly, advocating or otherwise acting for, or on behalf of, 1 or more of the following — </w:t>
      </w:r>
    </w:p>
    <w:p>
      <w:pPr>
        <w:pStyle w:val="Indenti"/>
      </w:pPr>
      <w:r>
        <w:tab/>
        <w:t>(i)</w:t>
      </w:r>
      <w:r>
        <w:tab/>
        <w:t>local governments;</w:t>
      </w:r>
    </w:p>
    <w:p>
      <w:pPr>
        <w:pStyle w:val="Indenti"/>
      </w:pPr>
      <w:r>
        <w:tab/>
        <w:t>(ii)</w:t>
      </w:r>
      <w:r>
        <w:tab/>
        <w:t>members of councils;</w:t>
      </w:r>
    </w:p>
    <w:p>
      <w:pPr>
        <w:pStyle w:val="Indenti"/>
      </w:pPr>
      <w:r>
        <w:tab/>
        <w:t>(iii)</w:t>
      </w:r>
      <w:r>
        <w:tab/>
        <w:t>employees of local governments.</w:t>
      </w:r>
    </w:p>
    <w:p>
      <w:pPr>
        <w:pStyle w:val="Subsection"/>
      </w:pPr>
      <w:r>
        <w:tab/>
        <w:t>(3)</w:t>
      </w:r>
      <w:r>
        <w:tab/>
        <w:t>A person cannot be selected or appointed as a monitor for a local government if the person is a member of the local government’s audit, risk and improvement committee under Part 7 Division 1A of the Act, including where that committee is a shared committee under section 7.1CB of the Act.</w:t>
      </w:r>
    </w:p>
    <w:p>
      <w:pPr>
        <w:pStyle w:val="Heading5"/>
      </w:pPr>
      <w:bookmarkStart w:id="44" w:name="_Toc216355357"/>
      <w:bookmarkStart w:id="45" w:name="_Toc216783237"/>
      <w:r>
        <w:rPr>
          <w:rStyle w:val="CharSectno"/>
        </w:rPr>
        <w:t>14</w:t>
      </w:r>
      <w:r>
        <w:t>.</w:t>
      </w:r>
      <w:r>
        <w:tab/>
        <w:t>Variation of terms of appointment (s. 8B.41 of Act)</w:t>
      </w:r>
      <w:bookmarkEnd w:id="44"/>
      <w:bookmarkEnd w:id="45"/>
    </w:p>
    <w:p>
      <w:pPr>
        <w:pStyle w:val="Subsection"/>
      </w:pPr>
      <w:r>
        <w:tab/>
        <w:t>(1)</w:t>
      </w:r>
      <w:r>
        <w:tab/>
        <w:t>This regulation applies for the purposes of section 8B.41(g) of the Act.</w:t>
      </w:r>
    </w:p>
    <w:p>
      <w:pPr>
        <w:pStyle w:val="Subsection"/>
      </w:pPr>
      <w:r>
        <w:tab/>
        <w:t>(2)</w:t>
      </w:r>
      <w:r>
        <w:tab/>
        <w:t>The Inspector may vary a monitor’s terms of appointment at any time.</w:t>
      </w:r>
    </w:p>
    <w:p>
      <w:pPr>
        <w:pStyle w:val="Subsection"/>
        <w:keepNext/>
      </w:pPr>
      <w:r>
        <w:lastRenderedPageBreak/>
        <w:tab/>
        <w:t>(3)</w:t>
      </w:r>
      <w:r>
        <w:tab/>
        <w:t xml:space="preserve">If the Inspector decides to vary a monitor’s terms of appointment — </w:t>
      </w:r>
    </w:p>
    <w:p>
      <w:pPr>
        <w:pStyle w:val="Indenta"/>
        <w:keepNext/>
      </w:pPr>
      <w:r>
        <w:tab/>
        <w:t>(a)</w:t>
      </w:r>
      <w:r>
        <w:tab/>
        <w:t>the Inspector must give the monitor and the local government each a written notice that —</w:t>
      </w:r>
    </w:p>
    <w:p>
      <w:pPr>
        <w:pStyle w:val="Indenti"/>
      </w:pPr>
      <w:r>
        <w:tab/>
        <w:t>(i)</w:t>
      </w:r>
      <w:r>
        <w:tab/>
        <w:t>sets out the variation; and</w:t>
      </w:r>
    </w:p>
    <w:p>
      <w:pPr>
        <w:pStyle w:val="Indenti"/>
      </w:pPr>
      <w:r>
        <w:tab/>
        <w:t>(ii)</w:t>
      </w:r>
      <w:r>
        <w:tab/>
        <w:t>specifies the time at which the variation takes effect;</w:t>
      </w:r>
    </w:p>
    <w:p>
      <w:pPr>
        <w:pStyle w:val="Indenta"/>
      </w:pPr>
      <w:r>
        <w:tab/>
      </w:r>
      <w:r>
        <w:tab/>
        <w:t>and</w:t>
      </w:r>
    </w:p>
    <w:p>
      <w:pPr>
        <w:pStyle w:val="Indenta"/>
      </w:pPr>
      <w:r>
        <w:tab/>
        <w:t>(b)</w:t>
      </w:r>
      <w:r>
        <w:tab/>
        <w:t>the terms of appointment are varied accordingly at the specified time.</w:t>
      </w:r>
    </w:p>
    <w:p>
      <w:pPr>
        <w:pStyle w:val="Heading5"/>
      </w:pPr>
      <w:bookmarkStart w:id="46" w:name="_Toc216355358"/>
      <w:bookmarkStart w:id="47" w:name="_Toc216783238"/>
      <w:r>
        <w:rPr>
          <w:rStyle w:val="CharSectno"/>
        </w:rPr>
        <w:t>15</w:t>
      </w:r>
      <w:r>
        <w:t>.</w:t>
      </w:r>
      <w:r>
        <w:tab/>
        <w:t>Early termination of appointment (s. 8B.41 of Act)</w:t>
      </w:r>
      <w:bookmarkEnd w:id="46"/>
      <w:bookmarkEnd w:id="47"/>
    </w:p>
    <w:p>
      <w:pPr>
        <w:pStyle w:val="Subsection"/>
      </w:pPr>
      <w:r>
        <w:tab/>
        <w:t>(1)</w:t>
      </w:r>
      <w:r>
        <w:tab/>
        <w:t>This regulation applies for the purposes of section 8B.41(h) of the Act.</w:t>
      </w:r>
    </w:p>
    <w:p>
      <w:pPr>
        <w:pStyle w:val="Subsection"/>
      </w:pPr>
      <w:r>
        <w:tab/>
        <w:t>(2)</w:t>
      </w:r>
      <w:r>
        <w:tab/>
        <w:t>The Inspector may terminate a monitor’s appointment early.</w:t>
      </w:r>
    </w:p>
    <w:p>
      <w:pPr>
        <w:pStyle w:val="Subsection"/>
      </w:pPr>
      <w:r>
        <w:tab/>
        <w:t>(3)</w:t>
      </w:r>
      <w:r>
        <w:tab/>
        <w:t xml:space="preserve">If the Inspector decides to terminate a monitor’s appointment early — </w:t>
      </w:r>
    </w:p>
    <w:p>
      <w:pPr>
        <w:pStyle w:val="Indenta"/>
      </w:pPr>
      <w:r>
        <w:tab/>
        <w:t>(a)</w:t>
      </w:r>
      <w:r>
        <w:tab/>
        <w:t>the Inspector must give the monitor and the local government each a written notice that —</w:t>
      </w:r>
    </w:p>
    <w:p>
      <w:pPr>
        <w:pStyle w:val="Indenti"/>
      </w:pPr>
      <w:r>
        <w:tab/>
        <w:t>(i)</w:t>
      </w:r>
      <w:r>
        <w:tab/>
        <w:t>states that the appointment is to be terminated early; and</w:t>
      </w:r>
    </w:p>
    <w:p>
      <w:pPr>
        <w:pStyle w:val="Indenti"/>
      </w:pPr>
      <w:r>
        <w:tab/>
        <w:t>(ii)</w:t>
      </w:r>
      <w:r>
        <w:tab/>
        <w:t>specifies the time at which the termination takes effect;</w:t>
      </w:r>
    </w:p>
    <w:p>
      <w:pPr>
        <w:pStyle w:val="Indenta"/>
      </w:pPr>
      <w:r>
        <w:tab/>
      </w:r>
      <w:r>
        <w:tab/>
        <w:t>and</w:t>
      </w:r>
    </w:p>
    <w:p>
      <w:pPr>
        <w:pStyle w:val="Indenta"/>
      </w:pPr>
      <w:r>
        <w:tab/>
        <w:t>(b)</w:t>
      </w:r>
      <w:r>
        <w:tab/>
        <w:t>the appointment terminates accordingly at the specified time.</w:t>
      </w:r>
    </w:p>
    <w:p>
      <w:pPr>
        <w:pStyle w:val="Heading5"/>
      </w:pPr>
      <w:bookmarkStart w:id="48" w:name="_Toc216355359"/>
      <w:bookmarkStart w:id="49" w:name="_Toc216783239"/>
      <w:r>
        <w:rPr>
          <w:rStyle w:val="CharSectno"/>
        </w:rPr>
        <w:t>16</w:t>
      </w:r>
      <w:r>
        <w:t>.</w:t>
      </w:r>
      <w:r>
        <w:tab/>
        <w:t>Powers (s. 8B.41 of Act)</w:t>
      </w:r>
      <w:bookmarkEnd w:id="48"/>
      <w:bookmarkEnd w:id="49"/>
    </w:p>
    <w:p>
      <w:pPr>
        <w:pStyle w:val="Subsection"/>
      </w:pPr>
      <w:r>
        <w:tab/>
        <w:t>(1)</w:t>
      </w:r>
      <w:r>
        <w:tab/>
        <w:t>This regulation applies for the purposes of section 8B.41(i) of the Act if a monitor attends a council meeting or a meeting of a committee of a council.</w:t>
      </w:r>
    </w:p>
    <w:p>
      <w:pPr>
        <w:pStyle w:val="Subsection"/>
      </w:pPr>
      <w:r>
        <w:lastRenderedPageBreak/>
        <w:tab/>
        <w:t>(2)</w:t>
      </w:r>
      <w:r>
        <w:tab/>
        <w:t xml:space="preserve">The monitor may, on 1 or more occasions, adjourn the meeting for up to 24 hours at a time if the monitor considers that — </w:t>
      </w:r>
    </w:p>
    <w:p>
      <w:pPr>
        <w:pStyle w:val="Indenta"/>
      </w:pPr>
      <w:r>
        <w:tab/>
        <w:t>(a)</w:t>
      </w:r>
      <w:r>
        <w:tab/>
        <w:t>the meeting is disorderly; or</w:t>
      </w:r>
    </w:p>
    <w:p>
      <w:pPr>
        <w:pStyle w:val="Indenta"/>
      </w:pPr>
      <w:r>
        <w:tab/>
        <w:t>(b)</w:t>
      </w:r>
      <w:r>
        <w:tab/>
        <w:t>the meeting is not being conducted in accordance with the Act; or</w:t>
      </w:r>
    </w:p>
    <w:p>
      <w:pPr>
        <w:pStyle w:val="Indenta"/>
      </w:pPr>
      <w:r>
        <w:tab/>
        <w:t>(c)</w:t>
      </w:r>
      <w:r>
        <w:tab/>
        <w:t>the meeting is considering a motion that, if carried, would result in a decision or other action that is not authorised by, or that otherwise contravenes, a written law.</w:t>
      </w:r>
    </w:p>
    <w:p>
      <w:pPr>
        <w:pStyle w:val="Subsection"/>
      </w:pPr>
      <w:r>
        <w:tab/>
        <w:t>(3)</w:t>
      </w:r>
      <w:r>
        <w:tab/>
        <w:t>The monitor must notify the Inspector if the monitor adjourns the meeting to the following day.</w:t>
      </w:r>
    </w:p>
    <w:p>
      <w:pPr>
        <w:pStyle w:val="Heading2"/>
      </w:pPr>
      <w:bookmarkStart w:id="50" w:name="_Toc216355360"/>
      <w:bookmarkStart w:id="51" w:name="_Toc216355446"/>
      <w:bookmarkStart w:id="52" w:name="_Toc216355519"/>
      <w:bookmarkStart w:id="53" w:name="_Toc216356065"/>
      <w:bookmarkStart w:id="54" w:name="_Toc216783240"/>
      <w:r>
        <w:rPr>
          <w:rStyle w:val="CharPartNo"/>
        </w:rPr>
        <w:lastRenderedPageBreak/>
        <w:t>Part 4</w:t>
      </w:r>
      <w:r>
        <w:rPr>
          <w:rStyle w:val="CharDivNo"/>
        </w:rPr>
        <w:t> </w:t>
      </w:r>
      <w:r>
        <w:t>—</w:t>
      </w:r>
      <w:r>
        <w:rPr>
          <w:rStyle w:val="CharDivText"/>
        </w:rPr>
        <w:t> </w:t>
      </w:r>
      <w:r>
        <w:rPr>
          <w:rStyle w:val="CharPartText"/>
        </w:rPr>
        <w:t>Powers of authorised officers (Part 8B Division 6 of Act)</w:t>
      </w:r>
      <w:bookmarkEnd w:id="50"/>
      <w:bookmarkEnd w:id="51"/>
      <w:bookmarkEnd w:id="52"/>
      <w:bookmarkEnd w:id="53"/>
      <w:bookmarkEnd w:id="54"/>
    </w:p>
    <w:p>
      <w:pPr>
        <w:pStyle w:val="Heading5"/>
      </w:pPr>
      <w:bookmarkStart w:id="55" w:name="_Toc216355361"/>
      <w:bookmarkStart w:id="56" w:name="_Toc216783241"/>
      <w:r>
        <w:rPr>
          <w:rStyle w:val="CharSectno"/>
        </w:rPr>
        <w:t>17</w:t>
      </w:r>
      <w:r>
        <w:t>.</w:t>
      </w:r>
      <w:r>
        <w:tab/>
        <w:t>Application for entry warrant (s. 8B.50 of Act)</w:t>
      </w:r>
      <w:bookmarkEnd w:id="55"/>
      <w:bookmarkEnd w:id="56"/>
    </w:p>
    <w:p>
      <w:pPr>
        <w:pStyle w:val="Subsection"/>
      </w:pPr>
      <w:r>
        <w:tab/>
      </w:r>
      <w:r>
        <w:tab/>
        <w:t xml:space="preserve">For the purposes of section 8B.50(2)(a) of the Act, an application for an entry warrant must include the following information — </w:t>
      </w:r>
    </w:p>
    <w:p>
      <w:pPr>
        <w:pStyle w:val="Indenta"/>
      </w:pPr>
      <w:r>
        <w:tab/>
        <w:t>(a)</w:t>
      </w:r>
      <w:r>
        <w:tab/>
        <w:t>the applicant’s name and the position they hold;</w:t>
      </w:r>
    </w:p>
    <w:p>
      <w:pPr>
        <w:pStyle w:val="Indenta"/>
      </w:pPr>
      <w:r>
        <w:tab/>
        <w:t>(b)</w:t>
      </w:r>
      <w:r>
        <w:tab/>
        <w:t>a reasonably particular description of the place to which the application relates;</w:t>
      </w:r>
    </w:p>
    <w:p>
      <w:pPr>
        <w:pStyle w:val="Indenta"/>
      </w:pPr>
      <w:r>
        <w:tab/>
        <w:t>(c)</w:t>
      </w:r>
      <w:r>
        <w:tab/>
        <w:t>a reasonably particular description of the authorised purpose for which entry to the place is required;</w:t>
      </w:r>
    </w:p>
    <w:p>
      <w:pPr>
        <w:pStyle w:val="Indenta"/>
      </w:pPr>
      <w:r>
        <w:tab/>
        <w:t>(d)</w:t>
      </w:r>
      <w:r>
        <w:tab/>
        <w:t>if the authorised purpose is investigating a suspected offence under the Act — the provision of the Act suspected of being contravened;</w:t>
      </w:r>
    </w:p>
    <w:p>
      <w:pPr>
        <w:pStyle w:val="Indenta"/>
      </w:pPr>
      <w:r>
        <w:tab/>
        <w:t>(e)</w:t>
      </w:r>
      <w:r>
        <w:tab/>
        <w:t>the grounds of the application, including an explanation as to why it is necessary for an authorised person to enter the place for the authorised purpose.</w:t>
      </w:r>
    </w:p>
    <w:p>
      <w:pPr>
        <w:pStyle w:val="Heading5"/>
      </w:pPr>
      <w:bookmarkStart w:id="57" w:name="_Toc216355362"/>
      <w:bookmarkStart w:id="58" w:name="_Toc216783242"/>
      <w:r>
        <w:rPr>
          <w:rStyle w:val="CharSectno"/>
        </w:rPr>
        <w:t>18</w:t>
      </w:r>
      <w:r>
        <w:t>.</w:t>
      </w:r>
      <w:r>
        <w:tab/>
        <w:t>Form of entry warrant (s. 8B.51 of Act)</w:t>
      </w:r>
      <w:bookmarkEnd w:id="57"/>
      <w:bookmarkEnd w:id="58"/>
    </w:p>
    <w:p>
      <w:pPr>
        <w:pStyle w:val="Subsection"/>
      </w:pPr>
      <w:r>
        <w:tab/>
      </w:r>
      <w:r>
        <w:tab/>
        <w:t>For the purposes of section 8B.51(3) of the Act, the form of entry warrant is the form in Schedule 1.</w:t>
      </w:r>
    </w:p>
    <w:p>
      <w:pPr>
        <w:pStyle w:val="Heading2"/>
      </w:pPr>
      <w:bookmarkStart w:id="59" w:name="_Toc216355363"/>
      <w:bookmarkStart w:id="60" w:name="_Toc216355449"/>
      <w:bookmarkStart w:id="61" w:name="_Toc216355522"/>
      <w:bookmarkStart w:id="62" w:name="_Toc216356068"/>
      <w:bookmarkStart w:id="63" w:name="_Toc216783243"/>
      <w:r>
        <w:rPr>
          <w:rStyle w:val="CharPartNo"/>
        </w:rPr>
        <w:lastRenderedPageBreak/>
        <w:t>Part 5</w:t>
      </w:r>
      <w:r>
        <w:rPr>
          <w:rStyle w:val="CharDivNo"/>
        </w:rPr>
        <w:t> </w:t>
      </w:r>
      <w:r>
        <w:t>—</w:t>
      </w:r>
      <w:r>
        <w:rPr>
          <w:rStyle w:val="CharDivText"/>
        </w:rPr>
        <w:t> </w:t>
      </w:r>
      <w:r>
        <w:rPr>
          <w:rStyle w:val="CharPartText"/>
        </w:rPr>
        <w:t>Infringement notices issued by authorised inspectorate officer (Part 9 Division 2 Subdivision 2A of Act)</w:t>
      </w:r>
      <w:bookmarkEnd w:id="59"/>
      <w:bookmarkEnd w:id="60"/>
      <w:bookmarkEnd w:id="61"/>
      <w:bookmarkEnd w:id="62"/>
      <w:bookmarkEnd w:id="63"/>
    </w:p>
    <w:p>
      <w:pPr>
        <w:pStyle w:val="Heading5"/>
      </w:pPr>
      <w:bookmarkStart w:id="64" w:name="_Toc216355364"/>
      <w:bookmarkStart w:id="65" w:name="_Toc216783244"/>
      <w:r>
        <w:rPr>
          <w:rStyle w:val="CharSectno"/>
        </w:rPr>
        <w:t>19</w:t>
      </w:r>
      <w:r>
        <w:t>.</w:t>
      </w:r>
      <w:r>
        <w:tab/>
        <w:t>Prescribed offences and modified penalties (s. 9.22B of Act)</w:t>
      </w:r>
      <w:bookmarkEnd w:id="64"/>
      <w:bookmarkEnd w:id="65"/>
    </w:p>
    <w:p>
      <w:pPr>
        <w:pStyle w:val="Subsection"/>
      </w:pPr>
      <w:r>
        <w:tab/>
      </w:r>
      <w:r>
        <w:tab/>
        <w:t>For the purposes of section 9.22B(1) and (3)(a) of the Act, the offences and modified penalties are as set out in Schedule 2.</w:t>
      </w:r>
    </w:p>
    <w:p>
      <w:pPr>
        <w:pStyle w:val="Heading5"/>
      </w:pPr>
      <w:bookmarkStart w:id="66" w:name="_Toc216355365"/>
      <w:bookmarkStart w:id="67" w:name="_Toc216783245"/>
      <w:r>
        <w:rPr>
          <w:rStyle w:val="CharSectno"/>
        </w:rPr>
        <w:t>20</w:t>
      </w:r>
      <w:r>
        <w:t>.</w:t>
      </w:r>
      <w:r>
        <w:tab/>
        <w:t>Appointment of authorised inspectorate officer (s. 9.22C of Act)</w:t>
      </w:r>
      <w:bookmarkEnd w:id="66"/>
      <w:bookmarkEnd w:id="67"/>
    </w:p>
    <w:p>
      <w:pPr>
        <w:pStyle w:val="Subsection"/>
      </w:pPr>
      <w:r>
        <w:tab/>
        <w:t>(1)</w:t>
      </w:r>
      <w:r>
        <w:tab/>
        <w:t>For the purposes of section 9.22C(a) of the Act, the Inspector may appoint, as an authorised inspectorate officer, an inspectorate officer who is an investigator.</w:t>
      </w:r>
    </w:p>
    <w:p>
      <w:pPr>
        <w:pStyle w:val="Subsection"/>
      </w:pPr>
      <w:r>
        <w:tab/>
        <w:t>(2)</w:t>
      </w:r>
      <w:r>
        <w:tab/>
        <w:t>Unless otherwise specified by the Inspector, an appointment under subregulation (1) applies in relation to all the offences prescribed under regulation 19.</w:t>
      </w:r>
    </w:p>
    <w:p>
      <w:pPr>
        <w:pStyle w:val="Subsection"/>
      </w:pPr>
      <w:r>
        <w:tab/>
        <w:t>(3)</w:t>
      </w:r>
      <w:r>
        <w:tab/>
        <w:t>For the purposes of section 9.22C(b) of the Act, the identity card issued under section 8B.34(1) of the Act to an investigator who is an authorised inspectorate officer must state that the investigator is authorised to issue infringement notices under Part 9 Division 2 Subdivision 2A of the Act.</w:t>
      </w:r>
    </w:p>
    <w:p>
      <w:pPr>
        <w:pStyle w:val="Heading5"/>
      </w:pPr>
      <w:bookmarkStart w:id="68" w:name="_Toc216355366"/>
      <w:bookmarkStart w:id="69" w:name="_Toc216783246"/>
      <w:r>
        <w:rPr>
          <w:rStyle w:val="CharSectno"/>
        </w:rPr>
        <w:t>21</w:t>
      </w:r>
      <w:r>
        <w:t>.</w:t>
      </w:r>
      <w:r>
        <w:tab/>
        <w:t>Form of infringement notice and approved officer (s. 9.22C and 9.22E of Act)</w:t>
      </w:r>
      <w:bookmarkEnd w:id="68"/>
      <w:bookmarkEnd w:id="69"/>
    </w:p>
    <w:p>
      <w:pPr>
        <w:pStyle w:val="Subsection"/>
      </w:pPr>
      <w:r>
        <w:tab/>
        <w:t>(1)</w:t>
      </w:r>
      <w:r>
        <w:tab/>
        <w:t>For the purposes of section 9.22C(c) of the Act, the form of infringement notice is the form in Schedule 3.</w:t>
      </w:r>
    </w:p>
    <w:p>
      <w:pPr>
        <w:pStyle w:val="Subsection"/>
        <w:keepNext/>
      </w:pPr>
      <w:r>
        <w:tab/>
        <w:t>(2)</w:t>
      </w:r>
      <w:r>
        <w:tab/>
        <w:t>The Inspector is the approved officer for the purposes of infringement notices.</w:t>
      </w:r>
    </w:p>
    <w:p>
      <w:pPr>
        <w:pStyle w:val="PermNoteHeading"/>
      </w:pPr>
      <w:r>
        <w:tab/>
        <w:t>Note for this subregulation:</w:t>
      </w:r>
    </w:p>
    <w:p>
      <w:pPr>
        <w:pStyle w:val="PermNoteText"/>
      </w:pPr>
      <w:r>
        <w:tab/>
      </w:r>
      <w:r>
        <w:tab/>
        <w:t xml:space="preserve">The </w:t>
      </w:r>
      <w:r>
        <w:rPr>
          <w:i/>
        </w:rPr>
        <w:t>Criminal Procedure Act 2004</w:t>
      </w:r>
      <w:r>
        <w:t xml:space="preserve"> section 9(1)(f)(iii), as applied by section 9.22E(1) of the Act, requires an infringement notice to inform the alleged offender that if the alleged offender does not want to be prosecuted for the alleged offence, the modified penalty for the offence </w:t>
      </w:r>
      <w:r>
        <w:lastRenderedPageBreak/>
        <w:t>may be paid to an approved officer within 28 days after the date of the notice.</w:t>
      </w:r>
    </w:p>
    <w:p>
      <w:pPr>
        <w:pStyle w:val="Heading5"/>
      </w:pPr>
      <w:bookmarkStart w:id="70" w:name="_Toc216355367"/>
      <w:bookmarkStart w:id="71" w:name="_Toc216783247"/>
      <w:r>
        <w:rPr>
          <w:rStyle w:val="CharSectno"/>
        </w:rPr>
        <w:t>22</w:t>
      </w:r>
      <w:r>
        <w:t>.</w:t>
      </w:r>
      <w:r>
        <w:tab/>
        <w:t>Issuing infringement notices (s. 9.22D of Act)</w:t>
      </w:r>
      <w:bookmarkEnd w:id="70"/>
      <w:bookmarkEnd w:id="71"/>
    </w:p>
    <w:p>
      <w:pPr>
        <w:pStyle w:val="Subsection"/>
      </w:pPr>
      <w:r>
        <w:tab/>
        <w:t>(1)</w:t>
      </w:r>
      <w:r>
        <w:tab/>
        <w:t>This regulation applies for the purposes of section 9.22D(2) of the Act.</w:t>
      </w:r>
    </w:p>
    <w:p>
      <w:pPr>
        <w:pStyle w:val="Subsection"/>
      </w:pPr>
      <w:r>
        <w:tab/>
        <w:t>(2)</w:t>
      </w:r>
      <w:r>
        <w:tab/>
        <w:t>Subject to subregulation (3), the prescribed period is the period of 6 months after the day on which the authorised inspectorate officer believes the alleged offence to have been committed.</w:t>
      </w:r>
    </w:p>
    <w:p>
      <w:pPr>
        <w:pStyle w:val="Subsection"/>
      </w:pPr>
      <w:r>
        <w:tab/>
        <w:t>(3)</w:t>
      </w:r>
      <w:r>
        <w:tab/>
        <w:t>If it has not already expired, the prescribed period expires at the end of the period of 21 days after the day on which the authorised inspectorate officer forms the belief that there is sufficient evidence to support the allegation of the offence.</w:t>
      </w:r>
    </w:p>
    <w:p>
      <w:pPr>
        <w:pStyle w:val="Heading5"/>
      </w:pPr>
      <w:bookmarkStart w:id="72" w:name="_Toc216355368"/>
      <w:bookmarkStart w:id="73" w:name="_Toc216783248"/>
      <w:r>
        <w:rPr>
          <w:rStyle w:val="CharSectno"/>
        </w:rPr>
        <w:t>23</w:t>
      </w:r>
      <w:r>
        <w:t>.</w:t>
      </w:r>
      <w:r>
        <w:tab/>
        <w:t>Form of notice to withdraw infringement notice (s. 9.22G of Act)</w:t>
      </w:r>
      <w:bookmarkEnd w:id="72"/>
      <w:bookmarkEnd w:id="73"/>
    </w:p>
    <w:p>
      <w:pPr>
        <w:pStyle w:val="Subsection"/>
      </w:pPr>
      <w:r>
        <w:tab/>
      </w:r>
      <w:r>
        <w:tab/>
        <w:t>For the purposes of section 9.22G(2) of the Act, the form of notice is the form in Schedule 4.</w:t>
      </w:r>
    </w:p>
    <w:p>
      <w:pPr>
        <w:pStyle w:val="Heading2"/>
      </w:pPr>
      <w:bookmarkStart w:id="74" w:name="_Toc216355369"/>
      <w:bookmarkStart w:id="75" w:name="_Toc216355455"/>
      <w:bookmarkStart w:id="76" w:name="_Toc216355528"/>
      <w:bookmarkStart w:id="77" w:name="_Toc216356074"/>
      <w:bookmarkStart w:id="78" w:name="_Toc216783249"/>
      <w:r>
        <w:rPr>
          <w:rStyle w:val="CharPartNo"/>
        </w:rPr>
        <w:lastRenderedPageBreak/>
        <w:t>Part 6</w:t>
      </w:r>
      <w:r>
        <w:rPr>
          <w:rStyle w:val="CharDivNo"/>
        </w:rPr>
        <w:t> </w:t>
      </w:r>
      <w:r>
        <w:t>—</w:t>
      </w:r>
      <w:r>
        <w:rPr>
          <w:rStyle w:val="CharDivText"/>
        </w:rPr>
        <w:t> </w:t>
      </w:r>
      <w:r>
        <w:rPr>
          <w:rStyle w:val="CharPartText"/>
        </w:rPr>
        <w:t>Transitional provisions (Schedule 9.3 clause 81(2) of Act)</w:t>
      </w:r>
      <w:bookmarkEnd w:id="74"/>
      <w:bookmarkEnd w:id="75"/>
      <w:bookmarkEnd w:id="76"/>
      <w:bookmarkEnd w:id="77"/>
      <w:bookmarkEnd w:id="78"/>
    </w:p>
    <w:p>
      <w:pPr>
        <w:pStyle w:val="Heading5"/>
      </w:pPr>
      <w:bookmarkStart w:id="79" w:name="_Toc216355370"/>
      <w:bookmarkStart w:id="80" w:name="_Toc216783250"/>
      <w:r>
        <w:rPr>
          <w:rStyle w:val="CharSectno"/>
        </w:rPr>
        <w:t>24</w:t>
      </w:r>
      <w:r>
        <w:t>.</w:t>
      </w:r>
      <w:r>
        <w:tab/>
        <w:t>Application</w:t>
      </w:r>
      <w:bookmarkEnd w:id="79"/>
      <w:bookmarkEnd w:id="80"/>
    </w:p>
    <w:p>
      <w:pPr>
        <w:pStyle w:val="Subsection"/>
      </w:pPr>
      <w:r>
        <w:tab/>
      </w:r>
      <w:r>
        <w:tab/>
        <w:t>This Part applies for the purposes of Schedule 9.3 clause 81(2) of the Act.</w:t>
      </w:r>
    </w:p>
    <w:p>
      <w:pPr>
        <w:pStyle w:val="Heading5"/>
      </w:pPr>
      <w:bookmarkStart w:id="81" w:name="_Toc216355371"/>
      <w:bookmarkStart w:id="82" w:name="_Toc216783251"/>
      <w:r>
        <w:rPr>
          <w:rStyle w:val="CharSectno"/>
        </w:rPr>
        <w:t>25</w:t>
      </w:r>
      <w:r>
        <w:t>.</w:t>
      </w:r>
      <w:r>
        <w:tab/>
        <w:t>Publication of information relating to complaints</w:t>
      </w:r>
      <w:bookmarkEnd w:id="81"/>
      <w:bookmarkEnd w:id="82"/>
    </w:p>
    <w:p>
      <w:pPr>
        <w:pStyle w:val="Subsection"/>
      </w:pPr>
      <w:r>
        <w:tab/>
        <w:t>(1)</w:t>
      </w:r>
      <w:r>
        <w:tab/>
        <w:t xml:space="preserve">In this regulation — </w:t>
      </w:r>
    </w:p>
    <w:p>
      <w:pPr>
        <w:pStyle w:val="Defstart"/>
      </w:pPr>
      <w:r>
        <w:tab/>
      </w:r>
      <w:r>
        <w:rPr>
          <w:rStyle w:val="CharDefText"/>
        </w:rPr>
        <w:t>transitional period</w:t>
      </w:r>
      <w:r>
        <w:t xml:space="preserve"> means the period beginning on 1 January 2026 and ending on 15 October 2027.</w:t>
      </w:r>
    </w:p>
    <w:p>
      <w:pPr>
        <w:pStyle w:val="Subsection"/>
      </w:pPr>
      <w:r>
        <w:tab/>
        <w:t>(2)</w:t>
      </w:r>
      <w:r>
        <w:tab/>
        <w:t xml:space="preserve">Despite its deletion by the </w:t>
      </w:r>
      <w:r>
        <w:rPr>
          <w:i/>
          <w:iCs/>
        </w:rPr>
        <w:t xml:space="preserve">Local Government Amendment Act 2024 </w:t>
      </w:r>
      <w:r>
        <w:t xml:space="preserve">section 71, section 5.118 of the Act, as in force immediately before 1 January 2026, continues to apply during the transitional period in relation to the publication of the following — </w:t>
      </w:r>
    </w:p>
    <w:p>
      <w:pPr>
        <w:pStyle w:val="Indenta"/>
      </w:pPr>
      <w:r>
        <w:tab/>
        <w:t>(a)</w:t>
      </w:r>
      <w:r>
        <w:tab/>
        <w:t>a censure ordered before 1 January 2026;</w:t>
      </w:r>
    </w:p>
    <w:p>
      <w:pPr>
        <w:pStyle w:val="Indenta"/>
      </w:pPr>
      <w:r>
        <w:tab/>
        <w:t>(b)</w:t>
      </w:r>
      <w:r>
        <w:tab/>
        <w:t>a censure ordered during the transitional period by a standards panel under Schedule 9.3 clause 73(2) of the Act.</w:t>
      </w:r>
    </w:p>
    <w:p>
      <w:pPr>
        <w:pStyle w:val="Subsection"/>
      </w:pPr>
      <w:r>
        <w:tab/>
        <w:t>(3)</w:t>
      </w:r>
      <w:r>
        <w:tab/>
        <w:t xml:space="preserve">Despite its deletion by the </w:t>
      </w:r>
      <w:r>
        <w:rPr>
          <w:i/>
          <w:iCs/>
        </w:rPr>
        <w:t xml:space="preserve">Local Government Amendment Act 2024 </w:t>
      </w:r>
      <w:r>
        <w:t xml:space="preserve">section 71, section 5.121 of the Act, as in force immediately before 1 January 2026, continues to apply during the transitional period in relation to the following — </w:t>
      </w:r>
    </w:p>
    <w:p>
      <w:pPr>
        <w:pStyle w:val="Indenta"/>
      </w:pPr>
      <w:r>
        <w:tab/>
        <w:t>(a)</w:t>
      </w:r>
      <w:r>
        <w:tab/>
        <w:t>a complaint that resulted, before 1 January 2026, in a finding referred to in section 5.121(1) of the Act;</w:t>
      </w:r>
    </w:p>
    <w:p>
      <w:pPr>
        <w:pStyle w:val="Indenta"/>
      </w:pPr>
      <w:r>
        <w:tab/>
        <w:t>(b)</w:t>
      </w:r>
      <w:r>
        <w:tab/>
        <w:t>a complaint that results, during the transitional period, in a finding referred to in section 5.121(1) of the Act under Schedule 9.3 clause 73(2) of the Act.</w:t>
      </w:r>
    </w:p>
    <w:p>
      <w:pPr>
        <w:pStyle w:val="Subsection"/>
      </w:pPr>
      <w:r>
        <w:tab/>
        <w:t>(4)</w:t>
      </w:r>
      <w:r>
        <w:tab/>
        <w:t>For the purposes of section 5.121 of the Act as it continues to apply under subregulation (3), the CEO of a local government is taken to be the complaints officer for the local government.</w:t>
      </w:r>
    </w:p>
    <w:p>
      <w:pPr>
        <w:pStyle w:val="Subsection"/>
      </w:pPr>
      <w:r>
        <w:lastRenderedPageBreak/>
        <w:tab/>
        <w:t>(5)</w:t>
      </w:r>
      <w:r>
        <w:tab/>
        <w:t xml:space="preserve">In section 5.53(2)(hb) of the Act, as inserted by the </w:t>
      </w:r>
      <w:r>
        <w:rPr>
          <w:i/>
          <w:iCs/>
        </w:rPr>
        <w:t xml:space="preserve">Local Government Amendment Act 2024 </w:t>
      </w:r>
      <w:r>
        <w:t xml:space="preserve">section 52(1), the reference to entries made under section 5.96C of the Act includes the following — </w:t>
      </w:r>
    </w:p>
    <w:p>
      <w:pPr>
        <w:pStyle w:val="Indenta"/>
      </w:pPr>
      <w:r>
        <w:tab/>
        <w:t>(a)</w:t>
      </w:r>
      <w:r>
        <w:tab/>
        <w:t>entries made before 1 January 2026 under section 5.121 of the Act;</w:t>
      </w:r>
    </w:p>
    <w:p>
      <w:pPr>
        <w:pStyle w:val="Indenta"/>
      </w:pPr>
      <w:r>
        <w:tab/>
        <w:t>(b)</w:t>
      </w:r>
      <w:r>
        <w:tab/>
        <w:t>entries made during the transitional period under section 5.121 of the Act as it continues to apply under subregulation (3).</w:t>
      </w:r>
    </w:p>
    <w:p>
      <w:pPr>
        <w:pStyle w:val="Subsection"/>
      </w:pPr>
      <w:r>
        <w:tab/>
        <w:t>(6)</w:t>
      </w:r>
      <w:r>
        <w:tab/>
        <w:t xml:space="preserve">Despite its deletion by the </w:t>
      </w:r>
      <w:r>
        <w:rPr>
          <w:i/>
          <w:iCs/>
        </w:rPr>
        <w:t xml:space="preserve">Local Government Amendment Act 2024 </w:t>
      </w:r>
      <w:r>
        <w:t>section 59(1), section 5.94(ab) of the Act, as in force immediately before 1 January 2026, continues to apply during the transitional period in relation to any register of complaints that is required to be maintained during the transitional period under section 5.121 of the Act as it continues to apply under subregulation (3).</w:t>
      </w:r>
    </w:p>
    <w:p>
      <w:pPr>
        <w:pStyle w:val="Heading5"/>
      </w:pPr>
      <w:bookmarkStart w:id="83" w:name="_Toc216355372"/>
      <w:bookmarkStart w:id="84" w:name="_Toc216783252"/>
      <w:r>
        <w:rPr>
          <w:rStyle w:val="CharSectno"/>
        </w:rPr>
        <w:t>26</w:t>
      </w:r>
      <w:r>
        <w:t>.</w:t>
      </w:r>
      <w:r>
        <w:tab/>
        <w:t>Provisions relating to s. 5.119(1) of Act</w:t>
      </w:r>
      <w:bookmarkEnd w:id="83"/>
      <w:bookmarkEnd w:id="84"/>
    </w:p>
    <w:p>
      <w:pPr>
        <w:pStyle w:val="Subsection"/>
      </w:pPr>
      <w:r>
        <w:tab/>
        <w:t>(1)</w:t>
      </w:r>
      <w:r>
        <w:tab/>
        <w:t xml:space="preserve">On and after 1 January 2026 — </w:t>
      </w:r>
    </w:p>
    <w:p>
      <w:pPr>
        <w:pStyle w:val="Indenta"/>
      </w:pPr>
      <w:r>
        <w:tab/>
        <w:t>(a)</w:t>
      </w:r>
      <w:r>
        <w:tab/>
        <w:t>a person suspended by an order made before 1 January 2026 under section 5.119(1) of the Act is taken to be, or to have been, suspended by an order under section 8A.27(2)(b) of the Act, except in section 2.25A of the Act; and</w:t>
      </w:r>
    </w:p>
    <w:p>
      <w:pPr>
        <w:pStyle w:val="Indenta"/>
      </w:pPr>
      <w:r>
        <w:tab/>
        <w:t>(b)</w:t>
      </w:r>
      <w:r>
        <w:tab/>
        <w:t>a person disqualified from holding office as a member of a council by an order made before 1 January 2026 under section 5.119(1) of the Act is taken to be, or to have been, disqualified by an order under section 8A.27(2)(b) of the Act.</w:t>
      </w:r>
    </w:p>
    <w:p>
      <w:pPr>
        <w:pStyle w:val="Subsection"/>
      </w:pPr>
      <w:r>
        <w:tab/>
        <w:t>(2)</w:t>
      </w:r>
      <w:r>
        <w:tab/>
        <w:t>Subregulation (3) applies if, immediately before 1 January 2026, there are uncompleted proceedings before the State Administrative Tribunal under section 5.119 of the Act.</w:t>
      </w:r>
    </w:p>
    <w:p>
      <w:pPr>
        <w:pStyle w:val="Subsection"/>
        <w:keepNext/>
      </w:pPr>
      <w:r>
        <w:lastRenderedPageBreak/>
        <w:tab/>
        <w:t>(3)</w:t>
      </w:r>
      <w:r>
        <w:tab/>
        <w:t xml:space="preserve">On and after 1 January 2026 — </w:t>
      </w:r>
    </w:p>
    <w:p>
      <w:pPr>
        <w:pStyle w:val="Indenta"/>
      </w:pPr>
      <w:r>
        <w:tab/>
        <w:t>(a)</w:t>
      </w:r>
      <w:r>
        <w:tab/>
        <w:t xml:space="preserve">the proceedings may be completed under section 5.119 of the Act, which continues to apply with section 5.117 of the Act accordingly despite their deletion by the </w:t>
      </w:r>
      <w:r>
        <w:rPr>
          <w:i/>
          <w:iCs/>
        </w:rPr>
        <w:t xml:space="preserve">Local Government Amendment Act 2024 </w:t>
      </w:r>
      <w:r>
        <w:t>section 71; and</w:t>
      </w:r>
    </w:p>
    <w:p>
      <w:pPr>
        <w:pStyle w:val="Indenta"/>
      </w:pPr>
      <w:r>
        <w:tab/>
        <w:t>(b)</w:t>
      </w:r>
      <w:r>
        <w:tab/>
        <w:t xml:space="preserve">if an order is made under section 5.119(1) of the Act suspending a person — the person is taken to have been suspended by an order under section 8A.27(2)(b) of the Act, except in section 2.25A of the Act; and </w:t>
      </w:r>
    </w:p>
    <w:p>
      <w:pPr>
        <w:pStyle w:val="Indenta"/>
      </w:pPr>
      <w:r>
        <w:tab/>
        <w:t>(c)</w:t>
      </w:r>
      <w:r>
        <w:tab/>
        <w:t>if an order is made under section 5.119(1) of the Act disqualifying a person from holding office as a member of a council — the person is taken to have been disqualified by an order under section 8A.27(2)(b) of the Act.</w:t>
      </w:r>
    </w:p>
    <w:p>
      <w:pPr>
        <w:pStyle w:val="Heading5"/>
      </w:pPr>
      <w:bookmarkStart w:id="85" w:name="_Toc216355373"/>
      <w:bookmarkStart w:id="86" w:name="_Toc216783253"/>
      <w:r>
        <w:rPr>
          <w:rStyle w:val="CharSectno"/>
        </w:rPr>
        <w:t>27</w:t>
      </w:r>
      <w:r>
        <w:t>.</w:t>
      </w:r>
      <w:r>
        <w:tab/>
        <w:t>Confidentiality about complaints made before 1 January 2026</w:t>
      </w:r>
      <w:bookmarkEnd w:id="85"/>
      <w:bookmarkEnd w:id="86"/>
    </w:p>
    <w:p>
      <w:pPr>
        <w:pStyle w:val="Subsection"/>
      </w:pPr>
      <w:r>
        <w:tab/>
        <w:t>(1)</w:t>
      </w:r>
      <w:r>
        <w:tab/>
        <w:t xml:space="preserve">In this regulation — </w:t>
      </w:r>
    </w:p>
    <w:p>
      <w:pPr>
        <w:pStyle w:val="Defstart"/>
      </w:pPr>
      <w:r>
        <w:tab/>
      </w:r>
      <w:r>
        <w:rPr>
          <w:rStyle w:val="CharDefText"/>
        </w:rPr>
        <w:t>complaint</w:t>
      </w:r>
      <w:r>
        <w:t xml:space="preserve"> means a complaint made before 1 January 2026 and in relation to which section 5.123 of the Act applied immediately before 1 January 2026.</w:t>
      </w:r>
    </w:p>
    <w:p>
      <w:pPr>
        <w:pStyle w:val="Subsection"/>
      </w:pPr>
      <w:r>
        <w:tab/>
        <w:t>(2)</w:t>
      </w:r>
      <w:r>
        <w:tab/>
        <w:t xml:space="preserve">In relation to the disclosure, on or after 1 January 2026, of information relating to a complaint, section 5.123 of the Act continues to apply on and after 1 January 2026 as it applied immediately before 1 January 2026, despite its deletion by the </w:t>
      </w:r>
      <w:r>
        <w:rPr>
          <w:i/>
          <w:iCs/>
        </w:rPr>
        <w:t xml:space="preserve">Local Government Amendment Act 2024 </w:t>
      </w:r>
      <w:r>
        <w:t>section 71.</w:t>
      </w:r>
    </w:p>
    <w:p>
      <w:pPr>
        <w:pStyle w:val="Subsection"/>
      </w:pPr>
      <w:r>
        <w:tab/>
        <w:t>(3)</w:t>
      </w:r>
      <w:r>
        <w:tab/>
        <w:t>In section 5.123(2)(c) of the Act, as it continues to apply under subregulation (2), the reference to section 5.110(6) of the Act includes that provision as it continues to apply under Schedule 9.3 clause 73(2) of the Act.</w:t>
      </w:r>
    </w:p>
    <w:p>
      <w:pPr>
        <w:pStyle w:val="Subsection"/>
        <w:keepNext/>
      </w:pPr>
      <w:r>
        <w:lastRenderedPageBreak/>
        <w:tab/>
        <w:t>(4)</w:t>
      </w:r>
      <w:r>
        <w:tab/>
        <w:t xml:space="preserve">If, in accordance with Schedule 9.3 clause 73(3), (5) or (6) of the Act, a complaint is to be dealt with under the Act as amended by the </w:t>
      </w:r>
      <w:r>
        <w:rPr>
          <w:i/>
          <w:iCs/>
        </w:rPr>
        <w:t>Local Government Amendment Act 2024</w:t>
      </w:r>
      <w:r>
        <w:t xml:space="preserve"> — </w:t>
      </w:r>
    </w:p>
    <w:p>
      <w:pPr>
        <w:pStyle w:val="Indenta"/>
      </w:pPr>
      <w:r>
        <w:tab/>
        <w:t>(a)</w:t>
      </w:r>
      <w:r>
        <w:tab/>
        <w:t>subregulation (2) does not apply, or ceases to apply, in relation to the disclosure of information relating to the complaint; and</w:t>
      </w:r>
    </w:p>
    <w:p>
      <w:pPr>
        <w:pStyle w:val="Indenta"/>
      </w:pPr>
      <w:r>
        <w:tab/>
        <w:t>(b)</w:t>
      </w:r>
      <w:r>
        <w:tab/>
        <w:t xml:space="preserve">section 8A.36 of the Act applies instead as if the complaint were covered by the definition of </w:t>
      </w:r>
      <w:r>
        <w:rPr>
          <w:b/>
          <w:bCs/>
          <w:i/>
          <w:iCs/>
        </w:rPr>
        <w:t>complaint</w:t>
      </w:r>
      <w:r>
        <w:t xml:space="preserve"> in section 8A.36(1) of the Act.</w:t>
      </w:r>
    </w:p>
    <w:p>
      <w:pPr>
        <w:pStyle w:val="ByCommand"/>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87" w:name="_Toc216355374"/>
      <w:bookmarkStart w:id="88" w:name="_Toc216355460"/>
      <w:bookmarkStart w:id="89" w:name="_Toc216355533"/>
      <w:bookmarkStart w:id="90" w:name="_Toc216356079"/>
      <w:bookmarkStart w:id="91" w:name="_Toc216783254"/>
      <w:r>
        <w:rPr>
          <w:rStyle w:val="CharSchNo"/>
        </w:rPr>
        <w:lastRenderedPageBreak/>
        <w:t>Schedule 1</w:t>
      </w:r>
      <w:r>
        <w:rPr>
          <w:rStyle w:val="CharSDivNo"/>
        </w:rPr>
        <w:t> </w:t>
      </w:r>
      <w:r>
        <w:t>—</w:t>
      </w:r>
      <w:r>
        <w:rPr>
          <w:rStyle w:val="CharSDivText"/>
        </w:rPr>
        <w:t> </w:t>
      </w:r>
      <w:r>
        <w:rPr>
          <w:rStyle w:val="CharSchText"/>
        </w:rPr>
        <w:t>Form of entry warrant</w:t>
      </w:r>
      <w:bookmarkEnd w:id="87"/>
      <w:bookmarkEnd w:id="88"/>
      <w:bookmarkEnd w:id="89"/>
      <w:bookmarkEnd w:id="90"/>
      <w:bookmarkEnd w:id="91"/>
    </w:p>
    <w:p>
      <w:pPr>
        <w:pStyle w:val="yShoulderClause"/>
        <w:spacing w:after="60"/>
      </w:pPr>
      <w:r>
        <w:t>[r. 18]</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NAm"/>
              <w:spacing w:after="60"/>
              <w:rPr>
                <w:iCs/>
                <w:sz w:val="20"/>
                <w:szCs w:val="18"/>
              </w:rPr>
            </w:pPr>
            <w:r>
              <w:rPr>
                <w:i/>
                <w:iCs/>
                <w:sz w:val="20"/>
                <w:szCs w:val="18"/>
              </w:rPr>
              <w:t>Local Government Act 1995</w:t>
            </w:r>
            <w:r>
              <w:rPr>
                <w:sz w:val="20"/>
                <w:szCs w:val="18"/>
              </w:rPr>
              <w:t xml:space="preserve"> </w:t>
            </w:r>
            <w:r>
              <w:rPr>
                <w:iCs/>
                <w:sz w:val="20"/>
                <w:szCs w:val="18"/>
              </w:rPr>
              <w:t>s. 8B.51</w:t>
            </w:r>
          </w:p>
        </w:tc>
        <w:tc>
          <w:tcPr>
            <w:tcW w:w="3119" w:type="dxa"/>
            <w:gridSpan w:val="3"/>
            <w:tcBorders>
              <w:bottom w:val="nil"/>
            </w:tcBorders>
          </w:tcPr>
          <w:p>
            <w:pPr>
              <w:pStyle w:val="yTableNAm"/>
              <w:spacing w:after="60"/>
              <w:rPr>
                <w:b/>
                <w:bCs/>
                <w:sz w:val="20"/>
              </w:rPr>
            </w:pPr>
            <w:r>
              <w:rPr>
                <w:b/>
                <w:bCs/>
              </w:rPr>
              <w:t>Entry warrant</w:t>
            </w:r>
          </w:p>
        </w:tc>
      </w:tr>
      <w:tr>
        <w:trPr>
          <w:cantSplit/>
        </w:trPr>
        <w:tc>
          <w:tcPr>
            <w:tcW w:w="1418" w:type="dxa"/>
          </w:tcPr>
          <w:p>
            <w:pPr>
              <w:pStyle w:val="yTableNAm"/>
              <w:rPr>
                <w:sz w:val="20"/>
                <w:szCs w:val="18"/>
                <w:vertAlign w:val="superscript"/>
              </w:rPr>
            </w:pPr>
            <w:r>
              <w:rPr>
                <w:sz w:val="20"/>
                <w:szCs w:val="18"/>
              </w:rPr>
              <w:t>To</w:t>
            </w:r>
          </w:p>
        </w:tc>
        <w:tc>
          <w:tcPr>
            <w:tcW w:w="5670" w:type="dxa"/>
            <w:gridSpan w:val="5"/>
          </w:tcPr>
          <w:p>
            <w:pPr>
              <w:pStyle w:val="yTableNAm"/>
              <w:spacing w:after="60"/>
              <w:rPr>
                <w:sz w:val="20"/>
                <w:szCs w:val="18"/>
              </w:rPr>
            </w:pPr>
            <w:r>
              <w:rPr>
                <w:sz w:val="20"/>
                <w:szCs w:val="18"/>
              </w:rPr>
              <w:t xml:space="preserve">All authorised officers under the </w:t>
            </w:r>
            <w:r>
              <w:rPr>
                <w:i/>
                <w:sz w:val="20"/>
                <w:szCs w:val="18"/>
              </w:rPr>
              <w:t xml:space="preserve">Local Government Act 1995 </w:t>
            </w:r>
            <w:r>
              <w:rPr>
                <w:iCs/>
                <w:sz w:val="20"/>
                <w:szCs w:val="18"/>
              </w:rPr>
              <w:t>Part 8B Division 6</w:t>
            </w:r>
            <w:r>
              <w:rPr>
                <w:sz w:val="20"/>
                <w:szCs w:val="18"/>
              </w:rPr>
              <w:t>.</w:t>
            </w:r>
          </w:p>
        </w:tc>
      </w:tr>
      <w:tr>
        <w:trPr>
          <w:cantSplit/>
        </w:trPr>
        <w:tc>
          <w:tcPr>
            <w:tcW w:w="1418" w:type="dxa"/>
          </w:tcPr>
          <w:p>
            <w:pPr>
              <w:pStyle w:val="yTableNAm"/>
              <w:rPr>
                <w:sz w:val="20"/>
                <w:szCs w:val="18"/>
              </w:rPr>
            </w:pPr>
            <w:r>
              <w:rPr>
                <w:sz w:val="20"/>
                <w:szCs w:val="18"/>
              </w:rPr>
              <w:t>Application</w:t>
            </w:r>
          </w:p>
        </w:tc>
        <w:tc>
          <w:tcPr>
            <w:tcW w:w="5670" w:type="dxa"/>
            <w:gridSpan w:val="5"/>
          </w:tcPr>
          <w:p>
            <w:pPr>
              <w:pStyle w:val="yTableNAm"/>
              <w:spacing w:after="60"/>
              <w:rPr>
                <w:sz w:val="20"/>
                <w:szCs w:val="18"/>
              </w:rPr>
            </w:pPr>
            <w:r>
              <w:rPr>
                <w:sz w:val="20"/>
                <w:szCs w:val="18"/>
              </w:rPr>
              <w:t>The applicant has applied under the</w:t>
            </w:r>
            <w:r>
              <w:rPr>
                <w:i/>
                <w:sz w:val="20"/>
                <w:szCs w:val="18"/>
              </w:rPr>
              <w:t xml:space="preserve"> Local Government Act 1995 </w:t>
            </w:r>
            <w:r>
              <w:rPr>
                <w:sz w:val="20"/>
                <w:szCs w:val="18"/>
              </w:rPr>
              <w:t>s. 8B.50 to me, a magistrate, for an entry warrant.</w:t>
            </w:r>
          </w:p>
        </w:tc>
      </w:tr>
      <w:tr>
        <w:trPr>
          <w:cantSplit/>
          <w:trHeight w:val="222"/>
        </w:trPr>
        <w:tc>
          <w:tcPr>
            <w:tcW w:w="1418" w:type="dxa"/>
            <w:vMerge w:val="restart"/>
          </w:tcPr>
          <w:p>
            <w:pPr>
              <w:pStyle w:val="yTableNAm"/>
              <w:rPr>
                <w:sz w:val="20"/>
                <w:szCs w:val="18"/>
                <w:vertAlign w:val="superscript"/>
              </w:rPr>
            </w:pPr>
            <w:r>
              <w:rPr>
                <w:sz w:val="20"/>
                <w:szCs w:val="18"/>
              </w:rPr>
              <w:t>Applicant’s details</w:t>
            </w:r>
          </w:p>
        </w:tc>
        <w:tc>
          <w:tcPr>
            <w:tcW w:w="1417" w:type="dxa"/>
          </w:tcPr>
          <w:p>
            <w:pPr>
              <w:pStyle w:val="yTableNAm"/>
              <w:spacing w:after="60"/>
              <w:rPr>
                <w:sz w:val="20"/>
                <w:szCs w:val="18"/>
              </w:rPr>
            </w:pPr>
            <w:r>
              <w:rPr>
                <w:sz w:val="20"/>
                <w:szCs w:val="18"/>
              </w:rPr>
              <w:t>Name of authorised officer</w:t>
            </w:r>
          </w:p>
        </w:tc>
        <w:tc>
          <w:tcPr>
            <w:tcW w:w="4253" w:type="dxa"/>
            <w:gridSpan w:val="4"/>
          </w:tcPr>
          <w:p>
            <w:pPr>
              <w:pStyle w:val="yTableNAm"/>
              <w:rPr>
                <w:sz w:val="20"/>
                <w:szCs w:val="18"/>
              </w:rPr>
            </w:pPr>
          </w:p>
        </w:tc>
      </w:tr>
      <w:tr>
        <w:trPr>
          <w:cantSplit/>
          <w:trHeight w:val="221"/>
        </w:trPr>
        <w:tc>
          <w:tcPr>
            <w:tcW w:w="1418" w:type="dxa"/>
            <w:vMerge/>
          </w:tcPr>
          <w:p>
            <w:pPr>
              <w:pStyle w:val="yTableNAm"/>
              <w:rPr>
                <w:sz w:val="20"/>
                <w:szCs w:val="18"/>
              </w:rPr>
            </w:pPr>
          </w:p>
        </w:tc>
        <w:tc>
          <w:tcPr>
            <w:tcW w:w="1417" w:type="dxa"/>
          </w:tcPr>
          <w:p>
            <w:pPr>
              <w:pStyle w:val="yTableNAm"/>
              <w:spacing w:after="60"/>
              <w:rPr>
                <w:sz w:val="20"/>
                <w:szCs w:val="18"/>
              </w:rPr>
            </w:pPr>
            <w:r>
              <w:rPr>
                <w:sz w:val="20"/>
                <w:szCs w:val="18"/>
              </w:rPr>
              <w:t>Position held by authorised officer</w:t>
            </w:r>
          </w:p>
        </w:tc>
        <w:tc>
          <w:tcPr>
            <w:tcW w:w="4253" w:type="dxa"/>
            <w:gridSpan w:val="4"/>
          </w:tcPr>
          <w:p>
            <w:pPr>
              <w:pStyle w:val="yTableNAm"/>
              <w:rPr>
                <w:sz w:val="20"/>
                <w:szCs w:val="18"/>
              </w:rPr>
            </w:pPr>
          </w:p>
        </w:tc>
      </w:tr>
      <w:tr>
        <w:trPr>
          <w:cantSplit/>
          <w:trHeight w:val="221"/>
        </w:trPr>
        <w:tc>
          <w:tcPr>
            <w:tcW w:w="1418" w:type="dxa"/>
          </w:tcPr>
          <w:p>
            <w:pPr>
              <w:pStyle w:val="yTableNAm"/>
              <w:rPr>
                <w:sz w:val="20"/>
                <w:szCs w:val="18"/>
              </w:rPr>
            </w:pPr>
            <w:r>
              <w:rPr>
                <w:sz w:val="20"/>
                <w:szCs w:val="18"/>
              </w:rPr>
              <w:t>Authorised purpose</w:t>
            </w:r>
          </w:p>
        </w:tc>
        <w:tc>
          <w:tcPr>
            <w:tcW w:w="5670" w:type="dxa"/>
            <w:gridSpan w:val="5"/>
          </w:tcPr>
          <w:p>
            <w:pPr>
              <w:pStyle w:val="yTableNAm"/>
              <w:rPr>
                <w:sz w:val="20"/>
                <w:szCs w:val="18"/>
              </w:rPr>
            </w:pPr>
          </w:p>
        </w:tc>
      </w:tr>
      <w:tr>
        <w:trPr>
          <w:cantSplit/>
        </w:trPr>
        <w:tc>
          <w:tcPr>
            <w:tcW w:w="1418" w:type="dxa"/>
          </w:tcPr>
          <w:p>
            <w:pPr>
              <w:pStyle w:val="yTableNAm"/>
              <w:rPr>
                <w:sz w:val="20"/>
                <w:szCs w:val="18"/>
              </w:rPr>
            </w:pPr>
            <w:r>
              <w:rPr>
                <w:sz w:val="20"/>
                <w:szCs w:val="18"/>
              </w:rPr>
              <w:t>Warrant</w:t>
            </w:r>
          </w:p>
        </w:tc>
        <w:tc>
          <w:tcPr>
            <w:tcW w:w="5670" w:type="dxa"/>
            <w:gridSpan w:val="5"/>
          </w:tcPr>
          <w:p>
            <w:pPr>
              <w:pStyle w:val="yTableNAm"/>
              <w:spacing w:after="60"/>
              <w:rPr>
                <w:sz w:val="20"/>
                <w:szCs w:val="18"/>
              </w:rPr>
            </w:pPr>
            <w:r>
              <w:rPr>
                <w:sz w:val="20"/>
                <w:szCs w:val="18"/>
              </w:rPr>
              <w:t>This warrant authorises you to enter the place described below for the authorised purpose.</w:t>
            </w:r>
          </w:p>
        </w:tc>
      </w:tr>
      <w:tr>
        <w:trPr>
          <w:cantSplit/>
        </w:trPr>
        <w:tc>
          <w:tcPr>
            <w:tcW w:w="1418" w:type="dxa"/>
          </w:tcPr>
          <w:p>
            <w:pPr>
              <w:pStyle w:val="yTableNAm"/>
              <w:rPr>
                <w:sz w:val="20"/>
                <w:szCs w:val="18"/>
                <w:vertAlign w:val="superscript"/>
              </w:rPr>
            </w:pPr>
            <w:r>
              <w:rPr>
                <w:sz w:val="20"/>
                <w:szCs w:val="18"/>
              </w:rPr>
              <w:t>Place to be entered</w:t>
            </w:r>
          </w:p>
        </w:tc>
        <w:tc>
          <w:tcPr>
            <w:tcW w:w="5670" w:type="dxa"/>
            <w:gridSpan w:val="5"/>
          </w:tcPr>
          <w:p>
            <w:pPr>
              <w:pStyle w:val="yTableNAm"/>
              <w:rPr>
                <w:sz w:val="20"/>
                <w:szCs w:val="18"/>
              </w:rPr>
            </w:pPr>
          </w:p>
        </w:tc>
      </w:tr>
      <w:tr>
        <w:trPr>
          <w:cantSplit/>
        </w:trPr>
        <w:tc>
          <w:tcPr>
            <w:tcW w:w="1418" w:type="dxa"/>
          </w:tcPr>
          <w:p>
            <w:pPr>
              <w:pStyle w:val="yTableNAm"/>
              <w:spacing w:after="60"/>
              <w:rPr>
                <w:sz w:val="20"/>
                <w:szCs w:val="18"/>
              </w:rPr>
            </w:pPr>
            <w:r>
              <w:rPr>
                <w:sz w:val="20"/>
                <w:szCs w:val="18"/>
              </w:rPr>
              <w:t>Period during which warrant may be executed</w:t>
            </w:r>
          </w:p>
        </w:tc>
        <w:tc>
          <w:tcPr>
            <w:tcW w:w="5670" w:type="dxa"/>
            <w:gridSpan w:val="5"/>
          </w:tcPr>
          <w:p>
            <w:pPr>
              <w:pStyle w:val="yTableNAm"/>
              <w:spacing w:after="60"/>
              <w:rPr>
                <w:sz w:val="20"/>
                <w:szCs w:val="18"/>
              </w:rPr>
            </w:pPr>
          </w:p>
        </w:tc>
      </w:tr>
      <w:tr>
        <w:trPr>
          <w:cantSplit/>
          <w:trHeight w:val="222"/>
        </w:trPr>
        <w:tc>
          <w:tcPr>
            <w:tcW w:w="1418" w:type="dxa"/>
            <w:vMerge w:val="restart"/>
          </w:tcPr>
          <w:p>
            <w:pPr>
              <w:pStyle w:val="yTableNAm"/>
              <w:rPr>
                <w:sz w:val="20"/>
                <w:szCs w:val="18"/>
              </w:rPr>
            </w:pPr>
            <w:r>
              <w:rPr>
                <w:sz w:val="20"/>
                <w:szCs w:val="18"/>
              </w:rPr>
              <w:t>Issuing details</w:t>
            </w:r>
          </w:p>
        </w:tc>
        <w:tc>
          <w:tcPr>
            <w:tcW w:w="1417" w:type="dxa"/>
          </w:tcPr>
          <w:p>
            <w:pPr>
              <w:pStyle w:val="yTableNAm"/>
              <w:spacing w:after="60"/>
              <w:rPr>
                <w:sz w:val="20"/>
                <w:szCs w:val="18"/>
              </w:rPr>
            </w:pPr>
            <w:r>
              <w:rPr>
                <w:sz w:val="20"/>
                <w:szCs w:val="18"/>
              </w:rPr>
              <w:t>Name of magistrate</w:t>
            </w:r>
          </w:p>
        </w:tc>
        <w:tc>
          <w:tcPr>
            <w:tcW w:w="4253" w:type="dxa"/>
            <w:gridSpan w:val="4"/>
          </w:tcPr>
          <w:p>
            <w:pPr>
              <w:pStyle w:val="yTableNAm"/>
              <w:spacing w:after="60"/>
              <w:rPr>
                <w:sz w:val="20"/>
                <w:szCs w:val="18"/>
              </w:rPr>
            </w:pPr>
          </w:p>
        </w:tc>
      </w:tr>
      <w:tr>
        <w:trPr>
          <w:cantSplit/>
          <w:trHeight w:val="221"/>
        </w:trPr>
        <w:tc>
          <w:tcPr>
            <w:tcW w:w="1418" w:type="dxa"/>
            <w:vMerge/>
          </w:tcPr>
          <w:p>
            <w:pPr>
              <w:pStyle w:val="yTableNAm"/>
              <w:rPr>
                <w:sz w:val="20"/>
                <w:szCs w:val="18"/>
              </w:rPr>
            </w:pPr>
          </w:p>
        </w:tc>
        <w:tc>
          <w:tcPr>
            <w:tcW w:w="1417" w:type="dxa"/>
          </w:tcPr>
          <w:p>
            <w:pPr>
              <w:pStyle w:val="yTableNAm"/>
              <w:spacing w:after="60"/>
              <w:rPr>
                <w:sz w:val="20"/>
                <w:szCs w:val="18"/>
              </w:rPr>
            </w:pPr>
            <w:r>
              <w:rPr>
                <w:sz w:val="20"/>
                <w:szCs w:val="18"/>
              </w:rPr>
              <w:t>Date</w:t>
            </w:r>
          </w:p>
        </w:tc>
        <w:tc>
          <w:tcPr>
            <w:tcW w:w="2127" w:type="dxa"/>
            <w:gridSpan w:val="2"/>
          </w:tcPr>
          <w:p>
            <w:pPr>
              <w:pStyle w:val="yTableNAm"/>
              <w:spacing w:after="60"/>
              <w:rPr>
                <w:sz w:val="20"/>
                <w:szCs w:val="18"/>
              </w:rPr>
            </w:pPr>
          </w:p>
        </w:tc>
        <w:tc>
          <w:tcPr>
            <w:tcW w:w="708" w:type="dxa"/>
          </w:tcPr>
          <w:p>
            <w:pPr>
              <w:pStyle w:val="yTableNAm"/>
              <w:spacing w:after="60"/>
              <w:rPr>
                <w:sz w:val="20"/>
                <w:szCs w:val="18"/>
              </w:rPr>
            </w:pPr>
            <w:r>
              <w:rPr>
                <w:sz w:val="20"/>
                <w:szCs w:val="18"/>
              </w:rPr>
              <w:t>Time</w:t>
            </w:r>
          </w:p>
        </w:tc>
        <w:tc>
          <w:tcPr>
            <w:tcW w:w="1418" w:type="dxa"/>
          </w:tcPr>
          <w:p>
            <w:pPr>
              <w:pStyle w:val="yTableNAm"/>
              <w:spacing w:after="60"/>
              <w:rPr>
                <w:sz w:val="20"/>
                <w:szCs w:val="18"/>
              </w:rPr>
            </w:pPr>
          </w:p>
        </w:tc>
      </w:tr>
      <w:tr>
        <w:trPr>
          <w:cantSplit/>
        </w:trPr>
        <w:tc>
          <w:tcPr>
            <w:tcW w:w="1418" w:type="dxa"/>
            <w:tcBorders>
              <w:bottom w:val="single" w:sz="12" w:space="0" w:color="auto"/>
            </w:tcBorders>
          </w:tcPr>
          <w:p>
            <w:pPr>
              <w:pStyle w:val="yTableNAm"/>
              <w:rPr>
                <w:sz w:val="20"/>
              </w:rPr>
            </w:pPr>
            <w:r>
              <w:rPr>
                <w:sz w:val="20"/>
              </w:rPr>
              <w:t>Magistrate’s signature</w:t>
            </w:r>
          </w:p>
        </w:tc>
        <w:tc>
          <w:tcPr>
            <w:tcW w:w="5670" w:type="dxa"/>
            <w:gridSpan w:val="5"/>
            <w:tcBorders>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spacing w:after="60"/>
              <w:rPr>
                <w:sz w:val="20"/>
              </w:rPr>
            </w:pPr>
            <w:r>
              <w:rPr>
                <w:sz w:val="20"/>
              </w:rPr>
              <w:t>Magistrate</w:t>
            </w:r>
          </w:p>
        </w:tc>
      </w:tr>
    </w:tbl>
    <w:p>
      <w:pPr>
        <w:pStyle w:val="yScheduleHeading"/>
        <w:outlineLvl w:val="0"/>
      </w:pPr>
      <w:bookmarkStart w:id="92" w:name="_Toc216355375"/>
      <w:bookmarkStart w:id="93" w:name="_Toc216355461"/>
      <w:bookmarkStart w:id="94" w:name="_Toc216355534"/>
      <w:bookmarkStart w:id="95" w:name="_Toc216356080"/>
      <w:bookmarkStart w:id="96" w:name="_Toc216783255"/>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92"/>
      <w:bookmarkEnd w:id="93"/>
      <w:bookmarkEnd w:id="94"/>
      <w:bookmarkEnd w:id="95"/>
      <w:bookmarkEnd w:id="96"/>
    </w:p>
    <w:p>
      <w:pPr>
        <w:pStyle w:val="yShoulderClause"/>
        <w:spacing w:after="60"/>
      </w:pPr>
      <w:r>
        <w:t>[r. 19]</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820"/>
        <w:gridCol w:w="1984"/>
      </w:tblGrid>
      <w:tr>
        <w:trPr>
          <w:cantSplit/>
        </w:trPr>
        <w:tc>
          <w:tcPr>
            <w:tcW w:w="4820" w:type="dxa"/>
          </w:tcPr>
          <w:p>
            <w:pPr>
              <w:pStyle w:val="yTableNAm"/>
              <w:spacing w:after="120"/>
              <w:jc w:val="center"/>
              <w:rPr>
                <w:b/>
              </w:rPr>
            </w:pPr>
            <w:r>
              <w:rPr>
                <w:b/>
              </w:rPr>
              <w:t>Offence</w:t>
            </w:r>
          </w:p>
        </w:tc>
        <w:tc>
          <w:tcPr>
            <w:tcW w:w="1984" w:type="dxa"/>
            <w:noWrap/>
          </w:tcPr>
          <w:p>
            <w:pPr>
              <w:pStyle w:val="yTableNAm"/>
              <w:spacing w:after="120"/>
              <w:jc w:val="center"/>
            </w:pPr>
            <w:r>
              <w:rPr>
                <w:b/>
              </w:rPr>
              <w:t>Modified penalty</w:t>
            </w:r>
          </w:p>
        </w:tc>
      </w:tr>
      <w:tr>
        <w:trPr>
          <w:cantSplit/>
        </w:trPr>
        <w:tc>
          <w:tcPr>
            <w:tcW w:w="4820" w:type="dxa"/>
            <w:noWrap/>
            <w:vAlign w:val="center"/>
          </w:tcPr>
          <w:p>
            <w:pPr>
              <w:pStyle w:val="yTableNAm"/>
            </w:pPr>
            <w:r>
              <w:t>Offence under section 4.87(1) of the Act</w:t>
            </w:r>
          </w:p>
        </w:tc>
        <w:tc>
          <w:tcPr>
            <w:tcW w:w="1984" w:type="dxa"/>
            <w:noWrap/>
            <w:vAlign w:val="bottom"/>
          </w:tcPr>
          <w:p>
            <w:pPr>
              <w:pStyle w:val="yTableNAm"/>
              <w:tabs>
                <w:tab w:val="clear" w:pos="567"/>
              </w:tabs>
              <w:ind w:right="649"/>
              <w:jc w:val="right"/>
            </w:pPr>
            <w:r>
              <w:t>$500</w:t>
            </w:r>
          </w:p>
        </w:tc>
      </w:tr>
      <w:tr>
        <w:trPr>
          <w:cantSplit/>
        </w:trPr>
        <w:tc>
          <w:tcPr>
            <w:tcW w:w="4820" w:type="dxa"/>
            <w:noWrap/>
            <w:vAlign w:val="center"/>
          </w:tcPr>
          <w:p>
            <w:pPr>
              <w:pStyle w:val="yTableNAm"/>
            </w:pPr>
            <w:r>
              <w:t>Offence under section 5.21(5) of the Act</w:t>
            </w:r>
          </w:p>
        </w:tc>
        <w:tc>
          <w:tcPr>
            <w:tcW w:w="1984" w:type="dxa"/>
            <w:noWrap/>
            <w:vAlign w:val="bottom"/>
          </w:tcPr>
          <w:p>
            <w:pPr>
              <w:pStyle w:val="yTableNAm"/>
              <w:tabs>
                <w:tab w:val="clear" w:pos="567"/>
              </w:tabs>
              <w:ind w:right="649"/>
              <w:jc w:val="right"/>
            </w:pPr>
            <w:r>
              <w:t>$1 000</w:t>
            </w:r>
          </w:p>
        </w:tc>
      </w:tr>
      <w:tr>
        <w:trPr>
          <w:cantSplit/>
        </w:trPr>
        <w:tc>
          <w:tcPr>
            <w:tcW w:w="4820" w:type="dxa"/>
            <w:noWrap/>
            <w:vAlign w:val="center"/>
          </w:tcPr>
          <w:p>
            <w:pPr>
              <w:pStyle w:val="yTableNAm"/>
            </w:pPr>
            <w:r>
              <w:t>Offence under section 5.75(1) or (2) of the Act</w:t>
            </w:r>
          </w:p>
        </w:tc>
        <w:tc>
          <w:tcPr>
            <w:tcW w:w="1984" w:type="dxa"/>
            <w:noWrap/>
            <w:vAlign w:val="bottom"/>
          </w:tcPr>
          <w:p>
            <w:pPr>
              <w:pStyle w:val="yTableNAm"/>
              <w:tabs>
                <w:tab w:val="clear" w:pos="567"/>
              </w:tabs>
              <w:ind w:right="649"/>
              <w:jc w:val="right"/>
            </w:pPr>
            <w:r>
              <w:t>$1 000</w:t>
            </w:r>
          </w:p>
        </w:tc>
      </w:tr>
      <w:tr>
        <w:trPr>
          <w:cantSplit/>
        </w:trPr>
        <w:tc>
          <w:tcPr>
            <w:tcW w:w="4820" w:type="dxa"/>
            <w:noWrap/>
            <w:vAlign w:val="center"/>
          </w:tcPr>
          <w:p>
            <w:pPr>
              <w:pStyle w:val="yTableNAm"/>
            </w:pPr>
            <w:r>
              <w:t>Offence under section 5.76(1) or (2) of the Act</w:t>
            </w:r>
          </w:p>
        </w:tc>
        <w:tc>
          <w:tcPr>
            <w:tcW w:w="1984" w:type="dxa"/>
            <w:noWrap/>
            <w:vAlign w:val="bottom"/>
          </w:tcPr>
          <w:p>
            <w:pPr>
              <w:pStyle w:val="yTableNAm"/>
              <w:tabs>
                <w:tab w:val="clear" w:pos="567"/>
              </w:tabs>
              <w:ind w:right="649"/>
              <w:jc w:val="right"/>
            </w:pPr>
            <w:r>
              <w:t>$1 000</w:t>
            </w:r>
          </w:p>
        </w:tc>
      </w:tr>
      <w:tr>
        <w:trPr>
          <w:cantSplit/>
        </w:trPr>
        <w:tc>
          <w:tcPr>
            <w:tcW w:w="4820" w:type="dxa"/>
            <w:noWrap/>
            <w:vAlign w:val="center"/>
          </w:tcPr>
          <w:p>
            <w:pPr>
              <w:pStyle w:val="yTableNAm"/>
            </w:pPr>
            <w:r>
              <w:t>Offence under section 5.87A(1) of the Act</w:t>
            </w:r>
          </w:p>
        </w:tc>
        <w:tc>
          <w:tcPr>
            <w:tcW w:w="1984" w:type="dxa"/>
            <w:noWrap/>
            <w:vAlign w:val="bottom"/>
          </w:tcPr>
          <w:p>
            <w:pPr>
              <w:pStyle w:val="yTableNAm"/>
              <w:tabs>
                <w:tab w:val="clear" w:pos="567"/>
              </w:tabs>
              <w:ind w:right="649"/>
              <w:jc w:val="right"/>
            </w:pPr>
            <w:r>
              <w:t>$1 000</w:t>
            </w:r>
          </w:p>
        </w:tc>
      </w:tr>
      <w:tr>
        <w:trPr>
          <w:cantSplit/>
        </w:trPr>
        <w:tc>
          <w:tcPr>
            <w:tcW w:w="4820" w:type="dxa"/>
            <w:noWrap/>
            <w:vAlign w:val="center"/>
          </w:tcPr>
          <w:p>
            <w:pPr>
              <w:pStyle w:val="yTableNAm"/>
            </w:pPr>
            <w:r>
              <w:t>Offence under section 5.87B(1) of the Act</w:t>
            </w:r>
          </w:p>
        </w:tc>
        <w:tc>
          <w:tcPr>
            <w:tcW w:w="1984" w:type="dxa"/>
            <w:noWrap/>
            <w:vAlign w:val="bottom"/>
          </w:tcPr>
          <w:p>
            <w:pPr>
              <w:pStyle w:val="yTableNAm"/>
              <w:tabs>
                <w:tab w:val="clear" w:pos="567"/>
              </w:tabs>
              <w:ind w:right="649"/>
              <w:jc w:val="right"/>
            </w:pPr>
            <w:r>
              <w:t>$1 000</w:t>
            </w:r>
          </w:p>
        </w:tc>
      </w:tr>
      <w:tr>
        <w:trPr>
          <w:cantSplit/>
        </w:trPr>
        <w:tc>
          <w:tcPr>
            <w:tcW w:w="4820" w:type="dxa"/>
            <w:noWrap/>
            <w:vAlign w:val="center"/>
          </w:tcPr>
          <w:p>
            <w:pPr>
              <w:pStyle w:val="yTableNAm"/>
            </w:pPr>
            <w:r>
              <w:t>Offence under section 9.10(6) of the Act</w:t>
            </w:r>
          </w:p>
        </w:tc>
        <w:tc>
          <w:tcPr>
            <w:tcW w:w="1984" w:type="dxa"/>
            <w:noWrap/>
            <w:vAlign w:val="bottom"/>
          </w:tcPr>
          <w:p>
            <w:pPr>
              <w:pStyle w:val="yTableNAm"/>
              <w:tabs>
                <w:tab w:val="clear" w:pos="567"/>
              </w:tabs>
              <w:ind w:right="649"/>
              <w:jc w:val="right"/>
            </w:pPr>
            <w:r>
              <w:t>$500</w:t>
            </w:r>
          </w:p>
        </w:tc>
      </w:tr>
      <w:tr>
        <w:trPr>
          <w:cantSplit/>
        </w:trPr>
        <w:tc>
          <w:tcPr>
            <w:tcW w:w="4820" w:type="dxa"/>
            <w:noWrap/>
            <w:vAlign w:val="center"/>
          </w:tcPr>
          <w:p>
            <w:pPr>
              <w:pStyle w:val="yTableNAm"/>
            </w:pPr>
            <w:r>
              <w:t xml:space="preserve">Offence under the </w:t>
            </w:r>
            <w:r>
              <w:rPr>
                <w:i/>
                <w:iCs/>
              </w:rPr>
              <w:t>Local Government (Administration) Regulations 1996</w:t>
            </w:r>
            <w:r>
              <w:t xml:space="preserve"> regulation 36B(1) or (2)</w:t>
            </w:r>
          </w:p>
        </w:tc>
        <w:tc>
          <w:tcPr>
            <w:tcW w:w="1984" w:type="dxa"/>
            <w:noWrap/>
            <w:vAlign w:val="bottom"/>
          </w:tcPr>
          <w:p>
            <w:pPr>
              <w:pStyle w:val="yTableNAm"/>
              <w:tabs>
                <w:tab w:val="clear" w:pos="567"/>
              </w:tabs>
              <w:ind w:right="649"/>
              <w:jc w:val="right"/>
            </w:pPr>
            <w:r>
              <w:t>$500</w:t>
            </w:r>
          </w:p>
        </w:tc>
      </w:tr>
      <w:tr>
        <w:trPr>
          <w:cantSplit/>
        </w:trPr>
        <w:tc>
          <w:tcPr>
            <w:tcW w:w="4820" w:type="dxa"/>
            <w:noWrap/>
          </w:tcPr>
          <w:p>
            <w:pPr>
              <w:pStyle w:val="yTableNAm"/>
            </w:pPr>
            <w:r>
              <w:t xml:space="preserve">Offence under the </w:t>
            </w:r>
            <w:r>
              <w:rPr>
                <w:i/>
                <w:iCs/>
              </w:rPr>
              <w:t>Local Government (Elections) Regulations 1997</w:t>
            </w:r>
            <w:r>
              <w:t xml:space="preserve"> regulation 22AA(4) or (7)</w:t>
            </w:r>
          </w:p>
        </w:tc>
        <w:tc>
          <w:tcPr>
            <w:tcW w:w="1984" w:type="dxa"/>
            <w:noWrap/>
            <w:vAlign w:val="bottom"/>
          </w:tcPr>
          <w:p>
            <w:pPr>
              <w:pStyle w:val="yTableNAm"/>
              <w:tabs>
                <w:tab w:val="clear" w:pos="567"/>
              </w:tabs>
              <w:ind w:right="649"/>
              <w:jc w:val="right"/>
            </w:pPr>
            <w:r>
              <w:t>$500</w:t>
            </w:r>
          </w:p>
        </w:tc>
      </w:tr>
      <w:tr>
        <w:trPr>
          <w:cantSplit/>
        </w:trPr>
        <w:tc>
          <w:tcPr>
            <w:tcW w:w="4820" w:type="dxa"/>
            <w:noWrap/>
            <w:vAlign w:val="center"/>
          </w:tcPr>
          <w:p>
            <w:pPr>
              <w:pStyle w:val="yTableNAm"/>
            </w:pPr>
            <w:r>
              <w:t xml:space="preserve">Offence under the </w:t>
            </w:r>
            <w:r>
              <w:rPr>
                <w:i/>
                <w:iCs/>
              </w:rPr>
              <w:t>Local Government (Elections) Regulations 1997</w:t>
            </w:r>
            <w:r>
              <w:t xml:space="preserve"> regulation 30B(2)</w:t>
            </w:r>
          </w:p>
        </w:tc>
        <w:tc>
          <w:tcPr>
            <w:tcW w:w="1984" w:type="dxa"/>
            <w:noWrap/>
            <w:vAlign w:val="bottom"/>
          </w:tcPr>
          <w:p>
            <w:pPr>
              <w:pStyle w:val="yTableNAm"/>
              <w:tabs>
                <w:tab w:val="clear" w:pos="567"/>
              </w:tabs>
              <w:ind w:right="649"/>
              <w:jc w:val="right"/>
            </w:pPr>
            <w:r>
              <w:t>$1 000</w:t>
            </w:r>
          </w:p>
        </w:tc>
      </w:tr>
    </w:tbl>
    <w:p>
      <w:pPr>
        <w:pStyle w:val="yScheduleHeading"/>
        <w:outlineLvl w:val="0"/>
      </w:pPr>
      <w:bookmarkStart w:id="97" w:name="_Toc216355376"/>
      <w:bookmarkStart w:id="98" w:name="_Toc216355462"/>
      <w:bookmarkStart w:id="99" w:name="_Toc216355535"/>
      <w:bookmarkStart w:id="100" w:name="_Toc216356081"/>
      <w:bookmarkStart w:id="101" w:name="_Toc216783256"/>
      <w:r>
        <w:rPr>
          <w:rStyle w:val="CharSchNo"/>
        </w:rPr>
        <w:lastRenderedPageBreak/>
        <w:t>Schedule 3</w:t>
      </w:r>
      <w:r>
        <w:rPr>
          <w:rStyle w:val="CharSDivNo"/>
        </w:rPr>
        <w:t> </w:t>
      </w:r>
      <w:r>
        <w:t>—</w:t>
      </w:r>
      <w:r>
        <w:rPr>
          <w:rStyle w:val="CharSDivText"/>
        </w:rPr>
        <w:t> </w:t>
      </w:r>
      <w:r>
        <w:rPr>
          <w:rStyle w:val="CharSchText"/>
        </w:rPr>
        <w:t>Form of infringement notice</w:t>
      </w:r>
      <w:bookmarkEnd w:id="97"/>
      <w:bookmarkEnd w:id="98"/>
      <w:bookmarkEnd w:id="99"/>
      <w:bookmarkEnd w:id="100"/>
      <w:bookmarkEnd w:id="101"/>
    </w:p>
    <w:p>
      <w:pPr>
        <w:pStyle w:val="yShoulderClause"/>
      </w:pPr>
      <w:r>
        <w:t>[r. 21]</w:t>
      </w:r>
    </w:p>
    <w:p>
      <w:pPr>
        <w:pStyle w:val="ySubsection"/>
      </w:pP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524"/>
        <w:gridCol w:w="2127"/>
        <w:gridCol w:w="2163"/>
      </w:tblGrid>
      <w:tr>
        <w:trPr>
          <w:cantSplit/>
          <w:trHeight w:val="282"/>
        </w:trPr>
        <w:tc>
          <w:tcPr>
            <w:tcW w:w="4962" w:type="dxa"/>
            <w:gridSpan w:val="3"/>
          </w:tcPr>
          <w:p>
            <w:pPr>
              <w:pStyle w:val="yTableNAm"/>
              <w:jc w:val="center"/>
              <w:rPr>
                <w:iCs/>
              </w:rPr>
            </w:pPr>
            <w:r>
              <w:rPr>
                <w:b/>
                <w:szCs w:val="22"/>
              </w:rPr>
              <w:br w:type="page"/>
            </w:r>
            <w:r>
              <w:rPr>
                <w:i/>
                <w:szCs w:val="22"/>
              </w:rPr>
              <w:t xml:space="preserve">Local Government Act 1995 </w:t>
            </w:r>
            <w:r>
              <w:rPr>
                <w:iCs/>
                <w:szCs w:val="22"/>
              </w:rPr>
              <w:t>Part 9 Division 2 Subdivision 2A</w:t>
            </w:r>
          </w:p>
          <w:p>
            <w:pPr>
              <w:pStyle w:val="yTableNAm"/>
              <w:jc w:val="center"/>
              <w:rPr>
                <w:b/>
                <w:sz w:val="28"/>
                <w:szCs w:val="28"/>
              </w:rPr>
            </w:pPr>
            <w:r>
              <w:rPr>
                <w:b/>
                <w:sz w:val="28"/>
                <w:szCs w:val="28"/>
              </w:rPr>
              <w:t>INFRINGEMENT NOTICE</w:t>
            </w:r>
          </w:p>
        </w:tc>
        <w:tc>
          <w:tcPr>
            <w:tcW w:w="2163" w:type="dxa"/>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vMerge w:val="restart"/>
          </w:tcPr>
          <w:p>
            <w:pPr>
              <w:pStyle w:val="yTableNAm"/>
            </w:pPr>
            <w:r>
              <w:rPr>
                <w:szCs w:val="22"/>
              </w:rPr>
              <w:t>Name</w:t>
            </w:r>
          </w:p>
        </w:tc>
        <w:tc>
          <w:tcPr>
            <w:tcW w:w="4290" w:type="dxa"/>
            <w:gridSpan w:val="2"/>
          </w:tcPr>
          <w:p>
            <w:pPr>
              <w:pStyle w:val="yTableNAm"/>
            </w:pPr>
          </w:p>
        </w:tc>
      </w:tr>
      <w:tr>
        <w:trPr>
          <w:cantSplit/>
          <w:trHeight w:val="150"/>
        </w:trPr>
        <w:tc>
          <w:tcPr>
            <w:tcW w:w="1311" w:type="dxa"/>
            <w:vMerge/>
          </w:tcPr>
          <w:p>
            <w:pPr>
              <w:pStyle w:val="zyTableNAm"/>
              <w:rPr>
                <w:b/>
                <w:szCs w:val="22"/>
              </w:rPr>
            </w:pPr>
          </w:p>
        </w:tc>
        <w:tc>
          <w:tcPr>
            <w:tcW w:w="1524" w:type="dxa"/>
            <w:vMerge/>
          </w:tcPr>
          <w:p>
            <w:pPr>
              <w:pStyle w:val="yTableNAm"/>
            </w:pPr>
          </w:p>
        </w:tc>
        <w:tc>
          <w:tcPr>
            <w:tcW w:w="4290" w:type="dxa"/>
            <w:gridSpan w:val="2"/>
          </w:tcPr>
          <w:p>
            <w:pPr>
              <w:pStyle w:val="yTableNAm"/>
            </w:pPr>
          </w:p>
        </w:tc>
      </w:tr>
      <w:tr>
        <w:trPr>
          <w:cantSplit/>
          <w:trHeight w:val="150"/>
        </w:trPr>
        <w:tc>
          <w:tcPr>
            <w:tcW w:w="1311" w:type="dxa"/>
            <w:vMerge/>
          </w:tcPr>
          <w:p>
            <w:pPr>
              <w:pStyle w:val="yTableNAm"/>
            </w:pPr>
          </w:p>
        </w:tc>
        <w:tc>
          <w:tcPr>
            <w:tcW w:w="1524" w:type="dxa"/>
            <w:vMerge w:val="restart"/>
          </w:tcPr>
          <w:p>
            <w:pPr>
              <w:pStyle w:val="yTableNAm"/>
            </w:pPr>
            <w:r>
              <w:rPr>
                <w:szCs w:val="22"/>
              </w:rPr>
              <w:t>Address</w:t>
            </w:r>
          </w:p>
        </w:tc>
        <w:tc>
          <w:tcPr>
            <w:tcW w:w="4290" w:type="dxa"/>
            <w:gridSpan w:val="2"/>
          </w:tcPr>
          <w:p>
            <w:pPr>
              <w:pStyle w:val="yTableNAm"/>
            </w:pPr>
          </w:p>
        </w:tc>
      </w:tr>
      <w:tr>
        <w:trPr>
          <w:cantSplit/>
          <w:trHeight w:val="150"/>
        </w:trPr>
        <w:tc>
          <w:tcPr>
            <w:tcW w:w="1311" w:type="dxa"/>
            <w:vMerge/>
          </w:tcPr>
          <w:p>
            <w:pPr>
              <w:pStyle w:val="zyTableNAm"/>
              <w:rPr>
                <w:b/>
                <w:szCs w:val="22"/>
              </w:rPr>
            </w:pPr>
          </w:p>
        </w:tc>
        <w:tc>
          <w:tcPr>
            <w:tcW w:w="1524" w:type="dxa"/>
            <w:vMerge/>
          </w:tcPr>
          <w:p>
            <w:pPr>
              <w:pStyle w:val="yTableNAm"/>
            </w:pPr>
          </w:p>
        </w:tc>
        <w:tc>
          <w:tcPr>
            <w:tcW w:w="4290" w:type="dxa"/>
            <w:gridSpan w:val="2"/>
          </w:tcPr>
          <w:p>
            <w:pPr>
              <w:pStyle w:val="yTableNAm"/>
            </w:pPr>
          </w:p>
        </w:tc>
      </w:tr>
      <w:tr>
        <w:trPr>
          <w:cantSplit/>
          <w:trHeight w:val="150"/>
        </w:trPr>
        <w:tc>
          <w:tcPr>
            <w:tcW w:w="1311" w:type="dxa"/>
            <w:vMerge w:val="restart"/>
          </w:tcPr>
          <w:p>
            <w:pPr>
              <w:pStyle w:val="yTableNAm"/>
            </w:pPr>
            <w:r>
              <w:rPr>
                <w:b/>
                <w:szCs w:val="22"/>
              </w:rPr>
              <w:t>Alleged offence</w:t>
            </w:r>
          </w:p>
        </w:tc>
        <w:tc>
          <w:tcPr>
            <w:tcW w:w="1524" w:type="dxa"/>
          </w:tcPr>
          <w:p>
            <w:pPr>
              <w:pStyle w:val="yTableNAm"/>
            </w:pPr>
            <w:r>
              <w:rPr>
                <w:szCs w:val="22"/>
              </w:rPr>
              <w:t>Date or period</w:t>
            </w:r>
          </w:p>
        </w:tc>
        <w:tc>
          <w:tcPr>
            <w:tcW w:w="4290" w:type="dxa"/>
            <w:gridSpan w:val="2"/>
          </w:tcPr>
          <w:p>
            <w:pPr>
              <w:pStyle w:val="yTableNAm"/>
            </w:pPr>
          </w:p>
        </w:tc>
      </w:tr>
      <w:tr>
        <w:trPr>
          <w:cantSplit/>
          <w:trHeight w:val="150"/>
        </w:trPr>
        <w:tc>
          <w:tcPr>
            <w:tcW w:w="1311" w:type="dxa"/>
            <w:vMerge/>
          </w:tcPr>
          <w:p>
            <w:pPr>
              <w:pStyle w:val="yTableNAm"/>
            </w:pPr>
          </w:p>
        </w:tc>
        <w:tc>
          <w:tcPr>
            <w:tcW w:w="1524" w:type="dxa"/>
          </w:tcPr>
          <w:p>
            <w:pPr>
              <w:pStyle w:val="yTableNAm"/>
            </w:pPr>
            <w:r>
              <w:rPr>
                <w:szCs w:val="22"/>
              </w:rPr>
              <w:t>Place</w:t>
            </w:r>
          </w:p>
        </w:tc>
        <w:tc>
          <w:tcPr>
            <w:tcW w:w="4290" w:type="dxa"/>
            <w:gridSpan w:val="2"/>
          </w:tcPr>
          <w:p>
            <w:pPr>
              <w:pStyle w:val="yTableNAm"/>
            </w:pPr>
          </w:p>
        </w:tc>
      </w:tr>
      <w:tr>
        <w:trPr>
          <w:cantSplit/>
          <w:trHeight w:val="150"/>
        </w:trPr>
        <w:tc>
          <w:tcPr>
            <w:tcW w:w="1311" w:type="dxa"/>
            <w:vMerge/>
          </w:tcPr>
          <w:p>
            <w:pPr>
              <w:pStyle w:val="yTableNAm"/>
            </w:pPr>
          </w:p>
        </w:tc>
        <w:tc>
          <w:tcPr>
            <w:tcW w:w="1524" w:type="dxa"/>
          </w:tcPr>
          <w:p>
            <w:pPr>
              <w:pStyle w:val="yTableNAm"/>
            </w:pPr>
            <w:r>
              <w:rPr>
                <w:szCs w:val="22"/>
              </w:rPr>
              <w:t>Provision of written law contravened</w:t>
            </w:r>
          </w:p>
        </w:tc>
        <w:tc>
          <w:tcPr>
            <w:tcW w:w="4290" w:type="dxa"/>
            <w:gridSpan w:val="2"/>
          </w:tcPr>
          <w:p>
            <w:pPr>
              <w:pStyle w:val="yTableNAm"/>
              <w:tabs>
                <w:tab w:val="clear" w:pos="567"/>
                <w:tab w:val="left" w:pos="1845"/>
              </w:tabs>
            </w:pPr>
          </w:p>
        </w:tc>
      </w:tr>
      <w:tr>
        <w:trPr>
          <w:cantSplit/>
          <w:trHeight w:val="310"/>
        </w:trPr>
        <w:tc>
          <w:tcPr>
            <w:tcW w:w="1311" w:type="dxa"/>
            <w:vMerge/>
          </w:tcPr>
          <w:p>
            <w:pPr>
              <w:pStyle w:val="yTableNAm"/>
            </w:pPr>
          </w:p>
        </w:tc>
        <w:tc>
          <w:tcPr>
            <w:tcW w:w="1524" w:type="dxa"/>
            <w:vMerge w:val="restart"/>
          </w:tcPr>
          <w:p>
            <w:pPr>
              <w:pStyle w:val="yTableNAm"/>
            </w:pPr>
            <w:r>
              <w:rPr>
                <w:szCs w:val="22"/>
              </w:rPr>
              <w:t>Details of offence</w:t>
            </w:r>
          </w:p>
        </w:tc>
        <w:tc>
          <w:tcPr>
            <w:tcW w:w="4290" w:type="dxa"/>
            <w:gridSpan w:val="2"/>
          </w:tcPr>
          <w:p>
            <w:pPr>
              <w:pStyle w:val="yTableNAm"/>
            </w:pPr>
          </w:p>
        </w:tc>
      </w:tr>
      <w:tr>
        <w:trPr>
          <w:cantSplit/>
          <w:trHeight w:val="310"/>
        </w:trPr>
        <w:tc>
          <w:tcPr>
            <w:tcW w:w="1311" w:type="dxa"/>
            <w:vMerge/>
          </w:tcPr>
          <w:p>
            <w:pPr>
              <w:pStyle w:val="zyTableNAm"/>
              <w:rPr>
                <w:b/>
                <w:szCs w:val="22"/>
              </w:rPr>
            </w:pPr>
          </w:p>
        </w:tc>
        <w:tc>
          <w:tcPr>
            <w:tcW w:w="1524" w:type="dxa"/>
            <w:vMerge/>
          </w:tcPr>
          <w:p>
            <w:pPr>
              <w:pStyle w:val="yTableNAm"/>
            </w:pPr>
          </w:p>
        </w:tc>
        <w:tc>
          <w:tcPr>
            <w:tcW w:w="4290" w:type="dxa"/>
            <w:gridSpan w:val="2"/>
          </w:tcPr>
          <w:p>
            <w:pPr>
              <w:pStyle w:val="yTableNAm"/>
            </w:pPr>
          </w:p>
        </w:tc>
      </w:tr>
      <w:tr>
        <w:trPr>
          <w:cantSplit/>
        </w:trPr>
        <w:tc>
          <w:tcPr>
            <w:tcW w:w="1311" w:type="dxa"/>
          </w:tcPr>
          <w:p>
            <w:pPr>
              <w:pStyle w:val="yTableNAm"/>
            </w:pPr>
            <w:r>
              <w:rPr>
                <w:b/>
                <w:szCs w:val="22"/>
              </w:rPr>
              <w:t>Date</w:t>
            </w:r>
          </w:p>
        </w:tc>
        <w:tc>
          <w:tcPr>
            <w:tcW w:w="1524" w:type="dxa"/>
          </w:tcPr>
          <w:p>
            <w:pPr>
              <w:pStyle w:val="yTableNAm"/>
            </w:pPr>
            <w:r>
              <w:rPr>
                <w:szCs w:val="22"/>
              </w:rPr>
              <w:t>Date of notice</w:t>
            </w:r>
          </w:p>
        </w:tc>
        <w:tc>
          <w:tcPr>
            <w:tcW w:w="4290" w:type="dxa"/>
            <w:gridSpan w:val="2"/>
          </w:tcPr>
          <w:p>
            <w:pPr>
              <w:pStyle w:val="yTableNAm"/>
            </w:pPr>
          </w:p>
        </w:tc>
      </w:tr>
      <w:tr>
        <w:trPr>
          <w:cantSplit/>
        </w:trPr>
        <w:tc>
          <w:tcPr>
            <w:tcW w:w="1311" w:type="dxa"/>
            <w:vMerge w:val="restart"/>
          </w:tcPr>
          <w:p>
            <w:pPr>
              <w:pStyle w:val="yTableNAm"/>
            </w:pPr>
            <w:r>
              <w:rPr>
                <w:b/>
                <w:szCs w:val="22"/>
              </w:rPr>
              <w:t>Issuing officer</w:t>
            </w:r>
          </w:p>
        </w:tc>
        <w:tc>
          <w:tcPr>
            <w:tcW w:w="1524" w:type="dxa"/>
          </w:tcPr>
          <w:p>
            <w:pPr>
              <w:pStyle w:val="yTableNAm"/>
            </w:pPr>
            <w:r>
              <w:rPr>
                <w:szCs w:val="22"/>
              </w:rPr>
              <w:t>Name</w:t>
            </w:r>
          </w:p>
        </w:tc>
        <w:tc>
          <w:tcPr>
            <w:tcW w:w="4290" w:type="dxa"/>
            <w:gridSpan w:val="2"/>
          </w:tcPr>
          <w:p>
            <w:pPr>
              <w:pStyle w:val="yTableNAm"/>
            </w:pPr>
          </w:p>
        </w:tc>
      </w:tr>
      <w:tr>
        <w:trPr>
          <w:cantSplit/>
        </w:trPr>
        <w:tc>
          <w:tcPr>
            <w:tcW w:w="1311" w:type="dxa"/>
            <w:vMerge/>
          </w:tcPr>
          <w:p>
            <w:pPr>
              <w:pStyle w:val="yTableNAm"/>
            </w:pPr>
          </w:p>
        </w:tc>
        <w:tc>
          <w:tcPr>
            <w:tcW w:w="1524" w:type="dxa"/>
          </w:tcPr>
          <w:p>
            <w:pPr>
              <w:pStyle w:val="yTableNAm"/>
            </w:pPr>
            <w:r>
              <w:rPr>
                <w:szCs w:val="22"/>
              </w:rPr>
              <w:t>Office</w:t>
            </w:r>
          </w:p>
        </w:tc>
        <w:tc>
          <w:tcPr>
            <w:tcW w:w="4290" w:type="dxa"/>
            <w:gridSpan w:val="2"/>
          </w:tcPr>
          <w:p>
            <w:pPr>
              <w:pStyle w:val="yTableNAm"/>
            </w:pPr>
          </w:p>
        </w:tc>
      </w:tr>
      <w:tr>
        <w:trPr>
          <w:cantSplit/>
        </w:trPr>
        <w:tc>
          <w:tcPr>
            <w:tcW w:w="1311" w:type="dxa"/>
            <w:vMerge/>
          </w:tcPr>
          <w:p>
            <w:pPr>
              <w:pStyle w:val="yTableNAm"/>
            </w:pPr>
          </w:p>
        </w:tc>
        <w:tc>
          <w:tcPr>
            <w:tcW w:w="1524" w:type="dxa"/>
          </w:tcPr>
          <w:p>
            <w:pPr>
              <w:pStyle w:val="yTableNAm"/>
            </w:pPr>
            <w:r>
              <w:rPr>
                <w:szCs w:val="22"/>
              </w:rPr>
              <w:t>Signature</w:t>
            </w:r>
          </w:p>
        </w:tc>
        <w:tc>
          <w:tcPr>
            <w:tcW w:w="4290" w:type="dxa"/>
            <w:gridSpan w:val="2"/>
          </w:tcPr>
          <w:p>
            <w:pPr>
              <w:pStyle w:val="yTableNAm"/>
            </w:pPr>
          </w:p>
        </w:tc>
      </w:tr>
      <w:tr>
        <w:trPr>
          <w:trHeight w:val="604"/>
        </w:trPr>
        <w:tc>
          <w:tcPr>
            <w:tcW w:w="1311" w:type="dxa"/>
          </w:tcPr>
          <w:p>
            <w:pPr>
              <w:pStyle w:val="yTableNAm"/>
              <w:spacing w:after="60"/>
            </w:pPr>
            <w:r>
              <w:rPr>
                <w:b/>
                <w:szCs w:val="22"/>
              </w:rPr>
              <w:t>Modified penalty</w:t>
            </w:r>
          </w:p>
        </w:tc>
        <w:tc>
          <w:tcPr>
            <w:tcW w:w="5814" w:type="dxa"/>
            <w:gridSpan w:val="3"/>
          </w:tcPr>
          <w:p>
            <w:pPr>
              <w:pStyle w:val="yTableNAm"/>
            </w:pPr>
            <w:r>
              <w:rPr>
                <w:szCs w:val="22"/>
              </w:rPr>
              <w:t>$_____</w:t>
            </w:r>
          </w:p>
        </w:tc>
      </w:tr>
      <w:tr>
        <w:trPr>
          <w:trHeight w:val="401"/>
        </w:trPr>
        <w:tc>
          <w:tcPr>
            <w:tcW w:w="1311" w:type="dxa"/>
          </w:tcPr>
          <w:p>
            <w:pPr>
              <w:pStyle w:val="yTableNAm"/>
            </w:pPr>
            <w:r>
              <w:rPr>
                <w:b/>
                <w:szCs w:val="22"/>
              </w:rPr>
              <w:t>TAKE NOTICE</w:t>
            </w:r>
          </w:p>
        </w:tc>
        <w:tc>
          <w:tcPr>
            <w:tcW w:w="5814" w:type="dxa"/>
            <w:gridSpan w:val="3"/>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Local Government Inspector within 28 days after the date of this notice.</w:t>
            </w:r>
          </w:p>
          <w:p>
            <w:pPr>
              <w:pStyle w:val="yTableNAm"/>
              <w:spacing w:before="100"/>
            </w:pPr>
            <w:r>
              <w:rPr>
                <w:b/>
              </w:rPr>
              <w:t>If you do not pay</w:t>
            </w:r>
            <w:r>
              <w:t xml:space="preserve"> the modified penalty within 28 days, you may be prosecuted or enforcement action may be taken under </w:t>
            </w:r>
            <w:r>
              <w:lastRenderedPageBreak/>
              <w:t xml:space="preserve">the </w:t>
            </w:r>
            <w:r>
              <w:rPr>
                <w:i/>
              </w:rPr>
              <w:t>Fines, Penalties and Infringement Notices Enforcement Act 1994</w:t>
            </w:r>
            <w:r>
              <w:t xml:space="preserve">. </w:t>
            </w:r>
            <w:r>
              <w:rPr>
                <w:szCs w:val="22"/>
              </w:rPr>
              <w:t>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Local Government Inspector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Local Government Inspector at the address below within 28 days after the date of this notice.</w:t>
            </w:r>
          </w:p>
          <w:p>
            <w:pPr>
              <w:pStyle w:val="yTableNAm"/>
            </w:pPr>
            <w:r>
              <w:t>If you consider that you have good reason to have this notice withdrawn, you can write to the Local Government Inspector at the address below requesting that this notice be withdrawn and setting out why you consider that this notice should be withdrawn. Your letter must be received not later than 28 days after the date of this notice.</w:t>
            </w:r>
          </w:p>
        </w:tc>
      </w:tr>
      <w:tr>
        <w:trPr>
          <w:cantSplit/>
        </w:trPr>
        <w:tc>
          <w:tcPr>
            <w:tcW w:w="1311" w:type="dxa"/>
            <w:vMerge w:val="restart"/>
          </w:tcPr>
          <w:p>
            <w:pPr>
              <w:pStyle w:val="yTableNAm"/>
            </w:pPr>
            <w:r>
              <w:rPr>
                <w:b/>
                <w:szCs w:val="22"/>
              </w:rPr>
              <w:lastRenderedPageBreak/>
              <w:t>How to pay</w:t>
            </w:r>
          </w:p>
        </w:tc>
        <w:tc>
          <w:tcPr>
            <w:tcW w:w="1524" w:type="dxa"/>
          </w:tcPr>
          <w:p>
            <w:pPr>
              <w:pStyle w:val="yTableNAm"/>
            </w:pPr>
            <w:r>
              <w:rPr>
                <w:szCs w:val="22"/>
              </w:rPr>
              <w:t>In person</w:t>
            </w:r>
          </w:p>
        </w:tc>
        <w:tc>
          <w:tcPr>
            <w:tcW w:w="4290" w:type="dxa"/>
            <w:gridSpan w:val="2"/>
          </w:tcPr>
          <w:p>
            <w:pPr>
              <w:pStyle w:val="yTableNAm"/>
            </w:pPr>
            <w:r>
              <w:rPr>
                <w:i/>
                <w:iCs/>
                <w:szCs w:val="22"/>
              </w:rPr>
              <w:t>[Insert details for paying in person]</w:t>
            </w:r>
          </w:p>
        </w:tc>
      </w:tr>
      <w:tr>
        <w:trPr>
          <w:cantSplit/>
        </w:trPr>
        <w:tc>
          <w:tcPr>
            <w:tcW w:w="1311" w:type="dxa"/>
            <w:vMerge/>
          </w:tcPr>
          <w:p>
            <w:pPr>
              <w:pStyle w:val="yTableNAm"/>
            </w:pPr>
          </w:p>
        </w:tc>
        <w:tc>
          <w:tcPr>
            <w:tcW w:w="1524" w:type="dxa"/>
          </w:tcPr>
          <w:p>
            <w:pPr>
              <w:pStyle w:val="yTableNAm"/>
            </w:pPr>
            <w:r>
              <w:rPr>
                <w:szCs w:val="22"/>
              </w:rPr>
              <w:t>By post</w:t>
            </w:r>
          </w:p>
        </w:tc>
        <w:tc>
          <w:tcPr>
            <w:tcW w:w="4290" w:type="dxa"/>
            <w:gridSpan w:val="2"/>
          </w:tcPr>
          <w:p>
            <w:pPr>
              <w:pStyle w:val="yTableNAm"/>
              <w:rPr>
                <w:szCs w:val="22"/>
              </w:rPr>
            </w:pPr>
            <w:r>
              <w:rPr>
                <w:szCs w:val="22"/>
              </w:rPr>
              <w:t xml:space="preserve">Post this notice, with a cheque or money order made payable to </w:t>
            </w:r>
            <w:r>
              <w:rPr>
                <w:i/>
                <w:iCs/>
                <w:szCs w:val="22"/>
              </w:rPr>
              <w:t>[insert payee]</w:t>
            </w:r>
            <w:r>
              <w:rPr>
                <w:szCs w:val="22"/>
              </w:rPr>
              <w:t>, to:</w:t>
            </w:r>
          </w:p>
          <w:p>
            <w:pPr>
              <w:pStyle w:val="yTableNAm"/>
              <w:rPr>
                <w:i/>
                <w:iCs/>
                <w:szCs w:val="22"/>
              </w:rPr>
            </w:pPr>
            <w:r>
              <w:rPr>
                <w:i/>
                <w:iCs/>
                <w:szCs w:val="22"/>
              </w:rPr>
              <w:t>[Insert address]</w:t>
            </w:r>
          </w:p>
          <w:p>
            <w:pPr>
              <w:pStyle w:val="yTableNAm"/>
            </w:pPr>
            <w:r>
              <w:rPr>
                <w:szCs w:val="22"/>
              </w:rPr>
              <w:t>Do not send cash in the mail.</w:t>
            </w:r>
          </w:p>
        </w:tc>
      </w:tr>
      <w:tr>
        <w:trPr>
          <w:cantSplit/>
        </w:trPr>
        <w:tc>
          <w:tcPr>
            <w:tcW w:w="1311" w:type="dxa"/>
            <w:vMerge/>
          </w:tcPr>
          <w:p>
            <w:pPr>
              <w:pStyle w:val="yTableNAm"/>
            </w:pPr>
          </w:p>
        </w:tc>
        <w:tc>
          <w:tcPr>
            <w:tcW w:w="1524" w:type="dxa"/>
          </w:tcPr>
          <w:p>
            <w:pPr>
              <w:pStyle w:val="yTableNAm"/>
            </w:pPr>
            <w:r>
              <w:rPr>
                <w:szCs w:val="22"/>
              </w:rPr>
              <w:t>Online</w:t>
            </w:r>
          </w:p>
        </w:tc>
        <w:tc>
          <w:tcPr>
            <w:tcW w:w="4290" w:type="dxa"/>
            <w:gridSpan w:val="2"/>
          </w:tcPr>
          <w:p>
            <w:pPr>
              <w:pStyle w:val="yTableNAm"/>
            </w:pPr>
            <w:r>
              <w:rPr>
                <w:i/>
                <w:iCs/>
                <w:szCs w:val="22"/>
              </w:rPr>
              <w:t>[Insert details for paying online]</w:t>
            </w:r>
          </w:p>
        </w:tc>
      </w:tr>
    </w:tbl>
    <w:p>
      <w:pPr>
        <w:pStyle w:val="yScheduleHeading"/>
        <w:outlineLvl w:val="0"/>
      </w:pPr>
      <w:bookmarkStart w:id="102" w:name="_Toc216355377"/>
      <w:bookmarkStart w:id="103" w:name="_Toc216355463"/>
      <w:bookmarkStart w:id="104" w:name="_Toc216355536"/>
      <w:bookmarkStart w:id="105" w:name="_Toc216356082"/>
      <w:bookmarkStart w:id="106" w:name="_Toc216783257"/>
      <w:r>
        <w:rPr>
          <w:rStyle w:val="CharSchNo"/>
        </w:rPr>
        <w:lastRenderedPageBreak/>
        <w:t>Schedule 4</w:t>
      </w:r>
      <w:r>
        <w:rPr>
          <w:rStyle w:val="CharSDivNo"/>
        </w:rPr>
        <w:t> </w:t>
      </w:r>
      <w:r>
        <w:t>—</w:t>
      </w:r>
      <w:r>
        <w:rPr>
          <w:rStyle w:val="CharSDivText"/>
        </w:rPr>
        <w:t> </w:t>
      </w:r>
      <w:r>
        <w:rPr>
          <w:rStyle w:val="CharSchText"/>
        </w:rPr>
        <w:t>Form of notice to withdraw infringement notice</w:t>
      </w:r>
      <w:bookmarkEnd w:id="102"/>
      <w:bookmarkEnd w:id="103"/>
      <w:bookmarkEnd w:id="104"/>
      <w:bookmarkEnd w:id="105"/>
      <w:bookmarkEnd w:id="106"/>
    </w:p>
    <w:p>
      <w:pPr>
        <w:pStyle w:val="yShoulderClause"/>
        <w:spacing w:after="60"/>
      </w:pPr>
      <w:r>
        <w:t>[r. 23]</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1843"/>
        <w:gridCol w:w="2163"/>
      </w:tblGrid>
      <w:tr>
        <w:trPr>
          <w:cantSplit/>
          <w:trHeight w:val="282"/>
        </w:trPr>
        <w:tc>
          <w:tcPr>
            <w:tcW w:w="4962" w:type="dxa"/>
            <w:gridSpan w:val="3"/>
          </w:tcPr>
          <w:p>
            <w:pPr>
              <w:pStyle w:val="yTableNAm"/>
              <w:jc w:val="center"/>
              <w:rPr>
                <w:iCs/>
              </w:rPr>
            </w:pPr>
            <w:r>
              <w:rPr>
                <w:b/>
                <w:szCs w:val="22"/>
              </w:rPr>
              <w:br w:type="page"/>
            </w:r>
            <w:r>
              <w:rPr>
                <w:i/>
                <w:szCs w:val="22"/>
              </w:rPr>
              <w:t xml:space="preserve">Local Government Act 1995 </w:t>
            </w:r>
            <w:r>
              <w:rPr>
                <w:iCs/>
                <w:szCs w:val="22"/>
              </w:rPr>
              <w:t>Part 9 Division 2 Subdivision 2A</w:t>
            </w:r>
          </w:p>
          <w:p>
            <w:pPr>
              <w:pStyle w:val="yTableNAm"/>
              <w:jc w:val="center"/>
              <w:rPr>
                <w:b/>
                <w:sz w:val="28"/>
                <w:szCs w:val="28"/>
              </w:rPr>
            </w:pPr>
            <w:r>
              <w:rPr>
                <w:b/>
                <w:sz w:val="28"/>
                <w:szCs w:val="28"/>
              </w:rPr>
              <w:t>WITHDRAWAL OF INFRINGEMENT NOTICE</w:t>
            </w:r>
          </w:p>
        </w:tc>
        <w:tc>
          <w:tcPr>
            <w:tcW w:w="2163" w:type="dxa"/>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2"/>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2"/>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2"/>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2"/>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2"/>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notice</w:t>
            </w:r>
          </w:p>
        </w:tc>
        <w:tc>
          <w:tcPr>
            <w:tcW w:w="4006" w:type="dxa"/>
            <w:gridSpan w:val="2"/>
          </w:tcPr>
          <w:p>
            <w:pPr>
              <w:pStyle w:val="yTableNAm"/>
            </w:pPr>
          </w:p>
        </w:tc>
      </w:tr>
      <w:tr>
        <w:trPr>
          <w:cantSplit/>
          <w:trHeight w:val="150"/>
        </w:trPr>
        <w:tc>
          <w:tcPr>
            <w:tcW w:w="1539" w:type="dxa"/>
            <w:vMerge w:val="restart"/>
          </w:tcPr>
          <w:p>
            <w:pPr>
              <w:pStyle w:val="yTableNAm"/>
            </w:pPr>
            <w:r>
              <w:rPr>
                <w:b/>
                <w:szCs w:val="22"/>
              </w:rPr>
              <w:t>Alleged offence</w:t>
            </w:r>
          </w:p>
        </w:tc>
        <w:tc>
          <w:tcPr>
            <w:tcW w:w="1580" w:type="dxa"/>
          </w:tcPr>
          <w:p>
            <w:pPr>
              <w:pStyle w:val="yTableNAm"/>
            </w:pPr>
            <w:r>
              <w:rPr>
                <w:szCs w:val="22"/>
              </w:rPr>
              <w:t>Date or period</w:t>
            </w:r>
          </w:p>
        </w:tc>
        <w:tc>
          <w:tcPr>
            <w:tcW w:w="4006" w:type="dxa"/>
            <w:gridSpan w:val="2"/>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2"/>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Provision of written law contravened</w:t>
            </w:r>
          </w:p>
        </w:tc>
        <w:tc>
          <w:tcPr>
            <w:tcW w:w="4006" w:type="dxa"/>
            <w:gridSpan w:val="2"/>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2"/>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2"/>
          </w:tcPr>
          <w:p>
            <w:pPr>
              <w:pStyle w:val="yTableNAm"/>
            </w:pPr>
          </w:p>
        </w:tc>
      </w:tr>
      <w:tr>
        <w:trPr>
          <w:cantSplit/>
        </w:trPr>
        <w:tc>
          <w:tcPr>
            <w:tcW w:w="1539" w:type="dxa"/>
            <w:vMerge w:val="restart"/>
          </w:tcPr>
          <w:p>
            <w:pPr>
              <w:pStyle w:val="yTableNAm"/>
              <w:spacing w:after="60"/>
            </w:pPr>
            <w:r>
              <w:rPr>
                <w:b/>
                <w:szCs w:val="22"/>
              </w:rPr>
              <w:t>Local Government Inspector</w:t>
            </w:r>
          </w:p>
        </w:tc>
        <w:tc>
          <w:tcPr>
            <w:tcW w:w="1580" w:type="dxa"/>
          </w:tcPr>
          <w:p>
            <w:pPr>
              <w:pStyle w:val="yTableNAm"/>
            </w:pPr>
            <w:r>
              <w:rPr>
                <w:szCs w:val="22"/>
              </w:rPr>
              <w:t>Name</w:t>
            </w:r>
          </w:p>
        </w:tc>
        <w:tc>
          <w:tcPr>
            <w:tcW w:w="4006" w:type="dxa"/>
            <w:gridSpan w:val="2"/>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2"/>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2"/>
          </w:tcPr>
          <w:p>
            <w:pPr>
              <w:pStyle w:val="yTableNAm"/>
            </w:pPr>
          </w:p>
        </w:tc>
      </w:tr>
      <w:tr>
        <w:trPr>
          <w:cantSplit/>
          <w:trHeight w:val="1097"/>
        </w:trPr>
        <w:tc>
          <w:tcPr>
            <w:tcW w:w="1539" w:type="dxa"/>
          </w:tcPr>
          <w:p>
            <w:pPr>
              <w:pStyle w:val="yTableNAm"/>
            </w:pPr>
            <w:r>
              <w:rPr>
                <w:b/>
                <w:szCs w:val="22"/>
              </w:rPr>
              <w:lastRenderedPageBreak/>
              <w:t>Withdrawal of infringement notice</w:t>
            </w:r>
          </w:p>
        </w:tc>
        <w:tc>
          <w:tcPr>
            <w:tcW w:w="5586" w:type="dxa"/>
            <w:gridSpan w:val="3"/>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ByCommand"/>
        <w:tabs>
          <w:tab w:val="left" w:pos="3969"/>
        </w:tabs>
      </w:pPr>
      <w:r>
        <w:t>K. COLLERAN, Clerk of the Executive Council</w:t>
      </w:r>
    </w:p>
    <w:p>
      <w:pPr>
        <w:sectPr>
          <w:headerReference w:type="even" r:id="rId24"/>
          <w:headerReference w:type="default" r:id="rId25"/>
          <w:pgSz w:w="11907" w:h="16840" w:code="9"/>
          <w:pgMar w:top="2381" w:right="2410" w:bottom="3544" w:left="2410" w:header="720" w:footer="3544" w:gutter="0"/>
          <w:cols w:space="720"/>
        </w:sectPr>
      </w:pPr>
    </w:p>
    <w:p>
      <w:pPr>
        <w:pStyle w:val="nHeading2"/>
        <w:rPr>
          <w:sz w:val="28"/>
        </w:rPr>
      </w:pPr>
      <w:bookmarkStart w:id="108" w:name="_Toc216355537"/>
      <w:bookmarkStart w:id="109" w:name="_Toc216356083"/>
      <w:bookmarkStart w:id="110" w:name="_Toc216783258"/>
      <w:r>
        <w:rPr>
          <w:sz w:val="28"/>
        </w:rPr>
        <w:lastRenderedPageBreak/>
        <w:t>Defined terms</w:t>
      </w:r>
      <w:bookmarkEnd w:id="108"/>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 of conduct</w:t>
      </w:r>
      <w:r>
        <w:tab/>
        <w:t>3(1)</w:t>
      </w:r>
    </w:p>
    <w:p>
      <w:pPr>
        <w:pStyle w:val="DefinedTerms"/>
      </w:pPr>
      <w:r>
        <w:t>complaint</w:t>
      </w:r>
      <w:r>
        <w:tab/>
        <w:t>27(1)</w:t>
      </w:r>
    </w:p>
    <w:p>
      <w:pPr>
        <w:pStyle w:val="DefinedTerms"/>
      </w:pPr>
      <w:r>
        <w:t>employee</w:t>
      </w:r>
      <w:r>
        <w:tab/>
        <w:t>10(1)</w:t>
      </w:r>
    </w:p>
    <w:p>
      <w:pPr>
        <w:pStyle w:val="DefinedTerms"/>
      </w:pPr>
      <w:r>
        <w:t>local law as to conduct</w:t>
      </w:r>
      <w:r>
        <w:tab/>
        <w:t>4(1)</w:t>
      </w:r>
    </w:p>
    <w:p>
      <w:pPr>
        <w:pStyle w:val="DefinedTerms"/>
      </w:pPr>
      <w:r>
        <w:t>matter</w:t>
      </w:r>
      <w:r>
        <w:tab/>
        <w:t>10(1)</w:t>
      </w:r>
    </w:p>
    <w:p>
      <w:pPr>
        <w:pStyle w:val="DefinedTerms"/>
      </w:pPr>
      <w:r>
        <w:t>mediators panel</w:t>
      </w:r>
      <w:r>
        <w:tab/>
        <w:t>7(2)</w:t>
      </w:r>
    </w:p>
    <w:p>
      <w:pPr>
        <w:pStyle w:val="DefinedTerms"/>
      </w:pPr>
      <w:r>
        <w:t>transitional period</w:t>
      </w:r>
      <w:r>
        <w:tab/>
        <w:t>25(1)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C6C8C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3445859" w14:textId="6BAB5F07" w:rsidR="002F3A3C" w:rsidRDefault="002F3A3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7BCA">
                        <w:rPr>
                          <w:sz w:val="16"/>
                        </w:rPr>
                        <w:t>2025</w:t>
                      </w:r>
                      <w:r>
                        <w:rPr>
                          <w:sz w:val="16"/>
                        </w:rPr>
                        <w:fldChar w:fldCharType="end"/>
                      </w:r>
                      <w:r>
                        <w:rPr>
                          <w:sz w:val="16"/>
                        </w:rPr>
                        <w:t>.</w:t>
                      </w:r>
                    </w:p>
                    <w:p w14:paraId="4FFE3C7A" w14:textId="77777777" w:rsidR="002F3A3C" w:rsidRDefault="002F3A3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62EE9B" w14:textId="588D0DF9" w:rsidR="002F3A3C" w:rsidRDefault="002F3A3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7BCA">
                        <w:rPr>
                          <w:sz w:val="16"/>
                        </w:rPr>
                        <w:t>2025</w:t>
                      </w:r>
                      <w:r>
                        <w:rPr>
                          <w:sz w:val="16"/>
                        </w:rPr>
                        <w:fldChar w:fldCharType="end"/>
                      </w:r>
                      <w:r>
                        <w:rPr>
                          <w:sz w:val="16"/>
                        </w:rPr>
                        <w:t>.</w:t>
                      </w:r>
                    </w:p>
                    <w:p w14:paraId="5968ABCA" w14:textId="29686836" w:rsidR="002F3A3C" w:rsidRDefault="002F3A3C">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2025/209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2025/209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2025/209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2025/209</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2025/209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2025/209</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07" w:name="Schedule"/>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(Local Government Inspector) Regulations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111" w:name="DefinedTerms"/>
    <w:bookmarkEnd w:id="11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224849"/>
    <w:multiLevelType w:val="hybridMultilevel"/>
    <w:tmpl w:val="87009B92"/>
    <w:lvl w:ilvl="0" w:tplc="D7822F0C">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5"/>
  </w:num>
  <w:num w:numId="5">
    <w:abstractNumId w:val="22"/>
  </w:num>
  <w:num w:numId="6">
    <w:abstractNumId w:val="25"/>
  </w:num>
  <w:num w:numId="7">
    <w:abstractNumId w:val="14"/>
  </w:num>
  <w:num w:numId="8">
    <w:abstractNumId w:val="19"/>
  </w:num>
  <w:num w:numId="9">
    <w:abstractNumId w:val="17"/>
  </w:num>
  <w:num w:numId="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114213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721084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21084646_GUID" w:val="f4bf6d71-e4a4-40f1-ad3f-abd2016d2b2d"/>
    <w:docVar w:name="WAFER_20251114092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14092712_GUID" w:val="cbfaab3f-65bd-412d-b5d6-71e245ea6a51"/>
    <w:docVar w:name="WAFER_20251114151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14151317_GUID" w:val="42d69d44-8a78-41d9-8e85-f7ed11d9f3ab"/>
    <w:docVar w:name="WAFER_2025120514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5141227_GUID" w:val="4c239604-dd5f-4b55-b472-3a95ed796cd8"/>
    <w:docVar w:name="WAFER_20251208131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08131237_GUID" w:val="28cca62d-e8f2-4c0e-880c-960286f5bf53"/>
    <w:docVar w:name="WAFER_2025121114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1142136_GUID" w:val="3335badf-aabc-4b74-b83f-fa2b51abed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20EE731B-DEE0-4201-91FB-E4C092C36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5150</Words>
  <Characters>25292</Characters>
  <Application>Microsoft Office Word</Application>
  <DocSecurity>0</DocSecurity>
  <Lines>872</Lines>
  <Paragraphs>461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(Local Government Inspector) Regulations 2025 - 00-00-00</dc:title>
  <dc:subject/>
  <dc:creator/>
  <cp:keywords/>
  <dc:description/>
  <cp:lastModifiedBy>Master Repository Process</cp:lastModifiedBy>
  <cp:revision>4</cp:revision>
  <cp:lastPrinted>2025-12-08T03:43:00Z</cp:lastPrinted>
  <dcterms:created xsi:type="dcterms:W3CDTF">2025-12-16T06:30:00Z</dcterms:created>
  <dcterms:modified xsi:type="dcterms:W3CDTF">2025-12-16T06:30:00Z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55566</vt:lpwstr>
  </property>
  <property fmtid="{D5CDD505-2E9C-101B-9397-08002B2CF9AE}" pid="3" name="DocumentType">
    <vt:lpwstr>Reg</vt:lpwstr>
  </property>
  <property fmtid="{D5CDD505-2E9C-101B-9397-08002B2CF9AE}" pid="4" name="AsAtDate">
    <vt:lpwstr>17 Dec 2025</vt:lpwstr>
  </property>
  <property fmtid="{D5CDD505-2E9C-101B-9397-08002B2CF9AE}" pid="5" name="Suffix">
    <vt:lpwstr>00-00-00</vt:lpwstr>
  </property>
  <property fmtid="{D5CDD505-2E9C-101B-9397-08002B2CF9AE}" pid="6" name="Official">
    <vt:lpwstr/>
  </property>
  <property fmtid="{D5CDD505-2E9C-101B-9397-08002B2CF9AE}" pid="7" name="SLAPId">
    <vt:lpwstr>2025/209</vt:lpwstr>
  </property>
  <property fmtid="{D5CDD505-2E9C-101B-9397-08002B2CF9AE}" pid="8" name="PublishDate">
    <vt:lpwstr>17 Dec 2025</vt:lpwstr>
  </property>
  <property fmtid="{D5CDD505-2E9C-101B-9397-08002B2CF9AE}" pid="9" name="CommencementDate">
    <vt:lpwstr>20251217</vt:lpwstr>
  </property>
  <property fmtid="{D5CDD505-2E9C-101B-9397-08002B2CF9AE}" pid="10" name="CommencementAsAt">
    <vt:filetime>2025-12-16T16:00:00Z</vt:filetime>
  </property>
  <property fmtid="{D5CDD505-2E9C-101B-9397-08002B2CF9AE}" pid="11" name="CommencementYear">
    <vt:lpwstr>2025</vt:lpwstr>
  </property>
</Properties>
</file>