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Major Events Act 2023</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Major Events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Major Events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_Toc216784127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_Toc216784128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_Toc216784129 \h </w:instrText>
      </w:r>
      <w:r>
        <w:fldChar w:fldCharType="separate"/>
      </w:r>
      <w:r>
        <w:t>1</w:t>
      </w:r>
      <w:r>
        <w:fldChar w:fldCharType="end"/>
      </w:r>
    </w:p>
    <w:p>
      <w:pPr>
        <w:pStyle w:val="TOC8"/>
        <w:rPr>
          <w:rFonts w:asciiTheme="minorHAnsi" w:eastAsiaTheme="minorEastAsia" w:hAnsiTheme="minorHAnsi" w:cstheme="minorBidi"/>
          <w:szCs w:val="22"/>
        </w:rPr>
      </w:pPr>
      <w:r>
        <w:t>4.</w:t>
      </w:r>
      <w:r>
        <w:tab/>
        <w:t>Part 4 inserted</w:t>
      </w:r>
      <w:r>
        <w:tab/>
      </w:r>
      <w:r>
        <w:fldChar w:fldCharType="begin"/>
      </w:r>
      <w:r>
        <w:instrText xml:space="preserve"> PAGEREF _Toc216784130 \h </w:instrText>
      </w:r>
      <w:r>
        <w:fldChar w:fldCharType="separate"/>
      </w:r>
      <w:r>
        <w:t>1</w:t>
      </w:r>
      <w:r>
        <w:fldChar w:fldCharType="end"/>
      </w:r>
    </w:p>
    <w:p>
      <w:pPr>
        <w:pStyle w:val="TOC3"/>
        <w:tabs>
          <w:tab w:val="right" w:leader="dot" w:pos="7077"/>
        </w:tabs>
        <w:rPr>
          <w:rFonts w:asciiTheme="minorHAnsi" w:eastAsiaTheme="minorEastAsia" w:hAnsiTheme="minorHAnsi" w:cstheme="minorBidi"/>
          <w:b w:val="0"/>
          <w:sz w:val="22"/>
          <w:szCs w:val="22"/>
        </w:rPr>
      </w:pPr>
      <w:r>
        <w:t>Part 4 — AFC Women’s Asian Cup 2026</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25.</w:t>
      </w:r>
      <w:r>
        <w:rPr>
          <w:noProof/>
        </w:rPr>
        <w:tab/>
        <w:t>Terms used</w:t>
      </w:r>
      <w:r>
        <w:rPr>
          <w:noProof/>
        </w:rPr>
        <w:tab/>
      </w:r>
      <w:r>
        <w:rPr>
          <w:noProof/>
        </w:rPr>
        <w:fldChar w:fldCharType="begin"/>
      </w:r>
      <w:r>
        <w:rPr>
          <w:noProof/>
        </w:rPr>
        <w:instrText xml:space="preserve"> PAGEREF _Toc216784133 \h </w:instrText>
      </w:r>
      <w:r>
        <w:rPr>
          <w:noProof/>
        </w:rPr>
      </w:r>
      <w:r>
        <w:rPr>
          <w:noProof/>
        </w:rPr>
        <w:fldChar w:fldCharType="separate"/>
      </w:r>
      <w:r>
        <w:rPr>
          <w:noProof/>
        </w:rPr>
        <w:t>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Establishment of major event</w:t>
      </w:r>
    </w:p>
    <w:p>
      <w:pPr>
        <w:pStyle w:val="TOC9"/>
        <w:rPr>
          <w:rFonts w:asciiTheme="minorHAnsi" w:eastAsiaTheme="minorEastAsia" w:hAnsiTheme="minorHAnsi" w:cstheme="minorBidi"/>
          <w:noProof/>
          <w:sz w:val="22"/>
          <w:szCs w:val="22"/>
        </w:rPr>
      </w:pPr>
      <w:r>
        <w:rPr>
          <w:noProof/>
        </w:rPr>
        <w:t>26.</w:t>
      </w:r>
      <w:r>
        <w:rPr>
          <w:noProof/>
        </w:rPr>
        <w:tab/>
        <w:t>AFC Women’s Asian Cup 2026 is major event</w:t>
      </w:r>
      <w:r>
        <w:rPr>
          <w:noProof/>
        </w:rPr>
        <w:tab/>
      </w:r>
      <w:r>
        <w:rPr>
          <w:noProof/>
        </w:rPr>
        <w:fldChar w:fldCharType="begin"/>
      </w:r>
      <w:r>
        <w:rPr>
          <w:noProof/>
        </w:rPr>
        <w:instrText xml:space="preserve"> PAGEREF _Toc216784135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Major event organiser</w:t>
      </w:r>
      <w:r>
        <w:rPr>
          <w:noProof/>
        </w:rPr>
        <w:tab/>
      </w:r>
      <w:r>
        <w:rPr>
          <w:noProof/>
        </w:rPr>
        <w:fldChar w:fldCharType="begin"/>
      </w:r>
      <w:r>
        <w:rPr>
          <w:noProof/>
        </w:rPr>
        <w:instrText xml:space="preserve"> PAGEREF _Toc216784136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Major event areas</w:t>
      </w:r>
      <w:r>
        <w:rPr>
          <w:noProof/>
        </w:rPr>
        <w:tab/>
      </w:r>
      <w:r>
        <w:rPr>
          <w:noProof/>
        </w:rPr>
        <w:fldChar w:fldCharType="begin"/>
      </w:r>
      <w:r>
        <w:rPr>
          <w:noProof/>
        </w:rPr>
        <w:instrText xml:space="preserve"> PAGEREF _Toc216784137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Major event period</w:t>
      </w:r>
      <w:r>
        <w:rPr>
          <w:noProof/>
        </w:rPr>
        <w:tab/>
      </w:r>
      <w:r>
        <w:rPr>
          <w:noProof/>
        </w:rPr>
        <w:fldChar w:fldCharType="begin"/>
      </w:r>
      <w:r>
        <w:rPr>
          <w:noProof/>
        </w:rPr>
        <w:instrText xml:space="preserve"> PAGEREF _Toc216784138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Application of Pt. 5 and 6 of Act to major event areas</w:t>
      </w:r>
      <w:r>
        <w:rPr>
          <w:noProof/>
        </w:rPr>
        <w:tab/>
      </w:r>
      <w:r>
        <w:rPr>
          <w:noProof/>
        </w:rPr>
        <w:fldChar w:fldCharType="begin"/>
      </w:r>
      <w:r>
        <w:rPr>
          <w:noProof/>
        </w:rPr>
        <w:instrText xml:space="preserve"> PAGEREF _Toc216784139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Responsible authorities</w:t>
      </w:r>
      <w:r>
        <w:rPr>
          <w:noProof/>
        </w:rPr>
        <w:tab/>
      </w:r>
      <w:r>
        <w:rPr>
          <w:noProof/>
        </w:rPr>
        <w:fldChar w:fldCharType="begin"/>
      </w:r>
      <w:r>
        <w:rPr>
          <w:noProof/>
        </w:rPr>
        <w:instrText xml:space="preserve"> PAGEREF _Toc216784140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32.</w:t>
      </w:r>
      <w:r>
        <w:rPr>
          <w:noProof/>
        </w:rPr>
        <w:tab/>
        <w:t>Controlled areas</w:t>
      </w:r>
      <w:r>
        <w:rPr>
          <w:noProof/>
        </w:rPr>
        <w:tab/>
      </w:r>
      <w:r>
        <w:rPr>
          <w:noProof/>
        </w:rPr>
        <w:fldChar w:fldCharType="begin"/>
      </w:r>
      <w:r>
        <w:rPr>
          <w:noProof/>
        </w:rPr>
        <w:instrText xml:space="preserve"> PAGEREF _Toc216784141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Control period</w:t>
      </w:r>
      <w:r>
        <w:rPr>
          <w:noProof/>
        </w:rPr>
        <w:tab/>
      </w:r>
      <w:r>
        <w:rPr>
          <w:noProof/>
        </w:rPr>
        <w:fldChar w:fldCharType="begin"/>
      </w:r>
      <w:r>
        <w:rPr>
          <w:noProof/>
        </w:rPr>
        <w:instrText xml:space="preserve"> PAGEREF _Toc216784142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Application of Pt. 6 of Act to controlled areas</w:t>
      </w:r>
      <w:r>
        <w:rPr>
          <w:noProof/>
        </w:rPr>
        <w:tab/>
      </w:r>
      <w:r>
        <w:rPr>
          <w:noProof/>
        </w:rPr>
        <w:fldChar w:fldCharType="begin"/>
      </w:r>
      <w:r>
        <w:rPr>
          <w:noProof/>
        </w:rPr>
        <w:instrText xml:space="preserve"> PAGEREF _Toc216784143 \h </w:instrText>
      </w:r>
      <w:r>
        <w:rPr>
          <w:noProof/>
        </w:rPr>
      </w:r>
      <w:r>
        <w:rPr>
          <w:noProof/>
        </w:rPr>
        <w:fldChar w:fldCharType="separate"/>
      </w:r>
      <w:r>
        <w:rPr>
          <w:noProof/>
        </w:rPr>
        <w:t>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Official logos and titles for major event</w:t>
      </w:r>
    </w:p>
    <w:p>
      <w:pPr>
        <w:pStyle w:val="TOC9"/>
        <w:rPr>
          <w:rFonts w:asciiTheme="minorHAnsi" w:eastAsiaTheme="minorEastAsia" w:hAnsiTheme="minorHAnsi" w:cstheme="minorBidi"/>
          <w:noProof/>
          <w:sz w:val="22"/>
          <w:szCs w:val="22"/>
        </w:rPr>
      </w:pPr>
      <w:r>
        <w:rPr>
          <w:noProof/>
        </w:rPr>
        <w:t>35.</w:t>
      </w:r>
      <w:r>
        <w:rPr>
          <w:noProof/>
        </w:rPr>
        <w:tab/>
        <w:t>Official logos</w:t>
      </w:r>
      <w:r>
        <w:rPr>
          <w:noProof/>
        </w:rPr>
        <w:tab/>
      </w:r>
      <w:r>
        <w:rPr>
          <w:noProof/>
        </w:rPr>
        <w:fldChar w:fldCharType="begin"/>
      </w:r>
      <w:r>
        <w:rPr>
          <w:noProof/>
        </w:rPr>
        <w:instrText xml:space="preserve"> PAGEREF _Toc216784145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Official titles</w:t>
      </w:r>
      <w:r>
        <w:rPr>
          <w:noProof/>
        </w:rPr>
        <w:tab/>
      </w:r>
      <w:r>
        <w:rPr>
          <w:noProof/>
        </w:rPr>
        <w:fldChar w:fldCharType="begin"/>
      </w:r>
      <w:r>
        <w:rPr>
          <w:noProof/>
        </w:rPr>
        <w:instrText xml:space="preserve"> PAGEREF _Toc216784146 \h </w:instrText>
      </w:r>
      <w:r>
        <w:rPr>
          <w:noProof/>
        </w:rPr>
      </w:r>
      <w:r>
        <w:rPr>
          <w:noProof/>
        </w:rPr>
        <w:fldChar w:fldCharType="separate"/>
      </w:r>
      <w:r>
        <w:rPr>
          <w:noProof/>
        </w:rPr>
        <w:t>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Miscellaneous</w:t>
      </w:r>
    </w:p>
    <w:p>
      <w:pPr>
        <w:pStyle w:val="TOC9"/>
        <w:rPr>
          <w:rFonts w:asciiTheme="minorHAnsi" w:eastAsiaTheme="minorEastAsia" w:hAnsiTheme="minorHAnsi" w:cstheme="minorBidi"/>
          <w:noProof/>
          <w:sz w:val="22"/>
          <w:szCs w:val="22"/>
        </w:rPr>
      </w:pPr>
      <w:r>
        <w:rPr>
          <w:noProof/>
        </w:rPr>
        <w:t>37.</w:t>
      </w:r>
      <w:r>
        <w:rPr>
          <w:noProof/>
        </w:rPr>
        <w:tab/>
        <w:t>Extended application of Act s. 49</w:t>
      </w:r>
      <w:r>
        <w:rPr>
          <w:noProof/>
        </w:rPr>
        <w:tab/>
      </w:r>
      <w:r>
        <w:rPr>
          <w:noProof/>
        </w:rPr>
        <w:fldChar w:fldCharType="begin"/>
      </w:r>
      <w:r>
        <w:rPr>
          <w:noProof/>
        </w:rPr>
        <w:instrText xml:space="preserve"> PAGEREF _Toc216784148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Appointment of authorised officers</w:t>
      </w:r>
      <w:r>
        <w:rPr>
          <w:noProof/>
        </w:rPr>
        <w:tab/>
      </w:r>
      <w:r>
        <w:rPr>
          <w:noProof/>
        </w:rPr>
        <w:fldChar w:fldCharType="begin"/>
      </w:r>
      <w:r>
        <w:rPr>
          <w:noProof/>
        </w:rPr>
        <w:instrText xml:space="preserve"> PAGEREF _Toc216784149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Eligibility for appointment as authorised officer</w:t>
      </w:r>
      <w:r>
        <w:rPr>
          <w:noProof/>
        </w:rPr>
        <w:tab/>
      </w:r>
      <w:r>
        <w:rPr>
          <w:noProof/>
        </w:rPr>
        <w:fldChar w:fldCharType="begin"/>
      </w:r>
      <w:r>
        <w:rPr>
          <w:noProof/>
        </w:rPr>
        <w:instrText xml:space="preserve"> PAGEREF _Toc216784150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40.</w:t>
      </w:r>
      <w:r>
        <w:rPr>
          <w:noProof/>
        </w:rPr>
        <w:tab/>
        <w:t>Signs must be erected in major event areas and controlled areas</w:t>
      </w:r>
      <w:r>
        <w:rPr>
          <w:noProof/>
        </w:rPr>
        <w:tab/>
      </w:r>
      <w:r>
        <w:rPr>
          <w:noProof/>
        </w:rPr>
        <w:fldChar w:fldCharType="begin"/>
      </w:r>
      <w:r>
        <w:rPr>
          <w:noProof/>
        </w:rPr>
        <w:instrText xml:space="preserve"> PAGEREF _Toc216784151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5.</w:t>
      </w:r>
      <w:r>
        <w:tab/>
        <w:t>Schedule 4 inserted</w:t>
      </w:r>
      <w:r>
        <w:tab/>
      </w:r>
      <w:r>
        <w:fldChar w:fldCharType="begin"/>
      </w:r>
      <w:r>
        <w:instrText xml:space="preserve"> PAGEREF _Toc216784152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4 — AFC Women’s Asian Cup 2026 major event areas and controlled areas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Major Events Act 2023</w:t>
      </w:r>
    </w:p>
    <w:p>
      <w:pPr>
        <w:pStyle w:val="NameofActReg"/>
      </w:pPr>
      <w:r>
        <w:t>Major Events Amendment Regulations 2025</w:t>
      </w:r>
    </w:p>
    <w:p>
      <w:pPr>
        <w:pStyle w:val="MadeBy"/>
      </w:pPr>
      <w:r>
        <w:t>Made by the Governor in Executive Council.</w:t>
      </w:r>
    </w:p>
    <w:p>
      <w:pPr>
        <w:pStyle w:val="Heading5"/>
      </w:pPr>
      <w:bookmarkStart w:id="2" w:name="_Toc216353234"/>
      <w:bookmarkStart w:id="3" w:name="_Toc21678412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Major Events Amendment Regulations 2025</w:t>
      </w:r>
      <w:r>
        <w:t>.</w:t>
      </w:r>
    </w:p>
    <w:p>
      <w:pPr>
        <w:pStyle w:val="Heading5"/>
        <w:rPr>
          <w:spacing w:val="-2"/>
        </w:rPr>
      </w:pPr>
      <w:bookmarkStart w:id="5" w:name="_Toc216353235"/>
      <w:bookmarkStart w:id="6" w:name="_Toc21678412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216353236"/>
      <w:bookmarkStart w:id="8" w:name="_Toc216784129"/>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Major Events Regulations 2023</w:t>
      </w:r>
      <w:r>
        <w:t>.</w:t>
      </w:r>
    </w:p>
    <w:p>
      <w:pPr>
        <w:pStyle w:val="Heading5"/>
      </w:pPr>
      <w:bookmarkStart w:id="9" w:name="_Toc216353237"/>
      <w:bookmarkStart w:id="10" w:name="_Toc216784130"/>
      <w:r>
        <w:rPr>
          <w:rStyle w:val="CharSectno"/>
        </w:rPr>
        <w:t>4</w:t>
      </w:r>
      <w:r>
        <w:t>.</w:t>
      </w:r>
      <w:r>
        <w:tab/>
        <w:t>Part 4 inserted</w:t>
      </w:r>
      <w:bookmarkEnd w:id="9"/>
      <w:bookmarkEnd w:id="10"/>
    </w:p>
    <w:p>
      <w:pPr>
        <w:pStyle w:val="Subsection"/>
        <w:keepNext/>
      </w:pPr>
      <w:r>
        <w:tab/>
      </w:r>
      <w:r>
        <w:tab/>
        <w:t>After regulation 24 insert:</w:t>
      </w:r>
    </w:p>
    <w:p>
      <w:pPr>
        <w:pStyle w:val="BlankOpen"/>
      </w:pPr>
    </w:p>
    <w:p>
      <w:pPr>
        <w:pStyle w:val="zHeading2"/>
      </w:pPr>
      <w:bookmarkStart w:id="11" w:name="_Toc216353203"/>
      <w:bookmarkStart w:id="12" w:name="_Toc216353238"/>
      <w:bookmarkStart w:id="13" w:name="_Toc216353295"/>
      <w:bookmarkStart w:id="14" w:name="_Toc216353327"/>
      <w:bookmarkStart w:id="15" w:name="_Toc216353486"/>
      <w:bookmarkStart w:id="16" w:name="_Toc216784131"/>
      <w:r>
        <w:t>Part 4 — AFC Women’s Asian Cup 2026</w:t>
      </w:r>
      <w:bookmarkEnd w:id="11"/>
      <w:bookmarkEnd w:id="12"/>
      <w:bookmarkEnd w:id="13"/>
      <w:bookmarkEnd w:id="14"/>
      <w:bookmarkEnd w:id="15"/>
      <w:bookmarkEnd w:id="16"/>
    </w:p>
    <w:p>
      <w:pPr>
        <w:pStyle w:val="zHeading3"/>
      </w:pPr>
      <w:bookmarkStart w:id="17" w:name="_Toc216353204"/>
      <w:bookmarkStart w:id="18" w:name="_Toc216353239"/>
      <w:bookmarkStart w:id="19" w:name="_Toc216353296"/>
      <w:bookmarkStart w:id="20" w:name="_Toc216353328"/>
      <w:bookmarkStart w:id="21" w:name="_Toc216353487"/>
      <w:bookmarkStart w:id="22" w:name="_Toc216784132"/>
      <w:r>
        <w:t>Division 1 — Preliminary</w:t>
      </w:r>
      <w:bookmarkEnd w:id="17"/>
      <w:bookmarkEnd w:id="18"/>
      <w:bookmarkEnd w:id="19"/>
      <w:bookmarkEnd w:id="20"/>
      <w:bookmarkEnd w:id="21"/>
      <w:bookmarkEnd w:id="22"/>
    </w:p>
    <w:p>
      <w:pPr>
        <w:pStyle w:val="zHeading5"/>
      </w:pPr>
      <w:bookmarkStart w:id="23" w:name="_Toc216353240"/>
      <w:bookmarkStart w:id="24" w:name="_Toc216784133"/>
      <w:r>
        <w:t>25.</w:t>
      </w:r>
      <w:r>
        <w:tab/>
        <w:t>Terms used</w:t>
      </w:r>
      <w:bookmarkEnd w:id="23"/>
      <w:bookmarkEnd w:id="24"/>
    </w:p>
    <w:p>
      <w:pPr>
        <w:pStyle w:val="zSubsection"/>
      </w:pPr>
      <w:r>
        <w:tab/>
      </w:r>
      <w:r>
        <w:tab/>
        <w:t xml:space="preserve">In this Part — </w:t>
      </w:r>
    </w:p>
    <w:p>
      <w:pPr>
        <w:pStyle w:val="zDefstart"/>
      </w:pPr>
      <w:r>
        <w:tab/>
      </w:r>
      <w:r>
        <w:rPr>
          <w:rStyle w:val="CharDefText"/>
        </w:rPr>
        <w:t>AFC Women’s Asian Cup 2026</w:t>
      </w:r>
      <w:r>
        <w:t xml:space="preserve"> means the event known as the AFC Women’s Asian Cup 2026;</w:t>
      </w:r>
    </w:p>
    <w:p>
      <w:pPr>
        <w:pStyle w:val="zDefstart"/>
      </w:pPr>
      <w:r>
        <w:lastRenderedPageBreak/>
        <w:tab/>
      </w:r>
      <w:r>
        <w:rPr>
          <w:rStyle w:val="CharDefText"/>
        </w:rPr>
        <w:t>match day</w:t>
      </w:r>
      <w:r>
        <w:t xml:space="preserve"> — </w:t>
      </w:r>
    </w:p>
    <w:p>
      <w:pPr>
        <w:pStyle w:val="zDefpara"/>
      </w:pPr>
      <w:r>
        <w:tab/>
        <w:t>(a)</w:t>
      </w:r>
      <w:r>
        <w:tab/>
        <w:t xml:space="preserve">in relation to the Perth Rectangular Stadium major event area, means each of the following days — </w:t>
      </w:r>
    </w:p>
    <w:p>
      <w:pPr>
        <w:pStyle w:val="zDefsubpara"/>
      </w:pPr>
      <w:r>
        <w:tab/>
        <w:t>(i)</w:t>
      </w:r>
      <w:r>
        <w:tab/>
        <w:t>4 March 2026;</w:t>
      </w:r>
    </w:p>
    <w:p>
      <w:pPr>
        <w:pStyle w:val="zDefsubpara"/>
      </w:pPr>
      <w:r>
        <w:tab/>
        <w:t>(ii)</w:t>
      </w:r>
      <w:r>
        <w:tab/>
        <w:t>7 March 2026;</w:t>
      </w:r>
    </w:p>
    <w:p>
      <w:pPr>
        <w:pStyle w:val="zDefsubpara"/>
      </w:pPr>
      <w:r>
        <w:tab/>
        <w:t>(iii)</w:t>
      </w:r>
      <w:r>
        <w:tab/>
        <w:t>9 March 2026;</w:t>
      </w:r>
    </w:p>
    <w:p>
      <w:pPr>
        <w:pStyle w:val="zDefsubpara"/>
      </w:pPr>
      <w:r>
        <w:tab/>
        <w:t>(iv)</w:t>
      </w:r>
      <w:r>
        <w:tab/>
        <w:t>10 March 2026;</w:t>
      </w:r>
    </w:p>
    <w:p>
      <w:pPr>
        <w:pStyle w:val="zDefsubpara"/>
      </w:pPr>
      <w:r>
        <w:tab/>
        <w:t>(v)</w:t>
      </w:r>
      <w:r>
        <w:tab/>
        <w:t>13 March 2026;</w:t>
      </w:r>
    </w:p>
    <w:p>
      <w:pPr>
        <w:pStyle w:val="zDefsubpara"/>
      </w:pPr>
      <w:r>
        <w:tab/>
        <w:t>(vi)</w:t>
      </w:r>
      <w:r>
        <w:tab/>
        <w:t>14 March 2026;</w:t>
      </w:r>
    </w:p>
    <w:p>
      <w:pPr>
        <w:pStyle w:val="zDefpara"/>
      </w:pPr>
      <w:r>
        <w:tab/>
      </w:r>
      <w:r>
        <w:tab/>
        <w:t>and</w:t>
      </w:r>
    </w:p>
    <w:p>
      <w:pPr>
        <w:pStyle w:val="zDefpara"/>
      </w:pPr>
      <w:r>
        <w:tab/>
        <w:t>(b)</w:t>
      </w:r>
      <w:r>
        <w:tab/>
        <w:t xml:space="preserve">in relation to the Perth Stadium major event area, means each of the following days — </w:t>
      </w:r>
    </w:p>
    <w:p>
      <w:pPr>
        <w:pStyle w:val="zDefsubpara"/>
      </w:pPr>
      <w:r>
        <w:tab/>
        <w:t>(i)</w:t>
      </w:r>
      <w:r>
        <w:tab/>
        <w:t>1 March 2026;</w:t>
      </w:r>
    </w:p>
    <w:p>
      <w:pPr>
        <w:pStyle w:val="zDefsubpara"/>
      </w:pPr>
      <w:r>
        <w:tab/>
        <w:t>(ii)</w:t>
      </w:r>
      <w:r>
        <w:tab/>
        <w:t>17 March 2026;</w:t>
      </w:r>
    </w:p>
    <w:p>
      <w:pPr>
        <w:pStyle w:val="zDefstart"/>
      </w:pPr>
      <w:r>
        <w:tab/>
      </w:r>
      <w:r>
        <w:rPr>
          <w:rStyle w:val="CharDefText"/>
        </w:rPr>
        <w:t>match period</w:t>
      </w:r>
      <w:r>
        <w:t xml:space="preserve"> — </w:t>
      </w:r>
    </w:p>
    <w:p>
      <w:pPr>
        <w:pStyle w:val="zDefpara"/>
      </w:pPr>
      <w:r>
        <w:tab/>
        <w:t>(a)</w:t>
      </w:r>
      <w:r>
        <w:tab/>
        <w:t xml:space="preserve">in relation to the Perth Rectangular Stadium major event area or the Perth Rectangular Stadium controlled area, means each of the following periods — </w:t>
      </w:r>
    </w:p>
    <w:p>
      <w:pPr>
        <w:pStyle w:val="zDefsubpara"/>
      </w:pPr>
      <w:r>
        <w:tab/>
        <w:t>(i)</w:t>
      </w:r>
      <w:r>
        <w:tab/>
        <w:t>4 March 2026, from 10 am to 11 pm;</w:t>
      </w:r>
    </w:p>
    <w:p>
      <w:pPr>
        <w:pStyle w:val="zDefsubpara"/>
      </w:pPr>
      <w:r>
        <w:tab/>
        <w:t>(ii)</w:t>
      </w:r>
      <w:r>
        <w:tab/>
        <w:t>7 March 2026, from 10 am to 11 pm;</w:t>
      </w:r>
    </w:p>
    <w:p>
      <w:pPr>
        <w:pStyle w:val="zDefsubpara"/>
      </w:pPr>
      <w:r>
        <w:tab/>
        <w:t>(iii)</w:t>
      </w:r>
      <w:r>
        <w:tab/>
        <w:t>9 March 2026, from 2 pm to 9 pm;</w:t>
      </w:r>
    </w:p>
    <w:p>
      <w:pPr>
        <w:pStyle w:val="zDefsubpara"/>
      </w:pPr>
      <w:r>
        <w:tab/>
        <w:t>(iv)</w:t>
      </w:r>
      <w:r>
        <w:tab/>
        <w:t>10 March 2026, from 2 pm to 9 pm;</w:t>
      </w:r>
    </w:p>
    <w:p>
      <w:pPr>
        <w:pStyle w:val="zDefsubpara"/>
      </w:pPr>
      <w:r>
        <w:tab/>
        <w:t>(v)</w:t>
      </w:r>
      <w:r>
        <w:tab/>
        <w:t>13 March 2026, from 3 pm to 10 pm;</w:t>
      </w:r>
    </w:p>
    <w:p>
      <w:pPr>
        <w:pStyle w:val="zDefsubpara"/>
      </w:pPr>
      <w:r>
        <w:tab/>
        <w:t>(vi)</w:t>
      </w:r>
      <w:r>
        <w:tab/>
        <w:t>14 March 2026, from 10 am to 5 pm;</w:t>
      </w:r>
    </w:p>
    <w:p>
      <w:pPr>
        <w:pStyle w:val="zDefpara"/>
      </w:pPr>
      <w:r>
        <w:tab/>
      </w:r>
      <w:r>
        <w:tab/>
        <w:t>and</w:t>
      </w:r>
    </w:p>
    <w:p>
      <w:pPr>
        <w:pStyle w:val="zDefpara"/>
        <w:keepNext/>
      </w:pPr>
      <w:r>
        <w:lastRenderedPageBreak/>
        <w:tab/>
        <w:t>(b)</w:t>
      </w:r>
      <w:r>
        <w:tab/>
        <w:t xml:space="preserve">in relation to the Perth Stadium major event area or the Perth Stadium controlled area, means each of the following periods — </w:t>
      </w:r>
    </w:p>
    <w:p>
      <w:pPr>
        <w:pStyle w:val="zDefsubpara"/>
      </w:pPr>
      <w:r>
        <w:tab/>
        <w:t>(i)</w:t>
      </w:r>
      <w:r>
        <w:tab/>
        <w:t>1 March 2026, from 2 pm to 9 pm;</w:t>
      </w:r>
    </w:p>
    <w:p>
      <w:pPr>
        <w:pStyle w:val="zDefsubpara"/>
      </w:pPr>
      <w:r>
        <w:tab/>
        <w:t>(ii)</w:t>
      </w:r>
      <w:r>
        <w:tab/>
        <w:t>17 March 2026, from 3 pm to 10 pm;</w:t>
      </w:r>
    </w:p>
    <w:p>
      <w:pPr>
        <w:pStyle w:val="zDefstart"/>
      </w:pPr>
      <w:r>
        <w:tab/>
      </w:r>
      <w:r>
        <w:rPr>
          <w:rStyle w:val="CharDefText"/>
        </w:rPr>
        <w:t>Perth Rectangular Stadium controlled area</w:t>
      </w:r>
      <w:r>
        <w:t xml:space="preserve"> means the area referred to in regulation 32(1)(a);</w:t>
      </w:r>
    </w:p>
    <w:p>
      <w:pPr>
        <w:pStyle w:val="zDefstart"/>
      </w:pPr>
      <w:r>
        <w:tab/>
      </w:r>
      <w:r>
        <w:rPr>
          <w:rStyle w:val="CharDefText"/>
        </w:rPr>
        <w:t>Perth Rectangular Stadium major event area</w:t>
      </w:r>
      <w:r>
        <w:t xml:space="preserve"> means the area referred to in regulation 28(1)(a);</w:t>
      </w:r>
    </w:p>
    <w:p>
      <w:pPr>
        <w:pStyle w:val="zDefstart"/>
      </w:pPr>
      <w:r>
        <w:tab/>
      </w:r>
      <w:r>
        <w:rPr>
          <w:rStyle w:val="CharDefText"/>
        </w:rPr>
        <w:t>Perth Stadium controlled area</w:t>
      </w:r>
      <w:r>
        <w:t xml:space="preserve"> means the area referred to in regulation 32(1)(b);</w:t>
      </w:r>
    </w:p>
    <w:p>
      <w:pPr>
        <w:pStyle w:val="zDefstart"/>
      </w:pPr>
      <w:r>
        <w:tab/>
      </w:r>
      <w:r>
        <w:rPr>
          <w:rStyle w:val="CharDefText"/>
        </w:rPr>
        <w:t>Perth Stadium major event area</w:t>
      </w:r>
      <w:r>
        <w:t xml:space="preserve"> means the area referred to in regulation 28(1)(b).</w:t>
      </w:r>
    </w:p>
    <w:p>
      <w:pPr>
        <w:pStyle w:val="zHeading3"/>
      </w:pPr>
      <w:bookmarkStart w:id="25" w:name="_Toc216353206"/>
      <w:bookmarkStart w:id="26" w:name="_Toc216353241"/>
      <w:bookmarkStart w:id="27" w:name="_Toc216353298"/>
      <w:bookmarkStart w:id="28" w:name="_Toc216353330"/>
      <w:bookmarkStart w:id="29" w:name="_Toc216353489"/>
      <w:bookmarkStart w:id="30" w:name="_Toc216784134"/>
      <w:r>
        <w:t>Division 2 — Establishment of major event</w:t>
      </w:r>
      <w:bookmarkEnd w:id="25"/>
      <w:bookmarkEnd w:id="26"/>
      <w:bookmarkEnd w:id="27"/>
      <w:bookmarkEnd w:id="28"/>
      <w:bookmarkEnd w:id="29"/>
      <w:bookmarkEnd w:id="30"/>
    </w:p>
    <w:p>
      <w:pPr>
        <w:pStyle w:val="zHeading5"/>
      </w:pPr>
      <w:bookmarkStart w:id="31" w:name="_Toc216353242"/>
      <w:bookmarkStart w:id="32" w:name="_Toc216784135"/>
      <w:r>
        <w:t>26.</w:t>
      </w:r>
      <w:r>
        <w:tab/>
        <w:t>AFC Women’s Asian Cup 2026 is major event</w:t>
      </w:r>
      <w:bookmarkEnd w:id="31"/>
      <w:bookmarkEnd w:id="32"/>
    </w:p>
    <w:p>
      <w:pPr>
        <w:pStyle w:val="zSubsection"/>
      </w:pPr>
      <w:r>
        <w:tab/>
      </w:r>
      <w:r>
        <w:tab/>
        <w:t xml:space="preserve">For the purposes of section 6(1) of the Act, the AFC Women’s Asian Cup 2026 is a major event. </w:t>
      </w:r>
    </w:p>
    <w:p>
      <w:pPr>
        <w:pStyle w:val="zHeading5"/>
      </w:pPr>
      <w:bookmarkStart w:id="33" w:name="_Toc216353243"/>
      <w:bookmarkStart w:id="34" w:name="_Toc216784136"/>
      <w:r>
        <w:t>27.</w:t>
      </w:r>
      <w:r>
        <w:tab/>
        <w:t>Major event organiser</w:t>
      </w:r>
      <w:bookmarkEnd w:id="33"/>
      <w:bookmarkEnd w:id="34"/>
    </w:p>
    <w:p>
      <w:pPr>
        <w:pStyle w:val="zSubsection"/>
        <w:keepNext/>
        <w:keepLines/>
      </w:pPr>
      <w:r>
        <w:tab/>
      </w:r>
      <w:r>
        <w:tab/>
        <w:t>For the purposes of section 6(2)(a) of the Act, Local Organising Committee AFC Women’s Asian Cup 2026 Pty Ltd (ACN 681 496 006) is the major event organiser for the AFC Women’s Asian Cup 2026.</w:t>
      </w:r>
    </w:p>
    <w:p>
      <w:pPr>
        <w:pStyle w:val="zHeading5"/>
      </w:pPr>
      <w:bookmarkStart w:id="35" w:name="_Toc216353244"/>
      <w:bookmarkStart w:id="36" w:name="_Toc216784137"/>
      <w:r>
        <w:t>28.</w:t>
      </w:r>
      <w:r>
        <w:tab/>
        <w:t>Major event areas</w:t>
      </w:r>
      <w:bookmarkEnd w:id="35"/>
      <w:bookmarkEnd w:id="36"/>
    </w:p>
    <w:p>
      <w:pPr>
        <w:pStyle w:val="zSubsection"/>
      </w:pPr>
      <w:r>
        <w:tab/>
        <w:t>(1)</w:t>
      </w:r>
      <w:r>
        <w:tab/>
        <w:t xml:space="preserve">For the purposes of section 6(2)(b) of the Act, each of the following areas is a major event area for the AFC Women’s Asian Cup 2026 — </w:t>
      </w:r>
    </w:p>
    <w:p>
      <w:pPr>
        <w:pStyle w:val="zIndenta"/>
      </w:pPr>
      <w:r>
        <w:tab/>
        <w:t>(a)</w:t>
      </w:r>
      <w:r>
        <w:tab/>
        <w:t xml:space="preserve">the Perth Rectangular Stadium major event area, being the area shown as the Perth Rectangular Stadium major event area on the </w:t>
      </w:r>
      <w:r>
        <w:lastRenderedPageBreak/>
        <w:t xml:space="preserve">map entitled “AFC Women’s Asian Cup 2026: Perth Rectangular Stadium major event area and controlled area” — </w:t>
      </w:r>
    </w:p>
    <w:p>
      <w:pPr>
        <w:pStyle w:val="zIndenti"/>
      </w:pPr>
      <w:r>
        <w:tab/>
        <w:t>(i)</w:t>
      </w:r>
      <w:r>
        <w:tab/>
        <w:t xml:space="preserve">held by the chief executive officer of the department; and </w:t>
      </w:r>
    </w:p>
    <w:p>
      <w:pPr>
        <w:pStyle w:val="zIndenti"/>
      </w:pPr>
      <w:r>
        <w:tab/>
        <w:t>(ii)</w:t>
      </w:r>
      <w:r>
        <w:tab/>
        <w:t>certified by the chief executive officer of the department as the map prepared for the purpose of defining the Perth Rectangular Stadium major event area and controlled area;</w:t>
      </w:r>
    </w:p>
    <w:p>
      <w:pPr>
        <w:pStyle w:val="zIndenta"/>
      </w:pPr>
      <w:r>
        <w:tab/>
        <w:t>(b)</w:t>
      </w:r>
      <w:r>
        <w:tab/>
        <w:t xml:space="preserve">the Perth Stadium major event area, being the area shown as the Perth Stadium major event area on the map entitled “AFC Women’s Asian Cup 2026: Perth Stadium major event area and controlled area” — </w:t>
      </w:r>
    </w:p>
    <w:p>
      <w:pPr>
        <w:pStyle w:val="zIndenti"/>
      </w:pPr>
      <w:r>
        <w:tab/>
        <w:t>(i)</w:t>
      </w:r>
      <w:r>
        <w:tab/>
        <w:t xml:space="preserve">held by the chief executive officer of the department; and </w:t>
      </w:r>
    </w:p>
    <w:p>
      <w:pPr>
        <w:pStyle w:val="zIndenti"/>
      </w:pPr>
      <w:r>
        <w:tab/>
        <w:t>(ii)</w:t>
      </w:r>
      <w:r>
        <w:tab/>
        <w:t>certified by the chief executive officer of the department as the map prepared for the purpose of defining the Perth Stadium major event area and controlled area.</w:t>
      </w:r>
    </w:p>
    <w:p>
      <w:pPr>
        <w:pStyle w:val="zSubsection"/>
      </w:pPr>
      <w:r>
        <w:tab/>
        <w:t>(2)</w:t>
      </w:r>
      <w:r>
        <w:tab/>
        <w:t>For information purposes, maps depicting the major event areas referred to in subregulation (1) are in Schedule 4.</w:t>
      </w:r>
    </w:p>
    <w:p>
      <w:pPr>
        <w:pStyle w:val="zHeading5"/>
      </w:pPr>
      <w:bookmarkStart w:id="37" w:name="_Toc216353245"/>
      <w:bookmarkStart w:id="38" w:name="_Toc216784138"/>
      <w:r>
        <w:t>29.</w:t>
      </w:r>
      <w:r>
        <w:tab/>
        <w:t>Major event period</w:t>
      </w:r>
      <w:bookmarkEnd w:id="37"/>
      <w:bookmarkEnd w:id="38"/>
    </w:p>
    <w:p>
      <w:pPr>
        <w:pStyle w:val="zSubsection"/>
      </w:pPr>
      <w:r>
        <w:tab/>
      </w:r>
      <w:r>
        <w:tab/>
        <w:t>For the purposes of section 6(2)(c) of the Act, the major event period for the AFC Women’s Asian Cup 2026 is the period beginning on 15 February 2026 and ending on 20 March 2026.</w:t>
      </w:r>
    </w:p>
    <w:p>
      <w:pPr>
        <w:pStyle w:val="zHeading5"/>
      </w:pPr>
      <w:bookmarkStart w:id="39" w:name="_Toc216353246"/>
      <w:bookmarkStart w:id="40" w:name="_Toc216784139"/>
      <w:r>
        <w:lastRenderedPageBreak/>
        <w:t>30.</w:t>
      </w:r>
      <w:r>
        <w:tab/>
        <w:t>Application of Pt. 5 and 6 of Act to major event areas</w:t>
      </w:r>
      <w:bookmarkEnd w:id="39"/>
      <w:bookmarkEnd w:id="40"/>
    </w:p>
    <w:p>
      <w:pPr>
        <w:pStyle w:val="zSubsection"/>
      </w:pPr>
      <w:r>
        <w:tab/>
        <w:t>(1)</w:t>
      </w:r>
      <w:r>
        <w:tab/>
        <w:t>This regulation applies to the AFC Women’s Asian Cup 2026 for the purposes of section 6(2)(e) of the Act.</w:t>
      </w:r>
    </w:p>
    <w:p>
      <w:pPr>
        <w:pStyle w:val="zSubsection"/>
      </w:pPr>
      <w:r>
        <w:tab/>
        <w:t>(2)</w:t>
      </w:r>
      <w:r>
        <w:tab/>
        <w:t xml:space="preserve">Sections 38, 39, 41 to 59, 61, 62, 64, 66 and 67 apply to — </w:t>
      </w:r>
    </w:p>
    <w:p>
      <w:pPr>
        <w:pStyle w:val="zIndenta"/>
      </w:pPr>
      <w:r>
        <w:tab/>
        <w:t>(a)</w:t>
      </w:r>
      <w:r>
        <w:tab/>
        <w:t>the Perth Rectangular Stadium major event area during each match period for that area; and</w:t>
      </w:r>
    </w:p>
    <w:p>
      <w:pPr>
        <w:pStyle w:val="zIndenta"/>
      </w:pPr>
      <w:r>
        <w:tab/>
        <w:t>(b)</w:t>
      </w:r>
      <w:r>
        <w:tab/>
        <w:t>the Perth Stadium major event area during each match period for that area.</w:t>
      </w:r>
    </w:p>
    <w:p>
      <w:pPr>
        <w:pStyle w:val="zSubsection"/>
      </w:pPr>
      <w:r>
        <w:tab/>
        <w:t>(3)</w:t>
      </w:r>
      <w:r>
        <w:tab/>
        <w:t xml:space="preserve">Section 40 of the Act applies to — </w:t>
      </w:r>
    </w:p>
    <w:p>
      <w:pPr>
        <w:pStyle w:val="zIndenta"/>
      </w:pPr>
      <w:r>
        <w:tab/>
        <w:t>(a)</w:t>
      </w:r>
      <w:r>
        <w:tab/>
        <w:t>the Perth Rectangular Stadium major event area on each match day for that area; and</w:t>
      </w:r>
    </w:p>
    <w:p>
      <w:pPr>
        <w:pStyle w:val="zIndenta"/>
      </w:pPr>
      <w:r>
        <w:tab/>
        <w:t>(b)</w:t>
      </w:r>
      <w:r>
        <w:tab/>
        <w:t>the Perth Stadium major event area on each match day for that area.</w:t>
      </w:r>
    </w:p>
    <w:p>
      <w:pPr>
        <w:pStyle w:val="zSubsection"/>
      </w:pPr>
      <w:r>
        <w:tab/>
        <w:t>(4)</w:t>
      </w:r>
      <w:r>
        <w:tab/>
        <w:t xml:space="preserve">Section 63 of the Act applies during the period beginning on 1 March 2026 and ending on 17 March 2026 to — </w:t>
      </w:r>
    </w:p>
    <w:p>
      <w:pPr>
        <w:pStyle w:val="zIndenta"/>
      </w:pPr>
      <w:r>
        <w:tab/>
        <w:t>(a)</w:t>
      </w:r>
      <w:r>
        <w:tab/>
        <w:t>the Perth Rectangular Stadium major event area; and</w:t>
      </w:r>
    </w:p>
    <w:p>
      <w:pPr>
        <w:pStyle w:val="zIndenta"/>
      </w:pPr>
      <w:r>
        <w:tab/>
        <w:t>(b)</w:t>
      </w:r>
      <w:r>
        <w:tab/>
        <w:t>the Perth Stadium major event area.</w:t>
      </w:r>
    </w:p>
    <w:p>
      <w:pPr>
        <w:pStyle w:val="zHeading5"/>
      </w:pPr>
      <w:bookmarkStart w:id="41" w:name="_Toc216353247"/>
      <w:bookmarkStart w:id="42" w:name="_Toc216784140"/>
      <w:r>
        <w:t>31.</w:t>
      </w:r>
      <w:r>
        <w:tab/>
        <w:t>Responsible authorities</w:t>
      </w:r>
      <w:bookmarkEnd w:id="41"/>
      <w:bookmarkEnd w:id="42"/>
    </w:p>
    <w:p>
      <w:pPr>
        <w:pStyle w:val="zSubsection"/>
      </w:pPr>
      <w:r>
        <w:tab/>
      </w:r>
      <w:r>
        <w:tab/>
        <w:t xml:space="preserve">For the purposes of section 6(3) of the Act, each of the following is a responsible authority for the AFC Women’s Asian Cup 2026 — </w:t>
      </w:r>
    </w:p>
    <w:p>
      <w:pPr>
        <w:pStyle w:val="zIndenta"/>
      </w:pPr>
      <w:r>
        <w:tab/>
        <w:t>(a)</w:t>
      </w:r>
      <w:r>
        <w:tab/>
        <w:t>the department;</w:t>
      </w:r>
    </w:p>
    <w:p>
      <w:pPr>
        <w:pStyle w:val="zIndenta"/>
      </w:pPr>
      <w:r>
        <w:tab/>
        <w:t>(b)</w:t>
      </w:r>
      <w:r>
        <w:tab/>
        <w:t xml:space="preserve">the Western Australian Tourism Commission established under the </w:t>
      </w:r>
      <w:r>
        <w:rPr>
          <w:i/>
          <w:iCs/>
        </w:rPr>
        <w:t>Western Australian Tourism Commission Act 1983</w:t>
      </w:r>
      <w:r>
        <w:t xml:space="preserve"> section 4(1).</w:t>
      </w:r>
    </w:p>
    <w:p>
      <w:pPr>
        <w:pStyle w:val="zHeading5"/>
      </w:pPr>
      <w:bookmarkStart w:id="43" w:name="_Toc216353248"/>
      <w:bookmarkStart w:id="44" w:name="_Toc216784141"/>
      <w:r>
        <w:lastRenderedPageBreak/>
        <w:t>32.</w:t>
      </w:r>
      <w:r>
        <w:tab/>
        <w:t>Controlled areas</w:t>
      </w:r>
      <w:bookmarkEnd w:id="43"/>
      <w:bookmarkEnd w:id="44"/>
    </w:p>
    <w:p>
      <w:pPr>
        <w:pStyle w:val="zSubsection"/>
      </w:pPr>
      <w:r>
        <w:tab/>
        <w:t>(1)</w:t>
      </w:r>
      <w:r>
        <w:tab/>
        <w:t xml:space="preserve">For the purposes of section 6(4)(a) of the Act, each of the following is a controlled area for the AFC Women’s Asian Cup 2026 — </w:t>
      </w:r>
    </w:p>
    <w:p>
      <w:pPr>
        <w:pStyle w:val="zIndenta"/>
      </w:pPr>
      <w:r>
        <w:tab/>
        <w:t>(a)</w:t>
      </w:r>
      <w:r>
        <w:tab/>
        <w:t xml:space="preserve">the Perth Rectangular Stadium controlled area, being the area shown as the Perth Rectangular Stadium controlled area on the map entitled “AFC Women’s Asian Cup 2026: Perth Rectangular Stadium major event area and controlled area” — </w:t>
      </w:r>
    </w:p>
    <w:p>
      <w:pPr>
        <w:pStyle w:val="zIndenti"/>
      </w:pPr>
      <w:r>
        <w:tab/>
        <w:t>(i)</w:t>
      </w:r>
      <w:r>
        <w:tab/>
        <w:t xml:space="preserve">held by the chief executive officer of the department; and </w:t>
      </w:r>
    </w:p>
    <w:p>
      <w:pPr>
        <w:pStyle w:val="zIndenti"/>
      </w:pPr>
      <w:r>
        <w:tab/>
        <w:t>(ii)</w:t>
      </w:r>
      <w:r>
        <w:tab/>
        <w:t>certified by the chief executive officer of the department as the map prepared for the purpose of defining the Perth Rectangular Stadium major event area and controlled area;</w:t>
      </w:r>
    </w:p>
    <w:p>
      <w:pPr>
        <w:pStyle w:val="zIndenta"/>
        <w:keepNext/>
      </w:pPr>
      <w:r>
        <w:tab/>
        <w:t>(b)</w:t>
      </w:r>
      <w:r>
        <w:tab/>
        <w:t xml:space="preserve">the Perth Stadium controlled area, being the area shown as the Perth Stadium controlled area on the map entitled “AFC Women’s Asian Cup 2026: Perth Stadium major event area and controlled area” — </w:t>
      </w:r>
    </w:p>
    <w:p>
      <w:pPr>
        <w:pStyle w:val="zIndenti"/>
      </w:pPr>
      <w:r>
        <w:tab/>
        <w:t>(i)</w:t>
      </w:r>
      <w:r>
        <w:tab/>
        <w:t xml:space="preserve">held by the chief executive officer of the department; and </w:t>
      </w:r>
    </w:p>
    <w:p>
      <w:pPr>
        <w:pStyle w:val="zIndenti"/>
      </w:pPr>
      <w:r>
        <w:tab/>
        <w:t>(ii)</w:t>
      </w:r>
      <w:r>
        <w:tab/>
        <w:t>certified by the chief executive officer of the department as the map prepared for the purpose of defining the Perth Stadium major event area and controlled area.</w:t>
      </w:r>
    </w:p>
    <w:p>
      <w:pPr>
        <w:pStyle w:val="zSubsection"/>
      </w:pPr>
      <w:r>
        <w:tab/>
        <w:t>(2)</w:t>
      </w:r>
      <w:r>
        <w:tab/>
        <w:t>For information purposes, maps depicting the controlled areas referred to in subregulation (1) are in Schedule 4.</w:t>
      </w:r>
    </w:p>
    <w:p>
      <w:pPr>
        <w:pStyle w:val="zHeading5"/>
      </w:pPr>
      <w:bookmarkStart w:id="45" w:name="_Toc216353249"/>
      <w:bookmarkStart w:id="46" w:name="_Toc216784142"/>
      <w:r>
        <w:lastRenderedPageBreak/>
        <w:t>33.</w:t>
      </w:r>
      <w:r>
        <w:tab/>
        <w:t>Control period</w:t>
      </w:r>
      <w:bookmarkEnd w:id="45"/>
      <w:bookmarkEnd w:id="46"/>
    </w:p>
    <w:p>
      <w:pPr>
        <w:pStyle w:val="zSubsection"/>
      </w:pPr>
      <w:r>
        <w:tab/>
      </w:r>
      <w:r>
        <w:tab/>
        <w:t>For the purposes of section 6(4)(b) of the Act, the control period for the AFC Women’s Asian Cup 2026 is the period beginning on 1 March 2026 and ending on 17 March 2026.</w:t>
      </w:r>
    </w:p>
    <w:p>
      <w:pPr>
        <w:pStyle w:val="zHeading5"/>
      </w:pPr>
      <w:bookmarkStart w:id="47" w:name="_Toc216353250"/>
      <w:bookmarkStart w:id="48" w:name="_Toc216784143"/>
      <w:r>
        <w:t>34.</w:t>
      </w:r>
      <w:r>
        <w:tab/>
        <w:t>Application of Pt. 6 of Act to controlled areas</w:t>
      </w:r>
      <w:bookmarkEnd w:id="47"/>
      <w:bookmarkEnd w:id="48"/>
    </w:p>
    <w:p>
      <w:pPr>
        <w:pStyle w:val="zSubsection"/>
      </w:pPr>
      <w:r>
        <w:tab/>
      </w:r>
      <w:r>
        <w:tab/>
        <w:t xml:space="preserve">For the purposes of section 6(4)(c) of the Act — </w:t>
      </w:r>
    </w:p>
    <w:p>
      <w:pPr>
        <w:pStyle w:val="zIndenta"/>
      </w:pPr>
      <w:r>
        <w:tab/>
        <w:t>(a)</w:t>
      </w:r>
      <w:r>
        <w:tab/>
        <w:t xml:space="preserve">sections 61, 62, 64, 66 and 67 of the Act apply to — </w:t>
      </w:r>
    </w:p>
    <w:p>
      <w:pPr>
        <w:pStyle w:val="zIndenti"/>
      </w:pPr>
      <w:r>
        <w:tab/>
        <w:t>(i)</w:t>
      </w:r>
      <w:r>
        <w:tab/>
        <w:t>the Perth Rectangular Stadium controlled area during each match period for that area; and</w:t>
      </w:r>
    </w:p>
    <w:p>
      <w:pPr>
        <w:pStyle w:val="zIndenti"/>
      </w:pPr>
      <w:r>
        <w:tab/>
        <w:t>(ii)</w:t>
      </w:r>
      <w:r>
        <w:tab/>
        <w:t>the Perth Stadium controlled area during each match period for that area;</w:t>
      </w:r>
    </w:p>
    <w:p>
      <w:pPr>
        <w:pStyle w:val="zIndenta"/>
      </w:pPr>
      <w:r>
        <w:tab/>
      </w:r>
      <w:r>
        <w:tab/>
        <w:t>and</w:t>
      </w:r>
    </w:p>
    <w:p>
      <w:pPr>
        <w:pStyle w:val="zIndenta"/>
      </w:pPr>
      <w:r>
        <w:tab/>
        <w:t>(b)</w:t>
      </w:r>
      <w:r>
        <w:tab/>
        <w:t xml:space="preserve">section 63 of the Act applies during the control period to — </w:t>
      </w:r>
    </w:p>
    <w:p>
      <w:pPr>
        <w:pStyle w:val="zIndenti"/>
      </w:pPr>
      <w:r>
        <w:tab/>
        <w:t>(i)</w:t>
      </w:r>
      <w:r>
        <w:tab/>
        <w:t>the Perth Rectangular Stadium controlled area; and</w:t>
      </w:r>
    </w:p>
    <w:p>
      <w:pPr>
        <w:pStyle w:val="zIndenti"/>
      </w:pPr>
      <w:r>
        <w:tab/>
        <w:t>(ii)</w:t>
      </w:r>
      <w:r>
        <w:tab/>
        <w:t>the Perth Stadium controlled area.</w:t>
      </w:r>
    </w:p>
    <w:p>
      <w:pPr>
        <w:pStyle w:val="zHeading3"/>
        <w:keepNext w:val="0"/>
      </w:pPr>
      <w:bookmarkStart w:id="49" w:name="_Toc216353216"/>
      <w:bookmarkStart w:id="50" w:name="_Toc216353251"/>
      <w:bookmarkStart w:id="51" w:name="_Toc216353308"/>
      <w:bookmarkStart w:id="52" w:name="_Toc216353340"/>
      <w:bookmarkStart w:id="53" w:name="_Toc216353499"/>
      <w:bookmarkStart w:id="54" w:name="_Toc216784144"/>
      <w:r>
        <w:t>Division 3 — Official logos and titles for major event</w:t>
      </w:r>
      <w:bookmarkEnd w:id="49"/>
      <w:bookmarkEnd w:id="50"/>
      <w:bookmarkEnd w:id="51"/>
      <w:bookmarkEnd w:id="52"/>
      <w:bookmarkEnd w:id="53"/>
      <w:bookmarkEnd w:id="54"/>
    </w:p>
    <w:p>
      <w:pPr>
        <w:pStyle w:val="zHeading5"/>
        <w:keepNext w:val="0"/>
      </w:pPr>
      <w:bookmarkStart w:id="55" w:name="_Toc216353252"/>
      <w:bookmarkStart w:id="56" w:name="_Toc216784145"/>
      <w:r>
        <w:t>35.</w:t>
      </w:r>
      <w:r>
        <w:tab/>
        <w:t>Official logos</w:t>
      </w:r>
      <w:bookmarkEnd w:id="55"/>
      <w:bookmarkEnd w:id="56"/>
    </w:p>
    <w:p>
      <w:pPr>
        <w:pStyle w:val="zSubsection"/>
      </w:pPr>
      <w:r>
        <w:tab/>
      </w:r>
      <w:r>
        <w:tab/>
        <w:t xml:space="preserve">For the purposes of section 68(1)(a) of the Act, each of the following is an official logo for the AFC Women’s Asian Cup 2026 — </w:t>
      </w:r>
    </w:p>
    <w:p>
      <w:pPr>
        <w:pStyle w:val="zSubsection"/>
        <w:jc w:val="center"/>
      </w:pPr>
      <w:r>
        <w:rPr>
          <w:noProof/>
        </w:rPr>
        <w:lastRenderedPageBreak/>
        <w:drawing>
          <wp:inline distT="0" distB="0" distL="0" distR="0">
            <wp:extent cx="1787525" cy="943610"/>
            <wp:effectExtent l="0" t="0" r="3175" b="8890"/>
            <wp:docPr id="2115544190" name="Picture 1"/>
            <wp:cNvGraphicFramePr/>
            <a:graphic xmlns:a="http://schemas.openxmlformats.org/drawingml/2006/main">
              <a:graphicData uri="http://schemas.openxmlformats.org/drawingml/2006/picture">
                <pic:pic xmlns:pic="http://schemas.openxmlformats.org/drawingml/2006/picture">
                  <pic:nvPicPr>
                    <pic:cNvPr id="2115544190" name="Picture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787525" cy="943610"/>
                    </a:xfrm>
                    <a:prstGeom prst="rect">
                      <a:avLst/>
                    </a:prstGeom>
                  </pic:spPr>
                </pic:pic>
              </a:graphicData>
            </a:graphic>
          </wp:inline>
        </w:drawing>
      </w:r>
    </w:p>
    <w:p>
      <w:pPr>
        <w:pStyle w:val="zSubsection"/>
        <w:jc w:val="center"/>
      </w:pPr>
      <w:r>
        <w:rPr>
          <w:noProof/>
        </w:rPr>
        <w:drawing>
          <wp:inline distT="0" distB="0" distL="0" distR="0">
            <wp:extent cx="1862455" cy="975360"/>
            <wp:effectExtent l="0" t="0" r="4445" b="0"/>
            <wp:docPr id="523213395" name="Picture 1" descr="A logo for a women's asian sports team&#10;&#10;AI-generated content may be incorrect."/>
            <wp:cNvGraphicFramePr/>
            <a:graphic xmlns:a="http://schemas.openxmlformats.org/drawingml/2006/main">
              <a:graphicData uri="http://schemas.openxmlformats.org/drawingml/2006/picture">
                <pic:pic xmlns:pic="http://schemas.openxmlformats.org/drawingml/2006/picture">
                  <pic:nvPicPr>
                    <pic:cNvPr id="523213395" name="Picture 1" descr="A logo for a women's asian sports team&#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62455" cy="975360"/>
                    </a:xfrm>
                    <a:prstGeom prst="rect">
                      <a:avLst/>
                    </a:prstGeom>
                  </pic:spPr>
                </pic:pic>
              </a:graphicData>
            </a:graphic>
          </wp:inline>
        </w:drawing>
      </w:r>
    </w:p>
    <w:p>
      <w:pPr>
        <w:pStyle w:val="zSubsection"/>
        <w:jc w:val="center"/>
      </w:pPr>
      <w:r>
        <w:rPr>
          <w:noProof/>
        </w:rPr>
        <w:drawing>
          <wp:inline distT="0" distB="0" distL="0" distR="0">
            <wp:extent cx="1200150" cy="1787273"/>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16417" cy="1811498"/>
                    </a:xfrm>
                    <a:prstGeom prst="rect">
                      <a:avLst/>
                    </a:prstGeom>
                  </pic:spPr>
                </pic:pic>
              </a:graphicData>
            </a:graphic>
          </wp:inline>
        </w:drawing>
      </w:r>
    </w:p>
    <w:p>
      <w:pPr>
        <w:pStyle w:val="zHeading5"/>
      </w:pPr>
      <w:bookmarkStart w:id="57" w:name="_Toc216353253"/>
      <w:bookmarkStart w:id="58" w:name="_Toc216784146"/>
      <w:r>
        <w:t>36.</w:t>
      </w:r>
      <w:r>
        <w:tab/>
        <w:t>Official titles</w:t>
      </w:r>
      <w:bookmarkEnd w:id="57"/>
      <w:bookmarkEnd w:id="58"/>
    </w:p>
    <w:p>
      <w:pPr>
        <w:pStyle w:val="zSubsection"/>
        <w:keepNext/>
      </w:pPr>
      <w:r>
        <w:tab/>
      </w:r>
      <w:r>
        <w:tab/>
        <w:t xml:space="preserve">For the purposes of section 68(1)(b) of the Act, each of the following is an official title for the AFC Women’s Asian Cup 2026 — </w:t>
      </w:r>
    </w:p>
    <w:p>
      <w:pPr>
        <w:pStyle w:val="zIndenta"/>
      </w:pPr>
      <w:r>
        <w:tab/>
        <w:t>(a)</w:t>
      </w:r>
      <w:r>
        <w:tab/>
        <w:t>AFC Women’s Asian Cup 2026;</w:t>
      </w:r>
    </w:p>
    <w:p>
      <w:pPr>
        <w:pStyle w:val="zIndenta"/>
      </w:pPr>
      <w:r>
        <w:tab/>
        <w:t>(b)</w:t>
      </w:r>
      <w:r>
        <w:tab/>
        <w:t>AFC Women’s Asian Cup;</w:t>
      </w:r>
    </w:p>
    <w:p>
      <w:pPr>
        <w:pStyle w:val="zIndenta"/>
      </w:pPr>
      <w:r>
        <w:tab/>
        <w:t>(c)</w:t>
      </w:r>
      <w:r>
        <w:tab/>
        <w:t>AFC WAC 2026;</w:t>
      </w:r>
    </w:p>
    <w:p>
      <w:pPr>
        <w:pStyle w:val="zIndenta"/>
      </w:pPr>
      <w:r>
        <w:tab/>
        <w:t>(d)</w:t>
      </w:r>
      <w:r>
        <w:tab/>
        <w:t>AFC WAC26;</w:t>
      </w:r>
    </w:p>
    <w:p>
      <w:pPr>
        <w:pStyle w:val="zIndenta"/>
      </w:pPr>
      <w:r>
        <w:tab/>
        <w:t>(e)</w:t>
      </w:r>
      <w:r>
        <w:tab/>
        <w:t>AFC Women’s Asian Cup Australia 2026;</w:t>
      </w:r>
    </w:p>
    <w:p>
      <w:pPr>
        <w:pStyle w:val="zIndenta"/>
      </w:pPr>
      <w:r>
        <w:tab/>
        <w:t>(f)</w:t>
      </w:r>
      <w:r>
        <w:tab/>
        <w:t>AFC Women’s Asian Cup Australia;</w:t>
      </w:r>
    </w:p>
    <w:p>
      <w:pPr>
        <w:pStyle w:val="zIndenta"/>
      </w:pPr>
      <w:r>
        <w:lastRenderedPageBreak/>
        <w:tab/>
        <w:t>(g)</w:t>
      </w:r>
      <w:r>
        <w:tab/>
        <w:t>Asian Football Confederation Women’s Asian Cup 2026;</w:t>
      </w:r>
    </w:p>
    <w:p>
      <w:pPr>
        <w:pStyle w:val="zIndenta"/>
      </w:pPr>
      <w:r>
        <w:tab/>
        <w:t>(h)</w:t>
      </w:r>
      <w:r>
        <w:tab/>
        <w:t>Asian Football Confederation Women’s Asian Cup;</w:t>
      </w:r>
    </w:p>
    <w:p>
      <w:pPr>
        <w:pStyle w:val="zIndenta"/>
      </w:pPr>
      <w:r>
        <w:tab/>
        <w:t>(i)</w:t>
      </w:r>
      <w:r>
        <w:tab/>
        <w:t>AFC WAC;</w:t>
      </w:r>
    </w:p>
    <w:p>
      <w:pPr>
        <w:pStyle w:val="zIndenta"/>
      </w:pPr>
      <w:r>
        <w:tab/>
        <w:t>(j)</w:t>
      </w:r>
      <w:r>
        <w:tab/>
        <w:t>Women’s Asian Cup 2026;</w:t>
      </w:r>
    </w:p>
    <w:p>
      <w:pPr>
        <w:pStyle w:val="zIndenta"/>
      </w:pPr>
      <w:r>
        <w:tab/>
        <w:t>(k)</w:t>
      </w:r>
      <w:r>
        <w:tab/>
        <w:t>WAC2026;</w:t>
      </w:r>
    </w:p>
    <w:p>
      <w:pPr>
        <w:pStyle w:val="zIndenta"/>
      </w:pPr>
      <w:r>
        <w:tab/>
        <w:t>(l)</w:t>
      </w:r>
      <w:r>
        <w:tab/>
        <w:t>WAC26.</w:t>
      </w:r>
    </w:p>
    <w:p>
      <w:pPr>
        <w:pStyle w:val="zHeading3"/>
      </w:pPr>
      <w:bookmarkStart w:id="59" w:name="_Toc216353219"/>
      <w:bookmarkStart w:id="60" w:name="_Toc216353254"/>
      <w:bookmarkStart w:id="61" w:name="_Toc216353311"/>
      <w:bookmarkStart w:id="62" w:name="_Toc216353343"/>
      <w:bookmarkStart w:id="63" w:name="_Toc216353502"/>
      <w:bookmarkStart w:id="64" w:name="_Toc216784147"/>
      <w:r>
        <w:t>Division 4 — Miscellaneous</w:t>
      </w:r>
      <w:bookmarkEnd w:id="59"/>
      <w:bookmarkEnd w:id="60"/>
      <w:bookmarkEnd w:id="61"/>
      <w:bookmarkEnd w:id="62"/>
      <w:bookmarkEnd w:id="63"/>
      <w:bookmarkEnd w:id="64"/>
    </w:p>
    <w:p>
      <w:pPr>
        <w:pStyle w:val="zHeading5"/>
      </w:pPr>
      <w:bookmarkStart w:id="65" w:name="_Toc216353255"/>
      <w:bookmarkStart w:id="66" w:name="_Toc216784148"/>
      <w:r>
        <w:t>37.</w:t>
      </w:r>
      <w:r>
        <w:tab/>
        <w:t>Extended application of Act s. 49</w:t>
      </w:r>
      <w:bookmarkEnd w:id="65"/>
      <w:bookmarkEnd w:id="66"/>
    </w:p>
    <w:p>
      <w:pPr>
        <w:pStyle w:val="zSubsection"/>
      </w:pPr>
      <w:r>
        <w:tab/>
        <w:t>(1)</w:t>
      </w:r>
      <w:r>
        <w:tab/>
        <w:t>For the purposes of section 49(1)(h) of the Act, in its application to the AFC Women’s Asian Cup 2026, displaying a poster on property, including on the outside of a building or structure, is prescribed.</w:t>
      </w:r>
    </w:p>
    <w:p>
      <w:pPr>
        <w:pStyle w:val="zSubsection"/>
      </w:pPr>
      <w:r>
        <w:tab/>
        <w:t>(2)</w:t>
      </w:r>
      <w:r>
        <w:tab/>
        <w:t xml:space="preserve">Subregulation (1) does not apply to a poster that was displayed — </w:t>
      </w:r>
    </w:p>
    <w:p>
      <w:pPr>
        <w:pStyle w:val="zIndenta"/>
      </w:pPr>
      <w:r>
        <w:tab/>
        <w:t>(a)</w:t>
      </w:r>
      <w:r>
        <w:tab/>
        <w:t>before 1 March 2026; and</w:t>
      </w:r>
    </w:p>
    <w:p>
      <w:pPr>
        <w:pStyle w:val="zIndenta"/>
      </w:pPr>
      <w:r>
        <w:tab/>
        <w:t>(b)</w:t>
      </w:r>
      <w:r>
        <w:tab/>
        <w:t>in connection with the person’s ordinary activities for purposes unrelated to the AFC Women’s Asian Cup 2026.</w:t>
      </w:r>
    </w:p>
    <w:p>
      <w:pPr>
        <w:pStyle w:val="zPermNoteHeading"/>
      </w:pPr>
      <w:r>
        <w:tab/>
        <w:t>Note for this regulation:</w:t>
      </w:r>
    </w:p>
    <w:p>
      <w:pPr>
        <w:pStyle w:val="zPermNoteText"/>
      </w:pPr>
      <w:r>
        <w:tab/>
      </w:r>
      <w:r>
        <w:tab/>
        <w:t>Regulation 30(2) provides for the major event areas in which, and the periods during which, section 49 of the Act applies to the AFC Women’s Asian Cup 2026.</w:t>
      </w:r>
    </w:p>
    <w:p>
      <w:pPr>
        <w:pStyle w:val="zHeading5"/>
      </w:pPr>
      <w:bookmarkStart w:id="67" w:name="_Toc216353256"/>
      <w:bookmarkStart w:id="68" w:name="_Toc216784149"/>
      <w:r>
        <w:t>38.</w:t>
      </w:r>
      <w:r>
        <w:tab/>
        <w:t>Appointment of authorised officers</w:t>
      </w:r>
      <w:bookmarkEnd w:id="67"/>
      <w:bookmarkEnd w:id="68"/>
    </w:p>
    <w:p>
      <w:pPr>
        <w:pStyle w:val="zSubsection"/>
        <w:rPr>
          <w:bCs/>
          <w:iCs/>
        </w:rPr>
      </w:pPr>
      <w:r>
        <w:tab/>
      </w:r>
      <w:r>
        <w:tab/>
        <w:t xml:space="preserve">For the purposes of section 73(3)(b)(ii) of the Act, it is a requirement that a person appointed as an authorised officer for the AFC Women’s Asian Cup 2026 hold any licence the person to be appointed is required to hold under the </w:t>
      </w:r>
      <w:r>
        <w:rPr>
          <w:i/>
          <w:iCs/>
        </w:rPr>
        <w:t xml:space="preserve">Security and Related Activities </w:t>
      </w:r>
      <w:r>
        <w:rPr>
          <w:i/>
          <w:iCs/>
        </w:rPr>
        <w:lastRenderedPageBreak/>
        <w:t>(Control) Act 1996</w:t>
      </w:r>
      <w:r>
        <w:t xml:space="preserve"> in order to perform the functions that are conferred by the appointment.</w:t>
      </w:r>
    </w:p>
    <w:p>
      <w:pPr>
        <w:pStyle w:val="zHeading5"/>
      </w:pPr>
      <w:bookmarkStart w:id="69" w:name="_Toc216353257"/>
      <w:bookmarkStart w:id="70" w:name="_Toc216784150"/>
      <w:r>
        <w:t>39.</w:t>
      </w:r>
      <w:r>
        <w:tab/>
        <w:t>Eligibility for appointment as authorised officer</w:t>
      </w:r>
      <w:bookmarkEnd w:id="69"/>
      <w:bookmarkEnd w:id="70"/>
    </w:p>
    <w:p>
      <w:pPr>
        <w:pStyle w:val="zSubsection"/>
      </w:pPr>
      <w:r>
        <w:tab/>
      </w:r>
      <w:r>
        <w:tab/>
        <w:t xml:space="preserve">For the purposes of section 74(1)(f) of the Act, the following classes of persons are prescribed in relation to the AFC Women’s Asian Cup 2026 — </w:t>
      </w:r>
    </w:p>
    <w:p>
      <w:pPr>
        <w:pStyle w:val="zIndenta"/>
      </w:pPr>
      <w:r>
        <w:tab/>
        <w:t>(a)</w:t>
      </w:r>
      <w:r>
        <w:tab/>
        <w:t xml:space="preserve">persons who hold either of the following licences under the </w:t>
      </w:r>
      <w:r>
        <w:rPr>
          <w:i/>
          <w:iCs/>
        </w:rPr>
        <w:t>Security and Related Activities (Control) Act 1996 </w:t>
      </w:r>
      <w:r>
        <w:t>—</w:t>
      </w:r>
    </w:p>
    <w:p>
      <w:pPr>
        <w:pStyle w:val="zIndenti"/>
      </w:pPr>
      <w:r>
        <w:tab/>
        <w:t>(i)</w:t>
      </w:r>
      <w:r>
        <w:tab/>
        <w:t>a security officer’s licence;</w:t>
      </w:r>
    </w:p>
    <w:p>
      <w:pPr>
        <w:pStyle w:val="zIndenti"/>
      </w:pPr>
      <w:r>
        <w:tab/>
        <w:t>(ii)</w:t>
      </w:r>
      <w:r>
        <w:tab/>
        <w:t>a crowd controller’s licence;</w:t>
      </w:r>
    </w:p>
    <w:p>
      <w:pPr>
        <w:pStyle w:val="zIndenta"/>
      </w:pPr>
      <w:r>
        <w:tab/>
        <w:t>(b)</w:t>
      </w:r>
      <w:r>
        <w:tab/>
        <w:t>employees of the major event organiser;</w:t>
      </w:r>
    </w:p>
    <w:p>
      <w:pPr>
        <w:pStyle w:val="zIndenta"/>
      </w:pPr>
      <w:r>
        <w:tab/>
        <w:t>(c)</w:t>
      </w:r>
      <w:r>
        <w:tab/>
        <w:t>persons engaged under a contract for services by the major event organiser;</w:t>
      </w:r>
    </w:p>
    <w:p>
      <w:pPr>
        <w:pStyle w:val="zIndenta"/>
      </w:pPr>
      <w:r>
        <w:tab/>
        <w:t>(d)</w:t>
      </w:r>
      <w:r>
        <w:tab/>
        <w:t>persons employed by a person engaged under a contract for services by the major event organiser.</w:t>
      </w:r>
    </w:p>
    <w:p>
      <w:pPr>
        <w:pStyle w:val="zHeading5"/>
      </w:pPr>
      <w:bookmarkStart w:id="71" w:name="_Toc216353258"/>
      <w:bookmarkStart w:id="72" w:name="_Toc216784151"/>
      <w:r>
        <w:t>40.</w:t>
      </w:r>
      <w:r>
        <w:tab/>
        <w:t>Signs must be erected in major event areas and controlled areas</w:t>
      </w:r>
      <w:bookmarkEnd w:id="71"/>
      <w:bookmarkEnd w:id="72"/>
    </w:p>
    <w:p>
      <w:pPr>
        <w:pStyle w:val="zSubsection"/>
      </w:pPr>
      <w:r>
        <w:tab/>
        <w:t>(1)</w:t>
      </w:r>
      <w:r>
        <w:tab/>
        <w:t>The major event organiser must erect signs in or at the entrances to each major event area and controlled area for the AFC Women’s Asian Cup 2026 that describe the powers that authorised officers and police officers have in those areas under the Act.</w:t>
      </w:r>
    </w:p>
    <w:p>
      <w:pPr>
        <w:pStyle w:val="zSubsection"/>
      </w:pPr>
      <w:r>
        <w:tab/>
        <w:t>(2)</w:t>
      </w:r>
      <w:r>
        <w:tab/>
        <w:t>The signs must be in a form, and erected in locations, approved by the chief executive officer of the department.</w:t>
      </w:r>
    </w:p>
    <w:p>
      <w:pPr>
        <w:pStyle w:val="BlankClose"/>
      </w:pPr>
    </w:p>
    <w:p>
      <w:pPr>
        <w:pStyle w:val="Heading5"/>
      </w:pPr>
      <w:bookmarkStart w:id="73" w:name="_Toc216353259"/>
      <w:bookmarkStart w:id="74" w:name="_Toc216784152"/>
      <w:r>
        <w:rPr>
          <w:rStyle w:val="CharSectno"/>
        </w:rPr>
        <w:lastRenderedPageBreak/>
        <w:t>5</w:t>
      </w:r>
      <w:r>
        <w:t>.</w:t>
      </w:r>
      <w:r>
        <w:tab/>
        <w:t>Schedule 4 inserted</w:t>
      </w:r>
      <w:bookmarkEnd w:id="73"/>
      <w:bookmarkEnd w:id="74"/>
    </w:p>
    <w:p>
      <w:pPr>
        <w:pStyle w:val="Subsection"/>
        <w:keepNext/>
      </w:pPr>
      <w:r>
        <w:tab/>
      </w:r>
      <w:r>
        <w:tab/>
        <w:t>After Schedule 3 insert:</w:t>
      </w:r>
    </w:p>
    <w:p>
      <w:pPr>
        <w:pStyle w:val="BlankOpen"/>
      </w:pPr>
    </w:p>
    <w:p>
      <w:pPr>
        <w:pStyle w:val="zyHeading2"/>
      </w:pPr>
      <w:bookmarkStart w:id="75" w:name="_Toc216353225"/>
      <w:bookmarkStart w:id="76" w:name="_Toc216353260"/>
      <w:bookmarkStart w:id="77" w:name="_Toc216353317"/>
      <w:bookmarkStart w:id="78" w:name="_Toc216353349"/>
      <w:bookmarkStart w:id="79" w:name="_Toc216353508"/>
      <w:bookmarkStart w:id="80" w:name="_Toc216784153"/>
      <w:r>
        <w:t>Schedule 4 — AFC Women’s Asian Cup 2026 major event areas and controlled areas</w:t>
      </w:r>
      <w:bookmarkEnd w:id="75"/>
      <w:bookmarkEnd w:id="76"/>
      <w:bookmarkEnd w:id="77"/>
      <w:bookmarkEnd w:id="78"/>
      <w:bookmarkEnd w:id="79"/>
      <w:bookmarkEnd w:id="80"/>
    </w:p>
    <w:p>
      <w:pPr>
        <w:pStyle w:val="zyShoulderClause"/>
      </w:pPr>
      <w:r>
        <w:t>[r. 28(2) and 32(2)]</w:t>
      </w:r>
    </w:p>
    <w:p>
      <w:pPr>
        <w:pStyle w:val="BlankClose"/>
      </w:pPr>
      <w:r>
        <w:rPr>
          <w:noProof/>
        </w:rPr>
        <w:drawing>
          <wp:inline distT="0" distB="0" distL="0" distR="0">
            <wp:extent cx="4500245" cy="4229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500245" cy="4229735"/>
                    </a:xfrm>
                    <a:prstGeom prst="rect">
                      <a:avLst/>
                    </a:prstGeom>
                  </pic:spPr>
                </pic:pic>
              </a:graphicData>
            </a:graphic>
          </wp:inline>
        </w:drawing>
      </w:r>
    </w:p>
    <w:p>
      <w:pPr>
        <w:pStyle w:val="BlankClose"/>
      </w:pPr>
      <w:r>
        <w:rPr>
          <w:noProof/>
        </w:rPr>
        <w:lastRenderedPageBreak/>
        <w:drawing>
          <wp:inline distT="0" distB="0" distL="0" distR="0">
            <wp:extent cx="4500245" cy="3840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00245" cy="3840480"/>
                    </a:xfrm>
                    <a:prstGeom prst="rect">
                      <a:avLst/>
                    </a:prstGeom>
                  </pic:spPr>
                </pic:pic>
              </a:graphicData>
            </a:graphic>
          </wp:inline>
        </w:drawing>
      </w:r>
    </w:p>
    <w:p>
      <w:pPr>
        <w:pStyle w:val="BlankClose"/>
      </w:pPr>
    </w:p>
    <w:p>
      <w:pPr>
        <w:pStyle w:val="ByCommand"/>
      </w:pPr>
      <w:r>
        <w:t>K. COLLERAN, Clerk of the Executive Council</w:t>
      </w:r>
    </w:p>
    <w:p>
      <w:pPr>
        <w:pStyle w:val="ByCommand"/>
        <w:spacing w:before="120"/>
        <w:rPr>
          <w:rStyle w:val="DraftersNotes"/>
        </w:rPr>
      </w:pPr>
    </w:p>
    <w:p>
      <w:pPr>
        <w:rPr>
          <w:rStyle w:val="DraftersNotes"/>
        </w:rPr>
        <w:sectPr>
          <w:headerReference w:type="even" r:id="rId26"/>
          <w:headerReference w:type="default" r:id="rId27"/>
          <w:headerReference w:type="first" r:id="rId28"/>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7343775</wp:posOffset>
                </wp:positionV>
                <wp:extent cx="127000" cy="704850"/>
                <wp:effectExtent l="0" t="0" r="1905" b="0"/>
                <wp:wrapNone/>
                <wp:docPr id="11" name="Authority"/>
                <wp:cNvGraphicFramePr/>
                <a:graphic xmlns:a="http://schemas.openxmlformats.org/drawingml/2006/main">
                  <a:graphicData uri="http://schemas.microsoft.com/office/word/2010/wordprocessingShape">
                    <wps:wsp>
                      <wps:cNvSpPr txBox="1"/>
                      <wps:spPr>
                        <a:xfrm>
                          <a:off x="0" y="0"/>
                          <a:ext cx="127000" cy="7048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563A7A" id="_x0000_t202" coordsize="21600,21600" o:spt="202" path="m,l,21600r21600,l21600,xe">
                <v:stroke joinstyle="miter"/>
                <v:path gradientshapeok="t" o:connecttype="rect"/>
              </v:shapetype>
              <v:shape id="Authority" o:spid="_x0000_s1026" type="#_x0000_t202" style="position:absolute;margin-left:0;margin-top:578.25pt;width:10pt;height:55.5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" stroked="f" strokeweight=".5pt">
                <v:textbox>
                  <w:txbxContent>
                    <w:p w14:paraId="7724AEA3" w14:textId="49B6E284" w:rsidR="00F603A8" w:rsidRDefault="00F603A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316FC">
                        <w:rPr>
                          <w:sz w:val="16"/>
                        </w:rPr>
                        <w:t>2025</w:t>
                      </w:r>
                      <w:r>
                        <w:rPr>
                          <w:sz w:val="16"/>
                        </w:rPr>
                        <w:fldChar w:fldCharType="end"/>
                      </w:r>
                      <w:r>
                        <w:rPr>
                          <w:sz w:val="16"/>
                        </w:rPr>
                        <w:t>.</w:t>
                      </w:r>
                    </w:p>
                    <w:p w14:paraId="554C9F98" w14:textId="77777777" w:rsidR="00F603A8" w:rsidRDefault="00F603A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937823" w14:textId="01ADCD7A" w:rsidR="00F603A8" w:rsidRDefault="00F603A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316FC">
                        <w:rPr>
                          <w:sz w:val="16"/>
                        </w:rPr>
                        <w:t>2025</w:t>
                      </w:r>
                      <w:r>
                        <w:rPr>
                          <w:sz w:val="16"/>
                        </w:rPr>
                        <w:fldChar w:fldCharType="end"/>
                      </w:r>
                      <w:r>
                        <w:rPr>
                          <w:sz w:val="16"/>
                        </w:rPr>
                        <w:t>.</w:t>
                      </w:r>
                    </w:p>
                    <w:p w14:paraId="6F74C276" w14:textId="77777777" w:rsidR="00F603A8" w:rsidRDefault="00F603A8">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2025/202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2025/202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Major Events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3453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1110135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1110135946_GUID" w:val="17141a7e-51bc-4c9c-a2b6-1451ab59b106"/>
    <w:docVar w:name="WAFER_20251203113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3113505_GUID" w:val="662b9233-2333-46e2-912a-1d4111de33ad"/>
    <w:docVar w:name="WAFER_2025120311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3113541_GUID" w:val="6383fef7-90a4-4c4f-9ccb-ac8998ea1166"/>
    <w:docVar w:name="WAFER_2025121113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34539_GUID" w:val="4d94e706-3f68-4e35-b30b-cf54ab242b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0A15E6B9-3CAC-42DC-9094-0AE50264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80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2115</Words>
  <Characters>10050</Characters>
  <Application>Microsoft Office Word</Application>
  <DocSecurity>0</DocSecurity>
  <Lines>358</Lines>
  <Paragraphs>229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Amendment Regulations 2025 - 00-00-00</dc:title>
  <dc:subject/>
  <dc:creator/>
  <cp:keywords/>
  <dc:description/>
  <cp:lastModifiedBy>Master Repository Process</cp:lastModifiedBy>
  <cp:revision>4</cp:revision>
  <cp:lastPrinted>2025-12-03T07:57:00Z</cp:lastPrinted>
  <dcterms:created xsi:type="dcterms:W3CDTF">2025-12-16T06:32:00Z</dcterms:created>
  <dcterms:modified xsi:type="dcterms:W3CDTF">2025-12-16T06:32:00Z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55695</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2025/202</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