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Medicines and Poisons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Medicines and Poisons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Medicines and Poisons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_Toc216782918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_Toc216782919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_Toc216782920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37 amended</w:t>
      </w:r>
      <w:r>
        <w:tab/>
      </w:r>
      <w:r>
        <w:fldChar w:fldCharType="begin"/>
      </w:r>
      <w:r>
        <w:instrText xml:space="preserve"> PAGEREF _Toc216782921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38 amended</w:t>
      </w:r>
      <w:r>
        <w:tab/>
      </w:r>
      <w:r>
        <w:fldChar w:fldCharType="begin"/>
      </w:r>
      <w:r>
        <w:instrText xml:space="preserve"> PAGEREF _Toc216782922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68 amended</w:t>
      </w:r>
      <w:r>
        <w:tab/>
      </w:r>
      <w:r>
        <w:fldChar w:fldCharType="begin"/>
      </w:r>
      <w:r>
        <w:instrText xml:space="preserve"> PAGEREF _Toc216782923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70A inserted</w:t>
      </w:r>
      <w:r>
        <w:tab/>
      </w:r>
      <w:r>
        <w:fldChar w:fldCharType="begin"/>
      </w:r>
      <w:r>
        <w:instrText xml:space="preserve"> PAGEREF _Toc216782924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70A.</w:t>
      </w:r>
      <w:r>
        <w:rPr>
          <w:noProof/>
        </w:rPr>
        <w:tab/>
        <w:t>Authorisation of VPB</w:t>
      </w:r>
      <w:r>
        <w:rPr>
          <w:noProof/>
        </w:rPr>
        <w:noBreakHyphen/>
        <w:t>authorised persons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_Toc216782925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Medicines and Poisons Act 2014</w:t>
      </w:r>
    </w:p>
    <w:p>
      <w:pPr>
        <w:pStyle w:val="NameofActReg"/>
      </w:pPr>
      <w:r>
        <w:t>Medicines and Poisons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6354230"/>
      <w:bookmarkStart w:id="3" w:name="_Toc21678291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Medicines and Poisons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16354231"/>
      <w:bookmarkStart w:id="6" w:name="_Toc2167829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Veterinary Practice Amendment Regulations (No. 2) 2025</w:t>
      </w:r>
      <w:r>
        <w:t xml:space="preserve"> regulation 6 comes into operation.</w:t>
      </w:r>
    </w:p>
    <w:p>
      <w:pPr>
        <w:pStyle w:val="Heading5"/>
        <w:rPr>
          <w:snapToGrid w:val="0"/>
        </w:rPr>
      </w:pPr>
      <w:bookmarkStart w:id="7" w:name="_Toc216354232"/>
      <w:bookmarkStart w:id="8" w:name="_Toc21678292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Medicines and Poisons Regulations 2016</w:t>
      </w:r>
      <w:r>
        <w:t>.</w:t>
      </w:r>
    </w:p>
    <w:p>
      <w:pPr>
        <w:pStyle w:val="Heading5"/>
      </w:pPr>
      <w:bookmarkStart w:id="9" w:name="_Toc216354233"/>
      <w:bookmarkStart w:id="10" w:name="_Toc216782921"/>
      <w:r>
        <w:rPr>
          <w:rStyle w:val="CharSectno"/>
        </w:rPr>
        <w:t>4</w:t>
      </w:r>
      <w:r>
        <w:t>.</w:t>
      </w:r>
      <w:r>
        <w:tab/>
        <w:t>Regulation 37 amended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>In regulation 37 insert in alphabetical order:</w:t>
      </w:r>
    </w:p>
    <w:p>
      <w:pPr>
        <w:pStyle w:val="BlankOpen"/>
      </w:pPr>
    </w:p>
    <w:p>
      <w:pPr>
        <w:pStyle w:val="zDefstart"/>
        <w:keepNext/>
      </w:pPr>
      <w:r>
        <w:tab/>
      </w:r>
      <w:r>
        <w:rPr>
          <w:rStyle w:val="CharDefText"/>
        </w:rPr>
        <w:t>VPB</w:t>
      </w:r>
      <w:r>
        <w:rPr>
          <w:rStyle w:val="CharDefText"/>
        </w:rPr>
        <w:noBreakHyphen/>
        <w:t>authorised person</w:t>
      </w:r>
      <w:r>
        <w:t xml:space="preserve"> means a person authorised under the </w:t>
      </w:r>
      <w:r>
        <w:rPr>
          <w:i/>
        </w:rPr>
        <w:t>Veterinary Practice Regulations 2022</w:t>
      </w:r>
      <w:r>
        <w:t xml:space="preserve"> regulation 14(1) to carry out the act of veterinary </w:t>
      </w:r>
      <w:r>
        <w:lastRenderedPageBreak/>
        <w:t>medicine specified in Schedule 6 item 12 of those regulations.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37 in the definition of </w:t>
      </w:r>
      <w:r>
        <w:rPr>
          <w:b/>
          <w:bCs/>
          <w:i/>
          <w:iCs/>
        </w:rPr>
        <w:t>veterinary nurse</w:t>
      </w:r>
      <w:r>
        <w:t xml:space="preserve"> delete “section 3.”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section 3;</w:t>
      </w:r>
    </w:p>
    <w:p>
      <w:pPr>
        <w:pStyle w:val="BlankClose"/>
      </w:pPr>
    </w:p>
    <w:p>
      <w:pPr>
        <w:pStyle w:val="Heading5"/>
      </w:pPr>
      <w:bookmarkStart w:id="11" w:name="_Toc216354234"/>
      <w:bookmarkStart w:id="12" w:name="_Toc216782922"/>
      <w:r>
        <w:rPr>
          <w:rStyle w:val="CharSectno"/>
        </w:rPr>
        <w:t>5</w:t>
      </w:r>
      <w:r>
        <w:t>.</w:t>
      </w:r>
      <w:r>
        <w:tab/>
        <w:t>Regulation 38 amended</w:t>
      </w:r>
      <w:bookmarkEnd w:id="11"/>
      <w:bookmarkEnd w:id="12"/>
    </w:p>
    <w:p>
      <w:pPr>
        <w:pStyle w:val="Subsection"/>
      </w:pPr>
      <w:r>
        <w:tab/>
      </w:r>
      <w:r>
        <w:tab/>
        <w:t>In regulation 38:</w:t>
      </w:r>
    </w:p>
    <w:p>
      <w:pPr>
        <w:pStyle w:val="Indenta"/>
      </w:pPr>
      <w:r>
        <w:tab/>
        <w:t>(a)</w:t>
      </w:r>
      <w:r>
        <w:tab/>
        <w:t>in paragraph (e) delete “nurses.”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nurses;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(e) insert:</w:t>
      </w:r>
    </w:p>
    <w:p>
      <w:pPr>
        <w:pStyle w:val="BlankOpen"/>
      </w:pPr>
    </w:p>
    <w:p>
      <w:pPr>
        <w:pStyle w:val="zIndenta"/>
      </w:pPr>
      <w:r>
        <w:tab/>
        <w:t>(f)</w:t>
      </w:r>
      <w:r>
        <w:tab/>
        <w:t>VPB</w:t>
      </w:r>
      <w:r>
        <w:noBreakHyphen/>
        <w:t>authorised persons.</w:t>
      </w:r>
    </w:p>
    <w:p>
      <w:pPr>
        <w:pStyle w:val="BlankClose"/>
      </w:pPr>
    </w:p>
    <w:p>
      <w:pPr>
        <w:pStyle w:val="Heading5"/>
      </w:pPr>
      <w:bookmarkStart w:id="13" w:name="_Toc216354235"/>
      <w:bookmarkStart w:id="14" w:name="_Toc216782923"/>
      <w:r>
        <w:rPr>
          <w:rStyle w:val="CharSectno"/>
        </w:rPr>
        <w:t>6</w:t>
      </w:r>
      <w:r>
        <w:t>.</w:t>
      </w:r>
      <w:r>
        <w:tab/>
        <w:t>Regulation 68 amended</w:t>
      </w:r>
      <w:bookmarkEnd w:id="13"/>
      <w:bookmarkEnd w:id="14"/>
    </w:p>
    <w:p>
      <w:pPr>
        <w:pStyle w:val="Subsection"/>
      </w:pPr>
      <w:r>
        <w:tab/>
      </w:r>
      <w:r>
        <w:tab/>
        <w:t>In regulation 68:</w:t>
      </w:r>
    </w:p>
    <w:p>
      <w:pPr>
        <w:pStyle w:val="Indenta"/>
      </w:pPr>
      <w:r>
        <w:tab/>
        <w:t>(a)</w:t>
      </w:r>
      <w:r>
        <w:tab/>
        <w:t xml:space="preserve">in paragraph (b) delete “nurse.” and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>nurse;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 xml:space="preserve">after paragraph (b) insert: 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>VPB</w:t>
      </w:r>
      <w:r>
        <w:noBreakHyphen/>
        <w:t>authorised person.</w:t>
      </w:r>
    </w:p>
    <w:p>
      <w:pPr>
        <w:pStyle w:val="BlankClose"/>
      </w:pPr>
    </w:p>
    <w:p>
      <w:pPr>
        <w:pStyle w:val="Heading5"/>
      </w:pPr>
      <w:bookmarkStart w:id="15" w:name="_Toc216354236"/>
      <w:bookmarkStart w:id="16" w:name="_Toc216782924"/>
      <w:r>
        <w:rPr>
          <w:rStyle w:val="CharSectno"/>
        </w:rPr>
        <w:lastRenderedPageBreak/>
        <w:t>7</w:t>
      </w:r>
      <w:r>
        <w:t>.</w:t>
      </w:r>
      <w:r>
        <w:tab/>
        <w:t>Regulation 70A inserted</w:t>
      </w:r>
      <w:bookmarkEnd w:id="15"/>
      <w:bookmarkEnd w:id="16"/>
    </w:p>
    <w:p>
      <w:pPr>
        <w:pStyle w:val="Subsection"/>
        <w:keepNext/>
      </w:pPr>
      <w:r>
        <w:tab/>
      </w:r>
      <w:r>
        <w:tab/>
        <w:t>At the end of Part 7 Division 12 insert:</w:t>
      </w:r>
    </w:p>
    <w:p>
      <w:pPr>
        <w:pStyle w:val="BlankOpen"/>
      </w:pPr>
    </w:p>
    <w:p>
      <w:pPr>
        <w:pStyle w:val="zHeading5"/>
      </w:pPr>
      <w:bookmarkStart w:id="17" w:name="_Toc216354237"/>
      <w:bookmarkStart w:id="18" w:name="_Toc216782925"/>
      <w:r>
        <w:t>70A.</w:t>
      </w:r>
      <w:r>
        <w:tab/>
        <w:t>Authorisation of VPB</w:t>
      </w:r>
      <w:r>
        <w:noBreakHyphen/>
        <w:t>authorised persons</w:t>
      </w:r>
      <w:bookmarkEnd w:id="17"/>
      <w:bookmarkEnd w:id="18"/>
    </w:p>
    <w:p>
      <w:pPr>
        <w:pStyle w:val="zSubsection"/>
      </w:pPr>
      <w:r>
        <w:tab/>
        <w:t>(1)</w:t>
      </w:r>
      <w:r>
        <w:tab/>
        <w:t>For the purposes of section 25(1)(b), a medicine that is a Schedule 4 poison is a medicine that a VPB</w:t>
      </w:r>
      <w:r>
        <w:noBreakHyphen/>
        <w:t xml:space="preserve">authorised person, acting in the lawful practice of their profession, may — </w:t>
      </w:r>
    </w:p>
    <w:p>
      <w:pPr>
        <w:pStyle w:val="zIndenta"/>
      </w:pPr>
      <w:r>
        <w:tab/>
        <w:t>(a)</w:t>
      </w:r>
      <w:r>
        <w:tab/>
        <w:t>administer; or</w:t>
      </w:r>
    </w:p>
    <w:p>
      <w:pPr>
        <w:pStyle w:val="zIndenta"/>
      </w:pPr>
      <w:r>
        <w:tab/>
        <w:t>(b)</w:t>
      </w:r>
      <w:r>
        <w:tab/>
        <w:t>possess.</w:t>
      </w:r>
    </w:p>
    <w:p>
      <w:pPr>
        <w:pStyle w:val="zSubsection"/>
      </w:pPr>
      <w:r>
        <w:tab/>
        <w:t>(2)</w:t>
      </w:r>
      <w:r>
        <w:tab/>
        <w:t>The possession by a VPB</w:t>
      </w:r>
      <w:r>
        <w:noBreakHyphen/>
        <w:t>authorised person of a medicine that is a Schedule 4 poison is subject to the condition that the possession is for the purpose of administering the medicine.</w:t>
      </w:r>
    </w:p>
    <w:p>
      <w:pPr>
        <w:pStyle w:val="zSubsection"/>
      </w:pPr>
      <w:r>
        <w:tab/>
        <w:t>(3)</w:t>
      </w:r>
      <w:r>
        <w:tab/>
        <w:t>The possession by a VPB</w:t>
      </w:r>
      <w:r>
        <w:noBreakHyphen/>
        <w:t>authorised person of a medicine that is a Schedule 4 poison is subject to the condition that the medicine was supplied by a veterinarian.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Medicines and Poisons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Medicines and Poisons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Medicines and Poisons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Medicines and Poisons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Current&gt;5&lt;/Current&gt;&lt;Maximum&gt;4&lt;/Maximum&gt;&lt;/AllLaws&gt;"/>
    <w:docVar w:name="WAFER" w:val="2025121114030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1240932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24093210_GUID" w:val="b0c806c4-7e5d-47cf-88b7-d4cd4dfcc63b"/>
    <w:docVar w:name="WAFER_202511241144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24114431_GUID" w:val="72c4faeb-3b45-4366-9352-481f355a228e"/>
    <w:docVar w:name="WAFER_202512111403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1140304_GUID" w:val="6667ad67-d429-4e0e-a2b4-320f32a154b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5:docId w15:val="{EE8A4A4D-05CD-4147-8D5B-F3D88D64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2665</Characters>
  <Application>Microsoft Office Word</Application>
  <DocSecurity>0</DocSecurity>
  <Lines>121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Medicines and Poisons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2025-12-16T06:32:00Z</dcterms:created>
  <dcterms:modified xsi:type="dcterms:W3CDTF">2025-12-16T06:32:00Z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55460</vt:lpwstr>
  </property>
  <property fmtid="{D5CDD505-2E9C-101B-9397-08002B2CF9AE}" pid="3" name="DocumentType">
    <vt:lpwstr>Reg</vt:lpwstr>
  </property>
  <property fmtid="{D5CDD505-2E9C-101B-9397-08002B2CF9AE}" pid="4" name="AsAtDate">
    <vt:lpwstr>17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2025/212</vt:lpwstr>
  </property>
  <property fmtid="{D5CDD505-2E9C-101B-9397-08002B2CF9AE}" pid="8" name="PublishDate">
    <vt:lpwstr>17 Dec 2025</vt:lpwstr>
  </property>
  <property fmtid="{D5CDD505-2E9C-101B-9397-08002B2CF9AE}" pid="9" name="CommencementDate">
    <vt:lpwstr>20251217</vt:lpwstr>
  </property>
  <property fmtid="{D5CDD505-2E9C-101B-9397-08002B2CF9AE}" pid="10" name="CommencementAsAt">
    <vt:filetime>2025-12-16T16:00:00Z</vt:filetime>
  </property>
  <property fmtid="{D5CDD505-2E9C-101B-9397-08002B2CF9AE}" pid="11" name="CommencementYear">
    <vt:lpwstr>2025</vt:lpwstr>
  </property>
</Properties>
</file>