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Veterinary Practice Act 2021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Veterinary Practice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Veterinary Practice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_Toc216784648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_Toc216784649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_Toc216784650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_Toc216784651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14 amended</w:t>
      </w:r>
      <w:r>
        <w:tab/>
      </w:r>
      <w:r>
        <w:fldChar w:fldCharType="begin"/>
      </w:r>
      <w:r>
        <w:instrText xml:space="preserve"> PAGEREF _Toc216784652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6 amended</w:t>
      </w:r>
      <w:r>
        <w:tab/>
      </w:r>
      <w:r>
        <w:fldChar w:fldCharType="begin"/>
      </w:r>
      <w:r>
        <w:instrText xml:space="preserve"> PAGEREF _Toc216784653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Veterinary Practice Act 2021</w:t>
      </w:r>
    </w:p>
    <w:p>
      <w:pPr>
        <w:pStyle w:val="NameofActReg"/>
      </w:pPr>
      <w:r>
        <w:t>Veterinary Practice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6354334"/>
      <w:bookmarkStart w:id="3" w:name="_Toc21678464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Veterinary Practice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216354335"/>
      <w:bookmarkStart w:id="6" w:name="_Toc21678464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16354336"/>
      <w:bookmarkStart w:id="8" w:name="_Toc21678465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Veterinary Practice Regulations 2022</w:t>
      </w:r>
      <w:r>
        <w:t>.</w:t>
      </w:r>
    </w:p>
    <w:p>
      <w:pPr>
        <w:pStyle w:val="Heading5"/>
      </w:pPr>
      <w:bookmarkStart w:id="9" w:name="_Toc216354337"/>
      <w:bookmarkStart w:id="10" w:name="_Toc216784651"/>
      <w:r>
        <w:rPr>
          <w:rStyle w:val="CharSectno"/>
        </w:rPr>
        <w:t>4</w:t>
      </w:r>
      <w:r>
        <w:t>.</w:t>
      </w:r>
      <w:r>
        <w:tab/>
        <w:t>Regulation 11 amended</w:t>
      </w:r>
      <w:bookmarkEnd w:id="9"/>
      <w:bookmarkEnd w:id="10"/>
    </w:p>
    <w:p>
      <w:pPr>
        <w:pStyle w:val="Subsection"/>
      </w:pPr>
      <w:r>
        <w:tab/>
      </w:r>
      <w:r>
        <w:tab/>
        <w:t>Delete regulation 11(2)(ba).</w:t>
      </w:r>
    </w:p>
    <w:p>
      <w:pPr>
        <w:pStyle w:val="Heading5"/>
      </w:pPr>
      <w:bookmarkStart w:id="11" w:name="_Toc216354338"/>
      <w:bookmarkStart w:id="12" w:name="_Toc216784652"/>
      <w:r>
        <w:rPr>
          <w:rStyle w:val="CharSectno"/>
        </w:rPr>
        <w:t>5</w:t>
      </w:r>
      <w:r>
        <w:t>.</w:t>
      </w:r>
      <w:r>
        <w:tab/>
        <w:t>Regulation 14 amended</w:t>
      </w:r>
      <w:bookmarkEnd w:id="11"/>
      <w:bookmarkEnd w:id="12"/>
    </w:p>
    <w:p>
      <w:pPr>
        <w:pStyle w:val="Subsection"/>
      </w:pPr>
      <w:r>
        <w:tab/>
      </w:r>
      <w:r>
        <w:tab/>
        <w:t>Delete regulation 14(3).</w:t>
      </w:r>
    </w:p>
    <w:p>
      <w:pPr>
        <w:pStyle w:val="Heading5"/>
      </w:pPr>
      <w:bookmarkStart w:id="13" w:name="_Toc216354339"/>
      <w:bookmarkStart w:id="14" w:name="_Toc216784653"/>
      <w:r>
        <w:rPr>
          <w:rStyle w:val="CharSectno"/>
        </w:rPr>
        <w:lastRenderedPageBreak/>
        <w:t>6</w:t>
      </w:r>
      <w:r>
        <w:t>.</w:t>
      </w:r>
      <w:r>
        <w:tab/>
        <w:t>Schedule 6 amended</w:t>
      </w:r>
      <w:bookmarkEnd w:id="13"/>
      <w:bookmarkEnd w:id="14"/>
    </w:p>
    <w:p>
      <w:pPr>
        <w:pStyle w:val="Subsection"/>
        <w:keepNext/>
      </w:pPr>
      <w:r>
        <w:tab/>
      </w:r>
      <w:r>
        <w:tab/>
        <w:t>After Schedule 6 item 11 insert:</w:t>
      </w:r>
    </w:p>
    <w:p>
      <w:pPr>
        <w:pStyle w:val="BlankOpen"/>
      </w:pPr>
    </w:p>
    <w:tbl>
      <w:tblPr>
        <w:tblW w:w="6803" w:type="dxa"/>
        <w:tblInd w:w="27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7"/>
        <w:gridCol w:w="6066"/>
      </w:tblGrid>
      <w:t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Administering any of the following Schedule 4 poisons to an animal by injection, and possessing those poisons for the purposes of that administration — </w:t>
            </w:r>
          </w:p>
          <w:p>
            <w:pPr>
              <w:pStyle w:val="zyTableNAm"/>
            </w:pPr>
            <w:r>
              <w:tab/>
              <w:t>(a)</w:t>
            </w:r>
            <w:r>
              <w:tab/>
              <w:t>non</w:t>
            </w:r>
            <w:r>
              <w:noBreakHyphen/>
              <w:t>steroidal anti</w:t>
            </w:r>
            <w:r>
              <w:noBreakHyphen/>
              <w:t>inflammatory drugs;</w:t>
            </w:r>
          </w:p>
          <w:p>
            <w:pPr>
              <w:pStyle w:val="zyTableNAm"/>
            </w:pPr>
            <w:r>
              <w:tab/>
              <w:t>(b)</w:t>
            </w:r>
            <w:r>
              <w:tab/>
              <w:t>local anaesthetics;</w:t>
            </w:r>
          </w:p>
          <w:p>
            <w:pPr>
              <w:pStyle w:val="zyTableNAm"/>
            </w:pPr>
            <w:r>
              <w:tab/>
              <w:t>(c)</w:t>
            </w:r>
            <w:r>
              <w:tab/>
              <w:t>sedatives;</w:t>
            </w:r>
          </w:p>
          <w:p>
            <w:pPr>
              <w:pStyle w:val="zyTableNAm"/>
            </w:pPr>
            <w:r>
              <w:tab/>
              <w:t>(d)</w:t>
            </w:r>
            <w:r>
              <w:tab/>
              <w:t>tranquillisers;</w:t>
            </w:r>
          </w:p>
          <w:p>
            <w:pPr>
              <w:pStyle w:val="zyTableNAm"/>
            </w:pPr>
            <w:r>
              <w:tab/>
              <w:t>(e)</w:t>
            </w:r>
            <w:r>
              <w:tab/>
              <w:t>euthanasia agents;</w:t>
            </w:r>
          </w:p>
          <w:p>
            <w:pPr>
              <w:pStyle w:val="zyTableNAm"/>
            </w:pPr>
            <w:r>
              <w:tab/>
              <w:t>(f)</w:t>
            </w:r>
            <w:r>
              <w:tab/>
              <w:t>muscle relaxants;</w:t>
            </w:r>
          </w:p>
          <w:p>
            <w:pPr>
              <w:pStyle w:val="zyTableNAm"/>
              <w:tabs>
                <w:tab w:val="left" w:pos="1139"/>
              </w:tabs>
              <w:ind w:left="567" w:hanging="567"/>
            </w:pPr>
            <w:r>
              <w:tab/>
              <w:t>(g)</w:t>
            </w:r>
            <w:r>
              <w:tab/>
              <w:t xml:space="preserve">reversal agents, in conjunction with sedatives or </w:t>
            </w:r>
            <w:r>
              <w:tab/>
              <w:t>tranquillisers.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posOffset>7391400</wp:posOffset>
                </wp:positionV>
                <wp:extent cx="127000" cy="695325"/>
                <wp:effectExtent l="0" t="0" r="1905" b="952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63E83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2pt;width:10pt;height:54.75pt;z-index:251660288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n7pPgIAAHgEAAAOAAAAZHJzL2Uyb0RvYy54bWysVMFu2zAMvQ/YPwi6L3bSpF2NOEWWIsOA&#10;oC2QDj0rshQLkEVNUmJnXz9Kdtqs22lYDgopUiQfH+n5XddochTOKzAlHY9ySoThUCmzL+n35/Wn&#10;z5T4wEzFNBhR0pPw9G7x8cO8tYWYQA26Eo5gEOOL1pa0DsEWWeZ5LRrmR2CFQaME17CAqttnlWMt&#10;Rm90Nsnz66wFV1kHXHiPt/e9kS5SfCkFD49SehGILinWFtLp0rmLZ7aYs2LvmK0VH8pg/1BFw5TB&#10;pK+h7llg5ODUH6EaxR14kGHEoclASsVFwoBoxvk7NNuaWZGwYHO8fW2T/39h+cPxyRFVIXeUGNYg&#10;RctDqMGpcIrNaa0v0Gdr0St0X6CLjsO9x8uIuZOuif+IhqAd23x6ba3oAuHx0eQmz9HC0XR9O7ua&#10;zGKU7O2xdT58FdCQKJTUIXOpoey48aF3PbvEXB60qtZK66S4/W6lHTkyZHmdfkP039y0IS1mv5rl&#10;KbKB+L4PrQ0WE7H2mKIUul03AN1BdUL8Dvrx8ZavFVa5YT48MYfzgsBwB8IjHlIDJoFBogRb+fNv&#10;99EfaUQrJS3OX0n9jwNzghL9zSDBt+PpNA5sUqazmwkq7tKyu7SYQ7MCBI8kYnVJjP5Bn0XpoHnB&#10;VVnGrGhihmPukoazuAr9VuCqcbFcJiccUcvCxmwtj6FjqyMHz90Lc3YgKiDDD3CeVFa846v3jS8N&#10;4GCBVInM2OC+q0PfcbzTOAyrGPfnUk9ebx+MxS8AAAD//wMAUEsDBBQABgAIAAAAIQCWs7l23QAA&#10;AAkBAAAPAAAAZHJzL2Rvd25yZXYueG1sTE9NT8JAEL2b8B82Q+JNtoAgqd0SQuKJcLAoely6Y9vQ&#10;nS27W6j/3vGkt5n3Xt5Hth5sK67oQ+NIwXSSgEAqnWmoUvB2eHlYgQhRk9GtI1TwjQHW+egu06lx&#10;N3rFaxErwSYUUq2gjrFLpQxljVaHieuQmPty3urIr6+k8frG5raVsyRZSqsb4oRad7itsTwXvVXw&#10;uW8W++Nu87Eqkr54vwy78/zolbofD5tnEBGH+CeG3/pcHXLudHI9mSBaBTwkMjpdPvLFPKeBODEy&#10;e5ovQOaZ/L8g/wEAAP//AwBQSwECLQAUAAYACAAAACEAtoM4kv4AAADhAQAAEwAAAAAAAAAAAAAA&#10;AAAAAAAAW0NvbnRlbnRfVHlwZXNdLnhtbFBLAQItABQABgAIAAAAIQA4/SH/1gAAAJQBAAALAAAA&#10;AAAAAAAAAAAAAC8BAABfcmVscy8ucmVsc1BLAQItABQABgAIAAAAIQA4cn7pPgIAAHgEAAAOAAAA&#10;AAAAAAAAAAAAAC4CAABkcnMvZTJvRG9jLnhtbFBLAQItABQABgAIAAAAIQCWs7l23QAAAAkBAAAP&#10;AAAAAAAAAAAAAAAAAJgEAABkcnMvZG93bnJldi54bWxQSwUGAAAAAAQABADzAAAAogUAAAAA&#10;" stroked="f" strokeweight=".5pt">
                <v:textbox>
                  <w:txbxContent>
                    <w:p w14:paraId="1C44525D" w14:textId="3B3064A1" w:rsidR="00B73F46" w:rsidRDefault="00B73F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9732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18779B" w14:textId="77777777" w:rsidR="00B73F46" w:rsidRDefault="00B73F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B1232A" w14:textId="1494C188" w:rsidR="00B73F46" w:rsidRDefault="00B73F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9732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B9EE264" w14:textId="7FD56F7E" w:rsidR="00B73F46" w:rsidRDefault="00B73F4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2111404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1201358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120135851_GUID" w:val="d36ff43b-ebac-4d71-bdc2-69fac4f6a887"/>
    <w:docVar w:name="WAFER_202511281440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28144046_GUID" w:val="9ddcebfe-eb92-404d-8c56-44112b05249d"/>
    <w:docVar w:name="WAFER_20251211140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1140442_GUID" w:val="d49a5a2c-cd57-4df2-9e3c-fcd4b0cad3c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D86005C2-C370-46E4-8C95-58F3DC58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1769</Characters>
  <Application>Microsoft Office Word</Application>
  <DocSecurity>0</DocSecurity>
  <Lines>84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Practice Amendment Regulations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2025-12-16T06:33:00Z</dcterms:created>
  <dcterms:modified xsi:type="dcterms:W3CDTF">2025-12-16T06:33:00Z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55632</vt:lpwstr>
  </property>
  <property fmtid="{D5CDD505-2E9C-101B-9397-08002B2CF9AE}" pid="3" name="DocumentType">
    <vt:lpwstr>Reg</vt:lpwstr>
  </property>
  <property fmtid="{D5CDD505-2E9C-101B-9397-08002B2CF9AE}" pid="4" name="AsAtDate">
    <vt:lpwstr>17 Dec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2025/205</vt:lpwstr>
  </property>
  <property fmtid="{D5CDD505-2E9C-101B-9397-08002B2CF9AE}" pid="8" name="PublishDate">
    <vt:lpwstr>17 Dec 2025</vt:lpwstr>
  </property>
  <property fmtid="{D5CDD505-2E9C-101B-9397-08002B2CF9AE}" pid="9" name="CommencementDate">
    <vt:lpwstr>20251217</vt:lpwstr>
  </property>
  <property fmtid="{D5CDD505-2E9C-101B-9397-08002B2CF9AE}" pid="10" name="CommencementAsAt">
    <vt:filetime>2025-12-16T16:00:00Z</vt:filetime>
  </property>
  <property fmtid="{D5CDD505-2E9C-101B-9397-08002B2CF9AE}" pid="11" name="CommencementYear">
    <vt:lpwstr>2025</vt:lpwstr>
  </property>
</Properties>
</file>