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_Toc216427034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_Toc216427035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_Toc216427037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_Toc216427038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_Toc216427039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_Toc216427040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_Toc216427041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_Toc216427042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_Toc216427043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_Toc216427044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_Toc216427045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_Toc216427046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_Toc216427047 \h </w:instrText>
      </w:r>
      <w:r>
        <w:fldChar w:fldCharType="separate"/>
      </w:r>
      <w:r>
        <w:t>5</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_Toc216427048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_Toc216427050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_Toc216427051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_Toc216427052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_Toc216427053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Hazard management agency — FES Commissioner</w:t>
      </w:r>
      <w:r>
        <w:tab/>
      </w:r>
      <w:r>
        <w:fldChar w:fldCharType="begin"/>
      </w:r>
      <w:r>
        <w:instrText xml:space="preserve"> PAGEREF _Toc216427054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_Toc216427055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_Toc216427056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_Toc216427057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_Toc216427058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_Toc216427059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_Toc216427060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_Toc216427062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w:t>
      </w:r>
      <w:r>
        <w:tab/>
      </w:r>
      <w:r>
        <w:fldChar w:fldCharType="begin"/>
      </w:r>
      <w:r>
        <w:instrText xml:space="preserve"> PAGEREF _Toc216427063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w:t>
      </w:r>
      <w:r>
        <w:tab/>
      </w:r>
      <w:r>
        <w:fldChar w:fldCharType="begin"/>
      </w:r>
      <w:r>
        <w:instrText xml:space="preserve"> PAGEREF _Toc216427064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_Toc216427066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_Toc216427067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_Toc216427068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_Toc216427069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_Toc216427070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_Toc216427071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_Toc216427072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_Toc216427073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_Toc216427075 \h </w:instrText>
      </w:r>
      <w:r>
        <w:fldChar w:fldCharType="separate"/>
      </w:r>
      <w:r>
        <w:t>20</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_Toc216427076 \h </w:instrText>
      </w:r>
      <w:r>
        <w:fldChar w:fldCharType="separate"/>
      </w:r>
      <w:r>
        <w:t>20</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_Toc216427077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_Toc216427080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_Toc216427081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2" w:name="_Toc216360151"/>
      <w:bookmarkStart w:id="3" w:name="_Toc216360604"/>
      <w:bookmarkStart w:id="4" w:name="_Toc216427033"/>
      <w:r>
        <w:rPr>
          <w:rStyle w:val="CharPartNo"/>
        </w:rPr>
        <w:t>Part 1</w:t>
      </w:r>
      <w:r>
        <w:t> — </w:t>
      </w:r>
      <w:r>
        <w:rPr>
          <w:rStyle w:val="CharPartText"/>
        </w:rPr>
        <w:t>Preliminary</w:t>
      </w:r>
      <w:bookmarkEnd w:id="2"/>
      <w:bookmarkEnd w:id="3"/>
      <w:bookmarkEnd w:id="4"/>
    </w:p>
    <w:p>
      <w:pPr>
        <w:pStyle w:val="Footnoteheading"/>
      </w:pPr>
      <w:r>
        <w:tab/>
        <w:t>[Heading inserted: Gazette 12 Jan 2007 p. 50.]</w:t>
      </w:r>
    </w:p>
    <w:p>
      <w:pPr>
        <w:pStyle w:val="Heading5"/>
      </w:pPr>
      <w:bookmarkStart w:id="5" w:name="_Toc216427034"/>
      <w:r>
        <w:rPr>
          <w:rStyle w:val="CharSectno"/>
        </w:rPr>
        <w:t>1</w:t>
      </w:r>
      <w:r>
        <w:t>.</w:t>
      </w:r>
      <w:r>
        <w:tab/>
        <w:t>Citation</w:t>
      </w:r>
      <w:bookmarkEnd w:id="5"/>
    </w:p>
    <w:p>
      <w:pPr>
        <w:pStyle w:val="Subsection"/>
        <w:ind w:right="282"/>
      </w:pPr>
      <w:r>
        <w:tab/>
      </w:r>
      <w:r>
        <w:tab/>
      </w:r>
      <w:bookmarkStart w:id="6" w:name="Start_Cursor"/>
      <w:bookmarkEnd w:id="6"/>
      <w:r>
        <w:t xml:space="preserve">These regulations are the </w:t>
      </w:r>
      <w:r>
        <w:rPr>
          <w:i/>
        </w:rPr>
        <w:t>Emergency Management Regulations 2006</w:t>
      </w:r>
      <w:r>
        <w:t>.</w:t>
      </w:r>
    </w:p>
    <w:p>
      <w:pPr>
        <w:pStyle w:val="Heading5"/>
      </w:pPr>
      <w:bookmarkStart w:id="7" w:name="_Toc216427035"/>
      <w:r>
        <w:rPr>
          <w:rStyle w:val="CharSectno"/>
        </w:rPr>
        <w:t>1A</w:t>
      </w:r>
      <w:r>
        <w:t>.</w:t>
      </w:r>
      <w:r>
        <w:tab/>
        <w:t>Terms used</w:t>
      </w:r>
      <w:bookmarkEnd w:id="7"/>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8" w:name="_Toc216360154"/>
      <w:bookmarkStart w:id="9" w:name="_Toc216360607"/>
      <w:bookmarkStart w:id="10" w:name="_Toc216427036"/>
      <w:r>
        <w:rPr>
          <w:rStyle w:val="CharPartNo"/>
        </w:rPr>
        <w:lastRenderedPageBreak/>
        <w:t>Part 2</w:t>
      </w:r>
      <w:r>
        <w:t> — </w:t>
      </w:r>
      <w:r>
        <w:rPr>
          <w:rStyle w:val="CharPartText"/>
        </w:rPr>
        <w:t>The State Emergency Management Committee</w:t>
      </w:r>
      <w:bookmarkEnd w:id="8"/>
      <w:bookmarkEnd w:id="9"/>
      <w:bookmarkEnd w:id="10"/>
    </w:p>
    <w:p>
      <w:pPr>
        <w:pStyle w:val="Footnoteheading"/>
      </w:pPr>
      <w:r>
        <w:tab/>
        <w:t>[Heading inserted: Gazette 12 Jan 2007 p. 50.]</w:t>
      </w:r>
    </w:p>
    <w:p>
      <w:pPr>
        <w:pStyle w:val="Heading5"/>
      </w:pPr>
      <w:bookmarkStart w:id="11" w:name="_Toc216427037"/>
      <w:r>
        <w:rPr>
          <w:rStyle w:val="CharSectno"/>
        </w:rPr>
        <w:t>2</w:t>
      </w:r>
      <w:r>
        <w:t>.</w:t>
      </w:r>
      <w:r>
        <w:tab/>
        <w:t>Appointment by Minister of members of SEMC (Act s. 13(2))</w:t>
      </w:r>
      <w:bookmarkEnd w:id="11"/>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2" w:name="_Toc216427038"/>
      <w:r>
        <w:rPr>
          <w:rStyle w:val="CharSectno"/>
        </w:rPr>
        <w:t>3</w:t>
      </w:r>
      <w:r>
        <w:t>.</w:t>
      </w:r>
      <w:r>
        <w:tab/>
        <w:t>Term of office</w:t>
      </w:r>
      <w:bookmarkEnd w:id="12"/>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3" w:name="_Toc216427039"/>
      <w:r>
        <w:rPr>
          <w:rStyle w:val="CharSectno"/>
        </w:rPr>
        <w:t>4</w:t>
      </w:r>
      <w:r>
        <w:t>.</w:t>
      </w:r>
      <w:r>
        <w:tab/>
        <w:t>Vacancies</w:t>
      </w:r>
      <w:bookmarkEnd w:id="13"/>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4" w:name="_Toc216427040"/>
      <w:r>
        <w:rPr>
          <w:rStyle w:val="CharSectno"/>
        </w:rPr>
        <w:t>5</w:t>
      </w:r>
      <w:r>
        <w:t>.</w:t>
      </w:r>
      <w:r>
        <w:tab/>
        <w:t>Leave of absence</w:t>
      </w:r>
      <w:bookmarkEnd w:id="14"/>
    </w:p>
    <w:p>
      <w:pPr>
        <w:pStyle w:val="Subsection"/>
      </w:pPr>
      <w:r>
        <w:tab/>
      </w:r>
      <w:r>
        <w:tab/>
        <w:t>The SEMC may grant leave of absence to a member on any terms and conditions it thinks fit.</w:t>
      </w:r>
    </w:p>
    <w:p>
      <w:pPr>
        <w:pStyle w:val="Heading5"/>
      </w:pPr>
      <w:bookmarkStart w:id="15" w:name="_Toc216427041"/>
      <w:r>
        <w:rPr>
          <w:rStyle w:val="CharSectno"/>
        </w:rPr>
        <w:t>6</w:t>
      </w:r>
      <w:r>
        <w:t>.</w:t>
      </w:r>
      <w:r>
        <w:tab/>
        <w:t>Chairman unable to act</w:t>
      </w:r>
      <w:bookmarkEnd w:id="15"/>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6" w:name="_Toc216427042"/>
      <w:r>
        <w:rPr>
          <w:rStyle w:val="CharSectno"/>
        </w:rPr>
        <w:t>7</w:t>
      </w:r>
      <w:r>
        <w:t>.</w:t>
      </w:r>
      <w:r>
        <w:tab/>
        <w:t>Deputy members</w:t>
      </w:r>
      <w:bookmarkEnd w:id="16"/>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lastRenderedPageBreak/>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7" w:name="_Toc216427043"/>
      <w:r>
        <w:rPr>
          <w:rStyle w:val="CharSectno"/>
        </w:rPr>
        <w:t>8</w:t>
      </w:r>
      <w:r>
        <w:t>.</w:t>
      </w:r>
      <w:r>
        <w:tab/>
        <w:t>Saving for acts etc. of deputies</w:t>
      </w:r>
      <w:bookmarkEnd w:id="17"/>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18" w:name="_Toc216427044"/>
      <w:r>
        <w:rPr>
          <w:rStyle w:val="CharSectno"/>
        </w:rPr>
        <w:t>9</w:t>
      </w:r>
      <w:r>
        <w:t>.</w:t>
      </w:r>
      <w:r>
        <w:tab/>
        <w:t>Calling meetings</w:t>
      </w:r>
      <w:bookmarkEnd w:id="18"/>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19" w:name="_Toc216427045"/>
      <w:r>
        <w:rPr>
          <w:rStyle w:val="CharSectno"/>
        </w:rPr>
        <w:t>10</w:t>
      </w:r>
      <w:r>
        <w:t>.</w:t>
      </w:r>
      <w:r>
        <w:tab/>
        <w:t>Quorum</w:t>
      </w:r>
      <w:bookmarkEnd w:id="19"/>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0" w:name="_Toc216427046"/>
      <w:r>
        <w:rPr>
          <w:rStyle w:val="CharSectno"/>
        </w:rPr>
        <w:t>11</w:t>
      </w:r>
      <w:r>
        <w:t>.</w:t>
      </w:r>
      <w:r>
        <w:tab/>
        <w:t>Minutes</w:t>
      </w:r>
      <w:bookmarkEnd w:id="20"/>
    </w:p>
    <w:p>
      <w:pPr>
        <w:pStyle w:val="Subsection"/>
      </w:pPr>
      <w:r>
        <w:tab/>
      </w:r>
      <w:r>
        <w:tab/>
        <w:t>The SEMC must cause accurate minutes to be kept of the proceedings at its meetings and of each resolution passed by the SEMC.</w:t>
      </w:r>
    </w:p>
    <w:p>
      <w:pPr>
        <w:pStyle w:val="Heading5"/>
      </w:pPr>
      <w:bookmarkStart w:id="21" w:name="_Toc216427047"/>
      <w:r>
        <w:rPr>
          <w:rStyle w:val="CharSectno"/>
        </w:rPr>
        <w:lastRenderedPageBreak/>
        <w:t>12</w:t>
      </w:r>
      <w:r>
        <w:t>.</w:t>
      </w:r>
      <w:r>
        <w:tab/>
        <w:t>Holding meetings by telephone etc.</w:t>
      </w:r>
      <w:bookmarkEnd w:id="21"/>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2" w:name="_Toc216427048"/>
      <w:r>
        <w:rPr>
          <w:rStyle w:val="CharSectno"/>
        </w:rPr>
        <w:t>13</w:t>
      </w:r>
      <w:r>
        <w:t>.</w:t>
      </w:r>
      <w:r>
        <w:tab/>
        <w:t>Resolution without meeting</w:t>
      </w:r>
      <w:bookmarkEnd w:id="22"/>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3" w:name="_Toc216360167"/>
      <w:bookmarkStart w:id="24" w:name="_Toc216360620"/>
      <w:bookmarkStart w:id="25" w:name="_Toc216427049"/>
      <w:r>
        <w:rPr>
          <w:rStyle w:val="CharPartNo"/>
        </w:rPr>
        <w:lastRenderedPageBreak/>
        <w:t>Part 3</w:t>
      </w:r>
      <w:r>
        <w:t> — </w:t>
      </w:r>
      <w:r>
        <w:rPr>
          <w:rStyle w:val="CharPartText"/>
        </w:rPr>
        <w:t>Hazard management</w:t>
      </w:r>
      <w:bookmarkEnd w:id="23"/>
      <w:bookmarkEnd w:id="24"/>
      <w:bookmarkEnd w:id="25"/>
    </w:p>
    <w:p>
      <w:pPr>
        <w:pStyle w:val="Footnoteheading"/>
      </w:pPr>
      <w:r>
        <w:tab/>
        <w:t>[Heading inserted: Gazette 12 Jan 2007 p. 50.]</w:t>
      </w:r>
    </w:p>
    <w:p>
      <w:pPr>
        <w:pStyle w:val="Heading5"/>
      </w:pPr>
      <w:bookmarkStart w:id="26" w:name="_Toc216427050"/>
      <w:r>
        <w:rPr>
          <w:rStyle w:val="CharSectno"/>
        </w:rPr>
        <w:t>14</w:t>
      </w:r>
      <w:r>
        <w:t>.</w:t>
      </w:r>
      <w:r>
        <w:tab/>
        <w:t>Terms used</w:t>
      </w:r>
      <w:bookmarkEnd w:id="26"/>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 SL 2024/294 r. 4.]</w:t>
      </w:r>
    </w:p>
    <w:p>
      <w:pPr>
        <w:pStyle w:val="Heading5"/>
      </w:pPr>
      <w:bookmarkStart w:id="27" w:name="_Toc216427051"/>
      <w:r>
        <w:rPr>
          <w:rStyle w:val="CharSectno"/>
        </w:rPr>
        <w:lastRenderedPageBreak/>
        <w:t>14A</w:t>
      </w:r>
      <w:r>
        <w:t>.</w:t>
      </w:r>
      <w:r>
        <w:tab/>
        <w:t>Hostile acts</w:t>
      </w:r>
      <w:bookmarkEnd w:id="27"/>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lastRenderedPageBreak/>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28" w:name="_Toc216427052"/>
      <w:r>
        <w:rPr>
          <w:rStyle w:val="CharSectno"/>
        </w:rPr>
        <w:lastRenderedPageBreak/>
        <w:t>15</w:t>
      </w:r>
      <w:r>
        <w:t>.</w:t>
      </w:r>
      <w:r>
        <w:tab/>
        <w:t>Events, situations and conditions prescribed as hazards</w:t>
      </w:r>
      <w:bookmarkEnd w:id="28"/>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lastRenderedPageBreak/>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29" w:name="_Toc216427053"/>
      <w:r>
        <w:rPr>
          <w:rStyle w:val="CharSectno"/>
        </w:rPr>
        <w:t>16</w:t>
      </w:r>
      <w:r>
        <w:t>.</w:t>
      </w:r>
      <w:r>
        <w:tab/>
        <w:t>Hazard management agency — Commissioner of Police</w:t>
      </w:r>
      <w:bookmarkEnd w:id="29"/>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lastRenderedPageBreak/>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30" w:name="_Toc216427054"/>
      <w:r>
        <w:rPr>
          <w:rStyle w:val="CharSectno"/>
        </w:rPr>
        <w:t>17</w:t>
      </w:r>
      <w:r>
        <w:t>.</w:t>
      </w:r>
      <w:r>
        <w:tab/>
        <w:t>Hazard management agency — FES Commissioner</w:t>
      </w:r>
      <w:bookmarkEnd w:id="30"/>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lastRenderedPageBreak/>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31" w:name="_Toc216427055"/>
      <w:r>
        <w:rPr>
          <w:rStyle w:val="CharSectno"/>
        </w:rPr>
        <w:t>19</w:t>
      </w:r>
      <w:r>
        <w:t>.</w:t>
      </w:r>
      <w:r>
        <w:tab/>
        <w:t>Hazard management agency — Agriculture Director General</w:t>
      </w:r>
      <w:bookmarkEnd w:id="31"/>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32" w:name="_Toc216427056"/>
      <w:r>
        <w:rPr>
          <w:rStyle w:val="CharSectno"/>
        </w:rPr>
        <w:t>20</w:t>
      </w:r>
      <w:r>
        <w:t>.</w:t>
      </w:r>
      <w:r>
        <w:tab/>
        <w:t>Hazard management agency — Public Transport Authority</w:t>
      </w:r>
      <w:bookmarkEnd w:id="32"/>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lastRenderedPageBreak/>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33" w:name="_Toc216427057"/>
      <w:r>
        <w:rPr>
          <w:rStyle w:val="CharSectno"/>
        </w:rPr>
        <w:t>21</w:t>
      </w:r>
      <w:r>
        <w:t>.</w:t>
      </w:r>
      <w:r>
        <w:tab/>
        <w:t>Hazard management agency — ARC Infrastructure Pty Ltd</w:t>
      </w:r>
      <w:bookmarkEnd w:id="33"/>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34" w:name="_Toc216427058"/>
      <w:r>
        <w:rPr>
          <w:rStyle w:val="CharSectno"/>
        </w:rPr>
        <w:t>22</w:t>
      </w:r>
      <w:r>
        <w:t>.</w:t>
      </w:r>
      <w:r>
        <w:tab/>
        <w:t>Hazard management agency — chief executive officer of Health Department</w:t>
      </w:r>
      <w:bookmarkEnd w:id="34"/>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35" w:name="_Toc216427059"/>
      <w:r>
        <w:rPr>
          <w:rStyle w:val="CharSectno"/>
        </w:rPr>
        <w:lastRenderedPageBreak/>
        <w:t>23A</w:t>
      </w:r>
      <w:r>
        <w:t>.</w:t>
      </w:r>
      <w:r>
        <w:tab/>
        <w:t>Hazard management agency — chief executive officer of Transport Department</w:t>
      </w:r>
      <w:bookmarkEnd w:id="35"/>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36" w:name="_Toc216427060"/>
      <w:r>
        <w:rPr>
          <w:rStyle w:val="CharSectno"/>
        </w:rPr>
        <w:lastRenderedPageBreak/>
        <w:t>23B</w:t>
      </w:r>
      <w:r>
        <w:t>.</w:t>
      </w:r>
      <w:r>
        <w:tab/>
        <w:t>Hazard management agency — Coordinator of Energy</w:t>
      </w:r>
      <w:bookmarkEnd w:id="36"/>
    </w:p>
    <w:p>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37" w:name="_Toc216360179"/>
      <w:bookmarkStart w:id="38" w:name="_Toc216360632"/>
      <w:bookmarkStart w:id="39" w:name="_Toc216427061"/>
      <w:r>
        <w:rPr>
          <w:rStyle w:val="CharPartNo"/>
        </w:rPr>
        <w:lastRenderedPageBreak/>
        <w:t>Part 4</w:t>
      </w:r>
      <w:r>
        <w:t> — </w:t>
      </w:r>
      <w:r>
        <w:rPr>
          <w:rStyle w:val="CharPartText"/>
        </w:rPr>
        <w:t>Exchange of information</w:t>
      </w:r>
      <w:bookmarkEnd w:id="37"/>
      <w:bookmarkEnd w:id="38"/>
      <w:bookmarkEnd w:id="39"/>
    </w:p>
    <w:p>
      <w:pPr>
        <w:pStyle w:val="Footnoteheading"/>
      </w:pPr>
      <w:r>
        <w:tab/>
        <w:t>[Heading inserted: Gazette 19 Feb 2010 p. 661.]</w:t>
      </w:r>
    </w:p>
    <w:p>
      <w:pPr>
        <w:pStyle w:val="Heading5"/>
      </w:pPr>
      <w:bookmarkStart w:id="40" w:name="_Toc216427062"/>
      <w:r>
        <w:rPr>
          <w:rStyle w:val="CharSectno"/>
        </w:rPr>
        <w:t>23</w:t>
      </w:r>
      <w:r>
        <w:t>.</w:t>
      </w:r>
      <w:r>
        <w:tab/>
        <w:t>Prescribed relevant information (Act s. 72)</w:t>
      </w:r>
      <w:bookmarkEnd w:id="40"/>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 and 7.]</w:t>
      </w:r>
    </w:p>
    <w:p>
      <w:pPr>
        <w:pStyle w:val="Heading5"/>
      </w:pPr>
      <w:bookmarkStart w:id="41" w:name="_Toc216427063"/>
      <w:r>
        <w:rPr>
          <w:rStyle w:val="CharSectno"/>
        </w:rPr>
        <w:t>24</w:t>
      </w:r>
      <w:r>
        <w:t>.</w:t>
      </w:r>
      <w:r>
        <w:tab/>
        <w:t>Disclosure of relevant information (Act s. 72)</w:t>
      </w:r>
      <w:bookmarkEnd w:id="41"/>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 xml:space="preserve">A person or entity to which relevant information is disclosed under section 72(2)(a)(ii) of the Act must not further disclose </w:t>
      </w:r>
      <w:r>
        <w:lastRenderedPageBreak/>
        <w:t>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42" w:name="_Toc216427064"/>
      <w:r>
        <w:rPr>
          <w:rStyle w:val="CharSectno"/>
        </w:rPr>
        <w:t>25</w:t>
      </w:r>
      <w:r>
        <w:t>.</w:t>
      </w:r>
      <w:r>
        <w:tab/>
        <w:t>Storing disclosed relevant information (Act s. 72)</w:t>
      </w:r>
      <w:bookmarkEnd w:id="42"/>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43" w:name="_Toc216360183"/>
      <w:bookmarkStart w:id="44" w:name="_Toc216360636"/>
      <w:bookmarkStart w:id="45" w:name="_Toc216427065"/>
      <w:r>
        <w:rPr>
          <w:rStyle w:val="CharPartNo"/>
        </w:rPr>
        <w:lastRenderedPageBreak/>
        <w:t>Part 5</w:t>
      </w:r>
      <w:r>
        <w:t> — </w:t>
      </w:r>
      <w:r>
        <w:rPr>
          <w:rStyle w:val="CharPartText"/>
        </w:rPr>
        <w:t>Combat agencies and support organisations</w:t>
      </w:r>
      <w:bookmarkEnd w:id="43"/>
      <w:bookmarkEnd w:id="44"/>
      <w:bookmarkEnd w:id="45"/>
    </w:p>
    <w:p>
      <w:pPr>
        <w:pStyle w:val="Footnoteheading"/>
        <w:spacing w:before="100"/>
      </w:pPr>
      <w:r>
        <w:tab/>
        <w:t>[Heading inserted: Gazette 19 Jul 2011 p. 2985.]</w:t>
      </w:r>
    </w:p>
    <w:p>
      <w:pPr>
        <w:pStyle w:val="Heading5"/>
        <w:spacing w:before="200"/>
      </w:pPr>
      <w:bookmarkStart w:id="46" w:name="_Toc216427066"/>
      <w:r>
        <w:rPr>
          <w:rStyle w:val="CharSectno"/>
        </w:rPr>
        <w:t>26</w:t>
      </w:r>
      <w:r>
        <w:t>.</w:t>
      </w:r>
      <w:r>
        <w:tab/>
        <w:t>Combat agency — Health Department</w:t>
      </w:r>
      <w:bookmarkEnd w:id="46"/>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47" w:name="_Toc216427067"/>
      <w:r>
        <w:rPr>
          <w:rStyle w:val="CharSectno"/>
        </w:rPr>
        <w:t>27</w:t>
      </w:r>
      <w:r>
        <w:t>.</w:t>
      </w:r>
      <w:r>
        <w:tab/>
        <w:t>Combat agency — St John Ambulance Australia (Western Australia) Incorporated</w:t>
      </w:r>
      <w:bookmarkEnd w:id="47"/>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48" w:name="_Toc216427068"/>
      <w:r>
        <w:rPr>
          <w:rStyle w:val="CharSectno"/>
        </w:rPr>
        <w:t>28</w:t>
      </w:r>
      <w:r>
        <w:t>.</w:t>
      </w:r>
      <w:r>
        <w:tab/>
        <w:t>Combat agency — Police Force of Western Australia</w:t>
      </w:r>
      <w:bookmarkEnd w:id="48"/>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49" w:name="_Toc216427069"/>
      <w:r>
        <w:rPr>
          <w:rStyle w:val="CharSectno"/>
        </w:rPr>
        <w:t>29</w:t>
      </w:r>
      <w:r>
        <w:t>.</w:t>
      </w:r>
      <w:r>
        <w:tab/>
        <w:t>Combat agency — Police Service</w:t>
      </w:r>
      <w:bookmarkEnd w:id="49"/>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50" w:name="_Toc216427070"/>
      <w:r>
        <w:rPr>
          <w:rStyle w:val="CharSectno"/>
        </w:rPr>
        <w:t>30</w:t>
      </w:r>
      <w:r>
        <w:t>.</w:t>
      </w:r>
      <w:r>
        <w:tab/>
        <w:t>Combat agency — Environment Department</w:t>
      </w:r>
      <w:bookmarkEnd w:id="50"/>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51" w:name="_Toc216427071"/>
      <w:r>
        <w:rPr>
          <w:rStyle w:val="CharSectno"/>
        </w:rPr>
        <w:lastRenderedPageBreak/>
        <w:t>30A</w:t>
      </w:r>
      <w:r>
        <w:t>.</w:t>
      </w:r>
      <w:r>
        <w:tab/>
        <w:t>Combat agency — FES Department</w:t>
      </w:r>
      <w:bookmarkEnd w:id="51"/>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52" w:name="_Toc216427072"/>
      <w:r>
        <w:rPr>
          <w:rStyle w:val="CharSectno"/>
        </w:rPr>
        <w:t>31</w:t>
      </w:r>
      <w:r>
        <w:t>.</w:t>
      </w:r>
      <w:r>
        <w:tab/>
        <w:t>Combat agency — local government</w:t>
      </w:r>
      <w:bookmarkEnd w:id="52"/>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53" w:name="_Toc216427073"/>
      <w:r>
        <w:rPr>
          <w:rStyle w:val="CharSectno"/>
        </w:rPr>
        <w:t>32</w:t>
      </w:r>
      <w:r>
        <w:t>.</w:t>
      </w:r>
      <w:r>
        <w:tab/>
        <w:t>Support organisation — Communities Department</w:t>
      </w:r>
      <w:bookmarkEnd w:id="53"/>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54" w:name="_Toc216360192"/>
      <w:bookmarkStart w:id="55" w:name="_Toc216360645"/>
      <w:bookmarkStart w:id="56" w:name="_Toc216427074"/>
      <w:r>
        <w:rPr>
          <w:rStyle w:val="CharPartNo"/>
        </w:rPr>
        <w:lastRenderedPageBreak/>
        <w:t>Part 6</w:t>
      </w:r>
      <w:r>
        <w:rPr>
          <w:rStyle w:val="CharDivNo"/>
        </w:rPr>
        <w:t> </w:t>
      </w:r>
      <w:r>
        <w:t>—</w:t>
      </w:r>
      <w:r>
        <w:rPr>
          <w:rStyle w:val="CharDivText"/>
        </w:rPr>
        <w:t> </w:t>
      </w:r>
      <w:r>
        <w:rPr>
          <w:rStyle w:val="CharPartText"/>
        </w:rPr>
        <w:t>Infringement notices</w:t>
      </w:r>
      <w:bookmarkEnd w:id="54"/>
      <w:bookmarkEnd w:id="55"/>
      <w:bookmarkEnd w:id="56"/>
    </w:p>
    <w:p>
      <w:pPr>
        <w:pStyle w:val="Footnoteheading"/>
      </w:pPr>
      <w:r>
        <w:tab/>
        <w:t>[Heading inserted: SL 2020/31 r. 4.]</w:t>
      </w:r>
    </w:p>
    <w:p>
      <w:pPr>
        <w:pStyle w:val="Heading5"/>
      </w:pPr>
      <w:bookmarkStart w:id="57" w:name="_Toc216427075"/>
      <w:r>
        <w:rPr>
          <w:rStyle w:val="CharSectno"/>
        </w:rPr>
        <w:t>33</w:t>
      </w:r>
      <w:r>
        <w:t>.</w:t>
      </w:r>
      <w:r>
        <w:tab/>
        <w:t>Prescribed offence and modified penalty</w:t>
      </w:r>
      <w:bookmarkEnd w:id="57"/>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58" w:name="_Toc216427076"/>
      <w:r>
        <w:rPr>
          <w:rStyle w:val="CharSectno"/>
        </w:rPr>
        <w:t>34</w:t>
      </w:r>
      <w:r>
        <w:t>.</w:t>
      </w:r>
      <w:r>
        <w:tab/>
        <w:t>Approved officers and authorised officers</w:t>
      </w:r>
      <w:bookmarkEnd w:id="58"/>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59" w:name="_Toc216427077"/>
      <w:r>
        <w:rPr>
          <w:rStyle w:val="CharSectno"/>
        </w:rPr>
        <w:lastRenderedPageBreak/>
        <w:t>35</w:t>
      </w:r>
      <w:r>
        <w:t>.</w:t>
      </w:r>
      <w:r>
        <w:tab/>
        <w:t>Forms</w:t>
      </w:r>
      <w:bookmarkEnd w:id="59"/>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0" w:name="_Toc216360196"/>
      <w:bookmarkStart w:id="61" w:name="_Toc216360649"/>
      <w:bookmarkStart w:id="62" w:name="_Toc216427078"/>
      <w:r>
        <w:rPr>
          <w:rStyle w:val="CharSchNo"/>
        </w:rPr>
        <w:lastRenderedPageBreak/>
        <w:t>Schedule 1</w:t>
      </w:r>
      <w:r>
        <w:rPr>
          <w:rStyle w:val="CharSDivNo"/>
        </w:rPr>
        <w:t> </w:t>
      </w:r>
      <w:r>
        <w:t>—</w:t>
      </w:r>
      <w:r>
        <w:rPr>
          <w:rStyle w:val="CharSDivText"/>
        </w:rPr>
        <w:t> </w:t>
      </w:r>
      <w:r>
        <w:rPr>
          <w:rStyle w:val="CharSchText"/>
        </w:rPr>
        <w:t>Forms</w:t>
      </w:r>
      <w:bookmarkEnd w:id="60"/>
      <w:bookmarkEnd w:id="61"/>
      <w:bookmarkEnd w:id="62"/>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trHeight w:val="282"/>
        </w:trPr>
        <w:tc>
          <w:tcPr>
            <w:tcW w:w="7089" w:type="dxa"/>
            <w:gridSpan w:val="11"/>
            <w:tcBorders>
              <w:top w:val="nil"/>
              <w:left w:val="nil"/>
              <w:bottom w:val="nil"/>
              <w:right w:val="nil"/>
            </w:tcBorders>
          </w:tcPr>
          <w:p>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xml:space="preserve">. Under that Act, some or all of the following actions may be taken — your driver’s licence may be suspended, your vehicle licence may be suspended or </w:t>
            </w:r>
            <w:r>
              <w:rPr>
                <w:szCs w:val="22"/>
              </w:rPr>
              <w:lastRenderedPageBreak/>
              <w:t>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lastRenderedPageBreak/>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4" w:name="_Toc216360197"/>
      <w:bookmarkStart w:id="65" w:name="_Toc216360650"/>
      <w:bookmarkStart w:id="66" w:name="_Toc216427079"/>
      <w:r>
        <w:lastRenderedPageBreak/>
        <w:t>Notes</w:t>
      </w:r>
      <w:bookmarkEnd w:id="64"/>
      <w:bookmarkEnd w:id="65"/>
      <w:bookmarkEnd w:id="66"/>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7" w:name="_Toc216427080"/>
      <w:r>
        <w:t>Compilation table</w:t>
      </w:r>
      <w:bookmarkEnd w:id="6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lastRenderedPageBreak/>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lastRenderedPageBreak/>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nil"/>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pPr>
              <w:pStyle w:val="nTable"/>
              <w:spacing w:after="40"/>
            </w:pPr>
            <w:r>
              <w:t>SL 2022/176 2 Nov 2022</w:t>
            </w:r>
          </w:p>
        </w:tc>
        <w:tc>
          <w:tcPr>
            <w:tcW w:w="2693" w:type="dxa"/>
            <w:tcBorders>
              <w:top w:val="nil"/>
              <w:left w:val="nil"/>
              <w:bottom w:val="nil"/>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r>
        <w:trPr>
          <w:cantSplit/>
        </w:trPr>
        <w:tc>
          <w:tcPr>
            <w:tcW w:w="3119" w:type="dxa"/>
            <w:tcBorders>
              <w:top w:val="nil"/>
              <w:bottom w:val="single" w:sz="8" w:space="0" w:color="auto"/>
              <w:right w:val="nil"/>
            </w:tcBorders>
            <w:shd w:val="clear" w:color="auto" w:fill="auto"/>
          </w:tcPr>
          <w:p>
            <w:pPr>
              <w:pStyle w:val="nTable"/>
              <w:spacing w:after="40"/>
              <w:rPr>
                <w:i/>
              </w:rPr>
            </w:pPr>
            <w:r>
              <w:rPr>
                <w:i/>
              </w:rPr>
              <w:t>Emergency Management Amendment Regulations 2024</w:t>
            </w:r>
          </w:p>
        </w:tc>
        <w:tc>
          <w:tcPr>
            <w:tcW w:w="1276" w:type="dxa"/>
            <w:tcBorders>
              <w:top w:val="nil"/>
              <w:left w:val="nil"/>
              <w:bottom w:val="single" w:sz="8" w:space="0" w:color="auto"/>
              <w:right w:val="nil"/>
            </w:tcBorders>
            <w:shd w:val="clear" w:color="auto" w:fill="auto"/>
          </w:tcPr>
          <w:p>
            <w:pPr>
              <w:pStyle w:val="nTable"/>
              <w:spacing w:after="40"/>
            </w:pPr>
            <w:r>
              <w:t>SL 2024/294 21 Dec 2024</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r. 1 and 2: 21 Dec 2024 (see r. 2(a));</w:t>
            </w:r>
            <w:r>
              <w:rPr>
                <w:snapToGrid w:val="0"/>
              </w:rPr>
              <w:br/>
              <w:t>Regulations other than r. 1 and 2: 31 Mar 2025 (see r. 2(b) and SL 2024/289 cl. 2)</w:t>
            </w:r>
          </w:p>
        </w:tc>
      </w:tr>
    </w:tbl>
    <w:p>
      <w:pPr>
        <w:pStyle w:val="nHeading3"/>
      </w:pPr>
      <w:bookmarkStart w:id="68" w:name="_Toc216427081"/>
      <w:r>
        <w:t>Uncommenced provisions table</w:t>
      </w:r>
      <w:bookmarkEnd w:id="6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Emergency Management Amendment Regulations 2025</w:t>
            </w:r>
            <w:r>
              <w:rPr>
                <w:iCs/>
              </w:rPr>
              <w:t xml:space="preserve"> r. 3-8</w:t>
            </w:r>
          </w:p>
        </w:tc>
        <w:tc>
          <w:tcPr>
            <w:tcW w:w="1276" w:type="dxa"/>
          </w:tcPr>
          <w:p>
            <w:pPr>
              <w:pStyle w:val="nTable"/>
              <w:spacing w:after="40"/>
            </w:pPr>
            <w:r>
              <w:t>SL 2025/214 17 Dec 2025</w:t>
            </w:r>
          </w:p>
        </w:tc>
        <w:tc>
          <w:tcPr>
            <w:tcW w:w="2693" w:type="dxa"/>
          </w:tcPr>
          <w:p>
            <w:pPr>
              <w:pStyle w:val="nTable"/>
              <w:spacing w:after="40"/>
            </w:pPr>
            <w:r>
              <w:t>1 Mar 2026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70" w:name="_Toc216360199"/>
      <w:bookmarkStart w:id="71" w:name="_Toc216360653"/>
      <w:bookmarkStart w:id="72" w:name="_Toc216427082"/>
      <w:r>
        <w:rPr>
          <w:sz w:val="28"/>
        </w:rPr>
        <w:lastRenderedPageBreak/>
        <w:t>Defined terms</w:t>
      </w:r>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703B1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6235E0" w14:textId="7A261529" w:rsidR="003410A9" w:rsidRDefault="009C33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3D61">
                        <w:rPr>
                          <w:sz w:val="16"/>
                        </w:rPr>
                        <w:t>2025</w:t>
                      </w:r>
                      <w:r>
                        <w:rPr>
                          <w:sz w:val="16"/>
                        </w:rPr>
                        <w:fldChar w:fldCharType="end"/>
                      </w:r>
                      <w:r>
                        <w:rPr>
                          <w:sz w:val="16"/>
                        </w:rPr>
                        <w:t>.</w:t>
                      </w:r>
                    </w:p>
                    <w:p w14:paraId="4AB9BDF9" w14:textId="77777777" w:rsidR="003410A9" w:rsidRDefault="009C33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B9CD00" w14:textId="44E29FAC" w:rsidR="003410A9" w:rsidRDefault="009C33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3D61">
                        <w:rPr>
                          <w:sz w:val="16"/>
                        </w:rPr>
                        <w:t>2025</w:t>
                      </w:r>
                      <w:r>
                        <w:rPr>
                          <w:sz w:val="16"/>
                        </w:rPr>
                        <w:fldChar w:fldCharType="end"/>
                      </w:r>
                      <w:r>
                        <w:rPr>
                          <w:sz w:val="16"/>
                        </w:rPr>
                        <w:t>.</w:t>
                      </w:r>
                    </w:p>
                    <w:p w14:paraId="3CFA6725" w14:textId="1655437A" w:rsidR="003410A9" w:rsidRDefault="009C337C">
                      <w:pPr>
                        <w:ind w:left="2438" w:right="2098"/>
                        <w:jc w:val="center"/>
                        <w:rPr>
                          <w:rFonts w:ascii="Arial" w:hAnsi="Arial" w:cs="Arial"/>
                          <w:sz w:val="12"/>
                        </w:rPr>
                      </w:pPr>
                      <w:r>
                        <w:rPr>
                          <w:rFonts w:ascii="Arial" w:hAnsi="Arial" w:cs="Arial"/>
                          <w:sz w:val="12"/>
                        </w:rPr>
                        <w:t xml:space="preserve">By Authority: </w:t>
                      </w:r>
                      <w:r w:rsidR="00DF3D61">
                        <w:rPr>
                          <w:rFonts w:ascii="Arial" w:hAnsi="Arial" w:cs="Arial"/>
                          <w:sz w:val="12"/>
                        </w:rPr>
                        <w:t>ROGER JACOBS</w:t>
                      </w:r>
                      <w:r>
                        <w:rPr>
                          <w:rFonts w:ascii="Arial" w:hAnsi="Arial" w:cs="Arial"/>
                          <w:sz w:val="12"/>
                        </w:rPr>
                        <w:t xml:space="preserve">, </w:t>
                      </w:r>
                      <w:r w:rsidR="00DF3D61">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3" w:name="DefinedTerms"/>
    <w:bookmarkEnd w:id="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410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 w:name="WAFER_2025121115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4109_GUID" w:val="219b184a-7878-40b0-b511-f1ca4f2b29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5881</Words>
  <Characters>28819</Characters>
  <Application>Microsoft Office Word</Application>
  <DocSecurity>0</DocSecurity>
  <Lines>1067</Lines>
  <Paragraphs>619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2006 - 03-i0-00</dc:title>
  <dc:subject/>
  <dc:creator/>
  <cp:keywords/>
  <dc:description/>
  <cp:lastModifiedBy>Master Repository Process</cp:lastModifiedBy>
  <cp:revision>4</cp:revision>
  <cp:lastPrinted>2014-03-14T05:00:00Z</cp:lastPrinted>
  <dcterms:created xsi:type="dcterms:W3CDTF">2025-12-16T06:44:00Z</dcterms:created>
  <dcterms:modified xsi:type="dcterms:W3CDTF">2025-12-16T06:44:00Z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17 Dec 2025</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20251217</vt:lpwstr>
  </property>
  <property fmtid="{D5CDD505-2E9C-101B-9397-08002B2CF9AE}" pid="11" name="CommencementAsAt">
    <vt:filetime>2025-12-16T16:00:00Z</vt:filetime>
  </property>
  <property fmtid="{D5CDD505-2E9C-101B-9397-08002B2CF9AE}" pid="12" name="CommencementYear">
    <vt:lpwstr>2025</vt:lpwstr>
  </property>
</Properties>
</file>