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_Toc216791287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_Toc216791288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_Toc216791289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_Toc216791290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_Toc216791291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_Toc216791293 \h </w:instrText>
      </w:r>
      <w:r>
        <w:fldChar w:fldCharType="separate"/>
      </w:r>
      <w:r>
        <w:t>6</w:t>
      </w:r>
      <w:r>
        <w:fldChar w:fldCharType="end"/>
      </w:r>
    </w:p>
    <w:p>
      <w:pPr>
        <w:pStyle w:val="TOC8"/>
        <w:rPr>
          <w:rFonts w:asciiTheme="minorHAnsi" w:eastAsiaTheme="minorEastAsia" w:hAnsiTheme="minorHAnsi" w:cstheme="minorBidi"/>
          <w:szCs w:val="22"/>
        </w:rPr>
      </w:pPr>
      <w:r>
        <w:t>6A.</w:t>
      </w:r>
      <w:r>
        <w:tab/>
        <w:t>Classification of nicotine as poison (s. 4)</w:t>
      </w:r>
      <w:r>
        <w:tab/>
      </w:r>
      <w:r>
        <w:fldChar w:fldCharType="begin"/>
      </w:r>
      <w:r>
        <w:instrText xml:space="preserve"> PAGEREF _Toc216791294 \h </w:instrText>
      </w:r>
      <w:r>
        <w:fldChar w:fldCharType="separate"/>
      </w:r>
      <w:r>
        <w:t>7</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_Toc216791295 \h </w:instrText>
      </w:r>
      <w:r>
        <w:fldChar w:fldCharType="separate"/>
      </w:r>
      <w:r>
        <w:t>8</w:t>
      </w:r>
      <w:r>
        <w:fldChar w:fldCharType="end"/>
      </w:r>
    </w:p>
    <w:p>
      <w:pPr>
        <w:pStyle w:val="TOC8"/>
        <w:rPr>
          <w:rFonts w:asciiTheme="minorHAnsi" w:eastAsiaTheme="minorEastAsia" w:hAnsiTheme="minorHAnsi" w:cstheme="minorBidi"/>
          <w:szCs w:val="22"/>
        </w:rPr>
      </w:pPr>
      <w:r>
        <w:t>7A.</w:t>
      </w:r>
      <w:r>
        <w:tab/>
        <w:t>Schedule 4 reportable poisons (s. 77(2))</w:t>
      </w:r>
      <w:r>
        <w:tab/>
      </w:r>
      <w:r>
        <w:fldChar w:fldCharType="begin"/>
      </w:r>
      <w:r>
        <w:instrText xml:space="preserve"> PAGEREF _Toc216791296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_Toc216791298 \h </w:instrText>
      </w:r>
      <w:r>
        <w:fldChar w:fldCharType="separate"/>
      </w:r>
      <w:r>
        <w:t>9</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_Toc216791299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_Toc216791302 \h </w:instrText>
      </w:r>
      <w:r>
        <w:fldChar w:fldCharType="separate"/>
      </w:r>
      <w:r>
        <w:t>10</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_Toc216791303 \h </w:instrText>
      </w:r>
      <w:r>
        <w:fldChar w:fldCharType="separate"/>
      </w:r>
      <w:r>
        <w:t>11</w:t>
      </w:r>
      <w:r>
        <w:fldChar w:fldCharType="end"/>
      </w:r>
    </w:p>
    <w:p>
      <w:pPr>
        <w:pStyle w:val="TOC8"/>
        <w:rPr>
          <w:rFonts w:asciiTheme="minorHAnsi" w:eastAsiaTheme="minorEastAsia" w:hAnsiTheme="minorHAnsi" w:cstheme="minorBidi"/>
          <w:szCs w:val="22"/>
        </w:rPr>
      </w:pPr>
      <w:r>
        <w:t>12.</w:t>
      </w:r>
      <w:r>
        <w:tab/>
        <w:t>Medication chart for patient in hospital</w:t>
      </w:r>
      <w:r>
        <w:tab/>
      </w:r>
      <w:r>
        <w:fldChar w:fldCharType="begin"/>
      </w:r>
      <w:r>
        <w:instrText xml:space="preserve"> PAGEREF _Toc216791304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_Toc216791305 \h </w:instrText>
      </w:r>
      <w:r>
        <w:fldChar w:fldCharType="separate"/>
      </w:r>
      <w:r>
        <w:t>13</w:t>
      </w:r>
      <w:r>
        <w:fldChar w:fldCharType="end"/>
      </w:r>
    </w:p>
    <w:p>
      <w:pPr>
        <w:pStyle w:val="TOC8"/>
        <w:rPr>
          <w:rFonts w:asciiTheme="minorHAnsi" w:eastAsiaTheme="minorEastAsia" w:hAnsiTheme="minorHAnsi" w:cstheme="minorBidi"/>
          <w:szCs w:val="22"/>
        </w:rPr>
      </w:pPr>
      <w:r>
        <w:t>14.</w:t>
      </w:r>
      <w:r>
        <w:tab/>
        <w:t>Chart for person in residential care</w:t>
      </w:r>
      <w:r>
        <w:tab/>
      </w:r>
      <w:r>
        <w:fldChar w:fldCharType="begin"/>
      </w:r>
      <w:r>
        <w:instrText xml:space="preserve"> PAGEREF _Toc216791306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_Toc216791308 \h </w:instrText>
      </w:r>
      <w:r>
        <w:fldChar w:fldCharType="separate"/>
      </w:r>
      <w:r>
        <w:t>15</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_Toc216791309 \h </w:instrText>
      </w:r>
      <w:r>
        <w:fldChar w:fldCharType="separate"/>
      </w:r>
      <w:r>
        <w:t>16</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_Toc216791310 \h </w:instrText>
      </w:r>
      <w:r>
        <w:fldChar w:fldCharType="separate"/>
      </w:r>
      <w:r>
        <w:t>16</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_Toc216791311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_Toc216791313 \h </w:instrText>
      </w:r>
      <w:r>
        <w:fldChar w:fldCharType="separate"/>
      </w:r>
      <w:r>
        <w:t>18</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_Toc216791314 \h </w:instrText>
      </w:r>
      <w:r>
        <w:fldChar w:fldCharType="separate"/>
      </w:r>
      <w:r>
        <w:t>19</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_Toc216791315 \h </w:instrText>
      </w:r>
      <w:r>
        <w:fldChar w:fldCharType="separate"/>
      </w:r>
      <w:r>
        <w:t>20</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_Toc216791316 \h </w:instrText>
      </w:r>
      <w:r>
        <w:fldChar w:fldCharType="separate"/>
      </w:r>
      <w:r>
        <w:t>21</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_Toc216791317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Real</w:t>
      </w:r>
      <w:r>
        <w:noBreakHyphen/>
        <w:t>time prescription monitoring system</w:t>
      </w:r>
    </w:p>
    <w:p>
      <w:pPr>
        <w:pStyle w:val="TOC8"/>
        <w:rPr>
          <w:rFonts w:asciiTheme="minorHAnsi" w:eastAsiaTheme="minorEastAsia" w:hAnsiTheme="minorHAnsi" w:cstheme="minorBidi"/>
          <w:szCs w:val="22"/>
        </w:rPr>
      </w:pPr>
      <w:r>
        <w:t>22A.</w:t>
      </w:r>
      <w:r>
        <w:tab/>
        <w:t>Requirement to register with real</w:t>
      </w:r>
      <w:r>
        <w:noBreakHyphen/>
        <w:t>time prescription monitoring system</w:t>
      </w:r>
      <w:r>
        <w:tab/>
      </w:r>
      <w:r>
        <w:fldChar w:fldCharType="begin"/>
      </w:r>
      <w:r>
        <w:instrText xml:space="preserve"> PAGEREF _Toc216791319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_Toc216791321 \h </w:instrText>
      </w:r>
      <w:r>
        <w:fldChar w:fldCharType="separate"/>
      </w:r>
      <w:r>
        <w:t>24</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_Toc216791322 \h </w:instrText>
      </w:r>
      <w:r>
        <w:fldChar w:fldCharType="separate"/>
      </w:r>
      <w:r>
        <w:t>25</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_Toc216791323 \h </w:instrText>
      </w:r>
      <w:r>
        <w:fldChar w:fldCharType="separate"/>
      </w:r>
      <w:r>
        <w:t>26</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_Toc216791324 \h </w:instrText>
      </w:r>
      <w:r>
        <w:fldChar w:fldCharType="separate"/>
      </w:r>
      <w:r>
        <w:t>27</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_Toc216791325 \h </w:instrText>
      </w:r>
      <w:r>
        <w:fldChar w:fldCharType="separate"/>
      </w:r>
      <w:r>
        <w:t>28</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_Toc216791326 \h </w:instrText>
      </w:r>
      <w:r>
        <w:fldChar w:fldCharType="separate"/>
      </w:r>
      <w:r>
        <w:t>28</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_Toc216791327 \h </w:instrText>
      </w:r>
      <w:r>
        <w:fldChar w:fldCharType="separate"/>
      </w:r>
      <w:r>
        <w:t>29</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_Toc216791328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w:t>
      </w:r>
      <w:r>
        <w:tab/>
        <w:t>Supplying medicine that is Schedule 4 or 8 poison on direction of prescriber</w:t>
      </w:r>
      <w:r>
        <w:tab/>
      </w:r>
      <w:r>
        <w:fldChar w:fldCharType="begin"/>
      </w:r>
      <w:r>
        <w:instrText xml:space="preserve"> PAGEREF _Toc216791329 \h </w:instrText>
      </w:r>
      <w:r>
        <w:fldChar w:fldCharType="separate"/>
      </w:r>
      <w:r>
        <w:t>30</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_Toc216791330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_Toc216791332 \h </w:instrText>
      </w:r>
      <w:r>
        <w:fldChar w:fldCharType="separate"/>
      </w:r>
      <w:r>
        <w:t>31</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_Toc216791333 \h </w:instrText>
      </w:r>
      <w:r>
        <w:fldChar w:fldCharType="separate"/>
      </w:r>
      <w:r>
        <w:t>31</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_Toc216791334 \h </w:instrText>
      </w:r>
      <w:r>
        <w:fldChar w:fldCharType="separate"/>
      </w:r>
      <w:r>
        <w:t>33</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_Toc216791335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_Toc216791338 \h </w:instrText>
      </w:r>
      <w:r>
        <w:fldChar w:fldCharType="separate"/>
      </w:r>
      <w:r>
        <w:t>35</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_Toc216791339 \h </w:instrText>
      </w:r>
      <w:r>
        <w:fldChar w:fldCharType="separate"/>
      </w:r>
      <w:r>
        <w:t>39</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_Toc216791340 \h </w:instrText>
      </w:r>
      <w:r>
        <w:fldChar w:fldCharType="separate"/>
      </w:r>
      <w:r>
        <w:t>39</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_Toc216791341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_Toc216791343 \h </w:instrText>
      </w:r>
      <w:r>
        <w:fldChar w:fldCharType="separate"/>
      </w:r>
      <w:r>
        <w:t>40</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_Toc216791344 \h </w:instrText>
      </w:r>
      <w:r>
        <w:fldChar w:fldCharType="separate"/>
      </w:r>
      <w:r>
        <w:t>40</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_Toc216791345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_Toc216791347 \h </w:instrText>
      </w:r>
      <w:r>
        <w:fldChar w:fldCharType="separate"/>
      </w:r>
      <w:r>
        <w:t>44</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_Toc216791348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_Toc216791350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46.</w:t>
      </w:r>
      <w:r>
        <w:tab/>
        <w:t>Authorisation of dentists</w:t>
      </w:r>
      <w:r>
        <w:tab/>
      </w:r>
      <w:r>
        <w:fldChar w:fldCharType="begin"/>
      </w:r>
      <w:r>
        <w:instrText xml:space="preserve"> PAGEREF _Toc216791351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_Toc216791352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_Toc216791354 \h </w:instrText>
      </w:r>
      <w:r>
        <w:fldChar w:fldCharType="separate"/>
      </w:r>
      <w:r>
        <w:t>46</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_Toc216791355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_Toc216791357 \h </w:instrText>
      </w:r>
      <w:r>
        <w:fldChar w:fldCharType="separate"/>
      </w:r>
      <w:r>
        <w:t>48</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_Toc216791358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_Toc216791360 \h </w:instrText>
      </w:r>
      <w:r>
        <w:fldChar w:fldCharType="separate"/>
      </w:r>
      <w:r>
        <w:t>49</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_Toc216791361 \h </w:instrText>
      </w:r>
      <w:r>
        <w:fldChar w:fldCharType="separate"/>
      </w:r>
      <w:r>
        <w:t>49</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_Toc216791362 \h </w:instrText>
      </w:r>
      <w:r>
        <w:fldChar w:fldCharType="separate"/>
      </w:r>
      <w:r>
        <w:t>50</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_Toc216791363 \h </w:instrText>
      </w:r>
      <w:r>
        <w:fldChar w:fldCharType="separate"/>
      </w:r>
      <w:r>
        <w:t>51</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_Toc216791364 \h </w:instrText>
      </w:r>
      <w:r>
        <w:fldChar w:fldCharType="separate"/>
      </w:r>
      <w:r>
        <w:t>53</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_Toc216791365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_Toc216791367 \h </w:instrText>
      </w:r>
      <w:r>
        <w:fldChar w:fldCharType="separate"/>
      </w:r>
      <w:r>
        <w:t>55</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_Toc216791368 \h </w:instrText>
      </w:r>
      <w:r>
        <w:fldChar w:fldCharType="separate"/>
      </w:r>
      <w:r>
        <w:t>56</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_Toc216791369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_Toc216791371 \h </w:instrText>
      </w:r>
      <w:r>
        <w:fldChar w:fldCharType="separate"/>
      </w:r>
      <w:r>
        <w:t>57</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_Toc216791372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_Toc216791374 \h </w:instrText>
      </w:r>
      <w:r>
        <w:fldChar w:fldCharType="separate"/>
      </w:r>
      <w:r>
        <w:t>58</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_Toc216791375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_Toc216791377 \h </w:instrText>
      </w:r>
      <w:r>
        <w:fldChar w:fldCharType="separate"/>
      </w:r>
      <w:r>
        <w:t>59</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_Toc216791378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_Toc216791380 \h </w:instrText>
      </w:r>
      <w:r>
        <w:fldChar w:fldCharType="separate"/>
      </w:r>
      <w:r>
        <w:t>61</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_Toc216791381 \h </w:instrText>
      </w:r>
      <w:r>
        <w:fldChar w:fldCharType="separate"/>
      </w:r>
      <w:r>
        <w:t>61</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_Toc216791382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_Toc216791384 \h </w:instrText>
      </w:r>
      <w:r>
        <w:fldChar w:fldCharType="separate"/>
      </w:r>
      <w:r>
        <w:t>63</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_Toc216791385 \h </w:instrText>
      </w:r>
      <w:r>
        <w:fldChar w:fldCharType="separate"/>
      </w:r>
      <w:r>
        <w:t>63</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_Toc216791386 \h </w:instrText>
      </w:r>
      <w:r>
        <w:fldChar w:fldCharType="separate"/>
      </w:r>
      <w:r>
        <w:t>63</w:t>
      </w:r>
      <w:r>
        <w:fldChar w:fldCharType="end"/>
      </w:r>
    </w:p>
    <w:p>
      <w:pPr>
        <w:pStyle w:val="TOC8"/>
        <w:rPr>
          <w:rFonts w:asciiTheme="minorHAnsi" w:eastAsiaTheme="minorEastAsia" w:hAnsiTheme="minorHAnsi" w:cstheme="minorBidi"/>
          <w:szCs w:val="22"/>
        </w:rPr>
      </w:pPr>
      <w:r>
        <w:t>70A.</w:t>
      </w:r>
      <w:r>
        <w:tab/>
        <w:t>Authorisation of VPB</w:t>
      </w:r>
      <w:r>
        <w:noBreakHyphen/>
        <w:t>authorised persons</w:t>
      </w:r>
      <w:r>
        <w:tab/>
      </w:r>
      <w:r>
        <w:fldChar w:fldCharType="begin"/>
      </w:r>
      <w:r>
        <w:instrText xml:space="preserve"> PAGEREF _Toc216791387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_Toc216791390 \h </w:instrText>
      </w:r>
      <w:r>
        <w:fldChar w:fldCharType="separate"/>
      </w:r>
      <w:r>
        <w:t>65</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_Toc216791391 \h </w:instrText>
      </w:r>
      <w:r>
        <w:fldChar w:fldCharType="separate"/>
      </w:r>
      <w:r>
        <w:t>65</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_Toc216791392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_Toc216791394 \h </w:instrText>
      </w:r>
      <w:r>
        <w:fldChar w:fldCharType="separate"/>
      </w:r>
      <w:r>
        <w:t>66</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_Toc216791395 \h </w:instrText>
      </w:r>
      <w:r>
        <w:fldChar w:fldCharType="separate"/>
      </w:r>
      <w:r>
        <w:t>67</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_Toc216791396 \h </w:instrText>
      </w:r>
      <w:r>
        <w:fldChar w:fldCharType="separate"/>
      </w:r>
      <w:r>
        <w:t>67</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_Toc216791397 \h </w:instrText>
      </w:r>
      <w:r>
        <w:fldChar w:fldCharType="separate"/>
      </w:r>
      <w:r>
        <w:t>68</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_Toc216791398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_Toc216791400 \h </w:instrText>
      </w:r>
      <w:r>
        <w:fldChar w:fldCharType="separate"/>
      </w:r>
      <w:r>
        <w:t>70</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_Toc216791401 \h </w:instrText>
      </w:r>
      <w:r>
        <w:fldChar w:fldCharType="separate"/>
      </w:r>
      <w:r>
        <w:t>72</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_Toc216791402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Requirements relating to manufacture, supply, handling, </w:t>
      </w:r>
      <w:r>
        <w:lastRenderedPageBreak/>
        <w:t>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_Toc216791405 \h </w:instrText>
      </w:r>
      <w:r>
        <w:fldChar w:fldCharType="separate"/>
      </w:r>
      <w:r>
        <w:t>75</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_Toc216791406 \h </w:instrText>
      </w:r>
      <w:r>
        <w:fldChar w:fldCharType="separate"/>
      </w:r>
      <w:r>
        <w:t>75</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_Toc216791407 \h </w:instrText>
      </w:r>
      <w:r>
        <w:fldChar w:fldCharType="separate"/>
      </w:r>
      <w:r>
        <w:t>76</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_Toc216791408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_Toc216791410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_Toc216791412 \h </w:instrText>
      </w:r>
      <w:r>
        <w:fldChar w:fldCharType="separate"/>
      </w:r>
      <w:r>
        <w:t>78</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_Toc216791413 \h </w:instrText>
      </w:r>
      <w:r>
        <w:fldChar w:fldCharType="separate"/>
      </w:r>
      <w:r>
        <w:t>79</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_Toc216791414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_Toc216791416 \h </w:instrText>
      </w:r>
      <w:r>
        <w:fldChar w:fldCharType="separate"/>
      </w:r>
      <w:r>
        <w:t>80</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_Toc216791417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_Toc216791419 \h </w:instrText>
      </w:r>
      <w:r>
        <w:fldChar w:fldCharType="separate"/>
      </w:r>
      <w:r>
        <w:t>81</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_Toc216791420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_Toc216791423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_Toc216791425 \h </w:instrText>
      </w:r>
      <w:r>
        <w:fldChar w:fldCharType="separate"/>
      </w:r>
      <w:r>
        <w:t>84</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_Toc216791426 \h </w:instrText>
      </w:r>
      <w:r>
        <w:fldChar w:fldCharType="separate"/>
      </w:r>
      <w:r>
        <w:t>86</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_Toc216791427 \h </w:instrText>
      </w:r>
      <w:r>
        <w:fldChar w:fldCharType="separate"/>
      </w:r>
      <w:r>
        <w:t>86</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_Toc216791428 \h </w:instrText>
      </w:r>
      <w:r>
        <w:fldChar w:fldCharType="separate"/>
      </w:r>
      <w:r>
        <w:t>88</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_Toc216791429 \h </w:instrText>
      </w:r>
      <w:r>
        <w:fldChar w:fldCharType="separate"/>
      </w:r>
      <w:r>
        <w:t>88</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_Toc216791430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_Toc216791432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_Toc216791434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_Toc216791436 \h </w:instrText>
      </w:r>
      <w:r>
        <w:fldChar w:fldCharType="separate"/>
      </w:r>
      <w:r>
        <w:t>89</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_Toc216791437 \h </w:instrText>
      </w:r>
      <w:r>
        <w:fldChar w:fldCharType="separate"/>
      </w:r>
      <w:r>
        <w:t>90</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_Toc216791438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_Toc216791440 \h </w:instrText>
      </w:r>
      <w:r>
        <w:fldChar w:fldCharType="separate"/>
      </w:r>
      <w:r>
        <w:t>91</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_Toc216791441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_Toc216791443 \h </w:instrText>
      </w:r>
      <w:r>
        <w:fldChar w:fldCharType="separate"/>
      </w:r>
      <w:r>
        <w:t>93</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_Toc216791444 \h </w:instrText>
      </w:r>
      <w:r>
        <w:fldChar w:fldCharType="separate"/>
      </w:r>
      <w:r>
        <w:t>94</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_Toc216791445 \h </w:instrText>
      </w:r>
      <w:r>
        <w:fldChar w:fldCharType="separate"/>
      </w:r>
      <w:r>
        <w:t>94</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_Toc216791446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112.</w:t>
      </w:r>
      <w:r>
        <w:tab/>
      </w:r>
      <w:r>
        <w:rPr>
          <w:snapToGrid w:val="0"/>
        </w:rPr>
        <w:t>Condition of approval: conduct of programme</w:t>
      </w:r>
      <w:r>
        <w:tab/>
      </w:r>
      <w:r>
        <w:fldChar w:fldCharType="begin"/>
      </w:r>
      <w:r>
        <w:instrText xml:space="preserve"> PAGEREF _Toc216791447 \h </w:instrText>
      </w:r>
      <w:r>
        <w:fldChar w:fldCharType="separate"/>
      </w:r>
      <w:r>
        <w:t>95</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_Toc216791448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medicines that are Schedule 4 reportable poisons or Schedule 8 poisons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_Toc216791451 \h </w:instrText>
      </w:r>
      <w:r>
        <w:fldChar w:fldCharType="separate"/>
      </w:r>
      <w:r>
        <w:t>96</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_Toc216791452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4 reportable poison or Schedule 8 poison</w:t>
      </w:r>
      <w:r>
        <w:tab/>
      </w:r>
      <w:r>
        <w:fldChar w:fldCharType="begin"/>
      </w:r>
      <w:r>
        <w:instrText xml:space="preserve"> PAGEREF _Toc216791454 \h </w:instrText>
      </w:r>
      <w:r>
        <w:fldChar w:fldCharType="separate"/>
      </w:r>
      <w:r>
        <w:t>97</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_Toc216791455 \h </w:instrText>
      </w:r>
      <w:r>
        <w:fldChar w:fldCharType="separate"/>
      </w:r>
      <w:r>
        <w:t>98</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_Toc216791456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_Toc216791458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_Toc216791459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_Toc216791460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_Toc216791461 \h </w:instrText>
      </w:r>
      <w:r>
        <w:fldChar w:fldCharType="separate"/>
      </w:r>
      <w:r>
        <w:t>101</w:t>
      </w:r>
      <w:r>
        <w:fldChar w:fldCharType="end"/>
      </w:r>
    </w:p>
    <w:p>
      <w:pPr>
        <w:pStyle w:val="TOC8"/>
        <w:rPr>
          <w:rFonts w:asciiTheme="minorHAnsi" w:eastAsiaTheme="minorEastAsia" w:hAnsiTheme="minorHAnsi" w:cstheme="minorBidi"/>
          <w:szCs w:val="22"/>
        </w:rPr>
      </w:pPr>
      <w:r>
        <w:t>130.</w:t>
      </w:r>
      <w:r>
        <w:tab/>
        <w:t>Stimulant prescriber to notify CEO if patient’s stimulant treatment stops</w:t>
      </w:r>
      <w:r>
        <w:tab/>
      </w:r>
      <w:r>
        <w:fldChar w:fldCharType="begin"/>
      </w:r>
      <w:r>
        <w:instrText xml:space="preserve"> PAGEREF _Toc216791462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_Toc216791465 \h </w:instrText>
      </w:r>
      <w:r>
        <w:fldChar w:fldCharType="separate"/>
      </w:r>
      <w:r>
        <w:t>103</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_Toc216791466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_Toc216791468 \h </w:instrText>
      </w:r>
      <w:r>
        <w:fldChar w:fldCharType="separate"/>
      </w:r>
      <w:r>
        <w:t>104</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_Toc216791469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_Toc216791471 \h </w:instrText>
      </w:r>
      <w:r>
        <w:fldChar w:fldCharType="separate"/>
      </w:r>
      <w:r>
        <w:t>105</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_Toc216791472 \h </w:instrText>
      </w:r>
      <w:r>
        <w:fldChar w:fldCharType="separate"/>
      </w:r>
      <w:r>
        <w:t>105</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_Toc216791473 \h </w:instrText>
      </w:r>
      <w:r>
        <w:fldChar w:fldCharType="separate"/>
      </w:r>
      <w:r>
        <w:t>107</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_Toc216791474 \h </w:instrText>
      </w:r>
      <w:r>
        <w:fldChar w:fldCharType="separate"/>
      </w:r>
      <w:r>
        <w:t>108</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_Toc216791475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_Toc216791477 \h </w:instrText>
      </w:r>
      <w:r>
        <w:fldChar w:fldCharType="separate"/>
      </w:r>
      <w:r>
        <w:t>111</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_Toc216791478 \h </w:instrText>
      </w:r>
      <w:r>
        <w:fldChar w:fldCharType="separate"/>
      </w:r>
      <w:r>
        <w:t>112</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_Toc216791479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_Toc216791480 \h </w:instrText>
      </w:r>
      <w:r>
        <w:fldChar w:fldCharType="separate"/>
      </w:r>
      <w:r>
        <w:t>114</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_Toc216791481 \h </w:instrText>
      </w:r>
      <w:r>
        <w:fldChar w:fldCharType="separate"/>
      </w:r>
      <w:r>
        <w:t>116</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_Toc216791482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_Toc216791483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_Toc216791484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12A — Infringement notices</w:t>
      </w:r>
    </w:p>
    <w:p>
      <w:pPr>
        <w:pStyle w:val="TOC8"/>
        <w:rPr>
          <w:rFonts w:asciiTheme="minorHAnsi" w:eastAsiaTheme="minorEastAsia" w:hAnsiTheme="minorHAnsi" w:cstheme="minorBidi"/>
          <w:szCs w:val="22"/>
        </w:rPr>
      </w:pPr>
      <w:r>
        <w:t>148A.</w:t>
      </w:r>
      <w:r>
        <w:tab/>
        <w:t>Prescribed offences and modified penalties</w:t>
      </w:r>
      <w:r>
        <w:tab/>
      </w:r>
      <w:r>
        <w:fldChar w:fldCharType="begin"/>
      </w:r>
      <w:r>
        <w:instrText xml:space="preserve"> PAGEREF _Toc216791486 \h </w:instrText>
      </w:r>
      <w:r>
        <w:fldChar w:fldCharType="separate"/>
      </w:r>
      <w:r>
        <w:t>120</w:t>
      </w:r>
      <w:r>
        <w:fldChar w:fldCharType="end"/>
      </w:r>
    </w:p>
    <w:p>
      <w:pPr>
        <w:pStyle w:val="TOC8"/>
        <w:rPr>
          <w:rFonts w:asciiTheme="minorHAnsi" w:eastAsiaTheme="minorEastAsia" w:hAnsiTheme="minorHAnsi" w:cstheme="minorBidi"/>
          <w:szCs w:val="22"/>
        </w:rPr>
      </w:pPr>
      <w:r>
        <w:t>148B.</w:t>
      </w:r>
      <w:r>
        <w:tab/>
        <w:t>Authorised officers and approved officers</w:t>
      </w:r>
      <w:r>
        <w:tab/>
      </w:r>
      <w:r>
        <w:fldChar w:fldCharType="begin"/>
      </w:r>
      <w:r>
        <w:instrText xml:space="preserve"> PAGEREF _Toc216791487 \h </w:instrText>
      </w:r>
      <w:r>
        <w:fldChar w:fldCharType="separate"/>
      </w:r>
      <w:r>
        <w:t>120</w:t>
      </w:r>
      <w:r>
        <w:fldChar w:fldCharType="end"/>
      </w:r>
    </w:p>
    <w:p>
      <w:pPr>
        <w:pStyle w:val="TOC8"/>
        <w:rPr>
          <w:rFonts w:asciiTheme="minorHAnsi" w:eastAsiaTheme="minorEastAsia" w:hAnsiTheme="minorHAnsi" w:cstheme="minorBidi"/>
          <w:szCs w:val="22"/>
        </w:rPr>
      </w:pPr>
      <w:r>
        <w:t>148C.</w:t>
      </w:r>
      <w:r>
        <w:tab/>
        <w:t>Forms</w:t>
      </w:r>
      <w:r>
        <w:tab/>
      </w:r>
      <w:r>
        <w:fldChar w:fldCharType="begin"/>
      </w:r>
      <w:r>
        <w:instrText xml:space="preserve"> PAGEREF _Toc216791488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12B — Miscellaneous</w:t>
      </w:r>
    </w:p>
    <w:p>
      <w:pPr>
        <w:pStyle w:val="TOC8"/>
        <w:rPr>
          <w:rFonts w:asciiTheme="minorHAnsi" w:eastAsiaTheme="minorEastAsia" w:hAnsiTheme="minorHAnsi" w:cstheme="minorBidi"/>
          <w:szCs w:val="22"/>
        </w:rPr>
      </w:pPr>
      <w:r>
        <w:t>148D.</w:t>
      </w:r>
      <w:r>
        <w:tab/>
        <w:t>Term used: Schedule 6 nitrous oxide</w:t>
      </w:r>
      <w:r>
        <w:tab/>
      </w:r>
      <w:r>
        <w:fldChar w:fldCharType="begin"/>
      </w:r>
      <w:r>
        <w:instrText xml:space="preserve"> PAGEREF _Toc216791490 \h </w:instrText>
      </w:r>
      <w:r>
        <w:fldChar w:fldCharType="separate"/>
      </w:r>
      <w:r>
        <w:t>122</w:t>
      </w:r>
      <w:r>
        <w:fldChar w:fldCharType="end"/>
      </w:r>
    </w:p>
    <w:p>
      <w:pPr>
        <w:pStyle w:val="TOC8"/>
        <w:rPr>
          <w:rFonts w:asciiTheme="minorHAnsi" w:eastAsiaTheme="minorEastAsia" w:hAnsiTheme="minorHAnsi" w:cstheme="minorBidi"/>
          <w:szCs w:val="22"/>
        </w:rPr>
      </w:pPr>
      <w:r>
        <w:t>148E.</w:t>
      </w:r>
      <w:r>
        <w:tab/>
        <w:t>Supply of Schedule 6 nitrous oxide</w:t>
      </w:r>
      <w:r>
        <w:tab/>
      </w:r>
      <w:r>
        <w:fldChar w:fldCharType="begin"/>
      </w:r>
      <w:r>
        <w:instrText xml:space="preserve"> PAGEREF _Toc216791491 \h </w:instrText>
      </w:r>
      <w:r>
        <w:fldChar w:fldCharType="separate"/>
      </w:r>
      <w:r>
        <w:t>122</w:t>
      </w:r>
      <w:r>
        <w:fldChar w:fldCharType="end"/>
      </w:r>
    </w:p>
    <w:p>
      <w:pPr>
        <w:pStyle w:val="TOC8"/>
        <w:rPr>
          <w:rFonts w:asciiTheme="minorHAnsi" w:eastAsiaTheme="minorEastAsia" w:hAnsiTheme="minorHAnsi" w:cstheme="minorBidi"/>
          <w:szCs w:val="22"/>
        </w:rPr>
      </w:pPr>
      <w:r>
        <w:t>148F.</w:t>
      </w:r>
      <w:r>
        <w:tab/>
        <w:t>Record of supply of Schedule 6 nitrous oxide</w:t>
      </w:r>
      <w:r>
        <w:tab/>
      </w:r>
      <w:r>
        <w:fldChar w:fldCharType="begin"/>
      </w:r>
      <w:r>
        <w:instrText xml:space="preserve"> PAGEREF _Toc216791492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_Toc216791494 \h </w:instrText>
      </w:r>
      <w:r>
        <w:fldChar w:fldCharType="separate"/>
      </w:r>
      <w:r>
        <w:t>124</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_Toc216791495 \h </w:instrText>
      </w:r>
      <w:r>
        <w:fldChar w:fldCharType="separate"/>
      </w:r>
      <w:r>
        <w:t>124</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_Toc216791496 \h </w:instrText>
      </w:r>
      <w:r>
        <w:fldChar w:fldCharType="separate"/>
      </w:r>
      <w:r>
        <w:t>127</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_Toc216791497 \h </w:instrText>
      </w:r>
      <w:r>
        <w:fldChar w:fldCharType="separate"/>
      </w:r>
      <w:r>
        <w:t>128</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_Toc216791498 \h </w:instrText>
      </w:r>
      <w:r>
        <w:fldChar w:fldCharType="separate"/>
      </w:r>
      <w:r>
        <w:t>128</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_Toc216791499 \h </w:instrText>
      </w:r>
      <w:r>
        <w:fldChar w:fldCharType="separate"/>
      </w:r>
      <w:r>
        <w:t>129</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_Toc216791500 \h </w:instrText>
      </w:r>
      <w:r>
        <w:fldChar w:fldCharType="separate"/>
      </w:r>
      <w:r>
        <w:t>130</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_Toc216791501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_Toc216791508 \h </w:instrText>
      </w:r>
      <w:r>
        <w:fldChar w:fldCharType="separate"/>
      </w:r>
      <w:r>
        <w:t>144</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_Toc216791509 \h </w:instrText>
      </w:r>
      <w:r>
        <w:fldChar w:fldCharType="separate"/>
      </w:r>
      <w:r>
        <w:t>145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5 — Infringement notice forms</w:t>
      </w:r>
    </w:p>
    <w:p>
      <w:pPr>
        <w:pStyle w:val="TOC2"/>
        <w:keepNext w:val="0"/>
        <w:tabs>
          <w:tab w:val="right" w:leader="dot" w:pos="7077"/>
        </w:tabs>
        <w:rPr>
          <w:rFonts w:asciiTheme="minorHAnsi" w:eastAsiaTheme="minorEastAsia" w:hAnsiTheme="minorHAnsi" w:cstheme="minorBidi"/>
          <w:b w:val="0"/>
          <w:sz w:val="22"/>
          <w:szCs w:val="22"/>
        </w:rPr>
      </w:pPr>
      <w:r>
        <w:t>Schedule 6 — List of Schedule 4 reportable poisons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_Toc216791514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216427755"/>
      <w:bookmarkStart w:id="3" w:name="_Toc216431189"/>
      <w:bookmarkStart w:id="4" w:name="_Toc21679128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6791287"/>
      <w:r>
        <w:rPr>
          <w:rStyle w:val="CharSectno"/>
        </w:rPr>
        <w:t>1</w:t>
      </w:r>
      <w:r>
        <w:t>.</w:t>
      </w:r>
      <w:r>
        <w:tab/>
        <w:t>Citation</w:t>
      </w:r>
      <w:bookmarkEnd w:id="5"/>
      <w:r>
        <w:t xml:space="preserve"> </w:t>
      </w:r>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7" w:name="_Toc216791288"/>
      <w:r>
        <w:rPr>
          <w:rStyle w:val="CharSectno"/>
        </w:rPr>
        <w:t>2</w:t>
      </w:r>
      <w:r>
        <w:rPr>
          <w:spacing w:val="-2"/>
        </w:rPr>
        <w:t>.</w:t>
      </w:r>
      <w:r>
        <w:rPr>
          <w:spacing w:val="-2"/>
        </w:rPr>
        <w:tab/>
        <w:t>Commencement</w:t>
      </w:r>
      <w:bookmarkEnd w:id="7"/>
      <w:r>
        <w:rPr>
          <w:spacing w:val="-2"/>
        </w:rPr>
        <w:t xml:space="preserve"> </w:t>
      </w:r>
    </w:p>
    <w:p>
      <w:pPr>
        <w:pStyle w:val="Subsection"/>
      </w:pPr>
      <w:r>
        <w:tab/>
      </w:r>
      <w:r>
        <w:tab/>
        <w:t>These regulations come into operation on the day on which section 131 of the Act comes into operation.</w:t>
      </w:r>
    </w:p>
    <w:p>
      <w:pPr>
        <w:pStyle w:val="Heading5"/>
      </w:pPr>
      <w:bookmarkStart w:id="8" w:name="_Toc216791289"/>
      <w:r>
        <w:rPr>
          <w:rStyle w:val="CharSectno"/>
        </w:rPr>
        <w:t>3</w:t>
      </w:r>
      <w:r>
        <w:t>.</w:t>
      </w:r>
      <w:r>
        <w:tab/>
        <w:t>Terms used</w:t>
      </w:r>
      <w:bookmarkEnd w:id="8"/>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lastRenderedPageBreak/>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9" w:name="_Toc216791290"/>
      <w:r>
        <w:rPr>
          <w:rStyle w:val="CharSectno"/>
        </w:rPr>
        <w:t>4</w:t>
      </w:r>
      <w:r>
        <w:t>.</w:t>
      </w:r>
      <w:r>
        <w:tab/>
        <w:t>Needle and syringe programme prescribed</w:t>
      </w:r>
      <w:bookmarkEnd w:id="9"/>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0" w:name="_Toc216791291"/>
      <w:r>
        <w:rPr>
          <w:rStyle w:val="CharSectno"/>
        </w:rPr>
        <w:lastRenderedPageBreak/>
        <w:t>5</w:t>
      </w:r>
      <w:r>
        <w:t>.</w:t>
      </w:r>
      <w:r>
        <w:tab/>
        <w:t>Fees</w:t>
      </w:r>
      <w:bookmarkEnd w:id="1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1" w:name="_Toc216427761"/>
      <w:bookmarkStart w:id="12" w:name="_Toc216431195"/>
      <w:bookmarkStart w:id="13" w:name="_Toc216791292"/>
      <w:r>
        <w:rPr>
          <w:rStyle w:val="CharPartNo"/>
        </w:rPr>
        <w:lastRenderedPageBreak/>
        <w:t>Part 2</w:t>
      </w:r>
      <w:r>
        <w:rPr>
          <w:rStyle w:val="CharDivNo"/>
        </w:rPr>
        <w:t> </w:t>
      </w:r>
      <w:r>
        <w:t>—</w:t>
      </w:r>
      <w:r>
        <w:rPr>
          <w:rStyle w:val="CharDivText"/>
        </w:rPr>
        <w:t> </w:t>
      </w:r>
      <w:r>
        <w:rPr>
          <w:rStyle w:val="CharPartText"/>
        </w:rPr>
        <w:t>Substances as poisons</w:t>
      </w:r>
      <w:bookmarkEnd w:id="11"/>
      <w:bookmarkEnd w:id="12"/>
      <w:bookmarkEnd w:id="13"/>
    </w:p>
    <w:p>
      <w:pPr>
        <w:pStyle w:val="Footnoteheading"/>
      </w:pPr>
      <w:r>
        <w:tab/>
        <w:t>[Heading amended: SL 2024/265 r. 5.]</w:t>
      </w:r>
    </w:p>
    <w:p>
      <w:pPr>
        <w:pStyle w:val="Heading5"/>
      </w:pPr>
      <w:bookmarkStart w:id="14" w:name="_Toc216791293"/>
      <w:r>
        <w:rPr>
          <w:rStyle w:val="CharSectno"/>
        </w:rPr>
        <w:t>6</w:t>
      </w:r>
      <w:r>
        <w:t>.</w:t>
      </w:r>
      <w:r>
        <w:tab/>
        <w:t>Classification of substances as poisons included in Schedules (s. 4)</w:t>
      </w:r>
      <w:bookmarkEnd w:id="14"/>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15" w:name="_Toc216791294"/>
      <w:r>
        <w:rPr>
          <w:rStyle w:val="CharSectno"/>
        </w:rPr>
        <w:t>6A</w:t>
      </w:r>
      <w:r>
        <w:t>.</w:t>
      </w:r>
      <w:r>
        <w:tab/>
        <w:t>Classification of nicotine as poison (s. 4)</w:t>
      </w:r>
      <w:bookmarkEnd w:id="15"/>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tabs>
                <w:tab w:val="left" w:pos="150"/>
              </w:tabs>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left" w:pos="34"/>
                <w:tab w:val="left" w:pos="150"/>
              </w:tabs>
              <w:ind w:left="34"/>
            </w:pPr>
            <w:r>
              <w:t xml:space="preserve">NICOTINE in preparations for human use </w:t>
            </w:r>
            <w:r>
              <w:rPr>
                <w:b/>
                <w:bCs/>
              </w:rPr>
              <w:t>except</w:t>
            </w:r>
            <w:r>
              <w:t>:</w:t>
            </w:r>
          </w:p>
          <w:p>
            <w:pPr>
              <w:pStyle w:val="TableNAm"/>
              <w:tabs>
                <w:tab w:val="left" w:pos="34"/>
                <w:tab w:val="left" w:pos="150"/>
              </w:tabs>
              <w:ind w:left="567" w:hanging="533"/>
            </w:pPr>
            <w:r>
              <w:tab/>
              <w:t>(a)</w:t>
            </w:r>
            <w:r>
              <w:tab/>
              <w:t xml:space="preserve">in preparations for oromucosal or transdermal administration for human therapeutic use when included in the Register as an aid in withdrawal either </w:t>
            </w:r>
            <w:r>
              <w:lastRenderedPageBreak/>
              <w:t>from tobacco smoking or nicotine vaping; or</w:t>
            </w:r>
          </w:p>
          <w:p>
            <w:pPr>
              <w:pStyle w:val="TableNAm"/>
              <w:tabs>
                <w:tab w:val="left" w:pos="34"/>
                <w:tab w:val="left" w:pos="150"/>
              </w:tabs>
              <w:ind w:left="567" w:hanging="533"/>
            </w:pPr>
            <w:r>
              <w:tab/>
              <w:t>(b)</w:t>
            </w:r>
            <w:r>
              <w:tab/>
              <w:t>in tobacco prepared and packed for smoking.</w:t>
            </w:r>
          </w:p>
        </w:tc>
      </w:tr>
      <w:tr>
        <w:tc>
          <w:tcPr>
            <w:tcW w:w="822" w:type="dxa"/>
          </w:tcPr>
          <w:p>
            <w:pPr>
              <w:pStyle w:val="TableNAm"/>
            </w:pPr>
            <w:r>
              <w:lastRenderedPageBreak/>
              <w:t>2.</w:t>
            </w:r>
          </w:p>
        </w:tc>
        <w:tc>
          <w:tcPr>
            <w:tcW w:w="1418" w:type="dxa"/>
          </w:tcPr>
          <w:p>
            <w:pPr>
              <w:pStyle w:val="TableNAm"/>
            </w:pPr>
            <w:r>
              <w:t>Schedule 7</w:t>
            </w:r>
          </w:p>
        </w:tc>
        <w:tc>
          <w:tcPr>
            <w:tcW w:w="3743" w:type="dxa"/>
          </w:tcPr>
          <w:p>
            <w:pPr>
              <w:pStyle w:val="TableNAm"/>
              <w:tabs>
                <w:tab w:val="left" w:pos="34"/>
                <w:tab w:val="left" w:pos="150"/>
              </w:tabs>
              <w:ind w:left="34"/>
            </w:pPr>
            <w:r>
              <w:t xml:space="preserve">NICOTINE </w:t>
            </w:r>
            <w:r>
              <w:rPr>
                <w:b/>
                <w:bCs/>
              </w:rPr>
              <w:t>except</w:t>
            </w:r>
            <w:r>
              <w:t>:</w:t>
            </w:r>
          </w:p>
          <w:p>
            <w:pPr>
              <w:pStyle w:val="TableNAm"/>
              <w:tabs>
                <w:tab w:val="left" w:pos="34"/>
                <w:tab w:val="left" w:pos="150"/>
              </w:tabs>
              <w:ind w:left="567" w:hanging="533"/>
            </w:pPr>
            <w:r>
              <w:tab/>
              <w:t>(a)</w:t>
            </w:r>
            <w:r>
              <w:tab/>
              <w:t>when included in Schedule 4; or</w:t>
            </w:r>
          </w:p>
          <w:p>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pPr>
              <w:pStyle w:val="TableNAm"/>
              <w:tabs>
                <w:tab w:val="left" w:pos="34"/>
                <w:tab w:val="left" w:pos="150"/>
              </w:tabs>
              <w:ind w:left="567" w:hanging="533"/>
            </w:pPr>
            <w:r>
              <w:tab/>
              <w:t>(c)</w:t>
            </w:r>
            <w:r>
              <w:tab/>
              <w:t>in tobacco prepared and packed for smoking.</w:t>
            </w:r>
          </w:p>
        </w:tc>
      </w:tr>
    </w:tbl>
    <w:p>
      <w:pPr>
        <w:pStyle w:val="Footnotesection"/>
      </w:pPr>
      <w:r>
        <w:tab/>
        <w:t>[Regulation 6A inserted: SL 2024/218 r. 5.]</w:t>
      </w:r>
    </w:p>
    <w:p>
      <w:pPr>
        <w:pStyle w:val="Heading5"/>
      </w:pPr>
      <w:bookmarkStart w:id="16" w:name="_Toc216791295"/>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17" w:name="_Toc216791296"/>
      <w:r>
        <w:rPr>
          <w:rStyle w:val="CharSectno"/>
        </w:rPr>
        <w:t>7A</w:t>
      </w:r>
      <w:r>
        <w:t>.</w:t>
      </w:r>
      <w:r>
        <w:tab/>
        <w:t>Schedule 4 reportable poisons (s. 77(2))</w:t>
      </w:r>
      <w:bookmarkEnd w:id="17"/>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18" w:name="_Toc216427766"/>
      <w:bookmarkStart w:id="19" w:name="_Toc216431200"/>
      <w:bookmarkStart w:id="20" w:name="_Toc216791297"/>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8"/>
      <w:bookmarkEnd w:id="19"/>
      <w:bookmarkEnd w:id="20"/>
    </w:p>
    <w:p>
      <w:pPr>
        <w:pStyle w:val="Heading5"/>
      </w:pPr>
      <w:bookmarkStart w:id="21" w:name="_Toc216791298"/>
      <w:r>
        <w:rPr>
          <w:rStyle w:val="CharSectno"/>
        </w:rPr>
        <w:t>8</w:t>
      </w:r>
      <w:r>
        <w:t>.</w:t>
      </w:r>
      <w:r>
        <w:tab/>
        <w:t>Authorisation to supply or use strictly controlled substance</w:t>
      </w:r>
      <w:bookmarkEnd w:id="21"/>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2" w:name="_Toc216791299"/>
      <w:r>
        <w:rPr>
          <w:rStyle w:val="CharSectno"/>
        </w:rPr>
        <w:t>9</w:t>
      </w:r>
      <w:r>
        <w:t>.</w:t>
      </w:r>
      <w:r>
        <w:tab/>
        <w:t>Authorisation to supply or use amygdalin</w:t>
      </w:r>
      <w:bookmarkEnd w:id="22"/>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3" w:name="_Toc216427769"/>
      <w:bookmarkStart w:id="24" w:name="_Toc216431203"/>
      <w:bookmarkStart w:id="25" w:name="_Toc216791300"/>
      <w:r>
        <w:rPr>
          <w:rStyle w:val="CharPartNo"/>
        </w:rPr>
        <w:lastRenderedPageBreak/>
        <w:t>Part 4</w:t>
      </w:r>
      <w:r>
        <w:t> — </w:t>
      </w:r>
      <w:r>
        <w:rPr>
          <w:rStyle w:val="CharPartText"/>
        </w:rPr>
        <w:t>Prescriptions and prescribing</w:t>
      </w:r>
      <w:bookmarkEnd w:id="23"/>
      <w:bookmarkEnd w:id="24"/>
      <w:bookmarkEnd w:id="25"/>
    </w:p>
    <w:p>
      <w:pPr>
        <w:pStyle w:val="Heading3"/>
      </w:pPr>
      <w:bookmarkStart w:id="26" w:name="_Toc216427770"/>
      <w:bookmarkStart w:id="27" w:name="_Toc216431204"/>
      <w:bookmarkStart w:id="28" w:name="_Toc216791301"/>
      <w:r>
        <w:rPr>
          <w:rStyle w:val="CharDivNo"/>
        </w:rPr>
        <w:t>Division 1</w:t>
      </w:r>
      <w:r>
        <w:t> — </w:t>
      </w:r>
      <w:r>
        <w:rPr>
          <w:rStyle w:val="CharDivText"/>
        </w:rPr>
        <w:t>Requirements for prescriptions</w:t>
      </w:r>
      <w:bookmarkEnd w:id="26"/>
      <w:bookmarkEnd w:id="27"/>
      <w:bookmarkEnd w:id="28"/>
    </w:p>
    <w:p>
      <w:pPr>
        <w:pStyle w:val="Heading5"/>
      </w:pPr>
      <w:bookmarkStart w:id="29" w:name="_Toc216791302"/>
      <w:r>
        <w:rPr>
          <w:rStyle w:val="CharSectno"/>
        </w:rPr>
        <w:t>10</w:t>
      </w:r>
      <w:r>
        <w:t>.</w:t>
      </w:r>
      <w:r>
        <w:tab/>
        <w:t>Requirements for prescriptions generally</w:t>
      </w:r>
      <w:bookmarkEnd w:id="29"/>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30" w:name="_Toc216791303"/>
      <w:r>
        <w:rPr>
          <w:rStyle w:val="CharSectno"/>
        </w:rPr>
        <w:t>11</w:t>
      </w:r>
      <w:r>
        <w:t>.</w:t>
      </w:r>
      <w:r>
        <w:tab/>
        <w:t>Form of prescription</w:t>
      </w:r>
      <w:bookmarkEnd w:id="30"/>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lastRenderedPageBreak/>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31" w:name="_Toc216791304"/>
      <w:r>
        <w:rPr>
          <w:rStyle w:val="CharSectno"/>
        </w:rPr>
        <w:lastRenderedPageBreak/>
        <w:t>12</w:t>
      </w:r>
      <w:r>
        <w:t>.</w:t>
      </w:r>
      <w:r>
        <w:tab/>
        <w:t>Medication chart for patient in hospital</w:t>
      </w:r>
      <w:bookmarkEnd w:id="31"/>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32" w:name="_Toc216791305"/>
      <w:r>
        <w:rPr>
          <w:rStyle w:val="CharSectno"/>
        </w:rPr>
        <w:t>13</w:t>
      </w:r>
      <w:r>
        <w:t>.</w:t>
      </w:r>
      <w:r>
        <w:tab/>
        <w:t>Medication chart for patient discharged from hospital</w:t>
      </w:r>
      <w:bookmarkEnd w:id="32"/>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lastRenderedPageBreak/>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33" w:name="_Toc216791306"/>
      <w:r>
        <w:rPr>
          <w:rStyle w:val="CharSectno"/>
        </w:rPr>
        <w:t>14</w:t>
      </w:r>
      <w:r>
        <w:t>.</w:t>
      </w:r>
      <w:r>
        <w:tab/>
        <w:t>Chart for person in residential care</w:t>
      </w:r>
      <w:bookmarkEnd w:id="33"/>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34" w:name="_Toc216427776"/>
      <w:bookmarkStart w:id="35" w:name="_Toc216431210"/>
      <w:bookmarkStart w:id="36" w:name="_Toc216791307"/>
      <w:r>
        <w:rPr>
          <w:rStyle w:val="CharDivNo"/>
        </w:rPr>
        <w:t>Division 2</w:t>
      </w:r>
      <w:r>
        <w:t> — </w:t>
      </w:r>
      <w:r>
        <w:rPr>
          <w:rStyle w:val="CharDivText"/>
        </w:rPr>
        <w:t>Directions by prescriber</w:t>
      </w:r>
      <w:bookmarkEnd w:id="34"/>
      <w:bookmarkEnd w:id="35"/>
      <w:bookmarkEnd w:id="36"/>
    </w:p>
    <w:p>
      <w:pPr>
        <w:pStyle w:val="Heading5"/>
        <w:rPr>
          <w:snapToGrid w:val="0"/>
        </w:rPr>
      </w:pPr>
      <w:bookmarkStart w:id="37" w:name="_Toc216791308"/>
      <w:r>
        <w:rPr>
          <w:rStyle w:val="CharSectno"/>
        </w:rPr>
        <w:t>15</w:t>
      </w:r>
      <w:r>
        <w:t>.</w:t>
      </w:r>
      <w:r>
        <w:tab/>
        <w:t>Direction by prescriber</w:t>
      </w:r>
      <w:r>
        <w:rPr>
          <w:snapToGrid w:val="0"/>
        </w:rPr>
        <w:t xml:space="preserve"> to administer medicine that is Schedule 4 or 8 poison</w:t>
      </w:r>
      <w:bookmarkEnd w:id="3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8" w:name="_Toc216791309"/>
      <w:r>
        <w:rPr>
          <w:rStyle w:val="CharSectno"/>
        </w:rPr>
        <w:t>16</w:t>
      </w:r>
      <w:r>
        <w:t>.</w:t>
      </w:r>
      <w:r>
        <w:tab/>
        <w:t>Direction by prescriber</w:t>
      </w:r>
      <w:r>
        <w:rPr>
          <w:snapToGrid w:val="0"/>
        </w:rPr>
        <w:t xml:space="preserve"> to administer medicine that is Schedule 4 or 8 poison to animal</w:t>
      </w:r>
      <w:bookmarkEnd w:id="38"/>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9" w:name="_Toc216791310"/>
      <w:r>
        <w:rPr>
          <w:rStyle w:val="CharSectno"/>
        </w:rPr>
        <w:t>16A</w:t>
      </w:r>
      <w:r>
        <w:t>.</w:t>
      </w:r>
      <w:r>
        <w:tab/>
        <w:t>Direction by prescriber to supply medicine that is Schedule 2, 3 or 4 poison</w:t>
      </w:r>
      <w:bookmarkEnd w:id="39"/>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40" w:name="_Toc216791311"/>
      <w:r>
        <w:rPr>
          <w:rStyle w:val="CharSectno"/>
        </w:rPr>
        <w:t>17</w:t>
      </w:r>
      <w:r>
        <w:t>.</w:t>
      </w:r>
      <w:r>
        <w:tab/>
        <w:t>Direction by prescriber to supply medicine that is Schedule 4 or 8 poison in emergency</w:t>
      </w:r>
      <w:bookmarkEnd w:id="40"/>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1" w:name="_Toc216427781"/>
      <w:bookmarkStart w:id="42" w:name="_Toc216431215"/>
      <w:bookmarkStart w:id="43" w:name="_Toc216791312"/>
      <w:r>
        <w:rPr>
          <w:rStyle w:val="CharDivNo"/>
        </w:rPr>
        <w:t>Division 3</w:t>
      </w:r>
      <w:r>
        <w:t> — </w:t>
      </w:r>
      <w:r>
        <w:rPr>
          <w:rStyle w:val="CharDivText"/>
        </w:rPr>
        <w:t>Electronic prescribing systems</w:t>
      </w:r>
      <w:bookmarkEnd w:id="41"/>
      <w:bookmarkEnd w:id="42"/>
      <w:bookmarkEnd w:id="43"/>
    </w:p>
    <w:p>
      <w:pPr>
        <w:pStyle w:val="Heading5"/>
      </w:pPr>
      <w:bookmarkStart w:id="44" w:name="_Toc216791313"/>
      <w:r>
        <w:rPr>
          <w:rStyle w:val="CharSectno"/>
        </w:rPr>
        <w:t>18</w:t>
      </w:r>
      <w:r>
        <w:t>.</w:t>
      </w:r>
      <w:r>
        <w:tab/>
        <w:t>Terms used</w:t>
      </w:r>
      <w:bookmarkEnd w:id="44"/>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5" w:name="_Toc216791314"/>
      <w:r>
        <w:rPr>
          <w:rStyle w:val="CharSectno"/>
        </w:rPr>
        <w:lastRenderedPageBreak/>
        <w:t>19</w:t>
      </w:r>
      <w:r>
        <w:t>.</w:t>
      </w:r>
      <w:r>
        <w:tab/>
        <w:t>Approval of electronic system</w:t>
      </w:r>
      <w:bookmarkEnd w:id="45"/>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6" w:name="_Toc216791315"/>
      <w:r>
        <w:rPr>
          <w:rStyle w:val="CharSectno"/>
        </w:rPr>
        <w:t>20</w:t>
      </w:r>
      <w:r>
        <w:t>.</w:t>
      </w:r>
      <w:r>
        <w:tab/>
      </w:r>
      <w:r>
        <w:rPr>
          <w:rStyle w:val="CharSchText"/>
        </w:rPr>
        <w:t>Criteria for electronic system</w:t>
      </w:r>
      <w:bookmarkEnd w:id="4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7" w:name="_Toc216791316"/>
      <w:r>
        <w:rPr>
          <w:rStyle w:val="CharSectno"/>
        </w:rPr>
        <w:t>21</w:t>
      </w:r>
      <w:r>
        <w:t>.</w:t>
      </w:r>
      <w:r>
        <w:tab/>
        <w:t>System to have administrator</w:t>
      </w:r>
      <w:bookmarkEnd w:id="4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8" w:name="_Toc216791317"/>
      <w:r>
        <w:rPr>
          <w:rStyle w:val="CharSectno"/>
        </w:rPr>
        <w:lastRenderedPageBreak/>
        <w:t>22</w:t>
      </w:r>
      <w:r>
        <w:t>.</w:t>
      </w:r>
      <w:r>
        <w:tab/>
        <w:t>Offences</w:t>
      </w:r>
      <w:bookmarkEnd w:id="48"/>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3"/>
      </w:pPr>
      <w:bookmarkStart w:id="49" w:name="_Toc216427787"/>
      <w:bookmarkStart w:id="50" w:name="_Toc216431221"/>
      <w:bookmarkStart w:id="51" w:name="_Toc216791318"/>
      <w:r>
        <w:rPr>
          <w:rStyle w:val="CharDivNo"/>
        </w:rPr>
        <w:lastRenderedPageBreak/>
        <w:t>Division 4</w:t>
      </w:r>
      <w:r>
        <w:t> — </w:t>
      </w:r>
      <w:r>
        <w:rPr>
          <w:rStyle w:val="CharDivText"/>
        </w:rPr>
        <w:t>Real</w:t>
      </w:r>
      <w:r>
        <w:rPr>
          <w:rStyle w:val="CharDivText"/>
        </w:rPr>
        <w:noBreakHyphen/>
        <w:t>time prescription monitoring system</w:t>
      </w:r>
      <w:bookmarkEnd w:id="49"/>
      <w:bookmarkEnd w:id="50"/>
      <w:bookmarkEnd w:id="51"/>
    </w:p>
    <w:p>
      <w:pPr>
        <w:pStyle w:val="Footnoteheading"/>
        <w:keepNext/>
      </w:pPr>
      <w:r>
        <w:tab/>
        <w:t>[Heading inserted: SL 2024/265 r. 10.]</w:t>
      </w:r>
    </w:p>
    <w:p>
      <w:pPr>
        <w:pStyle w:val="Heading5"/>
      </w:pPr>
      <w:bookmarkStart w:id="52" w:name="_Toc216791319"/>
      <w:r>
        <w:rPr>
          <w:rStyle w:val="CharSectno"/>
        </w:rPr>
        <w:t>22A</w:t>
      </w:r>
      <w:r>
        <w:t>.</w:t>
      </w:r>
      <w:r>
        <w:tab/>
        <w:t>Requirement to register with real</w:t>
      </w:r>
      <w:r>
        <w:noBreakHyphen/>
        <w:t>time prescription monitoring system</w:t>
      </w:r>
      <w:bookmarkEnd w:id="52"/>
    </w:p>
    <w:p>
      <w:pPr>
        <w:pStyle w:val="Subsection"/>
      </w:pPr>
      <w:r>
        <w:tab/>
        <w:t>(1)</w:t>
      </w:r>
      <w:r>
        <w:tab/>
        <w:t xml:space="preserve">In this regulation — </w:t>
      </w:r>
    </w:p>
    <w:p>
      <w:pPr>
        <w:pStyle w:val="Defstart"/>
      </w:pPr>
      <w:r>
        <w:tab/>
      </w:r>
      <w:r>
        <w:rPr>
          <w:rStyle w:val="CharDefText"/>
        </w:rPr>
        <w:t>real</w:t>
      </w:r>
      <w:r>
        <w:rPr>
          <w:rStyle w:val="CharDefText"/>
        </w:rPr>
        <w:noBreakHyphen/>
        <w:t>time prescription monitoring system</w:t>
      </w:r>
      <w:r>
        <w:t xml:space="preserve"> means an electronic system — </w:t>
      </w:r>
    </w:p>
    <w:p>
      <w:pPr>
        <w:pStyle w:val="Defpara"/>
      </w:pPr>
      <w:r>
        <w:tab/>
        <w:t>(a)</w:t>
      </w:r>
      <w:r>
        <w:tab/>
        <w:t>operated by or on behalf of the Department; and</w:t>
      </w:r>
    </w:p>
    <w:p>
      <w:pPr>
        <w:pStyle w:val="Defpara"/>
      </w:pPr>
      <w:r>
        <w:tab/>
        <w:t>(b)</w:t>
      </w:r>
      <w:r>
        <w:tab/>
        <w:t>used to monitor the dispensing and prescribing of relevant medicines;</w:t>
      </w:r>
    </w:p>
    <w:p>
      <w:pPr>
        <w:pStyle w:val="Defstart"/>
      </w:pPr>
      <w:r>
        <w:tab/>
      </w:r>
      <w:r>
        <w:rPr>
          <w:rStyle w:val="CharDefText"/>
        </w:rPr>
        <w:t>relevant health professional</w:t>
      </w:r>
      <w:r>
        <w:t xml:space="preserve"> means a dentist, endorsed midwife, endorsed podiatrist, medical practitioner, nurse practitioner or pharmacist;</w:t>
      </w:r>
    </w:p>
    <w:p>
      <w:pPr>
        <w:pStyle w:val="Defstart"/>
      </w:pPr>
      <w:r>
        <w:tab/>
      </w:r>
      <w:r>
        <w:rPr>
          <w:rStyle w:val="CharDefText"/>
        </w:rPr>
        <w:t>relevant medicine</w:t>
      </w:r>
      <w:r>
        <w:t xml:space="preserve"> means a medicine that is a Schedule 4 reportable poison or a Schedule 8 poison.</w:t>
      </w:r>
    </w:p>
    <w:p>
      <w:pPr>
        <w:pStyle w:val="Subsection"/>
      </w:pPr>
      <w:r>
        <w:tab/>
        <w:t>(2)</w:t>
      </w:r>
      <w:r>
        <w:tab/>
        <w:t xml:space="preserve">This regulation applies to a relevant health professional who dispenses or prescribes a relevant medicine to a patient. </w:t>
      </w:r>
    </w:p>
    <w:p>
      <w:pPr>
        <w:pStyle w:val="Subsection"/>
      </w:pPr>
      <w:r>
        <w:tab/>
        <w:t>(3)</w:t>
      </w:r>
      <w:r>
        <w:tab/>
        <w:t>Before dispensing or prescribing the medicine, the health professional must register with a real</w:t>
      </w:r>
      <w:r>
        <w:noBreakHyphen/>
        <w:t>time prescription monitoring system.</w:t>
      </w:r>
    </w:p>
    <w:p>
      <w:pPr>
        <w:pStyle w:val="Penstart"/>
      </w:pPr>
      <w:r>
        <w:tab/>
        <w:t>Penalty for this subregulation: a fine of $1 000.</w:t>
      </w:r>
    </w:p>
    <w:p>
      <w:pPr>
        <w:pStyle w:val="Footnotesection"/>
      </w:pPr>
      <w:r>
        <w:tab/>
        <w:t>[Regulation 22A inserted: SL 2024/265 r. 10.]</w:t>
      </w:r>
    </w:p>
    <w:p>
      <w:pPr>
        <w:pStyle w:val="Heading2"/>
      </w:pPr>
      <w:bookmarkStart w:id="53" w:name="_Toc216427789"/>
      <w:bookmarkStart w:id="54" w:name="_Toc216431223"/>
      <w:bookmarkStart w:id="55" w:name="_Toc216791320"/>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3"/>
      <w:bookmarkEnd w:id="54"/>
      <w:bookmarkEnd w:id="55"/>
    </w:p>
    <w:p>
      <w:pPr>
        <w:pStyle w:val="Heading5"/>
        <w:rPr>
          <w:snapToGrid w:val="0"/>
        </w:rPr>
      </w:pPr>
      <w:bookmarkStart w:id="56" w:name="_Toc216791321"/>
      <w:r>
        <w:rPr>
          <w:rStyle w:val="CharSectno"/>
        </w:rPr>
        <w:t>23</w:t>
      </w:r>
      <w:r>
        <w:t>.</w:t>
      </w:r>
      <w:r>
        <w:tab/>
        <w:t>Dispensing medicine that is Schedule 4 or 8 poison</w:t>
      </w:r>
      <w:bookmarkEnd w:id="5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57" w:name="_Toc216791322"/>
      <w:r>
        <w:rPr>
          <w:rStyle w:val="CharSectno"/>
        </w:rPr>
        <w:t>24</w:t>
      </w:r>
      <w:r>
        <w:t>.</w:t>
      </w:r>
      <w:r>
        <w:tab/>
        <w:t>Repeat dispensing of medicine that is Schedule 4 or 8 poison</w:t>
      </w:r>
      <w:bookmarkEnd w:id="57"/>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58" w:name="_Toc216791323"/>
      <w:r>
        <w:rPr>
          <w:rStyle w:val="CharSectno"/>
        </w:rPr>
        <w:t>25</w:t>
      </w:r>
      <w:r>
        <w:t>.</w:t>
      </w:r>
      <w:r>
        <w:tab/>
        <w:t>Pharmacist to confirm details of prescription for medicine that is Schedule 8 poison</w:t>
      </w:r>
      <w:bookmarkEnd w:id="58"/>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59" w:name="_Toc216791324"/>
      <w:r>
        <w:rPr>
          <w:rStyle w:val="CharSectno"/>
        </w:rPr>
        <w:t>26</w:t>
      </w:r>
      <w:r>
        <w:t>.</w:t>
      </w:r>
      <w:r>
        <w:tab/>
        <w:t>Cancelling prescription or document</w:t>
      </w:r>
      <w:bookmarkEnd w:id="59"/>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0" w:name="_Toc216791325"/>
      <w:r>
        <w:rPr>
          <w:rStyle w:val="CharSectno"/>
        </w:rPr>
        <w:t>27</w:t>
      </w:r>
      <w:r>
        <w:t>.</w:t>
      </w:r>
      <w:r>
        <w:tab/>
        <w:t>Dispensing medicine that is Schedule 8 poison to drug dependent or oversupplied person</w:t>
      </w:r>
      <w:bookmarkEnd w:id="60"/>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1" w:name="_Toc216791326"/>
      <w:r>
        <w:rPr>
          <w:rStyle w:val="CharSectno"/>
        </w:rPr>
        <w:t>28</w:t>
      </w:r>
      <w:r>
        <w:t>.</w:t>
      </w:r>
      <w:r>
        <w:tab/>
        <w:t>Dispensing opioid pharmacotherapy for drug dependent person or oversupplied person</w:t>
      </w:r>
      <w:bookmarkEnd w:id="61"/>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lastRenderedPageBreak/>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62" w:name="_Toc216791327"/>
      <w:r>
        <w:rPr>
          <w:rStyle w:val="CharSectno"/>
        </w:rPr>
        <w:t>29</w:t>
      </w:r>
      <w:r>
        <w:t>.</w:t>
      </w:r>
      <w:r>
        <w:tab/>
        <w:t>Supplying medicine that is Schedule 4 poison in emergency</w:t>
      </w:r>
      <w:bookmarkEnd w:id="6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3" w:name="_Toc216791328"/>
      <w:r>
        <w:rPr>
          <w:rStyle w:val="CharSectno"/>
        </w:rPr>
        <w:t>30</w:t>
      </w:r>
      <w:r>
        <w:t>.</w:t>
      </w:r>
      <w:r>
        <w:tab/>
        <w:t>Supplying medicine that is Schedule 4 poison for emergency veterinary use</w:t>
      </w:r>
      <w:bookmarkEnd w:id="6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lastRenderedPageBreak/>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4" w:name="_Toc216791329"/>
      <w:r>
        <w:rPr>
          <w:rStyle w:val="CharSectno"/>
        </w:rPr>
        <w:t>31</w:t>
      </w:r>
      <w:r>
        <w:t>.</w:t>
      </w:r>
      <w:r>
        <w:tab/>
        <w:t>Supplying medicine that is Schedule 4 or 8 poison on direction of prescriber</w:t>
      </w:r>
      <w:bookmarkEnd w:id="64"/>
      <w:r>
        <w:t xml:space="preserve"> </w:t>
      </w:r>
    </w:p>
    <w:p>
      <w:pPr>
        <w:pStyle w:val="Subsection"/>
      </w:pPr>
      <w:r>
        <w:tab/>
      </w:r>
      <w:r>
        <w:tab/>
        <w:t>A pharmacist may supply a medicine that is a Schedule 4 or 8 poison on a direction given under regulation 17(1).</w:t>
      </w:r>
    </w:p>
    <w:p>
      <w:pPr>
        <w:pStyle w:val="Heading5"/>
      </w:pPr>
      <w:bookmarkStart w:id="65" w:name="_Toc216791330"/>
      <w:r>
        <w:rPr>
          <w:rStyle w:val="CharSectno"/>
        </w:rPr>
        <w:t>32</w:t>
      </w:r>
      <w:r>
        <w:t>.</w:t>
      </w:r>
      <w:r>
        <w:tab/>
        <w:t>Supplying medicine that is Schedule 4 or 8 poison to authorised health professional</w:t>
      </w:r>
      <w:bookmarkEnd w:id="65"/>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6" w:name="_Toc216427800"/>
      <w:bookmarkStart w:id="67" w:name="_Toc216431234"/>
      <w:bookmarkStart w:id="68" w:name="_Toc216791331"/>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6"/>
      <w:bookmarkEnd w:id="67"/>
      <w:bookmarkEnd w:id="68"/>
    </w:p>
    <w:p>
      <w:pPr>
        <w:pStyle w:val="Heading5"/>
      </w:pPr>
      <w:bookmarkStart w:id="69" w:name="_Toc216791332"/>
      <w:r>
        <w:rPr>
          <w:rStyle w:val="CharSectno"/>
        </w:rPr>
        <w:t>33</w:t>
      </w:r>
      <w:r>
        <w:t>.</w:t>
      </w:r>
      <w:r>
        <w:tab/>
        <w:t>SASA issued by CEO</w:t>
      </w:r>
      <w:bookmarkEnd w:id="69"/>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0" w:name="_Toc216791333"/>
      <w:r>
        <w:rPr>
          <w:rStyle w:val="CharSectno"/>
        </w:rPr>
        <w:t>34</w:t>
      </w:r>
      <w:r>
        <w:t>.</w:t>
      </w:r>
      <w:r>
        <w:tab/>
        <w:t>SASA issued for health organisation</w:t>
      </w:r>
      <w:bookmarkEnd w:id="70"/>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1" w:name="_Toc216791334"/>
      <w:r>
        <w:rPr>
          <w:rStyle w:val="CharSectno"/>
        </w:rPr>
        <w:t>35</w:t>
      </w:r>
      <w:r>
        <w:t>.</w:t>
      </w:r>
      <w:r>
        <w:tab/>
        <w:t>SASA issued by medical practitioner</w:t>
      </w:r>
      <w:bookmarkEnd w:id="71"/>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2" w:name="_Toc216791335"/>
      <w:r>
        <w:rPr>
          <w:rStyle w:val="CharSectno"/>
        </w:rPr>
        <w:t>36</w:t>
      </w:r>
      <w:r>
        <w:t>.</w:t>
      </w:r>
      <w:r>
        <w:tab/>
        <w:t>Requirement for SASA applying to medicine that is Schedule 8 poison</w:t>
      </w:r>
      <w:bookmarkEnd w:id="72"/>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3" w:name="_Toc216427805"/>
      <w:bookmarkStart w:id="74" w:name="_Toc216431239"/>
      <w:bookmarkStart w:id="75" w:name="_Toc216791336"/>
      <w:r>
        <w:rPr>
          <w:rStyle w:val="CharPartNo"/>
        </w:rPr>
        <w:lastRenderedPageBreak/>
        <w:t>Part 7</w:t>
      </w:r>
      <w:r>
        <w:t> — </w:t>
      </w:r>
      <w:r>
        <w:rPr>
          <w:rStyle w:val="CharPartText"/>
        </w:rPr>
        <w:t>Authorisation of health professionals</w:t>
      </w:r>
      <w:bookmarkEnd w:id="73"/>
      <w:bookmarkEnd w:id="74"/>
      <w:bookmarkEnd w:id="75"/>
    </w:p>
    <w:p>
      <w:pPr>
        <w:pStyle w:val="Heading3"/>
      </w:pPr>
      <w:bookmarkStart w:id="76" w:name="_Toc216427806"/>
      <w:bookmarkStart w:id="77" w:name="_Toc216431240"/>
      <w:bookmarkStart w:id="78" w:name="_Toc216791337"/>
      <w:r>
        <w:rPr>
          <w:rStyle w:val="CharDivNo"/>
        </w:rPr>
        <w:t>Division 1</w:t>
      </w:r>
      <w:r>
        <w:t> — </w:t>
      </w:r>
      <w:r>
        <w:rPr>
          <w:rStyle w:val="CharDivText"/>
        </w:rPr>
        <w:t>Preliminary</w:t>
      </w:r>
      <w:bookmarkEnd w:id="76"/>
      <w:bookmarkEnd w:id="77"/>
      <w:bookmarkEnd w:id="78"/>
    </w:p>
    <w:p>
      <w:pPr>
        <w:pStyle w:val="Heading5"/>
      </w:pPr>
      <w:bookmarkStart w:id="79" w:name="_Toc216791338"/>
      <w:r>
        <w:rPr>
          <w:rStyle w:val="CharSectno"/>
        </w:rPr>
        <w:t>37</w:t>
      </w:r>
      <w:r>
        <w:t>.</w:t>
      </w:r>
      <w:r>
        <w:tab/>
        <w:t>Terms used</w:t>
      </w:r>
      <w:bookmarkEnd w:id="79"/>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lastRenderedPageBreak/>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lastRenderedPageBreak/>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lastRenderedPageBreak/>
        <w:tab/>
      </w:r>
      <w:r>
        <w:rPr>
          <w:rStyle w:val="CharDefText"/>
        </w:rPr>
        <w:t>veterinary nurse</w:t>
      </w:r>
      <w:r>
        <w:t xml:space="preserve"> has the meaning given in the </w:t>
      </w:r>
      <w:r>
        <w:rPr>
          <w:i/>
        </w:rPr>
        <w:t>Veterinary Practice Act 2021</w:t>
      </w:r>
      <w:r>
        <w:t xml:space="preserve"> section 3;</w:t>
      </w:r>
    </w:p>
    <w:p>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pPr>
        <w:pStyle w:val="Footnotesection"/>
        <w:tabs>
          <w:tab w:val="left" w:pos="630"/>
        </w:tabs>
      </w:pPr>
      <w:r>
        <w:tab/>
      </w:r>
      <w:r>
        <w:tab/>
        <w:t>[Regulation 37 amended: Gazette 13 Nov 2018 p. 4429-30; 15 Mar 2019 p. 787-8; SL 2022/93 r. 4; SL 2024/265 r. 13; SL 2025/212 r. 4.]</w:t>
      </w:r>
    </w:p>
    <w:p>
      <w:pPr>
        <w:pStyle w:val="Heading5"/>
      </w:pPr>
      <w:bookmarkStart w:id="80" w:name="_Toc216791339"/>
      <w:r>
        <w:rPr>
          <w:rStyle w:val="CharSectno"/>
        </w:rPr>
        <w:t>38</w:t>
      </w:r>
      <w:r>
        <w:t>.</w:t>
      </w:r>
      <w:r>
        <w:tab/>
        <w:t>Classes of persons prescribed as health professionals</w:t>
      </w:r>
      <w:bookmarkEnd w:id="80"/>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Indenta"/>
      </w:pPr>
      <w:r>
        <w:tab/>
        <w:t>(f)</w:t>
      </w:r>
      <w:r>
        <w:tab/>
        <w:t>VPB</w:t>
      </w:r>
      <w:r>
        <w:noBreakHyphen/>
        <w:t>authorised persons.</w:t>
      </w:r>
    </w:p>
    <w:p>
      <w:pPr>
        <w:pStyle w:val="Footnotesection"/>
        <w:tabs>
          <w:tab w:val="left" w:pos="630"/>
        </w:tabs>
      </w:pPr>
      <w:r>
        <w:tab/>
      </w:r>
      <w:r>
        <w:tab/>
        <w:t>[Regulation 38 amended: Gazette 13 Nov 2018 p. 4430; SL 2025/212 r. 5.]</w:t>
      </w:r>
    </w:p>
    <w:p>
      <w:pPr>
        <w:pStyle w:val="Heading5"/>
      </w:pPr>
      <w:bookmarkStart w:id="81" w:name="_Toc216791340"/>
      <w:r>
        <w:rPr>
          <w:rStyle w:val="CharSectno"/>
        </w:rPr>
        <w:t>39</w:t>
      </w:r>
      <w:r>
        <w:t>.</w:t>
      </w:r>
      <w:r>
        <w:tab/>
        <w:t>Veterinary medicine not for human use</w:t>
      </w:r>
      <w:bookmarkEnd w:id="81"/>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82" w:name="_Toc216791341"/>
      <w:r>
        <w:rPr>
          <w:rStyle w:val="CharSectno"/>
        </w:rPr>
        <w:t>39A</w:t>
      </w:r>
      <w:r>
        <w:t>.</w:t>
      </w:r>
      <w:r>
        <w:tab/>
        <w:t>Approval of remote clinic</w:t>
      </w:r>
      <w:bookmarkEnd w:id="82"/>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lastRenderedPageBreak/>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83" w:name="_Toc216427811"/>
      <w:bookmarkStart w:id="84" w:name="_Toc216431245"/>
      <w:bookmarkStart w:id="85" w:name="_Toc216791342"/>
      <w:r>
        <w:rPr>
          <w:rStyle w:val="CharDivNo"/>
        </w:rPr>
        <w:t>Division 2</w:t>
      </w:r>
      <w:r>
        <w:t> — </w:t>
      </w:r>
      <w:r>
        <w:rPr>
          <w:rStyle w:val="CharDivText"/>
        </w:rPr>
        <w:t>Authorisation of Aboriginal and Torres Strait Islander health professionals</w:t>
      </w:r>
      <w:bookmarkEnd w:id="83"/>
      <w:bookmarkEnd w:id="84"/>
      <w:bookmarkEnd w:id="85"/>
    </w:p>
    <w:p>
      <w:pPr>
        <w:pStyle w:val="Heading5"/>
      </w:pPr>
      <w:bookmarkStart w:id="86" w:name="_Toc216791343"/>
      <w:r>
        <w:rPr>
          <w:rStyle w:val="CharSectno"/>
        </w:rPr>
        <w:t>40</w:t>
      </w:r>
      <w:r>
        <w:t>.</w:t>
      </w:r>
      <w:r>
        <w:tab/>
        <w:t>Classes of Aboriginal and Torres Strait Islander health professional prescribed for s. 25(1)(a)</w:t>
      </w:r>
      <w:bookmarkEnd w:id="86"/>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7" w:name="_Toc216791344"/>
      <w:r>
        <w:rPr>
          <w:rStyle w:val="CharSectno"/>
        </w:rPr>
        <w:t>41</w:t>
      </w:r>
      <w:r>
        <w:t>.</w:t>
      </w:r>
      <w:r>
        <w:tab/>
        <w:t>Authorisation of Aboriginal and Torres Strait Islander health practitioners</w:t>
      </w:r>
      <w:bookmarkEnd w:id="87"/>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lastRenderedPageBreak/>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88" w:name="_Toc216791345"/>
      <w:r>
        <w:rPr>
          <w:rStyle w:val="CharSectno"/>
        </w:rPr>
        <w:t>42</w:t>
      </w:r>
      <w:r>
        <w:t>.</w:t>
      </w:r>
      <w:r>
        <w:tab/>
        <w:t xml:space="preserve">Authorisation of </w:t>
      </w:r>
      <w:r>
        <w:rPr>
          <w:rStyle w:val="CharDefText"/>
          <w:b/>
          <w:i w:val="0"/>
        </w:rPr>
        <w:t>Aboriginal and Torres Strait Islander health workers</w:t>
      </w:r>
      <w:bookmarkEnd w:id="88"/>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lastRenderedPageBreak/>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9" w:name="_Toc216427815"/>
      <w:bookmarkStart w:id="90" w:name="_Toc216431249"/>
      <w:bookmarkStart w:id="91" w:name="_Toc216791346"/>
      <w:r>
        <w:rPr>
          <w:rStyle w:val="CharDivNo"/>
        </w:rPr>
        <w:lastRenderedPageBreak/>
        <w:t>Division 3</w:t>
      </w:r>
      <w:r>
        <w:t> — </w:t>
      </w:r>
      <w:r>
        <w:rPr>
          <w:rStyle w:val="CharDivText"/>
        </w:rPr>
        <w:t>Authorisation of anaesthetic technicians</w:t>
      </w:r>
      <w:bookmarkEnd w:id="89"/>
      <w:bookmarkEnd w:id="90"/>
      <w:bookmarkEnd w:id="91"/>
    </w:p>
    <w:p>
      <w:pPr>
        <w:pStyle w:val="Heading5"/>
      </w:pPr>
      <w:bookmarkStart w:id="92" w:name="_Toc216791347"/>
      <w:r>
        <w:rPr>
          <w:rStyle w:val="CharSectno"/>
        </w:rPr>
        <w:t>43</w:t>
      </w:r>
      <w:r>
        <w:t>.</w:t>
      </w:r>
      <w:r>
        <w:tab/>
        <w:t>Anaesthetic technician prescribed for s. 25(1)(a)</w:t>
      </w:r>
      <w:bookmarkEnd w:id="92"/>
      <w:r>
        <w:t xml:space="preserve"> </w:t>
      </w:r>
    </w:p>
    <w:p>
      <w:pPr>
        <w:pStyle w:val="Subsection"/>
      </w:pPr>
      <w:r>
        <w:tab/>
      </w:r>
      <w:r>
        <w:tab/>
        <w:t>Anaesthetic technician is prescribed as a class of health professional for the purposes of section 25(1)(a).</w:t>
      </w:r>
    </w:p>
    <w:p>
      <w:pPr>
        <w:pStyle w:val="Heading5"/>
      </w:pPr>
      <w:bookmarkStart w:id="93" w:name="_Toc216791348"/>
      <w:r>
        <w:rPr>
          <w:rStyle w:val="CharSectno"/>
        </w:rPr>
        <w:t>44</w:t>
      </w:r>
      <w:r>
        <w:t>.</w:t>
      </w:r>
      <w:r>
        <w:tab/>
        <w:t>Authorisation of anaesthetic technicians</w:t>
      </w:r>
      <w:bookmarkEnd w:id="93"/>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94" w:name="_Toc216427818"/>
      <w:bookmarkStart w:id="95" w:name="_Toc216431252"/>
      <w:bookmarkStart w:id="96" w:name="_Toc216791349"/>
      <w:r>
        <w:rPr>
          <w:rStyle w:val="CharDivNo"/>
        </w:rPr>
        <w:t>Division 4</w:t>
      </w:r>
      <w:r>
        <w:t> — </w:t>
      </w:r>
      <w:r>
        <w:rPr>
          <w:rStyle w:val="CharDivText"/>
        </w:rPr>
        <w:t>Authorisation of dental professionals</w:t>
      </w:r>
      <w:bookmarkEnd w:id="94"/>
      <w:bookmarkEnd w:id="95"/>
      <w:bookmarkEnd w:id="96"/>
    </w:p>
    <w:p>
      <w:pPr>
        <w:pStyle w:val="Heading5"/>
      </w:pPr>
      <w:bookmarkStart w:id="97" w:name="_Toc216791350"/>
      <w:r>
        <w:rPr>
          <w:rStyle w:val="CharSectno"/>
        </w:rPr>
        <w:t>45</w:t>
      </w:r>
      <w:r>
        <w:t>.</w:t>
      </w:r>
      <w:r>
        <w:tab/>
        <w:t>Classes of dental professional prescribed for s. 25(1)(a)</w:t>
      </w:r>
      <w:bookmarkEnd w:id="97"/>
      <w:r>
        <w:t xml:space="preserve"> </w:t>
      </w:r>
    </w:p>
    <w:p>
      <w:pPr>
        <w:pStyle w:val="Subsection"/>
      </w:pPr>
      <w:r>
        <w:tab/>
      </w:r>
      <w:r>
        <w:tab/>
        <w:t xml:space="preserve">The following classes of health professional are prescribed for the purposes of section 25(1)(a) — </w:t>
      </w:r>
    </w:p>
    <w:p>
      <w:pPr>
        <w:pStyle w:val="Indenta"/>
      </w:pPr>
      <w:r>
        <w:lastRenderedPageBreak/>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8" w:name="_Toc216791351"/>
      <w:r>
        <w:rPr>
          <w:rStyle w:val="CharSectno"/>
        </w:rPr>
        <w:t>46</w:t>
      </w:r>
      <w:r>
        <w:t>.</w:t>
      </w:r>
      <w:r>
        <w:tab/>
        <w:t>Authorisation of dentists</w:t>
      </w:r>
      <w:bookmarkEnd w:id="98"/>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99" w:name="_Toc216791352"/>
      <w:r>
        <w:rPr>
          <w:rStyle w:val="CharSectno"/>
        </w:rPr>
        <w:t>47</w:t>
      </w:r>
      <w:r>
        <w:t>.</w:t>
      </w:r>
      <w:r>
        <w:tab/>
        <w:t>Authorisation of other dental staff</w:t>
      </w:r>
      <w:bookmarkEnd w:id="99"/>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lastRenderedPageBreak/>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0" w:name="_Toc216427822"/>
      <w:bookmarkStart w:id="101" w:name="_Toc216431256"/>
      <w:bookmarkStart w:id="102" w:name="_Toc216791353"/>
      <w:r>
        <w:rPr>
          <w:rStyle w:val="CharDivNo"/>
        </w:rPr>
        <w:t>Division 5</w:t>
      </w:r>
      <w:r>
        <w:t> — </w:t>
      </w:r>
      <w:r>
        <w:rPr>
          <w:rStyle w:val="CharDivText"/>
        </w:rPr>
        <w:t>Authorisation of first aid providers (vessel)</w:t>
      </w:r>
      <w:bookmarkEnd w:id="100"/>
      <w:bookmarkEnd w:id="101"/>
      <w:bookmarkEnd w:id="102"/>
    </w:p>
    <w:p>
      <w:pPr>
        <w:pStyle w:val="Heading5"/>
      </w:pPr>
      <w:bookmarkStart w:id="103" w:name="_Toc216791354"/>
      <w:r>
        <w:rPr>
          <w:rStyle w:val="CharSectno"/>
        </w:rPr>
        <w:t>48</w:t>
      </w:r>
      <w:r>
        <w:t>.</w:t>
      </w:r>
      <w:r>
        <w:tab/>
        <w:t>First aid provider (vessel) prescribed for s. 25(1)(a)</w:t>
      </w:r>
      <w:bookmarkEnd w:id="103"/>
      <w:r>
        <w:t xml:space="preserve"> </w:t>
      </w:r>
    </w:p>
    <w:p>
      <w:pPr>
        <w:pStyle w:val="Subsection"/>
      </w:pPr>
      <w:r>
        <w:tab/>
      </w:r>
      <w:r>
        <w:tab/>
        <w:t>First aid provider (vessel) is prescribed as a class of health professional for the purposes of section 25(1)(a).</w:t>
      </w:r>
    </w:p>
    <w:p>
      <w:pPr>
        <w:pStyle w:val="Heading5"/>
      </w:pPr>
      <w:bookmarkStart w:id="104" w:name="_Toc216791355"/>
      <w:r>
        <w:rPr>
          <w:rStyle w:val="CharSectno"/>
        </w:rPr>
        <w:t>49</w:t>
      </w:r>
      <w:r>
        <w:t>.</w:t>
      </w:r>
      <w:r>
        <w:tab/>
        <w:t>Authorisation of first aid providers (vessel)</w:t>
      </w:r>
      <w:bookmarkEnd w:id="10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 xml:space="preserve">published by the Department of </w:t>
      </w:r>
      <w:r>
        <w:lastRenderedPageBreak/>
        <w:t>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lastRenderedPageBreak/>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05" w:name="_Toc216427825"/>
      <w:bookmarkStart w:id="106" w:name="_Toc216431259"/>
      <w:bookmarkStart w:id="107" w:name="_Toc216791356"/>
      <w:r>
        <w:rPr>
          <w:rStyle w:val="CharDivNo"/>
        </w:rPr>
        <w:t>Division 6</w:t>
      </w:r>
      <w:r>
        <w:t> — </w:t>
      </w:r>
      <w:r>
        <w:rPr>
          <w:rStyle w:val="CharDivText"/>
        </w:rPr>
        <w:t>Authorisation of medical practitioners</w:t>
      </w:r>
      <w:bookmarkEnd w:id="105"/>
      <w:bookmarkEnd w:id="106"/>
      <w:bookmarkEnd w:id="107"/>
      <w:r>
        <w:t xml:space="preserve"> </w:t>
      </w:r>
    </w:p>
    <w:p>
      <w:pPr>
        <w:pStyle w:val="Heading5"/>
      </w:pPr>
      <w:bookmarkStart w:id="108" w:name="_Toc216791357"/>
      <w:r>
        <w:rPr>
          <w:rStyle w:val="CharSectno"/>
        </w:rPr>
        <w:t>50</w:t>
      </w:r>
      <w:r>
        <w:t>.</w:t>
      </w:r>
      <w:r>
        <w:tab/>
        <w:t>Medical practitioner prescribed for s. 25(1)(a)</w:t>
      </w:r>
      <w:bookmarkEnd w:id="108"/>
      <w:r>
        <w:t xml:space="preserve"> </w:t>
      </w:r>
    </w:p>
    <w:p>
      <w:pPr>
        <w:pStyle w:val="Subsection"/>
      </w:pPr>
      <w:r>
        <w:tab/>
      </w:r>
      <w:r>
        <w:tab/>
        <w:t>Medical practitioner is a class of health professional prescribed for the purposes of section 25(1)(a).</w:t>
      </w:r>
    </w:p>
    <w:p>
      <w:pPr>
        <w:pStyle w:val="Heading5"/>
      </w:pPr>
      <w:bookmarkStart w:id="109" w:name="_Toc216791358"/>
      <w:r>
        <w:rPr>
          <w:rStyle w:val="CharSectno"/>
        </w:rPr>
        <w:lastRenderedPageBreak/>
        <w:t>51</w:t>
      </w:r>
      <w:r>
        <w:t>.</w:t>
      </w:r>
      <w:r>
        <w:tab/>
        <w:t>Authorisation of medical practitioners</w:t>
      </w:r>
      <w:bookmarkEnd w:id="109"/>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10" w:name="_Toc216427828"/>
      <w:bookmarkStart w:id="111" w:name="_Toc216431262"/>
      <w:bookmarkStart w:id="112" w:name="_Toc216791359"/>
      <w:r>
        <w:rPr>
          <w:rStyle w:val="CharDivNo"/>
        </w:rPr>
        <w:t>Division 7</w:t>
      </w:r>
      <w:r>
        <w:t> — </w:t>
      </w:r>
      <w:r>
        <w:rPr>
          <w:rStyle w:val="CharDivText"/>
        </w:rPr>
        <w:t>Authorisation of nurses and midwives</w:t>
      </w:r>
      <w:bookmarkEnd w:id="110"/>
      <w:bookmarkEnd w:id="111"/>
      <w:bookmarkEnd w:id="112"/>
    </w:p>
    <w:p>
      <w:pPr>
        <w:pStyle w:val="Heading5"/>
      </w:pPr>
      <w:bookmarkStart w:id="113" w:name="_Toc216791360"/>
      <w:r>
        <w:rPr>
          <w:rStyle w:val="CharSectno"/>
        </w:rPr>
        <w:t>52</w:t>
      </w:r>
      <w:r>
        <w:t>.</w:t>
      </w:r>
      <w:r>
        <w:tab/>
        <w:t>Classes of nurse and midwife prescribed for s. 25(1)(a)</w:t>
      </w:r>
      <w:bookmarkEnd w:id="113"/>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14" w:name="_Toc216791361"/>
      <w:r>
        <w:rPr>
          <w:rStyle w:val="CharSectno"/>
        </w:rPr>
        <w:t>53</w:t>
      </w:r>
      <w:r>
        <w:t>.</w:t>
      </w:r>
      <w:r>
        <w:tab/>
        <w:t>Authorisation of nurse practitioners</w:t>
      </w:r>
      <w:bookmarkEnd w:id="11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lastRenderedPageBreak/>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15" w:name="_Toc216791362"/>
      <w:r>
        <w:rPr>
          <w:rStyle w:val="CharSectno"/>
        </w:rPr>
        <w:t>54</w:t>
      </w:r>
      <w:r>
        <w:t>.</w:t>
      </w:r>
      <w:r>
        <w:tab/>
        <w:t>Authorisation of registered nurses</w:t>
      </w:r>
      <w:bookmarkEnd w:id="115"/>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keepNext/>
      </w:pPr>
      <w:r>
        <w:lastRenderedPageBreak/>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6" w:name="_Toc216791363"/>
      <w:r>
        <w:rPr>
          <w:rStyle w:val="CharSectno"/>
        </w:rPr>
        <w:t>55</w:t>
      </w:r>
      <w:r>
        <w:t>.</w:t>
      </w:r>
      <w:r>
        <w:tab/>
        <w:t>Authorisation of enrolled nurses</w:t>
      </w:r>
      <w:bookmarkEnd w:id="11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lastRenderedPageBreak/>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17" w:name="_Toc216791364"/>
      <w:r>
        <w:rPr>
          <w:rStyle w:val="CharSectno"/>
        </w:rPr>
        <w:t>56</w:t>
      </w:r>
      <w:r>
        <w:t>.</w:t>
      </w:r>
      <w:r>
        <w:tab/>
        <w:t>Authorisation of midwives</w:t>
      </w:r>
      <w:bookmarkEnd w:id="11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keepNext/>
      </w:pPr>
      <w:r>
        <w:lastRenderedPageBreak/>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8" w:name="_Toc216791365"/>
      <w:r>
        <w:rPr>
          <w:rStyle w:val="CharSectno"/>
        </w:rPr>
        <w:lastRenderedPageBreak/>
        <w:t>57</w:t>
      </w:r>
      <w:r>
        <w:t>.</w:t>
      </w:r>
      <w:r>
        <w:tab/>
        <w:t>Authorisation of endorsed midwives</w:t>
      </w:r>
      <w:bookmarkEnd w:id="118"/>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19" w:name="_Toc216427835"/>
      <w:bookmarkStart w:id="120" w:name="_Toc216431269"/>
      <w:bookmarkStart w:id="121" w:name="_Toc216791366"/>
      <w:r>
        <w:rPr>
          <w:rStyle w:val="CharDivNo"/>
        </w:rPr>
        <w:t>Division 8</w:t>
      </w:r>
      <w:r>
        <w:t> — </w:t>
      </w:r>
      <w:r>
        <w:rPr>
          <w:rStyle w:val="CharDivText"/>
        </w:rPr>
        <w:t>Authorisation of optometrists</w:t>
      </w:r>
      <w:bookmarkEnd w:id="119"/>
      <w:bookmarkEnd w:id="120"/>
      <w:bookmarkEnd w:id="121"/>
    </w:p>
    <w:p>
      <w:pPr>
        <w:pStyle w:val="Heading5"/>
      </w:pPr>
      <w:bookmarkStart w:id="122" w:name="_Toc216791367"/>
      <w:r>
        <w:rPr>
          <w:rStyle w:val="CharSectno"/>
        </w:rPr>
        <w:t>58</w:t>
      </w:r>
      <w:r>
        <w:t>.</w:t>
      </w:r>
      <w:r>
        <w:tab/>
        <w:t>Optometrist prescribed for s. 25(1)(a)</w:t>
      </w:r>
      <w:bookmarkEnd w:id="122"/>
      <w:r>
        <w:t xml:space="preserve"> </w:t>
      </w:r>
    </w:p>
    <w:p>
      <w:pPr>
        <w:pStyle w:val="Subsection"/>
      </w:pPr>
      <w:r>
        <w:tab/>
      </w:r>
      <w:r>
        <w:tab/>
        <w:t>Optometrist is a class of health professional prescribed for the purposes of section 25(1)(a).</w:t>
      </w:r>
    </w:p>
    <w:p>
      <w:pPr>
        <w:pStyle w:val="Heading5"/>
      </w:pPr>
      <w:bookmarkStart w:id="123" w:name="_Toc216791368"/>
      <w:r>
        <w:rPr>
          <w:rStyle w:val="CharSectno"/>
        </w:rPr>
        <w:lastRenderedPageBreak/>
        <w:t>59</w:t>
      </w:r>
      <w:r>
        <w:t>.</w:t>
      </w:r>
      <w:r>
        <w:tab/>
        <w:t>Authorisation of optometrists</w:t>
      </w:r>
      <w:bookmarkEnd w:id="123"/>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24" w:name="_Toc216791369"/>
      <w:r>
        <w:rPr>
          <w:rStyle w:val="CharSectno"/>
        </w:rPr>
        <w:t>60</w:t>
      </w:r>
      <w:r>
        <w:t>.</w:t>
      </w:r>
      <w:r>
        <w:tab/>
        <w:t>Authorisation of endorsed optometrists</w:t>
      </w:r>
      <w:bookmarkEnd w:id="124"/>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w:t>
      </w:r>
      <w:r>
        <w:lastRenderedPageBreak/>
        <w:t xml:space="preserve">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25" w:name="_Toc216427839"/>
      <w:bookmarkStart w:id="126" w:name="_Toc216431273"/>
      <w:bookmarkStart w:id="127" w:name="_Toc216791370"/>
      <w:r>
        <w:rPr>
          <w:rStyle w:val="CharDivNo"/>
        </w:rPr>
        <w:t>Division 9</w:t>
      </w:r>
      <w:r>
        <w:t> — </w:t>
      </w:r>
      <w:r>
        <w:rPr>
          <w:rStyle w:val="CharDivText"/>
        </w:rPr>
        <w:t>Authorisation of paramedics</w:t>
      </w:r>
      <w:bookmarkEnd w:id="125"/>
      <w:bookmarkEnd w:id="126"/>
      <w:bookmarkEnd w:id="127"/>
    </w:p>
    <w:p>
      <w:pPr>
        <w:pStyle w:val="Heading5"/>
      </w:pPr>
      <w:bookmarkStart w:id="128" w:name="_Toc216791371"/>
      <w:r>
        <w:rPr>
          <w:rStyle w:val="CharSectno"/>
        </w:rPr>
        <w:t>61</w:t>
      </w:r>
      <w:r>
        <w:t>.</w:t>
      </w:r>
      <w:r>
        <w:tab/>
        <w:t>Paramedic prescribed for s. 25(1)(a)</w:t>
      </w:r>
      <w:bookmarkEnd w:id="128"/>
      <w:r>
        <w:t xml:space="preserve"> </w:t>
      </w:r>
    </w:p>
    <w:p>
      <w:pPr>
        <w:pStyle w:val="Subsection"/>
      </w:pPr>
      <w:r>
        <w:tab/>
      </w:r>
      <w:r>
        <w:tab/>
        <w:t>Paramedic is prescribed as a class of health professional for the purposes of section 25(1)(a).</w:t>
      </w:r>
    </w:p>
    <w:p>
      <w:pPr>
        <w:pStyle w:val="Heading5"/>
      </w:pPr>
      <w:bookmarkStart w:id="129" w:name="_Toc216791372"/>
      <w:r>
        <w:rPr>
          <w:rStyle w:val="CharSectno"/>
        </w:rPr>
        <w:t>62</w:t>
      </w:r>
      <w:r>
        <w:t>.</w:t>
      </w:r>
      <w:r>
        <w:tab/>
        <w:t>Authorisation of paramedics</w:t>
      </w:r>
      <w:bookmarkEnd w:id="129"/>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lastRenderedPageBreak/>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30" w:name="_Toc216427842"/>
      <w:bookmarkStart w:id="131" w:name="_Toc216431276"/>
      <w:bookmarkStart w:id="132" w:name="_Toc216791373"/>
      <w:r>
        <w:rPr>
          <w:rStyle w:val="CharDivNo"/>
        </w:rPr>
        <w:t>Division 9A</w:t>
      </w:r>
      <w:r>
        <w:t> — </w:t>
      </w:r>
      <w:r>
        <w:rPr>
          <w:rStyle w:val="CharDivText"/>
        </w:rPr>
        <w:t>Authorisation of medics</w:t>
      </w:r>
      <w:bookmarkEnd w:id="130"/>
      <w:bookmarkEnd w:id="131"/>
      <w:bookmarkEnd w:id="132"/>
    </w:p>
    <w:p>
      <w:pPr>
        <w:pStyle w:val="Footnoteheading"/>
      </w:pPr>
      <w:r>
        <w:tab/>
        <w:t>[Heading inserted: Gazette 13 Nov 2018 p. 4431.]</w:t>
      </w:r>
    </w:p>
    <w:p>
      <w:pPr>
        <w:pStyle w:val="Heading5"/>
      </w:pPr>
      <w:bookmarkStart w:id="133" w:name="_Toc216791374"/>
      <w:r>
        <w:rPr>
          <w:rStyle w:val="CharSectno"/>
        </w:rPr>
        <w:t>62A</w:t>
      </w:r>
      <w:r>
        <w:t>.</w:t>
      </w:r>
      <w:r>
        <w:tab/>
        <w:t>Medic prescribed for s. 25(1)(a)</w:t>
      </w:r>
      <w:bookmarkEnd w:id="133"/>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34" w:name="_Toc216791375"/>
      <w:r>
        <w:rPr>
          <w:rStyle w:val="CharSectno"/>
        </w:rPr>
        <w:t>62B</w:t>
      </w:r>
      <w:r>
        <w:t>.</w:t>
      </w:r>
      <w:r>
        <w:tab/>
        <w:t>Authorisation of medics</w:t>
      </w:r>
      <w:bookmarkEnd w:id="134"/>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lastRenderedPageBreak/>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35" w:name="_Toc216427845"/>
      <w:bookmarkStart w:id="136" w:name="_Toc216431279"/>
      <w:bookmarkStart w:id="137" w:name="_Toc216791376"/>
      <w:r>
        <w:rPr>
          <w:rStyle w:val="CharDivNo"/>
        </w:rPr>
        <w:t>Division 10</w:t>
      </w:r>
      <w:r>
        <w:t> — </w:t>
      </w:r>
      <w:r>
        <w:rPr>
          <w:rStyle w:val="CharDivText"/>
        </w:rPr>
        <w:t>Authorisation of pharmacists</w:t>
      </w:r>
      <w:bookmarkEnd w:id="135"/>
      <w:bookmarkEnd w:id="136"/>
      <w:bookmarkEnd w:id="137"/>
      <w:r>
        <w:t xml:space="preserve"> </w:t>
      </w:r>
    </w:p>
    <w:p>
      <w:pPr>
        <w:pStyle w:val="Heading5"/>
      </w:pPr>
      <w:bookmarkStart w:id="138" w:name="_Toc216791377"/>
      <w:r>
        <w:rPr>
          <w:rStyle w:val="CharSectno"/>
        </w:rPr>
        <w:t>63</w:t>
      </w:r>
      <w:r>
        <w:t>.</w:t>
      </w:r>
      <w:r>
        <w:tab/>
        <w:t>Pharmacist prescribed for s. 25(1)(a)</w:t>
      </w:r>
      <w:bookmarkEnd w:id="138"/>
      <w:r>
        <w:t xml:space="preserve"> </w:t>
      </w:r>
    </w:p>
    <w:p>
      <w:pPr>
        <w:pStyle w:val="Subsection"/>
      </w:pPr>
      <w:r>
        <w:tab/>
      </w:r>
      <w:r>
        <w:tab/>
        <w:t>Pharmacist is prescribed as a class of health professional for the purposes of section 25(1)(a).</w:t>
      </w:r>
    </w:p>
    <w:p>
      <w:pPr>
        <w:pStyle w:val="Heading5"/>
      </w:pPr>
      <w:bookmarkStart w:id="139" w:name="_Toc216791378"/>
      <w:r>
        <w:rPr>
          <w:rStyle w:val="CharSectno"/>
        </w:rPr>
        <w:t>64</w:t>
      </w:r>
      <w:r>
        <w:t>.</w:t>
      </w:r>
      <w:r>
        <w:tab/>
        <w:t>Authorisation of pharmacists</w:t>
      </w:r>
      <w:bookmarkEnd w:id="139"/>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lastRenderedPageBreak/>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lastRenderedPageBreak/>
        <w:tab/>
        <w:t>(b)</w:t>
      </w:r>
      <w:r>
        <w:tab/>
        <w:t>is to an authorised health professional in accordance with regulation 32.</w:t>
      </w:r>
    </w:p>
    <w:p>
      <w:pPr>
        <w:pStyle w:val="Heading3"/>
      </w:pPr>
      <w:bookmarkStart w:id="140" w:name="_Toc216427848"/>
      <w:bookmarkStart w:id="141" w:name="_Toc216431282"/>
      <w:bookmarkStart w:id="142" w:name="_Toc216791379"/>
      <w:r>
        <w:rPr>
          <w:rStyle w:val="CharDivNo"/>
        </w:rPr>
        <w:t>Division 11</w:t>
      </w:r>
      <w:r>
        <w:t> — </w:t>
      </w:r>
      <w:r>
        <w:rPr>
          <w:rStyle w:val="CharDivText"/>
        </w:rPr>
        <w:t>Authorisation of podiatrists</w:t>
      </w:r>
      <w:bookmarkEnd w:id="140"/>
      <w:bookmarkEnd w:id="141"/>
      <w:bookmarkEnd w:id="142"/>
    </w:p>
    <w:p>
      <w:pPr>
        <w:pStyle w:val="Heading5"/>
      </w:pPr>
      <w:bookmarkStart w:id="143" w:name="_Toc216791380"/>
      <w:r>
        <w:rPr>
          <w:rStyle w:val="CharSectno"/>
        </w:rPr>
        <w:t>65</w:t>
      </w:r>
      <w:r>
        <w:t>.</w:t>
      </w:r>
      <w:r>
        <w:tab/>
        <w:t>Podiatrist prescribed for s. 25(1)(a)</w:t>
      </w:r>
      <w:bookmarkEnd w:id="143"/>
      <w:r>
        <w:t xml:space="preserve"> </w:t>
      </w:r>
    </w:p>
    <w:p>
      <w:pPr>
        <w:pStyle w:val="Subsection"/>
      </w:pPr>
      <w:r>
        <w:tab/>
      </w:r>
      <w:r>
        <w:tab/>
        <w:t>Podiatrist is a class of health professional prescribed for the purposes of section 25(1)(a).</w:t>
      </w:r>
    </w:p>
    <w:p>
      <w:pPr>
        <w:pStyle w:val="Heading5"/>
      </w:pPr>
      <w:bookmarkStart w:id="144" w:name="_Toc216791381"/>
      <w:r>
        <w:rPr>
          <w:rStyle w:val="CharSectno"/>
        </w:rPr>
        <w:t>66</w:t>
      </w:r>
      <w:r>
        <w:t>.</w:t>
      </w:r>
      <w:r>
        <w:tab/>
        <w:t>Authorisation of podiatrists</w:t>
      </w:r>
      <w:bookmarkEnd w:id="14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 xml:space="preserve">The possession by a podiatrist of a medicine that is a Schedule 4 poison is subject to the condition that the possession is for the </w:t>
      </w:r>
      <w:r>
        <w:lastRenderedPageBreak/>
        <w:t>purpose of administering or supplying the medicine in accordance with this regulation.</w:t>
      </w:r>
    </w:p>
    <w:p>
      <w:pPr>
        <w:pStyle w:val="Heading5"/>
      </w:pPr>
      <w:bookmarkStart w:id="145" w:name="_Toc216791382"/>
      <w:r>
        <w:rPr>
          <w:rStyle w:val="CharSectno"/>
        </w:rPr>
        <w:t>67</w:t>
      </w:r>
      <w:r>
        <w:t>.</w:t>
      </w:r>
      <w:r>
        <w:tab/>
        <w:t>Authorisation of endorsed podiatrists</w:t>
      </w:r>
      <w:bookmarkEnd w:id="145"/>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6" w:name="_Toc216427852"/>
      <w:bookmarkStart w:id="147" w:name="_Toc216431286"/>
      <w:bookmarkStart w:id="148" w:name="_Toc216791383"/>
      <w:r>
        <w:rPr>
          <w:rStyle w:val="CharDivNo"/>
        </w:rPr>
        <w:lastRenderedPageBreak/>
        <w:t>Division 12</w:t>
      </w:r>
      <w:r>
        <w:t> — </w:t>
      </w:r>
      <w:r>
        <w:rPr>
          <w:rStyle w:val="CharDivText"/>
        </w:rPr>
        <w:t>Authorisation of veterinary professionals</w:t>
      </w:r>
      <w:bookmarkEnd w:id="146"/>
      <w:bookmarkEnd w:id="147"/>
      <w:bookmarkEnd w:id="148"/>
      <w:r>
        <w:t xml:space="preserve"> </w:t>
      </w:r>
    </w:p>
    <w:p>
      <w:pPr>
        <w:pStyle w:val="Heading5"/>
      </w:pPr>
      <w:bookmarkStart w:id="149" w:name="_Toc216791384"/>
      <w:r>
        <w:rPr>
          <w:rStyle w:val="CharSectno"/>
        </w:rPr>
        <w:t>68</w:t>
      </w:r>
      <w:r>
        <w:t>.</w:t>
      </w:r>
      <w:r>
        <w:tab/>
        <w:t>Classes of veterinary professional prescribed for s. 25(1)(a)</w:t>
      </w:r>
      <w:bookmarkEnd w:id="149"/>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Indenta"/>
      </w:pPr>
      <w:r>
        <w:tab/>
        <w:t>(c)</w:t>
      </w:r>
      <w:r>
        <w:tab/>
        <w:t>VPB</w:t>
      </w:r>
      <w:r>
        <w:noBreakHyphen/>
        <w:t>authorised person.</w:t>
      </w:r>
    </w:p>
    <w:p>
      <w:pPr>
        <w:pStyle w:val="Footnotesection"/>
      </w:pPr>
      <w:r>
        <w:tab/>
        <w:t>[Regulation 68 amended: SL 2022/93 r. 5; SL 2025/212 r. 6.]</w:t>
      </w:r>
    </w:p>
    <w:p>
      <w:pPr>
        <w:pStyle w:val="Heading5"/>
      </w:pPr>
      <w:bookmarkStart w:id="150" w:name="_Toc216791385"/>
      <w:r>
        <w:rPr>
          <w:rStyle w:val="CharSectno"/>
        </w:rPr>
        <w:t>69</w:t>
      </w:r>
      <w:r>
        <w:t>.</w:t>
      </w:r>
      <w:r>
        <w:tab/>
        <w:t>Authorisation of veterinarians</w:t>
      </w:r>
      <w:bookmarkEnd w:id="150"/>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51" w:name="_Toc216791386"/>
      <w:r>
        <w:rPr>
          <w:rStyle w:val="CharSectno"/>
        </w:rPr>
        <w:t>70</w:t>
      </w:r>
      <w:r>
        <w:t>.</w:t>
      </w:r>
      <w:r>
        <w:tab/>
        <w:t>Authorisation of veterinary nurses</w:t>
      </w:r>
      <w:bookmarkEnd w:id="151"/>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5"/>
      </w:pPr>
      <w:bookmarkStart w:id="152" w:name="_Toc216354237"/>
      <w:bookmarkStart w:id="153" w:name="_Toc216354427"/>
      <w:bookmarkStart w:id="154" w:name="_Toc216791387"/>
      <w:r>
        <w:rPr>
          <w:rStyle w:val="CharSectno"/>
        </w:rPr>
        <w:t>70A</w:t>
      </w:r>
      <w:r>
        <w:t>.</w:t>
      </w:r>
      <w:r>
        <w:tab/>
        <w:t>Authorisation of VPB</w:t>
      </w:r>
      <w:r>
        <w:noBreakHyphen/>
        <w:t>authorised persons</w:t>
      </w:r>
      <w:bookmarkEnd w:id="152"/>
      <w:bookmarkEnd w:id="153"/>
      <w:bookmarkEnd w:id="154"/>
    </w:p>
    <w:p>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possession by a VPB</w:t>
      </w:r>
      <w:r>
        <w:noBreakHyphen/>
        <w:t>authorised person of a medicine that is a Schedule 4 poison is subject to the condition that the possession is for the purpose of administering the medicine.</w:t>
      </w:r>
    </w:p>
    <w:p>
      <w:pPr>
        <w:pStyle w:val="Subsection"/>
      </w:pPr>
      <w:r>
        <w:tab/>
        <w:t>(3)</w:t>
      </w:r>
      <w:r>
        <w:tab/>
        <w:t>The possession by a VPB</w:t>
      </w:r>
      <w:r>
        <w:noBreakHyphen/>
        <w:t>authorised person of a medicine that is a Schedule 4 poison is subject to the condition that the medicine was supplied by a veterinarian.</w:t>
      </w:r>
    </w:p>
    <w:p>
      <w:pPr>
        <w:pStyle w:val="Footnotesection"/>
      </w:pPr>
      <w:r>
        <w:tab/>
        <w:t>[Regulation 70A inserted: SL 2025/212 r. 7.]</w:t>
      </w:r>
    </w:p>
    <w:p>
      <w:pPr>
        <w:pStyle w:val="Heading2"/>
      </w:pPr>
      <w:bookmarkStart w:id="155" w:name="_Toc216427856"/>
      <w:bookmarkStart w:id="156" w:name="_Toc216431291"/>
      <w:bookmarkStart w:id="157" w:name="_Toc216791388"/>
      <w:r>
        <w:rPr>
          <w:rStyle w:val="CharPartNo"/>
        </w:rPr>
        <w:lastRenderedPageBreak/>
        <w:t>Part 8</w:t>
      </w:r>
      <w:r>
        <w:t> — </w:t>
      </w:r>
      <w:r>
        <w:rPr>
          <w:rStyle w:val="CharPartText"/>
        </w:rPr>
        <w:t>Licences and permits</w:t>
      </w:r>
      <w:bookmarkEnd w:id="155"/>
      <w:bookmarkEnd w:id="156"/>
      <w:bookmarkEnd w:id="157"/>
    </w:p>
    <w:p>
      <w:pPr>
        <w:pStyle w:val="Heading3"/>
      </w:pPr>
      <w:bookmarkStart w:id="158" w:name="_Toc216427857"/>
      <w:bookmarkStart w:id="159" w:name="_Toc216431292"/>
      <w:bookmarkStart w:id="160" w:name="_Toc216791389"/>
      <w:r>
        <w:rPr>
          <w:rStyle w:val="CharDivNo"/>
        </w:rPr>
        <w:t>Division 1</w:t>
      </w:r>
      <w:r>
        <w:t> — </w:t>
      </w:r>
      <w:r>
        <w:rPr>
          <w:rStyle w:val="CharDivText"/>
        </w:rPr>
        <w:t>Preliminary</w:t>
      </w:r>
      <w:bookmarkEnd w:id="158"/>
      <w:bookmarkEnd w:id="159"/>
      <w:bookmarkEnd w:id="160"/>
    </w:p>
    <w:p>
      <w:pPr>
        <w:pStyle w:val="Heading5"/>
      </w:pPr>
      <w:bookmarkStart w:id="161" w:name="_Toc216791390"/>
      <w:r>
        <w:rPr>
          <w:rStyle w:val="CharSectno"/>
        </w:rPr>
        <w:t>71</w:t>
      </w:r>
      <w:r>
        <w:t>.</w:t>
      </w:r>
      <w:r>
        <w:tab/>
        <w:t>Term used: specified</w:t>
      </w:r>
      <w:bookmarkEnd w:id="161"/>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62" w:name="_Toc216791391"/>
      <w:r>
        <w:rPr>
          <w:rStyle w:val="CharSectno"/>
        </w:rPr>
        <w:t>72</w:t>
      </w:r>
      <w:r>
        <w:t>.</w:t>
      </w:r>
      <w:r>
        <w:tab/>
        <w:t>Purposes for licence or permit for Schedule 9 poison</w:t>
      </w:r>
      <w:bookmarkEnd w:id="162"/>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63" w:name="_Toc216791392"/>
      <w:r>
        <w:rPr>
          <w:rStyle w:val="CharSectno"/>
        </w:rPr>
        <w:t>73</w:t>
      </w:r>
      <w:r>
        <w:t>.</w:t>
      </w:r>
      <w:r>
        <w:tab/>
        <w:t>Information to be recorded in register for licences and permits</w:t>
      </w:r>
      <w:bookmarkEnd w:id="163"/>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64" w:name="_Toc216427861"/>
      <w:bookmarkStart w:id="165" w:name="_Toc216431296"/>
      <w:bookmarkStart w:id="166" w:name="_Toc216791393"/>
      <w:r>
        <w:rPr>
          <w:rStyle w:val="CharDivNo"/>
        </w:rPr>
        <w:t>Division 2</w:t>
      </w:r>
      <w:r>
        <w:t> — </w:t>
      </w:r>
      <w:r>
        <w:rPr>
          <w:rStyle w:val="CharDivText"/>
        </w:rPr>
        <w:t>Licences</w:t>
      </w:r>
      <w:bookmarkEnd w:id="164"/>
      <w:bookmarkEnd w:id="165"/>
      <w:bookmarkEnd w:id="166"/>
    </w:p>
    <w:p>
      <w:pPr>
        <w:pStyle w:val="Heading5"/>
      </w:pPr>
      <w:bookmarkStart w:id="167" w:name="_Toc216791394"/>
      <w:r>
        <w:rPr>
          <w:rStyle w:val="CharSectno"/>
        </w:rPr>
        <w:t>74</w:t>
      </w:r>
      <w:r>
        <w:t>.</w:t>
      </w:r>
      <w:r>
        <w:tab/>
        <w:t>Types of licence</w:t>
      </w:r>
      <w:bookmarkEnd w:id="167"/>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68" w:name="_Toc216791395"/>
      <w:r>
        <w:rPr>
          <w:rStyle w:val="CharSectno"/>
        </w:rPr>
        <w:t>75</w:t>
      </w:r>
      <w:r>
        <w:t>.</w:t>
      </w:r>
      <w:r>
        <w:tab/>
        <w:t>Condition on Schedule 7 retail licence: records to be kept</w:t>
      </w:r>
      <w:bookmarkEnd w:id="16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69" w:name="_Toc216791396"/>
      <w:r>
        <w:rPr>
          <w:rStyle w:val="CharSectno"/>
        </w:rPr>
        <w:t>76</w:t>
      </w:r>
      <w:r>
        <w:t>.</w:t>
      </w:r>
      <w:r>
        <w:tab/>
        <w:t>Condition on wholesaler’s/manufacturer’s licence: responsible person</w:t>
      </w:r>
      <w:bookmarkEnd w:id="169"/>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70" w:name="_Toc216791397"/>
      <w:r>
        <w:rPr>
          <w:rStyle w:val="CharSectno"/>
        </w:rPr>
        <w:t>77</w:t>
      </w:r>
      <w:r>
        <w:t>.</w:t>
      </w:r>
      <w:r>
        <w:tab/>
        <w:t>Condition on wholesaler’s/manufacturer’s licence: supply of Schedule 4 or 8 poison</w:t>
      </w:r>
      <w:bookmarkEnd w:id="170"/>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71" w:name="_Toc216791398"/>
      <w:r>
        <w:rPr>
          <w:rStyle w:val="CharSectno"/>
        </w:rPr>
        <w:t>78</w:t>
      </w:r>
      <w:r>
        <w:t>.</w:t>
      </w:r>
      <w:r>
        <w:tab/>
        <w:t>Condition on wholesaler’s/manufacturer’s licence: records to be kept for Schedule 2, 3, 4 or 7 poisons</w:t>
      </w:r>
      <w:bookmarkEnd w:id="171"/>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72" w:name="_Toc216427867"/>
      <w:bookmarkStart w:id="173" w:name="_Toc216431302"/>
      <w:bookmarkStart w:id="174" w:name="_Toc216791399"/>
      <w:r>
        <w:rPr>
          <w:rStyle w:val="CharDivNo"/>
        </w:rPr>
        <w:t>Division 3</w:t>
      </w:r>
      <w:r>
        <w:t> — </w:t>
      </w:r>
      <w:r>
        <w:rPr>
          <w:rStyle w:val="CharDivText"/>
        </w:rPr>
        <w:t>Permits</w:t>
      </w:r>
      <w:bookmarkEnd w:id="172"/>
      <w:bookmarkEnd w:id="173"/>
      <w:bookmarkEnd w:id="174"/>
    </w:p>
    <w:p>
      <w:pPr>
        <w:pStyle w:val="Heading5"/>
      </w:pPr>
      <w:bookmarkStart w:id="175" w:name="_Toc216791400"/>
      <w:r>
        <w:rPr>
          <w:rStyle w:val="CharSectno"/>
        </w:rPr>
        <w:t>79</w:t>
      </w:r>
      <w:r>
        <w:t>.</w:t>
      </w:r>
      <w:r>
        <w:tab/>
        <w:t>Types of permit</w:t>
      </w:r>
      <w:bookmarkEnd w:id="175"/>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76" w:name="_Toc216791401"/>
      <w:r>
        <w:rPr>
          <w:rStyle w:val="CharSectno"/>
        </w:rPr>
        <w:t>80</w:t>
      </w:r>
      <w:r>
        <w:t>.</w:t>
      </w:r>
      <w:r>
        <w:tab/>
        <w:t>Condition on stockfeed manufacture permit: stockfeed mix containing antibiotic or sulphonamide</w:t>
      </w:r>
      <w:bookmarkEnd w:id="176"/>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177" w:name="_Toc216791402"/>
      <w:r>
        <w:rPr>
          <w:rStyle w:val="CharSectno"/>
        </w:rPr>
        <w:t>81</w:t>
      </w:r>
      <w:r>
        <w:t>.</w:t>
      </w:r>
      <w:r>
        <w:tab/>
        <w:t>Conditions on pharmaceutical samples permit</w:t>
      </w:r>
      <w:bookmarkEnd w:id="177"/>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78" w:name="_Toc216427871"/>
      <w:bookmarkStart w:id="179" w:name="_Toc216431306"/>
      <w:bookmarkStart w:id="180" w:name="_Toc216791403"/>
      <w:r>
        <w:rPr>
          <w:rStyle w:val="CharPartNo"/>
        </w:rPr>
        <w:lastRenderedPageBreak/>
        <w:t>Part 9</w:t>
      </w:r>
      <w:r>
        <w:t> — </w:t>
      </w:r>
      <w:r>
        <w:rPr>
          <w:rStyle w:val="CharPartText"/>
        </w:rPr>
        <w:t>Requirements relating to manufacture, supply, handling, storage, transport and disposal of poisons</w:t>
      </w:r>
      <w:bookmarkEnd w:id="178"/>
      <w:bookmarkEnd w:id="179"/>
      <w:bookmarkEnd w:id="180"/>
    </w:p>
    <w:p>
      <w:pPr>
        <w:pStyle w:val="Heading3"/>
      </w:pPr>
      <w:bookmarkStart w:id="181" w:name="_Toc216427872"/>
      <w:bookmarkStart w:id="182" w:name="_Toc216431307"/>
      <w:bookmarkStart w:id="183" w:name="_Toc216791404"/>
      <w:r>
        <w:rPr>
          <w:rStyle w:val="CharDivNo"/>
        </w:rPr>
        <w:t>Division 1</w:t>
      </w:r>
      <w:r>
        <w:t> — </w:t>
      </w:r>
      <w:r>
        <w:rPr>
          <w:rStyle w:val="CharDivText"/>
        </w:rPr>
        <w:t>General requirements for containers and labels</w:t>
      </w:r>
      <w:bookmarkEnd w:id="181"/>
      <w:bookmarkEnd w:id="182"/>
      <w:bookmarkEnd w:id="183"/>
    </w:p>
    <w:p>
      <w:pPr>
        <w:pStyle w:val="Heading5"/>
        <w:rPr>
          <w:snapToGrid w:val="0"/>
        </w:rPr>
      </w:pPr>
      <w:bookmarkStart w:id="184" w:name="_Toc216791405"/>
      <w:r>
        <w:rPr>
          <w:rStyle w:val="CharSectno"/>
        </w:rPr>
        <w:t>82</w:t>
      </w:r>
      <w:r>
        <w:t>.</w:t>
      </w:r>
      <w:r>
        <w:tab/>
        <w:t>Container and its labels to comply with current Poisons Standard</w:t>
      </w:r>
      <w:bookmarkEnd w:id="184"/>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85" w:name="_Toc216791406"/>
      <w:r>
        <w:rPr>
          <w:rStyle w:val="CharSectno"/>
        </w:rPr>
        <w:t>83</w:t>
      </w:r>
      <w:r>
        <w:t>.</w:t>
      </w:r>
      <w:r>
        <w:tab/>
      </w:r>
      <w:r>
        <w:rPr>
          <w:snapToGrid w:val="0"/>
        </w:rPr>
        <w:t>Use of certain containers prohibited</w:t>
      </w:r>
      <w:bookmarkEnd w:id="185"/>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86" w:name="_Toc216791407"/>
      <w:r>
        <w:rPr>
          <w:rStyle w:val="CharSectno"/>
        </w:rPr>
        <w:lastRenderedPageBreak/>
        <w:t>84</w:t>
      </w:r>
      <w:r>
        <w:t>.</w:t>
      </w:r>
      <w:r>
        <w:tab/>
        <w:t xml:space="preserve">Authorisation of </w:t>
      </w:r>
      <w:r>
        <w:rPr>
          <w:snapToGrid w:val="0"/>
        </w:rPr>
        <w:t>container or label</w:t>
      </w:r>
      <w:bookmarkEnd w:id="186"/>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87" w:name="_Toc216791408"/>
      <w:r>
        <w:rPr>
          <w:rStyle w:val="CharSectno"/>
        </w:rPr>
        <w:t>85</w:t>
      </w:r>
      <w:r>
        <w:t>.</w:t>
      </w:r>
      <w:r>
        <w:tab/>
      </w:r>
      <w:r>
        <w:rPr>
          <w:snapToGrid w:val="0"/>
        </w:rPr>
        <w:t>Suspending or prohibiting use of container or label</w:t>
      </w:r>
      <w:bookmarkEnd w:id="187"/>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88" w:name="_Toc216427877"/>
      <w:bookmarkStart w:id="189" w:name="_Toc216431312"/>
      <w:bookmarkStart w:id="190" w:name="_Toc216791409"/>
      <w:r>
        <w:rPr>
          <w:rStyle w:val="CharDivNo"/>
        </w:rPr>
        <w:lastRenderedPageBreak/>
        <w:t>Division 2</w:t>
      </w:r>
      <w:r>
        <w:t> — </w:t>
      </w:r>
      <w:r>
        <w:rPr>
          <w:rStyle w:val="CharDivText"/>
        </w:rPr>
        <w:t>Requirements for medicine that is Schedule 2 poison</w:t>
      </w:r>
      <w:bookmarkEnd w:id="188"/>
      <w:bookmarkEnd w:id="189"/>
      <w:bookmarkEnd w:id="190"/>
    </w:p>
    <w:p>
      <w:pPr>
        <w:pStyle w:val="Heading5"/>
      </w:pPr>
      <w:bookmarkStart w:id="191" w:name="_Toc216791410"/>
      <w:r>
        <w:rPr>
          <w:rStyle w:val="CharSectno"/>
        </w:rPr>
        <w:t>86</w:t>
      </w:r>
      <w:r>
        <w:t>.</w:t>
      </w:r>
      <w:r>
        <w:tab/>
        <w:t>Storage of medicine that is Schedule 2 poison</w:t>
      </w:r>
      <w:bookmarkEnd w:id="191"/>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92" w:name="_Toc216427879"/>
      <w:bookmarkStart w:id="193" w:name="_Toc216431314"/>
      <w:bookmarkStart w:id="194" w:name="_Toc216791411"/>
      <w:r>
        <w:rPr>
          <w:rStyle w:val="CharDivNo"/>
        </w:rPr>
        <w:t>Division 3</w:t>
      </w:r>
      <w:r>
        <w:t> — </w:t>
      </w:r>
      <w:r>
        <w:rPr>
          <w:rStyle w:val="CharDivText"/>
        </w:rPr>
        <w:t>Requirements for medicine that is Schedule 3 poison</w:t>
      </w:r>
      <w:bookmarkEnd w:id="192"/>
      <w:bookmarkEnd w:id="193"/>
      <w:bookmarkEnd w:id="194"/>
    </w:p>
    <w:p>
      <w:pPr>
        <w:pStyle w:val="Heading5"/>
      </w:pPr>
      <w:bookmarkStart w:id="195" w:name="_Toc216791412"/>
      <w:r>
        <w:rPr>
          <w:rStyle w:val="CharSectno"/>
        </w:rPr>
        <w:t>87</w:t>
      </w:r>
      <w:r>
        <w:t>.</w:t>
      </w:r>
      <w:r>
        <w:tab/>
        <w:t>Storage of medicine that is Schedule 3 poison</w:t>
      </w:r>
      <w:bookmarkEnd w:id="195"/>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lastRenderedPageBreak/>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96" w:name="_Toc216791413"/>
      <w:r>
        <w:rPr>
          <w:rStyle w:val="CharSectno"/>
        </w:rPr>
        <w:t>88</w:t>
      </w:r>
      <w:r>
        <w:t>.</w:t>
      </w:r>
      <w:r>
        <w:tab/>
        <w:t>Supply by retail sale of medicine that is Schedule 3 poison</w:t>
      </w:r>
      <w:bookmarkEnd w:id="196"/>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97" w:name="_Toc216791414"/>
      <w:r>
        <w:rPr>
          <w:rStyle w:val="CharSectno"/>
        </w:rPr>
        <w:lastRenderedPageBreak/>
        <w:t>89</w:t>
      </w:r>
      <w:r>
        <w:t>.</w:t>
      </w:r>
      <w:r>
        <w:tab/>
        <w:t>Advertising medicine that is Schedule 3 poison</w:t>
      </w:r>
      <w:bookmarkEnd w:id="197"/>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198" w:name="_Toc216427883"/>
      <w:bookmarkStart w:id="199" w:name="_Toc216431318"/>
      <w:bookmarkStart w:id="200" w:name="_Toc216791415"/>
      <w:r>
        <w:rPr>
          <w:rStyle w:val="CharDivNo"/>
        </w:rPr>
        <w:t>Division 4</w:t>
      </w:r>
      <w:r>
        <w:t> — </w:t>
      </w:r>
      <w:r>
        <w:rPr>
          <w:rStyle w:val="CharDivText"/>
        </w:rPr>
        <w:t>Requirements for medicine that is Schedule 4 poison</w:t>
      </w:r>
      <w:bookmarkEnd w:id="198"/>
      <w:bookmarkEnd w:id="199"/>
      <w:bookmarkEnd w:id="200"/>
    </w:p>
    <w:p>
      <w:pPr>
        <w:pStyle w:val="Heading5"/>
      </w:pPr>
      <w:bookmarkStart w:id="201" w:name="_Toc216791416"/>
      <w:r>
        <w:rPr>
          <w:rStyle w:val="CharSectno"/>
        </w:rPr>
        <w:t>90</w:t>
      </w:r>
      <w:r>
        <w:t>.</w:t>
      </w:r>
      <w:r>
        <w:tab/>
        <w:t>Storage of medicine that is Schedule 4 poison</w:t>
      </w:r>
      <w:bookmarkEnd w:id="201"/>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02" w:name="_Toc216791417"/>
      <w:r>
        <w:rPr>
          <w:rStyle w:val="CharSectno"/>
        </w:rPr>
        <w:t>91</w:t>
      </w:r>
      <w:r>
        <w:t>.</w:t>
      </w:r>
      <w:r>
        <w:tab/>
        <w:t>Advertising medicine that is Schedule 4 poison</w:t>
      </w:r>
      <w:bookmarkEnd w:id="202"/>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03" w:name="_Toc216427886"/>
      <w:bookmarkStart w:id="204" w:name="_Toc216431321"/>
      <w:bookmarkStart w:id="205" w:name="_Toc216791418"/>
      <w:r>
        <w:rPr>
          <w:rStyle w:val="CharDivNo"/>
        </w:rPr>
        <w:t>Division 5</w:t>
      </w:r>
      <w:r>
        <w:t> — </w:t>
      </w:r>
      <w:r>
        <w:rPr>
          <w:rStyle w:val="CharDivText"/>
        </w:rPr>
        <w:t>Requirements for Schedule 5, 6 or 7 poison</w:t>
      </w:r>
      <w:bookmarkEnd w:id="203"/>
      <w:bookmarkEnd w:id="204"/>
      <w:bookmarkEnd w:id="205"/>
    </w:p>
    <w:p>
      <w:pPr>
        <w:pStyle w:val="Heading5"/>
      </w:pPr>
      <w:bookmarkStart w:id="206" w:name="_Toc216791419"/>
      <w:r>
        <w:rPr>
          <w:rStyle w:val="CharSectno"/>
        </w:rPr>
        <w:t>92</w:t>
      </w:r>
      <w:r>
        <w:t>.</w:t>
      </w:r>
      <w:r>
        <w:tab/>
        <w:t>Storage, transport and disposal of Schedule 5, 6 or 7 poison</w:t>
      </w:r>
      <w:bookmarkEnd w:id="206"/>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207" w:name="_Toc216791420"/>
      <w:r>
        <w:rPr>
          <w:rStyle w:val="CharSectno"/>
        </w:rPr>
        <w:lastRenderedPageBreak/>
        <w:t>93</w:t>
      </w:r>
      <w:r>
        <w:t>.</w:t>
      </w:r>
      <w:r>
        <w:tab/>
        <w:t>Manufacture and supply of Schedule 5, 6 or 7 poison</w:t>
      </w:r>
      <w:bookmarkEnd w:id="207"/>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208" w:name="_Toc216427889"/>
      <w:bookmarkStart w:id="209" w:name="_Toc216431324"/>
      <w:bookmarkStart w:id="210" w:name="_Toc216791421"/>
      <w:r>
        <w:rPr>
          <w:rStyle w:val="CharDivNo"/>
        </w:rPr>
        <w:t>Division 6</w:t>
      </w:r>
      <w:r>
        <w:t> — </w:t>
      </w:r>
      <w:r>
        <w:rPr>
          <w:rStyle w:val="CharDivText"/>
        </w:rPr>
        <w:t>Requirements for medicine that is Schedule 8 poison or for Schedule 9 poison</w:t>
      </w:r>
      <w:bookmarkEnd w:id="208"/>
      <w:bookmarkEnd w:id="209"/>
      <w:bookmarkEnd w:id="210"/>
    </w:p>
    <w:p>
      <w:pPr>
        <w:pStyle w:val="Heading4"/>
      </w:pPr>
      <w:bookmarkStart w:id="211" w:name="_Toc216427890"/>
      <w:bookmarkStart w:id="212" w:name="_Toc216431325"/>
      <w:bookmarkStart w:id="213" w:name="_Toc216791422"/>
      <w:r>
        <w:t>Subdivision 1 — Preliminary</w:t>
      </w:r>
      <w:bookmarkEnd w:id="211"/>
      <w:bookmarkEnd w:id="212"/>
      <w:bookmarkEnd w:id="213"/>
    </w:p>
    <w:p>
      <w:pPr>
        <w:pStyle w:val="Heading5"/>
      </w:pPr>
      <w:bookmarkStart w:id="214" w:name="_Toc216791423"/>
      <w:r>
        <w:rPr>
          <w:rStyle w:val="CharSectno"/>
        </w:rPr>
        <w:t>94</w:t>
      </w:r>
      <w:r>
        <w:t>.</w:t>
      </w:r>
      <w:r>
        <w:tab/>
        <w:t>Terms used</w:t>
      </w:r>
      <w:bookmarkEnd w:id="214"/>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15" w:name="_Toc216427892"/>
      <w:bookmarkStart w:id="216" w:name="_Toc216431327"/>
      <w:bookmarkStart w:id="217" w:name="_Toc216791424"/>
      <w:r>
        <w:t>Subdivision 2 — Requirements for medicine that is Schedule 8 poison</w:t>
      </w:r>
      <w:bookmarkEnd w:id="215"/>
      <w:bookmarkEnd w:id="216"/>
      <w:bookmarkEnd w:id="217"/>
    </w:p>
    <w:p>
      <w:pPr>
        <w:pStyle w:val="Heading5"/>
      </w:pPr>
      <w:bookmarkStart w:id="218" w:name="_Toc216791425"/>
      <w:r>
        <w:rPr>
          <w:rStyle w:val="CharSectno"/>
        </w:rPr>
        <w:t>95</w:t>
      </w:r>
      <w:r>
        <w:t>.</w:t>
      </w:r>
      <w:r>
        <w:tab/>
      </w:r>
      <w:r>
        <w:rPr>
          <w:snapToGrid w:val="0"/>
        </w:rPr>
        <w:t>Storage and carriage of medicine that is Schedule 8 poison: authorised health professional or permit holder</w:t>
      </w:r>
      <w:bookmarkEnd w:id="218"/>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9" w:name="_Toc216791426"/>
      <w:r>
        <w:rPr>
          <w:rStyle w:val="CharSectno"/>
        </w:rPr>
        <w:lastRenderedPageBreak/>
        <w:t>96</w:t>
      </w:r>
      <w:r>
        <w:t>.</w:t>
      </w:r>
      <w:r>
        <w:tab/>
        <w:t>Storage of medicine that is Schedule 8 poison: pharmacy</w:t>
      </w:r>
      <w:bookmarkEnd w:id="219"/>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20" w:name="_Toc216791427"/>
      <w:r>
        <w:rPr>
          <w:rStyle w:val="CharSectno"/>
        </w:rPr>
        <w:t>97</w:t>
      </w:r>
      <w:r>
        <w:t>.</w:t>
      </w:r>
      <w:r>
        <w:tab/>
      </w:r>
      <w:r>
        <w:rPr>
          <w:snapToGrid w:val="0"/>
        </w:rPr>
        <w:t>Storage of medicine that is Schedule 8 poison: hospital</w:t>
      </w:r>
      <w:bookmarkEnd w:id="220"/>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21" w:name="_Toc216791428"/>
      <w:r>
        <w:rPr>
          <w:rStyle w:val="CharSectno"/>
        </w:rPr>
        <w:lastRenderedPageBreak/>
        <w:t>98</w:t>
      </w:r>
      <w:r>
        <w:t>.</w:t>
      </w:r>
      <w:r>
        <w:tab/>
        <w:t>Storage of medicine that is Schedule 8 poison: licensed premises</w:t>
      </w:r>
      <w:bookmarkEnd w:id="22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22" w:name="_Toc216791429"/>
      <w:r>
        <w:rPr>
          <w:rStyle w:val="CharSectno"/>
        </w:rPr>
        <w:t>99</w:t>
      </w:r>
      <w:r>
        <w:t>.</w:t>
      </w:r>
      <w:r>
        <w:tab/>
      </w:r>
      <w:r>
        <w:rPr>
          <w:snapToGrid w:val="0"/>
        </w:rPr>
        <w:t>Packaging medicine that is Schedule 8 poison for transport</w:t>
      </w:r>
      <w:bookmarkEnd w:id="222"/>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23" w:name="_Toc216791430"/>
      <w:r>
        <w:rPr>
          <w:rStyle w:val="CharSectno"/>
        </w:rPr>
        <w:t>100</w:t>
      </w:r>
      <w:r>
        <w:t>.</w:t>
      </w:r>
      <w:r>
        <w:tab/>
        <w:t>Advertising medicine that is Schedule 8 poison</w:t>
      </w:r>
      <w:bookmarkEnd w:id="22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24" w:name="_Toc216427899"/>
      <w:bookmarkStart w:id="225" w:name="_Toc216431334"/>
      <w:bookmarkStart w:id="226" w:name="_Toc216791431"/>
      <w:r>
        <w:t>Subdivision 3 — Requirements for Schedule 9 poison</w:t>
      </w:r>
      <w:bookmarkEnd w:id="224"/>
      <w:bookmarkEnd w:id="225"/>
      <w:bookmarkEnd w:id="226"/>
    </w:p>
    <w:p>
      <w:pPr>
        <w:pStyle w:val="Heading5"/>
      </w:pPr>
      <w:bookmarkStart w:id="227" w:name="_Toc216791432"/>
      <w:r>
        <w:rPr>
          <w:rStyle w:val="CharSectno"/>
        </w:rPr>
        <w:t>101</w:t>
      </w:r>
      <w:r>
        <w:t>.</w:t>
      </w:r>
      <w:r>
        <w:tab/>
        <w:t>Storage of Schedule 9 poison</w:t>
      </w:r>
      <w:bookmarkEnd w:id="227"/>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28" w:name="_Toc216427901"/>
      <w:bookmarkStart w:id="229" w:name="_Toc216431336"/>
      <w:bookmarkStart w:id="230" w:name="_Toc216791433"/>
      <w:r>
        <w:t>Subdivision 4 — Approval of alternative storage arrangement</w:t>
      </w:r>
      <w:bookmarkEnd w:id="228"/>
      <w:bookmarkEnd w:id="229"/>
      <w:bookmarkEnd w:id="230"/>
    </w:p>
    <w:p>
      <w:pPr>
        <w:pStyle w:val="Heading5"/>
      </w:pPr>
      <w:bookmarkStart w:id="231" w:name="_Toc216791434"/>
      <w:r>
        <w:rPr>
          <w:rStyle w:val="CharSectno"/>
        </w:rPr>
        <w:t>102</w:t>
      </w:r>
      <w:r>
        <w:t>.</w:t>
      </w:r>
      <w:r>
        <w:tab/>
        <w:t>Approval of alternative storage arrangement for medicine that is Schedule 8 poison or for Schedule 9 poison</w:t>
      </w:r>
      <w:bookmarkEnd w:id="231"/>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32" w:name="_Toc216427903"/>
      <w:bookmarkStart w:id="233" w:name="_Toc216431338"/>
      <w:bookmarkStart w:id="234" w:name="_Toc216791435"/>
      <w:r>
        <w:rPr>
          <w:rStyle w:val="CharDivNo"/>
        </w:rPr>
        <w:t>Division 7</w:t>
      </w:r>
      <w:r>
        <w:t> — </w:t>
      </w:r>
      <w:r>
        <w:rPr>
          <w:rStyle w:val="CharDivText"/>
        </w:rPr>
        <w:t>Vending machines</w:t>
      </w:r>
      <w:bookmarkEnd w:id="232"/>
      <w:bookmarkEnd w:id="233"/>
      <w:bookmarkEnd w:id="234"/>
    </w:p>
    <w:p>
      <w:pPr>
        <w:pStyle w:val="Heading5"/>
      </w:pPr>
      <w:bookmarkStart w:id="235" w:name="_Toc216791436"/>
      <w:r>
        <w:rPr>
          <w:rStyle w:val="CharSectno"/>
        </w:rPr>
        <w:t>103</w:t>
      </w:r>
      <w:r>
        <w:t>.</w:t>
      </w:r>
      <w:r>
        <w:tab/>
        <w:t>Supply of medicine from vending machine</w:t>
      </w:r>
      <w:bookmarkEnd w:id="235"/>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36" w:name="_Toc216791437"/>
      <w:r>
        <w:rPr>
          <w:rStyle w:val="CharSectno"/>
        </w:rPr>
        <w:lastRenderedPageBreak/>
        <w:t>104</w:t>
      </w:r>
      <w:r>
        <w:t>.</w:t>
      </w:r>
      <w:r>
        <w:tab/>
        <w:t>Placement of vending machine</w:t>
      </w:r>
      <w:bookmarkEnd w:id="236"/>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37" w:name="_Toc216791438"/>
      <w:r>
        <w:rPr>
          <w:rStyle w:val="CharSectno"/>
        </w:rPr>
        <w:t>105</w:t>
      </w:r>
      <w:r>
        <w:t>.</w:t>
      </w:r>
      <w:r>
        <w:tab/>
        <w:t>Approval of placement of vending machine</w:t>
      </w:r>
      <w:bookmarkEnd w:id="237"/>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38" w:name="_Toc216427907"/>
      <w:bookmarkStart w:id="239" w:name="_Toc216431342"/>
      <w:bookmarkStart w:id="240" w:name="_Toc216791439"/>
      <w:r>
        <w:rPr>
          <w:rStyle w:val="CharDivNo"/>
        </w:rPr>
        <w:t>Division 8</w:t>
      </w:r>
      <w:r>
        <w:t> — </w:t>
      </w:r>
      <w:r>
        <w:rPr>
          <w:rStyle w:val="CharDivText"/>
        </w:rPr>
        <w:t>Miscellaneous</w:t>
      </w:r>
      <w:bookmarkEnd w:id="238"/>
      <w:bookmarkEnd w:id="239"/>
      <w:bookmarkEnd w:id="240"/>
    </w:p>
    <w:p>
      <w:pPr>
        <w:pStyle w:val="Heading5"/>
        <w:keepNext w:val="0"/>
        <w:keepLines w:val="0"/>
        <w:rPr>
          <w:snapToGrid w:val="0"/>
        </w:rPr>
      </w:pPr>
      <w:bookmarkStart w:id="241" w:name="_Toc216791440"/>
      <w:r>
        <w:rPr>
          <w:rStyle w:val="CharSectno"/>
        </w:rPr>
        <w:t>106</w:t>
      </w:r>
      <w:r>
        <w:t>.</w:t>
      </w:r>
      <w:r>
        <w:tab/>
        <w:t>CEO to be notified of l</w:t>
      </w:r>
      <w:r>
        <w:rPr>
          <w:snapToGrid w:val="0"/>
        </w:rPr>
        <w:t>oss or theft of certain poisons</w:t>
      </w:r>
      <w:bookmarkEnd w:id="241"/>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42" w:name="_Toc216791441"/>
      <w:r>
        <w:rPr>
          <w:rStyle w:val="CharSectno"/>
        </w:rPr>
        <w:t>107</w:t>
      </w:r>
      <w:r>
        <w:t>.</w:t>
      </w:r>
      <w:r>
        <w:tab/>
        <w:t>CEO may give direction about storage or use of poison</w:t>
      </w:r>
      <w:bookmarkEnd w:id="242"/>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43" w:name="_Toc216427910"/>
      <w:bookmarkStart w:id="244" w:name="_Toc216431345"/>
      <w:bookmarkStart w:id="245" w:name="_Toc216791442"/>
      <w:r>
        <w:rPr>
          <w:rStyle w:val="CharPartNo"/>
        </w:rPr>
        <w:lastRenderedPageBreak/>
        <w:t>Part 10</w:t>
      </w:r>
      <w:r>
        <w:rPr>
          <w:rStyle w:val="CharDivNo"/>
        </w:rPr>
        <w:t> </w:t>
      </w:r>
      <w:r>
        <w:t>—</w:t>
      </w:r>
      <w:r>
        <w:rPr>
          <w:rStyle w:val="CharDivText"/>
        </w:rPr>
        <w:t> </w:t>
      </w:r>
      <w:r>
        <w:rPr>
          <w:rStyle w:val="CharPartText"/>
        </w:rPr>
        <w:t>Needle and syringe programmes</w:t>
      </w:r>
      <w:bookmarkEnd w:id="243"/>
      <w:bookmarkEnd w:id="244"/>
      <w:bookmarkEnd w:id="245"/>
    </w:p>
    <w:p>
      <w:pPr>
        <w:pStyle w:val="Heading5"/>
        <w:rPr>
          <w:snapToGrid w:val="0"/>
        </w:rPr>
      </w:pPr>
      <w:bookmarkStart w:id="246" w:name="_Toc216791443"/>
      <w:r>
        <w:rPr>
          <w:rStyle w:val="CharSectno"/>
        </w:rPr>
        <w:t>108</w:t>
      </w:r>
      <w:r>
        <w:t>.</w:t>
      </w:r>
      <w:r>
        <w:tab/>
      </w:r>
      <w:r>
        <w:rPr>
          <w:snapToGrid w:val="0"/>
        </w:rPr>
        <w:t>Approval of needle and syringe programme</w:t>
      </w:r>
      <w:bookmarkEnd w:id="24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47" w:name="_Toc216791444"/>
      <w:r>
        <w:rPr>
          <w:rStyle w:val="CharSectno"/>
        </w:rPr>
        <w:lastRenderedPageBreak/>
        <w:t>109</w:t>
      </w:r>
      <w:r>
        <w:t>.</w:t>
      </w:r>
      <w:r>
        <w:tab/>
      </w:r>
      <w:r>
        <w:rPr>
          <w:snapToGrid w:val="0"/>
        </w:rPr>
        <w:t>Copy of approval to be provided to programme coordinator</w:t>
      </w:r>
      <w:bookmarkEnd w:id="247"/>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48" w:name="_Toc216791445"/>
      <w:r>
        <w:rPr>
          <w:rStyle w:val="CharSectno"/>
        </w:rPr>
        <w:t>110</w:t>
      </w:r>
      <w:r>
        <w:t>.</w:t>
      </w:r>
      <w:r>
        <w:tab/>
        <w:t>Condition of approval: p</w:t>
      </w:r>
      <w:r>
        <w:rPr>
          <w:snapToGrid w:val="0"/>
        </w:rPr>
        <w:t>rogramme coordinator’s duties</w:t>
      </w:r>
      <w:bookmarkEnd w:id="248"/>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9" w:name="_Toc216791446"/>
      <w:r>
        <w:rPr>
          <w:rStyle w:val="CharSectno"/>
        </w:rPr>
        <w:t>111</w:t>
      </w:r>
      <w:r>
        <w:t>.</w:t>
      </w:r>
      <w:r>
        <w:tab/>
      </w:r>
      <w:r>
        <w:rPr>
          <w:snapToGrid w:val="0"/>
        </w:rPr>
        <w:t>Condition of approval: used needles and syringes</w:t>
      </w:r>
      <w:bookmarkEnd w:id="249"/>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50" w:name="_Toc216791447"/>
      <w:r>
        <w:rPr>
          <w:rStyle w:val="CharSectno"/>
        </w:rPr>
        <w:lastRenderedPageBreak/>
        <w:t>112</w:t>
      </w:r>
      <w:r>
        <w:t>.</w:t>
      </w:r>
      <w:r>
        <w:tab/>
      </w:r>
      <w:r>
        <w:rPr>
          <w:snapToGrid w:val="0"/>
        </w:rPr>
        <w:t>Condition of approval: conduct of programme</w:t>
      </w:r>
      <w:bookmarkEnd w:id="250"/>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51" w:name="_Toc216791448"/>
      <w:r>
        <w:rPr>
          <w:rStyle w:val="CharSectno"/>
        </w:rPr>
        <w:t>113</w:t>
      </w:r>
      <w:r>
        <w:t>.</w:t>
      </w:r>
      <w:r>
        <w:tab/>
        <w:t>Breach of condition of approval</w:t>
      </w:r>
      <w:bookmarkEnd w:id="251"/>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52" w:name="_Toc216427917"/>
      <w:bookmarkStart w:id="253" w:name="_Toc216431352"/>
      <w:bookmarkStart w:id="254" w:name="_Toc216791449"/>
      <w:r>
        <w:rPr>
          <w:rStyle w:val="CharPartNo"/>
        </w:rPr>
        <w:lastRenderedPageBreak/>
        <w:t>Part 11</w:t>
      </w:r>
      <w:r>
        <w:t> — </w:t>
      </w:r>
      <w:r>
        <w:rPr>
          <w:rStyle w:val="CharPartText"/>
        </w:rPr>
        <w:t>Prescription and supply of medicines that are Schedule 4 reportable poisons or Schedule 8 poisons</w:t>
      </w:r>
      <w:bookmarkEnd w:id="252"/>
      <w:bookmarkEnd w:id="253"/>
      <w:bookmarkEnd w:id="254"/>
    </w:p>
    <w:p>
      <w:pPr>
        <w:pStyle w:val="Footnoteheading"/>
      </w:pPr>
      <w:r>
        <w:tab/>
        <w:t>[Heading inserted: SL 2024/265 r. 15.]</w:t>
      </w:r>
    </w:p>
    <w:p>
      <w:pPr>
        <w:pStyle w:val="Heading3"/>
      </w:pPr>
      <w:bookmarkStart w:id="255" w:name="_Toc216427918"/>
      <w:bookmarkStart w:id="256" w:name="_Toc216431353"/>
      <w:bookmarkStart w:id="257" w:name="_Toc216791450"/>
      <w:r>
        <w:rPr>
          <w:rStyle w:val="CharDivNo"/>
        </w:rPr>
        <w:t>Division 1</w:t>
      </w:r>
      <w:r>
        <w:t> — </w:t>
      </w:r>
      <w:r>
        <w:rPr>
          <w:rStyle w:val="CharDivText"/>
        </w:rPr>
        <w:t>Preliminary</w:t>
      </w:r>
      <w:bookmarkEnd w:id="255"/>
      <w:bookmarkEnd w:id="256"/>
      <w:bookmarkEnd w:id="257"/>
    </w:p>
    <w:p>
      <w:pPr>
        <w:pStyle w:val="Heading5"/>
      </w:pPr>
      <w:bookmarkStart w:id="258" w:name="_Toc216791451"/>
      <w:r>
        <w:rPr>
          <w:rStyle w:val="CharSectno"/>
        </w:rPr>
        <w:t>114</w:t>
      </w:r>
      <w:r>
        <w:t>.</w:t>
      </w:r>
      <w:r>
        <w:tab/>
        <w:t>Terms used</w:t>
      </w:r>
      <w:bookmarkEnd w:id="258"/>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259" w:name="_Toc216791452"/>
      <w:r>
        <w:rPr>
          <w:rStyle w:val="CharSectno"/>
        </w:rPr>
        <w:lastRenderedPageBreak/>
        <w:t>115</w:t>
      </w:r>
      <w:r>
        <w:t>.</w:t>
      </w:r>
      <w:r>
        <w:tab/>
        <w:t>Application of Part</w:t>
      </w:r>
      <w:bookmarkEnd w:id="259"/>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260" w:name="_Toc216427921"/>
      <w:bookmarkStart w:id="261" w:name="_Toc216431356"/>
      <w:bookmarkStart w:id="262" w:name="_Toc216791453"/>
      <w:r>
        <w:rPr>
          <w:rStyle w:val="CharDivNo"/>
        </w:rPr>
        <w:t>Division 2</w:t>
      </w:r>
      <w:r>
        <w:t> — </w:t>
      </w:r>
      <w:r>
        <w:rPr>
          <w:rStyle w:val="CharDivText"/>
        </w:rPr>
        <w:t>General requirements</w:t>
      </w:r>
      <w:bookmarkEnd w:id="260"/>
      <w:bookmarkEnd w:id="261"/>
      <w:bookmarkEnd w:id="262"/>
    </w:p>
    <w:p>
      <w:pPr>
        <w:pStyle w:val="Heading5"/>
      </w:pPr>
      <w:bookmarkStart w:id="263" w:name="_Toc216791454"/>
      <w:r>
        <w:rPr>
          <w:rStyle w:val="CharSectno"/>
        </w:rPr>
        <w:t>116</w:t>
      </w:r>
      <w:r>
        <w:t>.</w:t>
      </w:r>
      <w:r>
        <w:tab/>
        <w:t>Requirements for prescription or supply of medicine that is Schedule 4 reportable poison or Schedule 8 poison</w:t>
      </w:r>
      <w:bookmarkEnd w:id="263"/>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264" w:name="_Toc216791455"/>
      <w:r>
        <w:rPr>
          <w:rStyle w:val="CharSectno"/>
        </w:rPr>
        <w:lastRenderedPageBreak/>
        <w:t>117</w:t>
      </w:r>
      <w:r>
        <w:t>.</w:t>
      </w:r>
      <w:r>
        <w:tab/>
        <w:t>Administration, prescription or supply of medicine that is Schedule 8 poison to drug dependent person or oversupplied person</w:t>
      </w:r>
      <w:bookmarkEnd w:id="264"/>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65" w:name="_Toc216791456"/>
      <w:r>
        <w:rPr>
          <w:rStyle w:val="CharSectno"/>
        </w:rPr>
        <w:t>118</w:t>
      </w:r>
      <w:r>
        <w:t>.</w:t>
      </w:r>
      <w:r>
        <w:tab/>
        <w:t>CEO may authorise prescribing of specified medicine that is Schedule 8 poison to specified patient</w:t>
      </w:r>
      <w:bookmarkEnd w:id="26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r>
        <w:t>[Division 3 (r. 119</w:t>
      </w:r>
      <w:r>
        <w:noBreakHyphen/>
        <w:t>124) deleted: SL 2024/265 r. 19.]</w:t>
      </w:r>
    </w:p>
    <w:p>
      <w:pPr>
        <w:pStyle w:val="Heading3"/>
      </w:pPr>
      <w:bookmarkStart w:id="266" w:name="_Toc216427925"/>
      <w:bookmarkStart w:id="267" w:name="_Toc216431360"/>
      <w:bookmarkStart w:id="268" w:name="_Toc216791457"/>
      <w:r>
        <w:rPr>
          <w:rStyle w:val="CharDivNo"/>
        </w:rPr>
        <w:t>Division 4</w:t>
      </w:r>
      <w:r>
        <w:t> — </w:t>
      </w:r>
      <w:r>
        <w:rPr>
          <w:rStyle w:val="CharDivText"/>
        </w:rPr>
        <w:t>Authorising prescription or supply of stimulant</w:t>
      </w:r>
      <w:bookmarkEnd w:id="266"/>
      <w:bookmarkEnd w:id="267"/>
      <w:bookmarkEnd w:id="268"/>
    </w:p>
    <w:p>
      <w:pPr>
        <w:pStyle w:val="Heading5"/>
      </w:pPr>
      <w:bookmarkStart w:id="269" w:name="_Toc216791458"/>
      <w:r>
        <w:rPr>
          <w:rStyle w:val="CharSectno"/>
        </w:rPr>
        <w:t>125</w:t>
      </w:r>
      <w:r>
        <w:t>.</w:t>
      </w:r>
      <w:r>
        <w:tab/>
        <w:t>Terms used</w:t>
      </w:r>
      <w:bookmarkEnd w:id="269"/>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270" w:name="_Toc216791459"/>
      <w:r>
        <w:rPr>
          <w:rStyle w:val="CharSectno"/>
        </w:rPr>
        <w:t>126</w:t>
      </w:r>
      <w:r>
        <w:t>.</w:t>
      </w:r>
      <w:r>
        <w:tab/>
        <w:t>Prescribing or supplying stimulant</w:t>
      </w:r>
      <w:bookmarkEnd w:id="270"/>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lastRenderedPageBreak/>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lastRenderedPageBreak/>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271" w:name="_Toc216791460"/>
      <w:r>
        <w:rPr>
          <w:rStyle w:val="CharSectno"/>
        </w:rPr>
        <w:t>127</w:t>
      </w:r>
      <w:r>
        <w:t>.</w:t>
      </w:r>
      <w:r>
        <w:tab/>
        <w:t>Approval of stimulant clinic</w:t>
      </w:r>
      <w:bookmarkEnd w:id="271"/>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2" w:name="_Toc216791461"/>
      <w:r>
        <w:rPr>
          <w:rStyle w:val="CharSectno"/>
        </w:rPr>
        <w:t>128</w:t>
      </w:r>
      <w:r>
        <w:t>.</w:t>
      </w:r>
      <w:r>
        <w:tab/>
      </w:r>
      <w:r>
        <w:rPr>
          <w:snapToGrid w:val="0"/>
        </w:rPr>
        <w:t>Designating stimulant prescriber</w:t>
      </w:r>
      <w:bookmarkEnd w:id="272"/>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lastRenderedPageBreak/>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273" w:name="_Toc216791462"/>
      <w:r>
        <w:rPr>
          <w:rStyle w:val="CharSectno"/>
        </w:rPr>
        <w:t>130</w:t>
      </w:r>
      <w:r>
        <w:t>.</w:t>
      </w:r>
      <w:r>
        <w:tab/>
        <w:t>Stimulant prescriber to notify CEO if patient’s stimulant treatment stops</w:t>
      </w:r>
      <w:bookmarkEnd w:id="273"/>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274" w:name="_Toc216427931"/>
      <w:bookmarkStart w:id="275" w:name="_Toc216431366"/>
      <w:bookmarkStart w:id="276" w:name="_Toc216791463"/>
      <w:r>
        <w:rPr>
          <w:rStyle w:val="CharDivNo"/>
        </w:rPr>
        <w:lastRenderedPageBreak/>
        <w:t>Division 5</w:t>
      </w:r>
      <w:r>
        <w:t> — </w:t>
      </w:r>
      <w:r>
        <w:rPr>
          <w:rStyle w:val="CharDivText"/>
        </w:rPr>
        <w:t>Authorising prescription or supply of opioid pharmacotherapy for treatment of drug dependency</w:t>
      </w:r>
      <w:bookmarkEnd w:id="274"/>
      <w:bookmarkEnd w:id="275"/>
      <w:bookmarkEnd w:id="276"/>
    </w:p>
    <w:p>
      <w:pPr>
        <w:pStyle w:val="Heading4"/>
      </w:pPr>
      <w:bookmarkStart w:id="277" w:name="_Toc216427932"/>
      <w:bookmarkStart w:id="278" w:name="_Toc216431367"/>
      <w:bookmarkStart w:id="279" w:name="_Toc216791464"/>
      <w:r>
        <w:t>Subdivision 1 — Preliminary</w:t>
      </w:r>
      <w:bookmarkEnd w:id="277"/>
      <w:bookmarkEnd w:id="278"/>
      <w:bookmarkEnd w:id="279"/>
    </w:p>
    <w:p>
      <w:pPr>
        <w:pStyle w:val="Heading5"/>
      </w:pPr>
      <w:bookmarkStart w:id="280" w:name="_Toc216791465"/>
      <w:r>
        <w:rPr>
          <w:rStyle w:val="CharSectno"/>
        </w:rPr>
        <w:t>133</w:t>
      </w:r>
      <w:r>
        <w:t>.</w:t>
      </w:r>
      <w:r>
        <w:tab/>
        <w:t>Terms used</w:t>
      </w:r>
      <w:bookmarkEnd w:id="280"/>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1" w:name="_Toc216791466"/>
      <w:r>
        <w:rPr>
          <w:rStyle w:val="CharSectno"/>
        </w:rPr>
        <w:t>134</w:t>
      </w:r>
      <w:r>
        <w:t>.</w:t>
      </w:r>
      <w:r>
        <w:tab/>
        <w:t>Designation of opioid pharmacotherapy</w:t>
      </w:r>
      <w:r>
        <w:rPr>
          <w:snapToGrid w:val="0"/>
        </w:rPr>
        <w:t xml:space="preserve"> prescriber, specialist prescriber and detoxification prescriber</w:t>
      </w:r>
      <w:bookmarkEnd w:id="281"/>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2" w:name="_Toc216427935"/>
      <w:bookmarkStart w:id="283" w:name="_Toc216431370"/>
      <w:bookmarkStart w:id="284" w:name="_Toc216791467"/>
      <w:r>
        <w:t>Subdivision 2 — Detoxification treatment using opioid pharmacotherapy</w:t>
      </w:r>
      <w:bookmarkEnd w:id="282"/>
      <w:bookmarkEnd w:id="283"/>
      <w:bookmarkEnd w:id="284"/>
    </w:p>
    <w:p>
      <w:pPr>
        <w:pStyle w:val="Heading5"/>
      </w:pPr>
      <w:bookmarkStart w:id="285" w:name="_Toc216791468"/>
      <w:r>
        <w:rPr>
          <w:rStyle w:val="CharSectno"/>
        </w:rPr>
        <w:t>135</w:t>
      </w:r>
      <w:r>
        <w:t>.</w:t>
      </w:r>
      <w:r>
        <w:tab/>
        <w:t>Detoxification treatment using opioid pharmacotherapy</w:t>
      </w:r>
      <w:bookmarkEnd w:id="285"/>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86" w:name="_Toc216791469"/>
      <w:r>
        <w:rPr>
          <w:rStyle w:val="CharSectno"/>
        </w:rPr>
        <w:t>136</w:t>
      </w:r>
      <w:r>
        <w:t>.</w:t>
      </w:r>
      <w:r>
        <w:tab/>
        <w:t>Current detoxification prescriber for patient</w:t>
      </w:r>
      <w:bookmarkEnd w:id="286"/>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87" w:name="_Toc216427938"/>
      <w:bookmarkStart w:id="288" w:name="_Toc216431373"/>
      <w:bookmarkStart w:id="289" w:name="_Toc216791470"/>
      <w:r>
        <w:t xml:space="preserve">Subdivision 3 — Opioid </w:t>
      </w:r>
      <w:r>
        <w:rPr>
          <w:snapToGrid w:val="0"/>
        </w:rPr>
        <w:t>pharmacotherapy</w:t>
      </w:r>
      <w:r>
        <w:t xml:space="preserve"> for treatment of drug dependency</w:t>
      </w:r>
      <w:bookmarkEnd w:id="287"/>
      <w:bookmarkEnd w:id="288"/>
      <w:bookmarkEnd w:id="289"/>
    </w:p>
    <w:p>
      <w:pPr>
        <w:pStyle w:val="Heading5"/>
        <w:rPr>
          <w:snapToGrid w:val="0"/>
        </w:rPr>
      </w:pPr>
      <w:bookmarkStart w:id="290" w:name="_Toc216791471"/>
      <w:r>
        <w:rPr>
          <w:rStyle w:val="CharSectno"/>
        </w:rPr>
        <w:t>137</w:t>
      </w:r>
      <w:r>
        <w:t>.</w:t>
      </w:r>
      <w:r>
        <w:tab/>
        <w:t>Appointing opioid pharmacotherapy</w:t>
      </w:r>
      <w:r>
        <w:rPr>
          <w:snapToGrid w:val="0"/>
        </w:rPr>
        <w:t xml:space="preserve"> prescriber for drug dependent person</w:t>
      </w:r>
      <w:bookmarkEnd w:id="290"/>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1" w:name="_Toc216791472"/>
      <w:r>
        <w:rPr>
          <w:rStyle w:val="CharSectno"/>
        </w:rPr>
        <w:t>138</w:t>
      </w:r>
      <w:r>
        <w:t>.</w:t>
      </w:r>
      <w:r>
        <w:tab/>
        <w:t>Appointing co</w:t>
      </w:r>
      <w:r>
        <w:noBreakHyphen/>
        <w:t xml:space="preserve">prescriber </w:t>
      </w:r>
      <w:r>
        <w:rPr>
          <w:snapToGrid w:val="0"/>
        </w:rPr>
        <w:t>for drug dependent person</w:t>
      </w:r>
      <w:bookmarkEnd w:id="291"/>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2" w:name="_Toc216791473"/>
      <w:r>
        <w:rPr>
          <w:rStyle w:val="CharSectno"/>
        </w:rPr>
        <w:t>139</w:t>
      </w:r>
      <w:r>
        <w:t>.</w:t>
      </w:r>
      <w:r>
        <w:tab/>
        <w:t xml:space="preserve">Prescribing opioid </w:t>
      </w:r>
      <w:r>
        <w:rPr>
          <w:snapToGrid w:val="0"/>
        </w:rPr>
        <w:t>pharmacotherapy</w:t>
      </w:r>
      <w:r>
        <w:t xml:space="preserve"> for treatment of drug dependency</w:t>
      </w:r>
      <w:bookmarkEnd w:id="292"/>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3" w:name="_Toc216791474"/>
      <w:r>
        <w:rPr>
          <w:rStyle w:val="CharSectno"/>
        </w:rPr>
        <w:t>140</w:t>
      </w:r>
      <w:r>
        <w:t>.</w:t>
      </w:r>
      <w:r>
        <w:tab/>
        <w:t xml:space="preserve">Prescribing opioid </w:t>
      </w:r>
      <w:r>
        <w:rPr>
          <w:snapToGrid w:val="0"/>
        </w:rPr>
        <w:t>pharmacotherapy</w:t>
      </w:r>
      <w:r>
        <w:t xml:space="preserve"> for treatment of drug dependent person in hospital or custody</w:t>
      </w:r>
      <w:bookmarkEnd w:id="293"/>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4" w:name="_Toc216791475"/>
      <w:r>
        <w:rPr>
          <w:rStyle w:val="CharSectno"/>
        </w:rPr>
        <w:t>141</w:t>
      </w:r>
      <w:r>
        <w:t>.</w:t>
      </w:r>
      <w:r>
        <w:tab/>
        <w:t xml:space="preserve">Prescribing opioid </w:t>
      </w:r>
      <w:r>
        <w:rPr>
          <w:snapToGrid w:val="0"/>
        </w:rPr>
        <w:t>pharmacotherapy</w:t>
      </w:r>
      <w:r>
        <w:t xml:space="preserve"> for treatment of drug dependent person in certain circumstances</w:t>
      </w:r>
      <w:bookmarkEnd w:id="294"/>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lastRenderedPageBreak/>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5" w:name="_Toc216427944"/>
      <w:bookmarkStart w:id="296" w:name="_Toc216431379"/>
      <w:bookmarkStart w:id="297" w:name="_Toc216791476"/>
      <w:r>
        <w:rPr>
          <w:rStyle w:val="CharPartNo"/>
        </w:rPr>
        <w:lastRenderedPageBreak/>
        <w:t>Part 12</w:t>
      </w:r>
      <w:r>
        <w:rPr>
          <w:rStyle w:val="CharDivNo"/>
        </w:rPr>
        <w:t> </w:t>
      </w:r>
      <w:r>
        <w:t>—</w:t>
      </w:r>
      <w:r>
        <w:rPr>
          <w:rStyle w:val="CharDivText"/>
        </w:rPr>
        <w:t> </w:t>
      </w:r>
      <w:r>
        <w:rPr>
          <w:rStyle w:val="CharPartText"/>
        </w:rPr>
        <w:t>Record keeping and reporting</w:t>
      </w:r>
      <w:bookmarkEnd w:id="295"/>
      <w:bookmarkEnd w:id="296"/>
      <w:bookmarkEnd w:id="297"/>
    </w:p>
    <w:p>
      <w:pPr>
        <w:pStyle w:val="Heading5"/>
      </w:pPr>
      <w:bookmarkStart w:id="298" w:name="_Toc216791477"/>
      <w:r>
        <w:rPr>
          <w:rStyle w:val="CharSectno"/>
        </w:rPr>
        <w:t>142</w:t>
      </w:r>
      <w:r>
        <w:t>.</w:t>
      </w:r>
      <w:r>
        <w:tab/>
        <w:t>Record of supply by retail sale of medicine that is restricted Schedule 3 poison</w:t>
      </w:r>
      <w:bookmarkEnd w:id="298"/>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299" w:name="_Toc216791478"/>
      <w:r>
        <w:rPr>
          <w:rStyle w:val="CharSectno"/>
        </w:rPr>
        <w:lastRenderedPageBreak/>
        <w:t>143</w:t>
      </w:r>
      <w:r>
        <w:t>.</w:t>
      </w:r>
      <w:r>
        <w:tab/>
        <w:t>Record of administration or supply of medicine that is Schedule 4 or 8 poison</w:t>
      </w:r>
      <w:bookmarkEnd w:id="299"/>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300" w:name="_Toc216791479"/>
      <w:r>
        <w:rPr>
          <w:rStyle w:val="CharSectno"/>
        </w:rPr>
        <w:t>143A</w:t>
      </w:r>
      <w:r>
        <w:t>.</w:t>
      </w:r>
      <w:r>
        <w:tab/>
        <w:t>Record of prescription of medicine that is Schedule 4 or 8 poison</w:t>
      </w:r>
      <w:bookmarkEnd w:id="300"/>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301" w:name="_Toc216791480"/>
      <w:r>
        <w:rPr>
          <w:rStyle w:val="CharSectno"/>
        </w:rPr>
        <w:t>144</w:t>
      </w:r>
      <w:r>
        <w:t>.</w:t>
      </w:r>
      <w:r>
        <w:tab/>
        <w:t>Requirement to keep register of Schedule 9 poisons and medicines that are Schedule 8 poisons</w:t>
      </w:r>
      <w:bookmarkEnd w:id="301"/>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lastRenderedPageBreak/>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2" w:name="_Toc216791481"/>
      <w:r>
        <w:rPr>
          <w:rStyle w:val="CharSectno"/>
        </w:rPr>
        <w:t>145</w:t>
      </w:r>
      <w:r>
        <w:t>.</w:t>
      </w:r>
      <w:r>
        <w:tab/>
      </w:r>
      <w:r>
        <w:rPr>
          <w:snapToGrid w:val="0"/>
        </w:rPr>
        <w:t>Destruction of Schedule 9 poison or medicine that is Schedule 8 poison</w:t>
      </w:r>
      <w:bookmarkEnd w:id="302"/>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lastRenderedPageBreak/>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3" w:name="_Toc216791482"/>
      <w:r>
        <w:rPr>
          <w:rStyle w:val="CharSectno"/>
        </w:rPr>
        <w:lastRenderedPageBreak/>
        <w:t>146</w:t>
      </w:r>
      <w:r>
        <w:t>.</w:t>
      </w:r>
      <w:r>
        <w:tab/>
        <w:t>Registers generally</w:t>
      </w:r>
      <w:bookmarkEnd w:id="303"/>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04" w:name="_Toc216791483"/>
      <w:r>
        <w:rPr>
          <w:rStyle w:val="CharSectno"/>
        </w:rPr>
        <w:t>147</w:t>
      </w:r>
      <w:r>
        <w:t>.</w:t>
      </w:r>
      <w:r>
        <w:tab/>
        <w:t>Requirements for electronic register</w:t>
      </w:r>
      <w:bookmarkEnd w:id="304"/>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lastRenderedPageBreak/>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05" w:name="_Toc216791484"/>
      <w:r>
        <w:rPr>
          <w:rStyle w:val="CharSectno"/>
        </w:rPr>
        <w:t>148</w:t>
      </w:r>
      <w:r>
        <w:t>.</w:t>
      </w:r>
      <w:r>
        <w:tab/>
      </w:r>
      <w:r>
        <w:rPr>
          <w:snapToGrid w:val="0"/>
        </w:rPr>
        <w:t>Inventory of Schedule 9 poisons and medicines that are Schedule 8 poisons</w:t>
      </w:r>
      <w:bookmarkEnd w:id="305"/>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06" w:name="_Toc216427953"/>
      <w:bookmarkStart w:id="307" w:name="_Toc216431388"/>
      <w:bookmarkStart w:id="308" w:name="_Toc216791485"/>
      <w:r>
        <w:rPr>
          <w:rStyle w:val="CharPartNo"/>
        </w:rPr>
        <w:lastRenderedPageBreak/>
        <w:t>Part 12A</w:t>
      </w:r>
      <w:r>
        <w:rPr>
          <w:rStyle w:val="CharDivNo"/>
        </w:rPr>
        <w:t> </w:t>
      </w:r>
      <w:r>
        <w:t>—</w:t>
      </w:r>
      <w:r>
        <w:rPr>
          <w:rStyle w:val="CharDivText"/>
        </w:rPr>
        <w:t> </w:t>
      </w:r>
      <w:r>
        <w:rPr>
          <w:rStyle w:val="CharPartText"/>
        </w:rPr>
        <w:t>Infringement notices</w:t>
      </w:r>
      <w:bookmarkEnd w:id="306"/>
      <w:bookmarkEnd w:id="307"/>
      <w:bookmarkEnd w:id="308"/>
    </w:p>
    <w:p>
      <w:pPr>
        <w:pStyle w:val="Footnoteheading"/>
      </w:pPr>
      <w:r>
        <w:tab/>
        <w:t>[Heading inserted: SL 2024/224 r. 4.]</w:t>
      </w:r>
    </w:p>
    <w:p>
      <w:pPr>
        <w:pStyle w:val="Heading5"/>
      </w:pPr>
      <w:bookmarkStart w:id="309" w:name="_Toc216791486"/>
      <w:r>
        <w:rPr>
          <w:rStyle w:val="CharSectno"/>
        </w:rPr>
        <w:t>148A</w:t>
      </w:r>
      <w:r>
        <w:t>.</w:t>
      </w:r>
      <w:r>
        <w:tab/>
        <w:t>Prescribed offences and modified penalties</w:t>
      </w:r>
      <w:bookmarkEnd w:id="309"/>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310" w:name="_Toc216791487"/>
      <w:r>
        <w:rPr>
          <w:rStyle w:val="CharSectno"/>
        </w:rPr>
        <w:t>148B</w:t>
      </w:r>
      <w:r>
        <w:t>.</w:t>
      </w:r>
      <w:r>
        <w:tab/>
        <w:t>Authorised officers and approved officers</w:t>
      </w:r>
      <w:bookmarkEnd w:id="310"/>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311" w:name="_Toc216791488"/>
      <w:r>
        <w:rPr>
          <w:rStyle w:val="CharSectno"/>
        </w:rPr>
        <w:lastRenderedPageBreak/>
        <w:t>148C</w:t>
      </w:r>
      <w:r>
        <w:t>.</w:t>
      </w:r>
      <w:r>
        <w:tab/>
        <w:t>Forms</w:t>
      </w:r>
      <w:bookmarkEnd w:id="311"/>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312" w:name="_Toc216427957"/>
      <w:bookmarkStart w:id="313" w:name="_Toc216431392"/>
      <w:bookmarkStart w:id="314" w:name="_Toc216791489"/>
      <w:r>
        <w:rPr>
          <w:rStyle w:val="CharPartNo"/>
        </w:rPr>
        <w:lastRenderedPageBreak/>
        <w:t>Part 12B</w:t>
      </w:r>
      <w:r>
        <w:rPr>
          <w:rStyle w:val="CharDivNo"/>
        </w:rPr>
        <w:t> </w:t>
      </w:r>
      <w:r>
        <w:t>—</w:t>
      </w:r>
      <w:r>
        <w:rPr>
          <w:rStyle w:val="CharDivText"/>
        </w:rPr>
        <w:t> </w:t>
      </w:r>
      <w:r>
        <w:rPr>
          <w:rStyle w:val="CharPartText"/>
        </w:rPr>
        <w:t>Miscellaneous</w:t>
      </w:r>
      <w:bookmarkEnd w:id="312"/>
      <w:bookmarkEnd w:id="313"/>
      <w:bookmarkEnd w:id="314"/>
    </w:p>
    <w:p>
      <w:pPr>
        <w:pStyle w:val="Footnoteheading"/>
      </w:pPr>
      <w:r>
        <w:tab/>
        <w:t>[Heading inserted: SL 2024/224 r. 4.]</w:t>
      </w:r>
    </w:p>
    <w:p>
      <w:pPr>
        <w:pStyle w:val="Heading5"/>
      </w:pPr>
      <w:bookmarkStart w:id="315" w:name="_Toc216791490"/>
      <w:r>
        <w:rPr>
          <w:rStyle w:val="CharSectno"/>
        </w:rPr>
        <w:t>148D</w:t>
      </w:r>
      <w:r>
        <w:t>.</w:t>
      </w:r>
      <w:r>
        <w:tab/>
        <w:t>Term used: Schedule 6 nitrous oxide</w:t>
      </w:r>
      <w:bookmarkEnd w:id="315"/>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316" w:name="_Toc216791491"/>
      <w:r>
        <w:rPr>
          <w:rStyle w:val="CharSectno"/>
        </w:rPr>
        <w:t>148E</w:t>
      </w:r>
      <w:r>
        <w:t>.</w:t>
      </w:r>
      <w:r>
        <w:tab/>
        <w:t>Supply of Schedule 6 nitrous oxide</w:t>
      </w:r>
      <w:bookmarkEnd w:id="316"/>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lastRenderedPageBreak/>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317" w:name="_Toc216791492"/>
      <w:r>
        <w:rPr>
          <w:rStyle w:val="CharSectno"/>
        </w:rPr>
        <w:t>148F</w:t>
      </w:r>
      <w:r>
        <w:t>.</w:t>
      </w:r>
      <w:r>
        <w:tab/>
        <w:t>Record of supply of Schedule 6 nitrous oxide</w:t>
      </w:r>
      <w:bookmarkEnd w:id="317"/>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318" w:name="_Toc216427961"/>
      <w:bookmarkStart w:id="319" w:name="_Toc216431396"/>
      <w:bookmarkStart w:id="320" w:name="_Toc216791493"/>
      <w:r>
        <w:rPr>
          <w:rStyle w:val="CharPartNo"/>
        </w:rPr>
        <w:lastRenderedPageBreak/>
        <w:t>Part 13</w:t>
      </w:r>
      <w:r>
        <w:rPr>
          <w:rStyle w:val="CharDivNo"/>
        </w:rPr>
        <w:t> </w:t>
      </w:r>
      <w:r>
        <w:t>—</w:t>
      </w:r>
      <w:r>
        <w:rPr>
          <w:rStyle w:val="CharDivText"/>
        </w:rPr>
        <w:t> </w:t>
      </w:r>
      <w:r>
        <w:rPr>
          <w:rStyle w:val="CharPartText"/>
        </w:rPr>
        <w:t>Transitional matters</w:t>
      </w:r>
      <w:bookmarkEnd w:id="318"/>
      <w:bookmarkEnd w:id="319"/>
      <w:bookmarkEnd w:id="320"/>
    </w:p>
    <w:p>
      <w:pPr>
        <w:pStyle w:val="Heading5"/>
      </w:pPr>
      <w:bookmarkStart w:id="321" w:name="_Toc216791494"/>
      <w:r>
        <w:rPr>
          <w:rStyle w:val="CharSectno"/>
        </w:rPr>
        <w:t>149</w:t>
      </w:r>
      <w:r>
        <w:t>.</w:t>
      </w:r>
      <w:r>
        <w:tab/>
        <w:t>Terms used</w:t>
      </w:r>
      <w:bookmarkEnd w:id="321"/>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22" w:name="_Toc216791495"/>
      <w:r>
        <w:rPr>
          <w:rStyle w:val="CharSectno"/>
        </w:rPr>
        <w:t>150</w:t>
      </w:r>
      <w:r>
        <w:t>.</w:t>
      </w:r>
      <w:r>
        <w:tab/>
        <w:t>Continuation of licences and permits (s. 141)</w:t>
      </w:r>
      <w:bookmarkEnd w:id="322"/>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23" w:name="_Toc216791496"/>
      <w:r>
        <w:rPr>
          <w:rStyle w:val="CharSectno"/>
        </w:rPr>
        <w:t>151</w:t>
      </w:r>
      <w:r>
        <w:t>.</w:t>
      </w:r>
      <w:r>
        <w:tab/>
        <w:t>Manufacture, supply and use of Schedule 9 poisons for research</w:t>
      </w:r>
      <w:bookmarkEnd w:id="323"/>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24" w:name="_Toc216791497"/>
      <w:r>
        <w:rPr>
          <w:rStyle w:val="CharSectno"/>
        </w:rPr>
        <w:lastRenderedPageBreak/>
        <w:t>152</w:t>
      </w:r>
      <w:r>
        <w:t>.</w:t>
      </w:r>
      <w:r>
        <w:tab/>
        <w:t>Containers and labels</w:t>
      </w:r>
      <w:bookmarkEnd w:id="324"/>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25" w:name="_Toc216791498"/>
      <w:r>
        <w:rPr>
          <w:rStyle w:val="CharSectno"/>
        </w:rPr>
        <w:t>153</w:t>
      </w:r>
      <w:r>
        <w:t>.</w:t>
      </w:r>
      <w:r>
        <w:tab/>
        <w:t>Directions about storage or use of poisons</w:t>
      </w:r>
      <w:bookmarkEnd w:id="325"/>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26" w:name="_Toc216791499"/>
      <w:r>
        <w:rPr>
          <w:rStyle w:val="CharSectno"/>
        </w:rPr>
        <w:lastRenderedPageBreak/>
        <w:t>154</w:t>
      </w:r>
      <w:r>
        <w:t>.</w:t>
      </w:r>
      <w:r>
        <w:tab/>
        <w:t>Approvals</w:t>
      </w:r>
      <w:bookmarkEnd w:id="326"/>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lastRenderedPageBreak/>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27" w:name="_Toc216791500"/>
      <w:r>
        <w:rPr>
          <w:rStyle w:val="CharSectno"/>
        </w:rPr>
        <w:t>155</w:t>
      </w:r>
      <w:r>
        <w:t>.</w:t>
      </w:r>
      <w:r>
        <w:tab/>
        <w:t>Appointments, authorisations, designations and nominations</w:t>
      </w:r>
      <w:bookmarkEnd w:id="327"/>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pPr>
              <w:pStyle w:val="TableNAm"/>
            </w:pPr>
            <w:r>
              <w:lastRenderedPageBreak/>
              <w:t xml:space="preserve">Authorisation to prescribe or supply </w:t>
            </w:r>
            <w:r>
              <w:lastRenderedPageBreak/>
              <w:t>specified medicine that is a Schedule 8 poison given under regulation 118(2)</w:t>
            </w:r>
          </w:p>
        </w:tc>
      </w:tr>
      <w:tr>
        <w:trPr>
          <w:cantSplit/>
        </w:trPr>
        <w:tc>
          <w:tcPr>
            <w:tcW w:w="822" w:type="dxa"/>
          </w:tcPr>
          <w:p>
            <w:pPr>
              <w:pStyle w:val="TableNAm"/>
            </w:pPr>
            <w:r>
              <w:lastRenderedPageBreak/>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lastRenderedPageBreak/>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lastRenderedPageBreak/>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328" w:name="_Toc216791501"/>
      <w:r>
        <w:rPr>
          <w:rStyle w:val="CharSectno"/>
        </w:rPr>
        <w:t>156</w:t>
      </w:r>
      <w:r>
        <w:t>.</w:t>
      </w:r>
      <w:r>
        <w:tab/>
        <w:t>Approval of storage arrangements</w:t>
      </w:r>
      <w:bookmarkEnd w:id="328"/>
      <w:r>
        <w:t xml:space="preserve"> </w:t>
      </w:r>
    </w:p>
    <w:p>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9" w:name="_Toc216427970"/>
      <w:bookmarkStart w:id="330" w:name="_Toc216431405"/>
      <w:bookmarkStart w:id="331" w:name="_Toc216791502"/>
      <w:r>
        <w:rPr>
          <w:rStyle w:val="CharSchNo"/>
        </w:rPr>
        <w:lastRenderedPageBreak/>
        <w:t>Schedule 1</w:t>
      </w:r>
      <w:r>
        <w:t> — </w:t>
      </w:r>
      <w:r>
        <w:rPr>
          <w:rStyle w:val="CharSchText"/>
        </w:rPr>
        <w:t>Fees</w:t>
      </w:r>
      <w:bookmarkEnd w:id="329"/>
      <w:bookmarkEnd w:id="330"/>
      <w:bookmarkEnd w:id="331"/>
    </w:p>
    <w:p>
      <w:pPr>
        <w:pStyle w:val="yShoulderClause"/>
      </w:pPr>
      <w:r>
        <w:t>[r. 5]</w:t>
      </w:r>
    </w:p>
    <w:p>
      <w:pPr>
        <w:pStyle w:val="yFootnoteheading"/>
      </w:pPr>
      <w:r>
        <w:tab/>
        <w:t>[Heading inserted: SL 2025/104 r. 16.]</w:t>
      </w:r>
    </w:p>
    <w:p>
      <w:pPr>
        <w:pStyle w:val="yHeading3"/>
      </w:pPr>
      <w:bookmarkStart w:id="332" w:name="_Toc216427971"/>
      <w:bookmarkStart w:id="333" w:name="_Toc216431406"/>
      <w:bookmarkStart w:id="334" w:name="_Toc216791503"/>
      <w:r>
        <w:rPr>
          <w:rStyle w:val="CharSDivNo"/>
        </w:rPr>
        <w:t>Division 1</w:t>
      </w:r>
      <w:r>
        <w:t> — </w:t>
      </w:r>
      <w:r>
        <w:rPr>
          <w:rStyle w:val="CharSDivText"/>
        </w:rPr>
        <w:t>Fees for licences</w:t>
      </w:r>
      <w:bookmarkEnd w:id="332"/>
      <w:bookmarkEnd w:id="333"/>
      <w:bookmarkEnd w:id="334"/>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113</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225</w:t>
            </w:r>
          </w:p>
        </w:tc>
        <w:tc>
          <w:tcPr>
            <w:tcW w:w="1417" w:type="dxa"/>
            <w:shd w:val="clear" w:color="auto" w:fill="auto"/>
            <w:noWrap/>
            <w:vAlign w:val="bottom"/>
          </w:tcPr>
          <w:p>
            <w:pPr>
              <w:pStyle w:val="yTableNAm"/>
              <w:tabs>
                <w:tab w:val="clear" w:pos="567"/>
              </w:tabs>
              <w:ind w:left="-79" w:right="431"/>
              <w:jc w:val="right"/>
              <w:rPr>
                <w:bCs/>
              </w:rPr>
            </w:pPr>
            <w:r>
              <w:rPr>
                <w:bCs/>
              </w:rPr>
              <w:t>167</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225</w:t>
            </w:r>
          </w:p>
        </w:tc>
        <w:tc>
          <w:tcPr>
            <w:tcW w:w="1417" w:type="dxa"/>
            <w:shd w:val="clear" w:color="auto" w:fill="auto"/>
            <w:noWrap/>
            <w:vAlign w:val="bottom"/>
          </w:tcPr>
          <w:p>
            <w:pPr>
              <w:pStyle w:val="yTableNAm"/>
              <w:tabs>
                <w:tab w:val="clear" w:pos="567"/>
              </w:tabs>
              <w:ind w:left="-79" w:right="431"/>
              <w:jc w:val="right"/>
              <w:rPr>
                <w:bCs/>
              </w:rPr>
            </w:pPr>
            <w:r>
              <w:rPr>
                <w:bCs/>
              </w:rPr>
              <w:t>167</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340</w:t>
            </w:r>
          </w:p>
        </w:tc>
        <w:tc>
          <w:tcPr>
            <w:tcW w:w="1417" w:type="dxa"/>
            <w:shd w:val="clear" w:color="auto" w:fill="auto"/>
            <w:noWrap/>
            <w:vAlign w:val="bottom"/>
          </w:tcPr>
          <w:p>
            <w:pPr>
              <w:pStyle w:val="yTableNAm"/>
              <w:tabs>
                <w:tab w:val="clear" w:pos="567"/>
              </w:tabs>
              <w:ind w:left="-79" w:right="431"/>
              <w:jc w:val="right"/>
              <w:rPr>
                <w:bCs/>
              </w:rPr>
            </w:pPr>
            <w:r>
              <w:rPr>
                <w:bCs/>
              </w:rPr>
              <w:t>283</w:t>
            </w:r>
          </w:p>
        </w:tc>
      </w:tr>
    </w:tbl>
    <w:p>
      <w:pPr>
        <w:pStyle w:val="yFootnotesection"/>
      </w:pPr>
      <w:r>
        <w:tab/>
        <w:t>[Division 1 inserted: SL 2025/104 r. 16.]</w:t>
      </w:r>
    </w:p>
    <w:p>
      <w:pPr>
        <w:pStyle w:val="yHeading3"/>
      </w:pPr>
      <w:bookmarkStart w:id="335" w:name="_Toc216427972"/>
      <w:bookmarkStart w:id="336" w:name="_Toc216431407"/>
      <w:bookmarkStart w:id="337" w:name="_Toc216791504"/>
      <w:r>
        <w:rPr>
          <w:rStyle w:val="CharSDivNo"/>
        </w:rPr>
        <w:t>Division 2</w:t>
      </w:r>
      <w:r>
        <w:t> — </w:t>
      </w:r>
      <w:r>
        <w:rPr>
          <w:rStyle w:val="CharSDivText"/>
        </w:rPr>
        <w:t>Fees for permits</w:t>
      </w:r>
      <w:bookmarkEnd w:id="335"/>
      <w:bookmarkEnd w:id="336"/>
      <w:bookmarkEnd w:id="337"/>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197</w:t>
            </w:r>
          </w:p>
        </w:tc>
        <w:tc>
          <w:tcPr>
            <w:tcW w:w="1417" w:type="dxa"/>
            <w:shd w:val="clear" w:color="auto" w:fill="auto"/>
            <w:noWrap/>
            <w:vAlign w:val="bottom"/>
          </w:tcPr>
          <w:p>
            <w:pPr>
              <w:pStyle w:val="yTableNAm"/>
              <w:tabs>
                <w:tab w:val="clear" w:pos="567"/>
              </w:tabs>
              <w:ind w:left="-79" w:right="431"/>
              <w:jc w:val="right"/>
              <w:rPr>
                <w:bCs/>
              </w:rPr>
            </w:pPr>
            <w:r>
              <w:rPr>
                <w:bCs/>
              </w:rPr>
              <w:t>141</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113</w:t>
            </w:r>
          </w:p>
        </w:tc>
        <w:tc>
          <w:tcPr>
            <w:tcW w:w="1417" w:type="dxa"/>
            <w:shd w:val="clear" w:color="auto" w:fill="auto"/>
            <w:noWrap/>
            <w:vAlign w:val="bottom"/>
          </w:tcPr>
          <w:p>
            <w:pPr>
              <w:pStyle w:val="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167</w:t>
            </w:r>
          </w:p>
        </w:tc>
        <w:tc>
          <w:tcPr>
            <w:tcW w:w="1417" w:type="dxa"/>
            <w:shd w:val="clear" w:color="auto" w:fill="auto"/>
            <w:noWrap/>
            <w:vAlign w:val="bottom"/>
          </w:tcPr>
          <w:p>
            <w:pPr>
              <w:pStyle w:val="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113</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bl>
    <w:p>
      <w:pPr>
        <w:pStyle w:val="yFootnotesection"/>
      </w:pPr>
      <w:r>
        <w:tab/>
        <w:t>[Division 2 inserted: SL 2025/104 r. 16.]</w:t>
      </w:r>
    </w:p>
    <w:p>
      <w:pPr>
        <w:pStyle w:val="yHeading3"/>
      </w:pPr>
      <w:bookmarkStart w:id="338" w:name="_Toc216427973"/>
      <w:bookmarkStart w:id="339" w:name="_Toc216431408"/>
      <w:bookmarkStart w:id="340" w:name="_Toc216791505"/>
      <w:r>
        <w:rPr>
          <w:rStyle w:val="CharSDivNo"/>
        </w:rPr>
        <w:t>Division 3</w:t>
      </w:r>
      <w:r>
        <w:t> — </w:t>
      </w:r>
      <w:r>
        <w:rPr>
          <w:rStyle w:val="CharSDivText"/>
        </w:rPr>
        <w:t>Other fees</w:t>
      </w:r>
      <w:bookmarkEnd w:id="338"/>
      <w:bookmarkEnd w:id="339"/>
      <w:bookmarkEnd w:id="340"/>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90</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46</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r>
              <w:rPr>
                <w:bCs/>
              </w:rPr>
              <w:t>46</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r>
              <w:rPr>
                <w:bCs/>
              </w:rPr>
              <w:t>136</w:t>
            </w:r>
          </w:p>
        </w:tc>
      </w:tr>
    </w:tbl>
    <w:p>
      <w:pPr>
        <w:pStyle w:val="yFootnotesection"/>
      </w:pPr>
      <w:r>
        <w:tab/>
        <w:t>[Division 3 inserted: SL 2025/104 r. 16.]</w:t>
      </w:r>
    </w:p>
    <w:p>
      <w:pPr>
        <w:pStyle w:val="yScheduleHeading"/>
      </w:pPr>
      <w:bookmarkStart w:id="341" w:name="_Toc216427974"/>
      <w:bookmarkStart w:id="342" w:name="_Toc216431409"/>
      <w:bookmarkStart w:id="343" w:name="_Toc216791506"/>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41"/>
      <w:bookmarkEnd w:id="342"/>
      <w:bookmarkEnd w:id="34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5" w:name="_Toc216427975"/>
      <w:bookmarkStart w:id="346" w:name="_Toc216431410"/>
      <w:bookmarkStart w:id="347" w:name="_Toc216791507"/>
      <w:r>
        <w:rPr>
          <w:rStyle w:val="CharSchNo"/>
        </w:rPr>
        <w:lastRenderedPageBreak/>
        <w:t>Schedule 3</w:t>
      </w:r>
      <w:r>
        <w:t> — </w:t>
      </w:r>
      <w:r>
        <w:rPr>
          <w:rStyle w:val="CharSchText"/>
        </w:rPr>
        <w:t>Requirements for safes</w:t>
      </w:r>
      <w:bookmarkEnd w:id="345"/>
      <w:bookmarkEnd w:id="346"/>
      <w:bookmarkEnd w:id="347"/>
    </w:p>
    <w:p>
      <w:pPr>
        <w:pStyle w:val="yShoulderClause"/>
      </w:pPr>
      <w:r>
        <w:t>[r. 94]</w:t>
      </w:r>
    </w:p>
    <w:p>
      <w:pPr>
        <w:pStyle w:val="yHeading5"/>
      </w:pPr>
      <w:bookmarkStart w:id="348" w:name="_Toc216791508"/>
      <w:r>
        <w:rPr>
          <w:rStyle w:val="CharSClsNo"/>
        </w:rPr>
        <w:t>1</w:t>
      </w:r>
      <w:r>
        <w:t>.</w:t>
      </w:r>
      <w:r>
        <w:tab/>
        <w:t>Requirements for small safe</w:t>
      </w:r>
      <w:bookmarkEnd w:id="348"/>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49" w:name="_Toc216791509"/>
      <w:r>
        <w:rPr>
          <w:rStyle w:val="CharSClsNo"/>
        </w:rPr>
        <w:lastRenderedPageBreak/>
        <w:t>2</w:t>
      </w:r>
      <w:r>
        <w:t>.</w:t>
      </w:r>
      <w:r>
        <w:tab/>
        <w:t>Requirements for large safe</w:t>
      </w:r>
      <w:bookmarkEnd w:id="349"/>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0" w:name="_Toc216427978"/>
      <w:bookmarkStart w:id="351" w:name="_Toc216431413"/>
      <w:bookmarkStart w:id="352" w:name="_Toc216791510"/>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50"/>
      <w:bookmarkEnd w:id="351"/>
      <w:bookmarkEnd w:id="352"/>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7"/>
          <w:headerReference w:type="default" r:id="rId28"/>
          <w:pgSz w:w="11907" w:h="16840" w:code="9"/>
          <w:pgMar w:top="2381" w:right="2410" w:bottom="3544" w:left="2410" w:header="720" w:footer="3544" w:gutter="0"/>
          <w:cols w:space="720"/>
          <w:titlePg/>
        </w:sectPr>
      </w:pPr>
      <w:r>
        <w:tab/>
        <w:t>[Schedule 4 inserted: SL 2024/224 r. 5.]</w:t>
      </w:r>
    </w:p>
    <w:p>
      <w:pPr>
        <w:pStyle w:val="yScheduleHeading"/>
      </w:pPr>
      <w:bookmarkStart w:id="353" w:name="_Toc216427979"/>
      <w:bookmarkStart w:id="354" w:name="_Toc216431414"/>
      <w:bookmarkStart w:id="355" w:name="_Toc216791511"/>
      <w:r>
        <w:rPr>
          <w:rStyle w:val="CharSchNo"/>
        </w:rPr>
        <w:lastRenderedPageBreak/>
        <w:t>Schedule 5</w:t>
      </w:r>
      <w:r>
        <w:rPr>
          <w:rStyle w:val="CharSDivNo"/>
        </w:rPr>
        <w:t> </w:t>
      </w:r>
      <w:r>
        <w:t>—</w:t>
      </w:r>
      <w:r>
        <w:rPr>
          <w:rStyle w:val="CharSDivText"/>
        </w:rPr>
        <w:t> </w:t>
      </w:r>
      <w:r>
        <w:rPr>
          <w:rStyle w:val="CharSchText"/>
        </w:rPr>
        <w:t>Infringement notice forms</w:t>
      </w:r>
      <w:bookmarkEnd w:id="353"/>
      <w:bookmarkEnd w:id="354"/>
      <w:bookmarkEnd w:id="355"/>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yTableNAm"/>
              <w:jc w:val="center"/>
              <w:rPr>
                <w:b/>
                <w:bCs/>
                <w:i/>
                <w:iCs/>
              </w:rPr>
            </w:pPr>
            <w:r>
              <w:br w:type="page"/>
            </w:r>
            <w:r>
              <w:rPr>
                <w:b/>
                <w:bCs/>
                <w:i/>
                <w:iCs/>
              </w:rPr>
              <w:t>Medicines and Poisons Act 2014</w:t>
            </w:r>
          </w:p>
          <w:p>
            <w:pPr>
              <w:pStyle w:val="yTableNAm"/>
              <w:jc w:val="center"/>
              <w:rPr>
                <w:b/>
                <w:bCs/>
              </w:rPr>
            </w:pPr>
            <w:r>
              <w:rPr>
                <w:b/>
                <w:bCs/>
                <w:szCs w:val="22"/>
              </w:rPr>
              <w:t>INFRINGEMENT NOTICE</w:t>
            </w:r>
          </w:p>
        </w:tc>
        <w:tc>
          <w:tcPr>
            <w:tcW w:w="2268" w:type="dxa"/>
            <w:gridSpan w:val="2"/>
          </w:tcPr>
          <w:p>
            <w:pPr>
              <w:pStyle w:val="yTableNAm"/>
              <w:rPr>
                <w:b/>
                <w:bCs/>
              </w:rPr>
            </w:pPr>
            <w:r>
              <w:rPr>
                <w:b/>
                <w:bCs/>
              </w:rPr>
              <w:t xml:space="preserve">Infringement </w:t>
            </w:r>
            <w:r>
              <w:rPr>
                <w:b/>
                <w:bCs/>
              </w:rPr>
              <w:br/>
              <w:t>notice no.</w:t>
            </w:r>
          </w:p>
        </w:tc>
      </w:tr>
      <w:tr>
        <w:trPr>
          <w:cantSplit/>
          <w:trHeight w:val="150"/>
        </w:trPr>
        <w:tc>
          <w:tcPr>
            <w:tcW w:w="1276" w:type="dxa"/>
            <w:vMerge w:val="restart"/>
          </w:tcPr>
          <w:p>
            <w:pPr>
              <w:pStyle w:val="yTableNAm"/>
              <w:rPr>
                <w:b/>
                <w:bCs/>
              </w:rPr>
            </w:pPr>
            <w:r>
              <w:rPr>
                <w:b/>
                <w:bCs/>
              </w:rPr>
              <w:t>Alleged offender</w:t>
            </w:r>
          </w:p>
        </w:tc>
        <w:tc>
          <w:tcPr>
            <w:tcW w:w="1417" w:type="dxa"/>
            <w:gridSpan w:val="2"/>
            <w:vMerge w:val="restart"/>
          </w:tcPr>
          <w:p>
            <w:pPr>
              <w:pStyle w:val="yTableNAm"/>
            </w:pPr>
            <w:r>
              <w:t>Name</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vMerge/>
          </w:tcPr>
          <w:p>
            <w:pPr>
              <w:pStyle w:val="yTableNAm"/>
            </w:pP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vMerge w:val="restart"/>
          </w:tcPr>
          <w:p>
            <w:pPr>
              <w:pStyle w:val="yTableNAm"/>
            </w:pPr>
            <w:r>
              <w:t>Address</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vMerge/>
          </w:tcPr>
          <w:p>
            <w:pPr>
              <w:pStyle w:val="yTableNAm"/>
            </w:pPr>
          </w:p>
        </w:tc>
        <w:tc>
          <w:tcPr>
            <w:tcW w:w="4111" w:type="dxa"/>
            <w:gridSpan w:val="4"/>
          </w:tcPr>
          <w:p>
            <w:pPr>
              <w:pStyle w:val="yTableNAm"/>
            </w:pPr>
          </w:p>
        </w:tc>
      </w:tr>
      <w:tr>
        <w:trPr>
          <w:cantSplit/>
          <w:trHeight w:val="150"/>
        </w:trPr>
        <w:tc>
          <w:tcPr>
            <w:tcW w:w="1276" w:type="dxa"/>
            <w:vMerge w:val="restart"/>
          </w:tcPr>
          <w:p>
            <w:pPr>
              <w:pStyle w:val="yTableNAm"/>
              <w:rPr>
                <w:b/>
                <w:bCs/>
              </w:rPr>
            </w:pPr>
            <w:r>
              <w:rPr>
                <w:b/>
                <w:bCs/>
              </w:rPr>
              <w:t>Details of alleged offence</w:t>
            </w:r>
          </w:p>
        </w:tc>
        <w:tc>
          <w:tcPr>
            <w:tcW w:w="1417" w:type="dxa"/>
            <w:gridSpan w:val="2"/>
          </w:tcPr>
          <w:p>
            <w:pPr>
              <w:pStyle w:val="yTableNAm"/>
            </w:pPr>
            <w:r>
              <w:t>Date or period</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tcPr>
          <w:p>
            <w:pPr>
              <w:pStyle w:val="yTableNAm"/>
            </w:pPr>
            <w:r>
              <w:t>Place</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tcPr>
          <w:p>
            <w:pPr>
              <w:pStyle w:val="yTableNAm"/>
            </w:pPr>
            <w:r>
              <w:t>Written law contravened</w:t>
            </w:r>
          </w:p>
        </w:tc>
        <w:tc>
          <w:tcPr>
            <w:tcW w:w="4111" w:type="dxa"/>
            <w:gridSpan w:val="4"/>
          </w:tcPr>
          <w:p>
            <w:pPr>
              <w:pStyle w:val="yTableNAm"/>
            </w:pPr>
          </w:p>
        </w:tc>
      </w:tr>
      <w:tr>
        <w:trPr>
          <w:cantSplit/>
          <w:trHeight w:val="557"/>
        </w:trPr>
        <w:tc>
          <w:tcPr>
            <w:tcW w:w="1276" w:type="dxa"/>
            <w:vMerge/>
          </w:tcPr>
          <w:p>
            <w:pPr>
              <w:pStyle w:val="yTableNAm"/>
              <w:rPr>
                <w:b/>
                <w:bCs/>
              </w:rPr>
            </w:pPr>
          </w:p>
        </w:tc>
        <w:tc>
          <w:tcPr>
            <w:tcW w:w="1417" w:type="dxa"/>
            <w:gridSpan w:val="2"/>
          </w:tcPr>
          <w:p>
            <w:pPr>
              <w:pStyle w:val="yTableNAm"/>
            </w:pPr>
            <w:r>
              <w:t>Details of offence</w:t>
            </w:r>
          </w:p>
        </w:tc>
        <w:tc>
          <w:tcPr>
            <w:tcW w:w="4111" w:type="dxa"/>
            <w:gridSpan w:val="4"/>
          </w:tcPr>
          <w:p>
            <w:pPr>
              <w:pStyle w:val="yTableNAm"/>
            </w:pPr>
          </w:p>
        </w:tc>
      </w:tr>
      <w:tr>
        <w:trPr>
          <w:cantSplit/>
        </w:trPr>
        <w:tc>
          <w:tcPr>
            <w:tcW w:w="1276" w:type="dxa"/>
          </w:tcPr>
          <w:p>
            <w:pPr>
              <w:pStyle w:val="yTableNAm"/>
              <w:rPr>
                <w:b/>
                <w:bCs/>
              </w:rPr>
            </w:pPr>
            <w:r>
              <w:rPr>
                <w:b/>
                <w:bCs/>
              </w:rPr>
              <w:t>Date</w:t>
            </w:r>
          </w:p>
        </w:tc>
        <w:tc>
          <w:tcPr>
            <w:tcW w:w="1417" w:type="dxa"/>
            <w:gridSpan w:val="2"/>
          </w:tcPr>
          <w:p>
            <w:pPr>
              <w:pStyle w:val="yTableNAm"/>
            </w:pPr>
            <w:r>
              <w:t>Date of notice</w:t>
            </w:r>
          </w:p>
        </w:tc>
        <w:tc>
          <w:tcPr>
            <w:tcW w:w="4111" w:type="dxa"/>
            <w:gridSpan w:val="4"/>
          </w:tcPr>
          <w:p>
            <w:pPr>
              <w:pStyle w:val="yTableNAm"/>
            </w:pPr>
          </w:p>
        </w:tc>
      </w:tr>
      <w:tr>
        <w:trPr>
          <w:cantSplit/>
        </w:trPr>
        <w:tc>
          <w:tcPr>
            <w:tcW w:w="1276" w:type="dxa"/>
            <w:vMerge w:val="restart"/>
          </w:tcPr>
          <w:p>
            <w:pPr>
              <w:pStyle w:val="yTableNAm"/>
              <w:rPr>
                <w:b/>
                <w:bCs/>
              </w:rPr>
            </w:pPr>
            <w:r>
              <w:rPr>
                <w:b/>
                <w:bCs/>
              </w:rPr>
              <w:t>Authorised officer</w:t>
            </w:r>
          </w:p>
        </w:tc>
        <w:tc>
          <w:tcPr>
            <w:tcW w:w="1417" w:type="dxa"/>
            <w:gridSpan w:val="2"/>
          </w:tcPr>
          <w:p>
            <w:pPr>
              <w:pStyle w:val="yTableNAm"/>
            </w:pPr>
            <w:r>
              <w:t>Name</w:t>
            </w:r>
          </w:p>
        </w:tc>
        <w:tc>
          <w:tcPr>
            <w:tcW w:w="4111" w:type="dxa"/>
            <w:gridSpan w:val="4"/>
          </w:tcPr>
          <w:p>
            <w:pPr>
              <w:pStyle w:val="yTableNAm"/>
            </w:pPr>
          </w:p>
        </w:tc>
      </w:tr>
      <w:tr>
        <w:trPr>
          <w:cantSplit/>
        </w:trPr>
        <w:tc>
          <w:tcPr>
            <w:tcW w:w="1276" w:type="dxa"/>
            <w:vMerge/>
          </w:tcPr>
          <w:p>
            <w:pPr>
              <w:pStyle w:val="yTableNAm"/>
              <w:rPr>
                <w:b/>
                <w:bCs/>
              </w:rPr>
            </w:pPr>
          </w:p>
        </w:tc>
        <w:tc>
          <w:tcPr>
            <w:tcW w:w="1417" w:type="dxa"/>
            <w:gridSpan w:val="2"/>
          </w:tcPr>
          <w:p>
            <w:pPr>
              <w:pStyle w:val="yTableNAm"/>
            </w:pPr>
            <w:r>
              <w:t>Signature</w:t>
            </w:r>
          </w:p>
        </w:tc>
        <w:tc>
          <w:tcPr>
            <w:tcW w:w="4111" w:type="dxa"/>
            <w:gridSpan w:val="4"/>
          </w:tcPr>
          <w:p>
            <w:pPr>
              <w:pStyle w:val="yTableNAm"/>
            </w:pPr>
          </w:p>
        </w:tc>
      </w:tr>
      <w:tr>
        <w:trPr>
          <w:cantSplit/>
          <w:trHeight w:val="604"/>
        </w:trPr>
        <w:tc>
          <w:tcPr>
            <w:tcW w:w="1276" w:type="dxa"/>
          </w:tcPr>
          <w:p>
            <w:pPr>
              <w:pStyle w:val="yTableNAm"/>
              <w:rPr>
                <w:b/>
                <w:bCs/>
              </w:rPr>
            </w:pPr>
            <w:r>
              <w:rPr>
                <w:b/>
                <w:bCs/>
              </w:rPr>
              <w:t>Modified penalty</w:t>
            </w:r>
          </w:p>
        </w:tc>
        <w:tc>
          <w:tcPr>
            <w:tcW w:w="5528" w:type="dxa"/>
            <w:gridSpan w:val="6"/>
          </w:tcPr>
          <w:p>
            <w:pPr>
              <w:pStyle w:val="yTableNAm"/>
            </w:pPr>
            <w:r>
              <w:t>$_________</w:t>
            </w:r>
          </w:p>
        </w:tc>
      </w:tr>
      <w:tr>
        <w:trPr>
          <w:cantSplit/>
          <w:trHeight w:val="604"/>
        </w:trPr>
        <w:tc>
          <w:tcPr>
            <w:tcW w:w="1276" w:type="dxa"/>
          </w:tcPr>
          <w:p>
            <w:pPr>
              <w:pStyle w:val="yTableNAm"/>
              <w:rPr>
                <w:b/>
                <w:bCs/>
              </w:rPr>
            </w:pPr>
            <w:r>
              <w:rPr>
                <w:b/>
                <w:bCs/>
              </w:rPr>
              <w:t>Due date for payment of modified penalty</w:t>
            </w:r>
          </w:p>
        </w:tc>
        <w:tc>
          <w:tcPr>
            <w:tcW w:w="5528" w:type="dxa"/>
            <w:gridSpan w:val="6"/>
          </w:tcPr>
          <w:p>
            <w:pPr>
              <w:pStyle w:val="yTableNAm"/>
            </w:pPr>
            <w:r>
              <w:t xml:space="preserve">       /       /       </w:t>
            </w:r>
          </w:p>
          <w:p>
            <w:pPr>
              <w:pStyle w:val="yTableNAm"/>
            </w:pPr>
            <w:r>
              <w:t>(Within 28 days after the date of this notice)</w:t>
            </w:r>
          </w:p>
        </w:tc>
      </w:tr>
      <w:tr>
        <w:trPr>
          <w:trHeight w:val="401"/>
        </w:trPr>
        <w:tc>
          <w:tcPr>
            <w:tcW w:w="1276" w:type="dxa"/>
            <w:tcBorders>
              <w:bottom w:val="single" w:sz="4" w:space="0" w:color="auto"/>
            </w:tcBorders>
          </w:tcPr>
          <w:p>
            <w:pPr>
              <w:pStyle w:val="yTableNAm"/>
              <w:rPr>
                <w:b/>
                <w:bCs/>
              </w:rPr>
            </w:pPr>
            <w:r>
              <w:rPr>
                <w:b/>
                <w:bCs/>
              </w:rPr>
              <w:t xml:space="preserve">TAKE NOTICE </w:t>
            </w:r>
          </w:p>
        </w:tc>
        <w:tc>
          <w:tcPr>
            <w:tcW w:w="5528" w:type="dxa"/>
            <w:gridSpan w:val="6"/>
            <w:tcBorders>
              <w:bottom w:val="single" w:sz="4" w:space="0" w:color="auto"/>
            </w:tcBorders>
          </w:tcPr>
          <w:p>
            <w:pPr>
              <w:pStyle w:val="yTableNAm"/>
            </w:pPr>
            <w:r>
              <w:t>It is alleged that you have committed the above offence.</w:t>
            </w:r>
          </w:p>
          <w:p>
            <w:pPr>
              <w:pStyle w:val="yTableNAm"/>
            </w:pPr>
            <w:r>
              <w:rPr>
                <w:b/>
                <w:bCs/>
              </w:rPr>
              <w:lastRenderedPageBreak/>
              <w:t>If you do not want to be prosecuted in court for the offence</w:t>
            </w:r>
            <w:r>
              <w:t>, pay the modified penalty to the Approved Officer within 28 days after the date of this notice.</w:t>
            </w:r>
          </w:p>
          <w:p>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bCs/>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yTableNAm"/>
            </w:pPr>
          </w:p>
        </w:tc>
      </w:tr>
      <w:tr>
        <w:trPr>
          <w:cantSplit/>
        </w:trPr>
        <w:tc>
          <w:tcPr>
            <w:tcW w:w="1276" w:type="dxa"/>
            <w:tcBorders>
              <w:bottom w:val="nil"/>
            </w:tcBorders>
          </w:tcPr>
          <w:p>
            <w:pPr>
              <w:pStyle w:val="yTableNAm"/>
              <w:rPr>
                <w:b/>
                <w:bCs/>
              </w:rPr>
            </w:pPr>
            <w:r>
              <w:rPr>
                <w:b/>
                <w:bCs/>
              </w:rPr>
              <w:lastRenderedPageBreak/>
              <w:t>How to pay</w:t>
            </w:r>
          </w:p>
        </w:tc>
        <w:tc>
          <w:tcPr>
            <w:tcW w:w="1134" w:type="dxa"/>
            <w:tcBorders>
              <w:bottom w:val="nil"/>
            </w:tcBorders>
          </w:tcPr>
          <w:p>
            <w:pPr>
              <w:pStyle w:val="yTableNAm"/>
            </w:pPr>
            <w:r>
              <w:t>By post</w:t>
            </w:r>
          </w:p>
        </w:tc>
        <w:tc>
          <w:tcPr>
            <w:tcW w:w="4394" w:type="dxa"/>
            <w:gridSpan w:val="5"/>
            <w:tcBorders>
              <w:bottom w:val="nil"/>
            </w:tcBorders>
          </w:tcPr>
          <w:p>
            <w:pPr>
              <w:pStyle w:val="yTableNAm"/>
              <w:rPr>
                <w:i/>
                <w:iCs/>
              </w:rPr>
            </w:pPr>
            <w:r>
              <w:rPr>
                <w:i/>
                <w:iCs/>
              </w:rPr>
              <w:t>[Insert details for paying by post]</w:t>
            </w:r>
          </w:p>
          <w:p>
            <w:pPr>
              <w:pStyle w:val="yTableNAm"/>
              <w:rPr>
                <w:i/>
                <w:iCs/>
              </w:rPr>
            </w:pPr>
          </w:p>
        </w:tc>
      </w:tr>
      <w:tr>
        <w:trPr>
          <w:cantSplit/>
        </w:trPr>
        <w:tc>
          <w:tcPr>
            <w:tcW w:w="1276" w:type="dxa"/>
          </w:tcPr>
          <w:p>
            <w:pPr>
              <w:pStyle w:val="yTableNAm"/>
              <w:rPr>
                <w:b/>
                <w:bCs/>
              </w:rPr>
            </w:pPr>
          </w:p>
        </w:tc>
        <w:tc>
          <w:tcPr>
            <w:tcW w:w="1134" w:type="dxa"/>
          </w:tcPr>
          <w:p>
            <w:pPr>
              <w:pStyle w:val="yTableNAm"/>
            </w:pPr>
            <w:r>
              <w:t>Online</w:t>
            </w:r>
          </w:p>
        </w:tc>
        <w:tc>
          <w:tcPr>
            <w:tcW w:w="4394" w:type="dxa"/>
            <w:gridSpan w:val="5"/>
          </w:tcPr>
          <w:p>
            <w:pPr>
              <w:pStyle w:val="yTableNAm"/>
              <w:rPr>
                <w:i/>
                <w:iCs/>
              </w:rPr>
            </w:pPr>
            <w:r>
              <w:rPr>
                <w:i/>
                <w:iCs/>
              </w:rPr>
              <w:t>[Insert details for paying online]</w:t>
            </w:r>
          </w:p>
          <w:p>
            <w:pPr>
              <w:pStyle w:val="yTableNAm"/>
              <w:rPr>
                <w:i/>
                <w:iCs/>
              </w:rPr>
            </w:pPr>
          </w:p>
        </w:tc>
      </w:tr>
      <w:tr>
        <w:trPr>
          <w:cantSplit/>
        </w:trPr>
        <w:tc>
          <w:tcPr>
            <w:tcW w:w="1276" w:type="dxa"/>
          </w:tcPr>
          <w:p>
            <w:pPr>
              <w:pStyle w:val="yTableNAm"/>
              <w:rPr>
                <w:b/>
                <w:bCs/>
              </w:rPr>
            </w:pPr>
          </w:p>
        </w:tc>
        <w:tc>
          <w:tcPr>
            <w:tcW w:w="1134" w:type="dxa"/>
          </w:tcPr>
          <w:p>
            <w:pPr>
              <w:pStyle w:val="yTableNAm"/>
            </w:pPr>
            <w:r>
              <w:t>By telephone</w:t>
            </w:r>
          </w:p>
        </w:tc>
        <w:tc>
          <w:tcPr>
            <w:tcW w:w="4394" w:type="dxa"/>
            <w:gridSpan w:val="5"/>
          </w:tcPr>
          <w:p>
            <w:pPr>
              <w:pStyle w:val="yTableNAm"/>
              <w:rPr>
                <w:i/>
                <w:iCs/>
              </w:rPr>
            </w:pPr>
            <w:r>
              <w:rPr>
                <w:i/>
                <w:iCs/>
              </w:rPr>
              <w:t>[Insert details for paying by telephone]</w:t>
            </w:r>
          </w:p>
        </w:tc>
      </w:tr>
      <w:tr>
        <w:trPr>
          <w:cantSplit/>
          <w:trHeight w:val="310"/>
        </w:trPr>
        <w:tc>
          <w:tcPr>
            <w:tcW w:w="1276" w:type="dxa"/>
          </w:tcPr>
          <w:p>
            <w:pPr>
              <w:pStyle w:val="yTableNAm"/>
              <w:rPr>
                <w:b/>
                <w:bCs/>
              </w:rPr>
            </w:pPr>
            <w:r>
              <w:rPr>
                <w:b/>
                <w:bCs/>
              </w:rPr>
              <w:t>Method of service</w:t>
            </w:r>
          </w:p>
        </w:tc>
        <w:tc>
          <w:tcPr>
            <w:tcW w:w="2693" w:type="dxa"/>
            <w:gridSpan w:val="3"/>
          </w:tcPr>
          <w:p>
            <w:pPr>
              <w:pStyle w:val="yTableNAm"/>
            </w:pPr>
          </w:p>
        </w:tc>
        <w:tc>
          <w:tcPr>
            <w:tcW w:w="992" w:type="dxa"/>
            <w:gridSpan w:val="2"/>
            <w:shd w:val="clear" w:color="auto" w:fill="auto"/>
          </w:tcPr>
          <w:p>
            <w:pPr>
              <w:pStyle w:val="yTableNAm"/>
              <w:rPr>
                <w:b/>
                <w:bCs/>
              </w:rPr>
            </w:pPr>
            <w:r>
              <w:rPr>
                <w:b/>
                <w:bCs/>
              </w:rPr>
              <w:t>Date of service</w:t>
            </w:r>
          </w:p>
        </w:tc>
        <w:tc>
          <w:tcPr>
            <w:tcW w:w="1843" w:type="dxa"/>
            <w:shd w:val="clear" w:color="auto" w:fill="auto"/>
          </w:tcPr>
          <w:p>
            <w:pPr>
              <w:pStyle w:val="yTableNAm"/>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yTableNAm"/>
              <w:jc w:val="center"/>
              <w:rPr>
                <w:b/>
                <w:bCs/>
                <w:i/>
                <w:iCs/>
              </w:rPr>
            </w:pPr>
            <w:r>
              <w:rPr>
                <w:b/>
                <w:bCs/>
              </w:rPr>
              <w:br w:type="page"/>
            </w:r>
            <w:r>
              <w:rPr>
                <w:b/>
                <w:bCs/>
                <w:i/>
                <w:iCs/>
              </w:rPr>
              <w:t>Medicines and Poisons Act 2014</w:t>
            </w:r>
          </w:p>
          <w:p>
            <w:pPr>
              <w:pStyle w:val="yTableNAm"/>
              <w:jc w:val="center"/>
              <w:rPr>
                <w:b/>
                <w:bCs/>
              </w:rPr>
            </w:pPr>
            <w:r>
              <w:rPr>
                <w:b/>
                <w:bCs/>
                <w:szCs w:val="22"/>
              </w:rPr>
              <w:t>WITHDRAWAL OF INFRINGEMENT NOTICE</w:t>
            </w:r>
          </w:p>
        </w:tc>
        <w:tc>
          <w:tcPr>
            <w:tcW w:w="1844" w:type="dxa"/>
            <w:gridSpan w:val="2"/>
            <w:tcBorders>
              <w:bottom w:val="single" w:sz="4" w:space="0" w:color="auto"/>
            </w:tcBorders>
          </w:tcPr>
          <w:p>
            <w:pPr>
              <w:pStyle w:val="yTableNAm"/>
              <w:rPr>
                <w:b/>
                <w:bCs/>
              </w:rPr>
            </w:pPr>
            <w:r>
              <w:rPr>
                <w:b/>
                <w:bCs/>
              </w:rPr>
              <w:t>Withdrawal no.</w:t>
            </w:r>
          </w:p>
        </w:tc>
      </w:tr>
      <w:tr>
        <w:trPr>
          <w:cantSplit/>
          <w:trHeight w:val="150"/>
        </w:trPr>
        <w:tc>
          <w:tcPr>
            <w:tcW w:w="1559" w:type="dxa"/>
            <w:vMerge w:val="restart"/>
          </w:tcPr>
          <w:p>
            <w:pPr>
              <w:pStyle w:val="yTableNAm"/>
              <w:rPr>
                <w:b/>
                <w:bCs/>
              </w:rPr>
            </w:pPr>
            <w:r>
              <w:rPr>
                <w:b/>
                <w:bCs/>
              </w:rPr>
              <w:t>Alleged offender</w:t>
            </w:r>
          </w:p>
        </w:tc>
        <w:tc>
          <w:tcPr>
            <w:tcW w:w="1560" w:type="dxa"/>
            <w:vMerge w:val="restart"/>
          </w:tcPr>
          <w:p>
            <w:pPr>
              <w:pStyle w:val="yTableNAm"/>
            </w:pPr>
            <w:r>
              <w:t>Name</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vMerge/>
          </w:tcPr>
          <w:p>
            <w:pPr>
              <w:pStyle w:val="yTableNAm"/>
            </w:pP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vMerge w:val="restart"/>
          </w:tcPr>
          <w:p>
            <w:pPr>
              <w:pStyle w:val="yTableNAm"/>
            </w:pPr>
            <w:r>
              <w:t>Address</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vMerge/>
          </w:tcPr>
          <w:p>
            <w:pPr>
              <w:pStyle w:val="yTableNAm"/>
            </w:pPr>
          </w:p>
        </w:tc>
        <w:tc>
          <w:tcPr>
            <w:tcW w:w="3686" w:type="dxa"/>
            <w:gridSpan w:val="4"/>
          </w:tcPr>
          <w:p>
            <w:pPr>
              <w:pStyle w:val="yTableNAm"/>
            </w:pPr>
          </w:p>
        </w:tc>
      </w:tr>
      <w:tr>
        <w:trPr>
          <w:cantSplit/>
          <w:trHeight w:val="150"/>
        </w:trPr>
        <w:tc>
          <w:tcPr>
            <w:tcW w:w="1559" w:type="dxa"/>
            <w:vMerge w:val="restart"/>
          </w:tcPr>
          <w:p>
            <w:pPr>
              <w:pStyle w:val="yTableNAm"/>
              <w:rPr>
                <w:b/>
                <w:bCs/>
              </w:rPr>
            </w:pPr>
            <w:r>
              <w:rPr>
                <w:b/>
                <w:bCs/>
              </w:rPr>
              <w:t>Details of infringement notice</w:t>
            </w:r>
          </w:p>
        </w:tc>
        <w:tc>
          <w:tcPr>
            <w:tcW w:w="1560" w:type="dxa"/>
          </w:tcPr>
          <w:p>
            <w:pPr>
              <w:pStyle w:val="yTableNAm"/>
            </w:pPr>
            <w:r>
              <w:t>Infringement notice no.</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tcPr>
          <w:p>
            <w:pPr>
              <w:pStyle w:val="yTableNAm"/>
            </w:pPr>
            <w:r>
              <w:t>Date of issue</w:t>
            </w:r>
          </w:p>
        </w:tc>
        <w:tc>
          <w:tcPr>
            <w:tcW w:w="3686" w:type="dxa"/>
            <w:gridSpan w:val="4"/>
          </w:tcPr>
          <w:p>
            <w:pPr>
              <w:pStyle w:val="yTableNAm"/>
            </w:pPr>
          </w:p>
        </w:tc>
      </w:tr>
      <w:tr>
        <w:trPr>
          <w:cantSplit/>
          <w:trHeight w:val="150"/>
        </w:trPr>
        <w:tc>
          <w:tcPr>
            <w:tcW w:w="1559" w:type="dxa"/>
            <w:vMerge w:val="restart"/>
          </w:tcPr>
          <w:p>
            <w:pPr>
              <w:pStyle w:val="yTableNAm"/>
              <w:rPr>
                <w:b/>
                <w:bCs/>
              </w:rPr>
            </w:pPr>
            <w:r>
              <w:rPr>
                <w:b/>
                <w:bCs/>
              </w:rPr>
              <w:t>Details of alleged offence</w:t>
            </w:r>
          </w:p>
        </w:tc>
        <w:tc>
          <w:tcPr>
            <w:tcW w:w="1560" w:type="dxa"/>
          </w:tcPr>
          <w:p>
            <w:pPr>
              <w:pStyle w:val="yTableNAm"/>
            </w:pPr>
            <w:r>
              <w:t>Date or period</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tcPr>
          <w:p>
            <w:pPr>
              <w:pStyle w:val="yTableNAm"/>
            </w:pPr>
            <w:r>
              <w:t>Place</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tcPr>
          <w:p>
            <w:pPr>
              <w:pStyle w:val="yTableNAm"/>
            </w:pPr>
            <w:r>
              <w:t>Written law contravened</w:t>
            </w:r>
          </w:p>
        </w:tc>
        <w:tc>
          <w:tcPr>
            <w:tcW w:w="3686" w:type="dxa"/>
            <w:gridSpan w:val="4"/>
          </w:tcPr>
          <w:p>
            <w:pPr>
              <w:pStyle w:val="yTableNAm"/>
            </w:pPr>
          </w:p>
        </w:tc>
      </w:tr>
      <w:tr>
        <w:trPr>
          <w:cantSplit/>
          <w:trHeight w:val="562"/>
        </w:trPr>
        <w:tc>
          <w:tcPr>
            <w:tcW w:w="1559" w:type="dxa"/>
            <w:vMerge/>
          </w:tcPr>
          <w:p>
            <w:pPr>
              <w:pStyle w:val="yTableNAm"/>
              <w:rPr>
                <w:b/>
                <w:bCs/>
              </w:rPr>
            </w:pPr>
          </w:p>
        </w:tc>
        <w:tc>
          <w:tcPr>
            <w:tcW w:w="1560" w:type="dxa"/>
          </w:tcPr>
          <w:p>
            <w:pPr>
              <w:pStyle w:val="yTableNAm"/>
            </w:pPr>
            <w:r>
              <w:t>Details of offence</w:t>
            </w:r>
          </w:p>
        </w:tc>
        <w:tc>
          <w:tcPr>
            <w:tcW w:w="3686" w:type="dxa"/>
            <w:gridSpan w:val="4"/>
          </w:tcPr>
          <w:p>
            <w:pPr>
              <w:pStyle w:val="yTableNAm"/>
            </w:pPr>
          </w:p>
        </w:tc>
      </w:tr>
      <w:tr>
        <w:trPr>
          <w:cantSplit/>
        </w:trPr>
        <w:tc>
          <w:tcPr>
            <w:tcW w:w="1559" w:type="dxa"/>
            <w:vMerge w:val="restart"/>
          </w:tcPr>
          <w:p>
            <w:pPr>
              <w:pStyle w:val="yTableNAm"/>
              <w:rPr>
                <w:b/>
                <w:bCs/>
              </w:rPr>
            </w:pPr>
            <w:r>
              <w:rPr>
                <w:b/>
                <w:bCs/>
              </w:rPr>
              <w:t>Approved Officer withdrawing notice</w:t>
            </w:r>
          </w:p>
        </w:tc>
        <w:tc>
          <w:tcPr>
            <w:tcW w:w="1560" w:type="dxa"/>
          </w:tcPr>
          <w:p>
            <w:pPr>
              <w:pStyle w:val="yTableNAm"/>
            </w:pPr>
            <w:r>
              <w:t>Name</w:t>
            </w:r>
          </w:p>
        </w:tc>
        <w:tc>
          <w:tcPr>
            <w:tcW w:w="3686" w:type="dxa"/>
            <w:gridSpan w:val="4"/>
          </w:tcPr>
          <w:p>
            <w:pPr>
              <w:pStyle w:val="yTableNAm"/>
            </w:pPr>
          </w:p>
        </w:tc>
      </w:tr>
      <w:tr>
        <w:trPr>
          <w:cantSplit/>
          <w:trHeight w:val="370"/>
        </w:trPr>
        <w:tc>
          <w:tcPr>
            <w:tcW w:w="1559" w:type="dxa"/>
            <w:vMerge/>
          </w:tcPr>
          <w:p>
            <w:pPr>
              <w:pStyle w:val="yTableNAm"/>
              <w:rPr>
                <w:b/>
                <w:bCs/>
              </w:rPr>
            </w:pPr>
          </w:p>
        </w:tc>
        <w:tc>
          <w:tcPr>
            <w:tcW w:w="1560" w:type="dxa"/>
          </w:tcPr>
          <w:p>
            <w:pPr>
              <w:pStyle w:val="yTableNAm"/>
            </w:pPr>
            <w:r>
              <w:t>Signature</w:t>
            </w:r>
          </w:p>
        </w:tc>
        <w:tc>
          <w:tcPr>
            <w:tcW w:w="3686" w:type="dxa"/>
            <w:gridSpan w:val="4"/>
          </w:tcPr>
          <w:p>
            <w:pPr>
              <w:pStyle w:val="yTableNAm"/>
            </w:pPr>
          </w:p>
        </w:tc>
      </w:tr>
      <w:tr>
        <w:trPr>
          <w:cantSplit/>
        </w:trPr>
        <w:tc>
          <w:tcPr>
            <w:tcW w:w="1559" w:type="dxa"/>
            <w:tcBorders>
              <w:bottom w:val="single" w:sz="4" w:space="0" w:color="auto"/>
            </w:tcBorders>
          </w:tcPr>
          <w:p>
            <w:pPr>
              <w:pStyle w:val="yTableNAm"/>
              <w:rPr>
                <w:b/>
                <w:bCs/>
              </w:rPr>
            </w:pPr>
            <w:r>
              <w:rPr>
                <w:b/>
                <w:bCs/>
              </w:rPr>
              <w:t>Date</w:t>
            </w:r>
          </w:p>
        </w:tc>
        <w:tc>
          <w:tcPr>
            <w:tcW w:w="1560" w:type="dxa"/>
            <w:tcBorders>
              <w:bottom w:val="single" w:sz="4" w:space="0" w:color="auto"/>
            </w:tcBorders>
          </w:tcPr>
          <w:p>
            <w:pPr>
              <w:pStyle w:val="yTableNAm"/>
            </w:pPr>
            <w:r>
              <w:t>Date of withdrawal</w:t>
            </w:r>
          </w:p>
        </w:tc>
        <w:tc>
          <w:tcPr>
            <w:tcW w:w="3686"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rPr>
                <w:b/>
                <w:bCs/>
              </w:rPr>
            </w:pPr>
            <w:r>
              <w:rPr>
                <w:b/>
                <w:bCs/>
              </w:rPr>
              <w:lastRenderedPageBreak/>
              <w:t>Withdrawal of infringement notice</w:t>
            </w:r>
          </w:p>
        </w:tc>
        <w:tc>
          <w:tcPr>
            <w:tcW w:w="5246"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rPr>
                <w:i/>
                <w:iCs/>
              </w:rPr>
            </w:pPr>
            <w:r>
              <w:rPr>
                <w:i/>
                <w:iCs/>
                <w:sz w:val="20"/>
              </w:rPr>
              <w:t>[*Delete whichever is not applicable]</w:t>
            </w:r>
          </w:p>
        </w:tc>
        <w:tc>
          <w:tcPr>
            <w:tcW w:w="5246" w:type="dxa"/>
            <w:gridSpan w:val="5"/>
            <w:tcBorders>
              <w:top w:val="nil"/>
            </w:tcBorders>
          </w:tcPr>
          <w:p>
            <w:pPr>
              <w:pStyle w:val="yTableNAm"/>
            </w:pPr>
            <w:r>
              <w:rPr>
                <w:sz w:val="20"/>
              </w:rPr>
              <w:t>*</w:t>
            </w:r>
            <w:r>
              <w:rPr>
                <w:sz w:val="20"/>
              </w:rPr>
              <w:tab/>
            </w:r>
            <w:r>
              <w:t>Your refund is enclosed.</w:t>
            </w:r>
          </w:p>
          <w:p>
            <w:pPr>
              <w:pStyle w:val="yTableNAm"/>
            </w:pPr>
            <w:r>
              <w:tab/>
              <w:t>or</w:t>
            </w:r>
          </w:p>
          <w:p>
            <w:pPr>
              <w:pStyle w:val="yTableNAm"/>
              <w:ind w:left="567" w:hanging="567"/>
            </w:pPr>
            <w:r>
              <w:rPr>
                <w:sz w:val="20"/>
              </w:rPr>
              <w:t>*</w:t>
            </w:r>
            <w:r>
              <w:rPr>
                <w:sz w:val="20"/>
              </w:rPr>
              <w:tab/>
              <w:t>Y</w:t>
            </w:r>
            <w:r>
              <w:t>ou may claim your refund by signing and dating this notice and sending it to:</w:t>
            </w:r>
          </w:p>
          <w:p>
            <w:pPr>
              <w:pStyle w:val="yTableNAm"/>
            </w:pPr>
            <w:r>
              <w:t xml:space="preserve">Approved Officer — </w:t>
            </w:r>
            <w:r>
              <w:rPr>
                <w:i/>
                <w:iCs/>
              </w:rPr>
              <w:t>Medicines and Poisons Act 2014</w:t>
            </w:r>
          </w:p>
          <w:p>
            <w:pPr>
              <w:pStyle w:val="yTableNAm"/>
              <w:rPr>
                <w:i/>
                <w:iCs/>
              </w:rPr>
            </w:pPr>
            <w:r>
              <w:rPr>
                <w:i/>
                <w:iCs/>
                <w:sz w:val="20"/>
              </w:rPr>
              <w:t>[Insert postal and email address]</w:t>
            </w:r>
            <w:r>
              <w:rPr>
                <w:i/>
                <w:iCs/>
              </w:rPr>
              <w:br/>
            </w:r>
          </w:p>
        </w:tc>
      </w:tr>
      <w:tr>
        <w:trPr>
          <w:cantSplit/>
          <w:trHeight w:val="604"/>
        </w:trPr>
        <w:tc>
          <w:tcPr>
            <w:tcW w:w="1559" w:type="dxa"/>
          </w:tcPr>
          <w:p>
            <w:pPr>
              <w:pStyle w:val="yTableNAm"/>
              <w:rPr>
                <w:b/>
                <w:bCs/>
              </w:rPr>
            </w:pPr>
            <w:r>
              <w:rPr>
                <w:b/>
                <w:bCs/>
              </w:rPr>
              <w:t>Your signature</w:t>
            </w:r>
          </w:p>
        </w:tc>
        <w:tc>
          <w:tcPr>
            <w:tcW w:w="2410" w:type="dxa"/>
            <w:gridSpan w:val="2"/>
          </w:tcPr>
          <w:p>
            <w:pPr>
              <w:pStyle w:val="yTableNAm"/>
            </w:pPr>
          </w:p>
        </w:tc>
        <w:tc>
          <w:tcPr>
            <w:tcW w:w="1134" w:type="dxa"/>
            <w:gridSpan w:val="2"/>
          </w:tcPr>
          <w:p>
            <w:pPr>
              <w:pStyle w:val="yTableNAm"/>
            </w:pPr>
            <w:r>
              <w:t>Date</w:t>
            </w:r>
          </w:p>
        </w:tc>
        <w:tc>
          <w:tcPr>
            <w:tcW w:w="1702" w:type="dxa"/>
          </w:tcPr>
          <w:p>
            <w:pPr>
              <w:pStyle w:val="yTableNAm"/>
            </w:pPr>
          </w:p>
        </w:tc>
      </w:tr>
    </w:tbl>
    <w:p>
      <w:pPr>
        <w:pStyle w:val="yFootnotesection"/>
      </w:pPr>
      <w:r>
        <w:tab/>
        <w:t>[Form 2 inserted: SL 2024/224 r. 5.]</w:t>
      </w:r>
    </w:p>
    <w:p>
      <w:pPr>
        <w:pStyle w:val="yFootnote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6" w:name="_Toc216427980"/>
      <w:bookmarkStart w:id="357" w:name="_Toc216431415"/>
      <w:bookmarkStart w:id="358" w:name="_Toc216791512"/>
      <w:r>
        <w:rPr>
          <w:rStyle w:val="CharSchNo"/>
        </w:rPr>
        <w:lastRenderedPageBreak/>
        <w:t>Schedule 6</w:t>
      </w:r>
      <w:r>
        <w:rPr>
          <w:rStyle w:val="CharSDivNo"/>
        </w:rPr>
        <w:t> </w:t>
      </w:r>
      <w:r>
        <w:t>—</w:t>
      </w:r>
      <w:r>
        <w:rPr>
          <w:rStyle w:val="CharSDivText"/>
        </w:rPr>
        <w:t> </w:t>
      </w:r>
      <w:r>
        <w:rPr>
          <w:rStyle w:val="CharSchText"/>
        </w:rPr>
        <w:t>List of Schedule 4 reportable poisons</w:t>
      </w:r>
      <w:bookmarkEnd w:id="356"/>
      <w:bookmarkEnd w:id="357"/>
      <w:bookmarkEnd w:id="358"/>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pgSz w:w="11907" w:h="16840" w:code="9"/>
          <w:pgMar w:top="2381" w:right="2410" w:bottom="3544" w:left="2410" w:header="720" w:footer="3544" w:gutter="0"/>
          <w:cols w:space="720"/>
          <w:titlePg/>
        </w:sectPr>
      </w:pPr>
    </w:p>
    <w:p>
      <w:pPr>
        <w:pStyle w:val="nHeading2"/>
      </w:pPr>
      <w:bookmarkStart w:id="359" w:name="_Toc216427981"/>
      <w:bookmarkStart w:id="360" w:name="_Toc216431416"/>
      <w:bookmarkStart w:id="361" w:name="_Toc216791513"/>
      <w:r>
        <w:lastRenderedPageBreak/>
        <w:t>Notes</w:t>
      </w:r>
      <w:bookmarkEnd w:id="359"/>
      <w:bookmarkEnd w:id="360"/>
      <w:bookmarkEnd w:id="361"/>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pPr>
        <w:pStyle w:val="nHeading3"/>
      </w:pPr>
      <w:bookmarkStart w:id="362" w:name="_Toc216791514"/>
      <w:r>
        <w:t>Compilation table</w:t>
      </w:r>
      <w:bookmarkEnd w:id="3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lastRenderedPageBreak/>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pPr>
              <w:pStyle w:val="nTable"/>
              <w:spacing w:after="40"/>
            </w:pPr>
            <w:r>
              <w:t>SL 2024/265 11 Dec 2024</w:t>
            </w:r>
          </w:p>
        </w:tc>
        <w:tc>
          <w:tcPr>
            <w:tcW w:w="2693" w:type="dxa"/>
            <w:tcBorders>
              <w:top w:val="nil"/>
              <w:bottom w:val="nil"/>
            </w:tcBorders>
          </w:tcPr>
          <w:p>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tc>
          <w:tcPr>
            <w:tcW w:w="3118" w:type="dxa"/>
            <w:tcBorders>
              <w:top w:val="nil"/>
              <w:bottom w:val="nil"/>
            </w:tcBorders>
          </w:tcPr>
          <w:p>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pPr>
              <w:pStyle w:val="nTable"/>
              <w:spacing w:after="40"/>
            </w:pPr>
            <w:r>
              <w:t>SL 2025/104 25 Jun 2025</w:t>
            </w:r>
          </w:p>
        </w:tc>
        <w:tc>
          <w:tcPr>
            <w:tcW w:w="2693" w:type="dxa"/>
            <w:tcBorders>
              <w:top w:val="nil"/>
              <w:bottom w:val="nil"/>
            </w:tcBorders>
          </w:tcPr>
          <w:p>
            <w:pPr>
              <w:pStyle w:val="nTable"/>
              <w:spacing w:after="40"/>
              <w:rPr>
                <w:iCs/>
              </w:rPr>
            </w:pPr>
            <w:r>
              <w:t>1 Jul 2025 (see r. 2(b))</w:t>
            </w:r>
          </w:p>
        </w:tc>
      </w:tr>
      <w:tr>
        <w:tc>
          <w:tcPr>
            <w:tcW w:w="3118" w:type="dxa"/>
            <w:tcBorders>
              <w:top w:val="nil"/>
              <w:bottom w:val="single" w:sz="4" w:space="0" w:color="auto"/>
            </w:tcBorders>
          </w:tcPr>
          <w:p>
            <w:pPr>
              <w:pStyle w:val="nTable"/>
              <w:spacing w:after="40"/>
              <w:rPr>
                <w:i/>
              </w:rPr>
            </w:pPr>
            <w:r>
              <w:rPr>
                <w:i/>
              </w:rPr>
              <w:t>Medicines and Poisons Amendment Regulations 2025</w:t>
            </w:r>
          </w:p>
        </w:tc>
        <w:tc>
          <w:tcPr>
            <w:tcW w:w="1276" w:type="dxa"/>
            <w:tcBorders>
              <w:top w:val="nil"/>
              <w:bottom w:val="single" w:sz="4" w:space="0" w:color="auto"/>
            </w:tcBorders>
          </w:tcPr>
          <w:p>
            <w:pPr>
              <w:pStyle w:val="nTable"/>
              <w:spacing w:after="40"/>
            </w:pPr>
            <w:r>
              <w:t>SL 2025/212 17 Dec 2025</w:t>
            </w:r>
          </w:p>
        </w:tc>
        <w:tc>
          <w:tcPr>
            <w:tcW w:w="2693" w:type="dxa"/>
            <w:tcBorders>
              <w:top w:val="nil"/>
              <w:bottom w:val="single" w:sz="4" w:space="0" w:color="auto"/>
            </w:tcBorders>
          </w:tcPr>
          <w:p>
            <w:pPr>
              <w:pStyle w:val="nTable"/>
              <w:spacing w:after="40"/>
            </w:pPr>
            <w:r>
              <w:rPr>
                <w:bCs/>
                <w:snapToGrid w:val="0"/>
              </w:rPr>
              <w:t>r. 1 and 2: 17 Dec 2025 (see r. 2(a));</w:t>
            </w:r>
            <w:r>
              <w:rPr>
                <w:bCs/>
                <w:snapToGrid w:val="0"/>
              </w:rPr>
              <w:br/>
              <w:t>Regulations other than r. 1 and 2: 18 Dec 2025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364" w:name="_Toc216791515"/>
      <w:r>
        <w:rPr>
          <w:sz w:val="28"/>
        </w:rPr>
        <w:lastRenderedPageBreak/>
        <w:t>Defined terms</w:t>
      </w:r>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recipient</w:t>
      </w:r>
      <w:r>
        <w:tab/>
        <w:t>148E(2)</w:t>
      </w:r>
    </w:p>
    <w:p>
      <w:pPr>
        <w:pStyle w:val="DefinedTerms"/>
      </w:pPr>
      <w:r>
        <w:t>approved system</w:t>
      </w:r>
      <w:r>
        <w:tab/>
        <w:t>142(1)</w:t>
      </w:r>
    </w:p>
    <w:p>
      <w:pPr>
        <w:pStyle w:val="DefinedTerms"/>
      </w:pPr>
      <w:r>
        <w:t>ASGS</w:t>
      </w:r>
      <w:r>
        <w:tab/>
        <w:t>39A(1)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clinical governance committee</w:t>
      </w:r>
      <w:r>
        <w:tab/>
        <w:t>34(1)</w:t>
      </w:r>
    </w:p>
    <w:p>
      <w:pPr>
        <w:pStyle w:val="DefinedTerms"/>
      </w:pPr>
      <w:r>
        <w:t>clinic prescriber</w:t>
      </w:r>
      <w:r>
        <w:tab/>
        <w:t>125</w:t>
      </w:r>
    </w:p>
    <w:p>
      <w:pPr>
        <w:pStyle w:val="DefinedTerms"/>
      </w:pPr>
      <w:r>
        <w:t>commencement day</w:t>
      </w:r>
      <w:r>
        <w:tab/>
        <w:t>149</w:t>
      </w:r>
    </w:p>
    <w:p>
      <w:pPr>
        <w:pStyle w:val="DefinedTerms"/>
      </w:pPr>
      <w:r>
        <w:t>co-prescriber</w:t>
      </w:r>
      <w:r>
        <w:tab/>
        <w:t>133</w:t>
      </w:r>
    </w:p>
    <w:p>
      <w:pPr>
        <w:pStyle w:val="DefinedTerms"/>
      </w:pPr>
      <w:r>
        <w:t>current detoxification prescriber</w:t>
      </w:r>
      <w:r>
        <w:tab/>
        <w:t>133</w:t>
      </w:r>
    </w:p>
    <w:p>
      <w:pPr>
        <w:pStyle w:val="DefinedTerms"/>
      </w:pPr>
      <w:r>
        <w:t>current Poisons Standard</w:t>
      </w:r>
      <w:r>
        <w:tab/>
        <w:t>3(1)</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3(1)</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3(1)</w:t>
      </w:r>
    </w:p>
    <w:p>
      <w:pPr>
        <w:pStyle w:val="DefinedTerms"/>
      </w:pPr>
      <w:r>
        <w:t>endorsed optometrist</w:t>
      </w:r>
      <w:r>
        <w:tab/>
        <w:t>37</w:t>
      </w:r>
    </w:p>
    <w:p>
      <w:pPr>
        <w:pStyle w:val="DefinedTerms"/>
      </w:pPr>
      <w:r>
        <w:lastRenderedPageBreak/>
        <w:t>endorsed podiatrist</w:t>
      </w:r>
      <w:r>
        <w:tab/>
        <w:t>3(1)</w:t>
      </w:r>
    </w:p>
    <w:p>
      <w:pPr>
        <w:pStyle w:val="DefinedTerms"/>
      </w:pPr>
      <w:r>
        <w:t>enrolled nurse</w:t>
      </w:r>
      <w:r>
        <w:tab/>
        <w:t>37</w:t>
      </w:r>
    </w:p>
    <w:p>
      <w:pPr>
        <w:pStyle w:val="DefinedTerms"/>
      </w:pPr>
      <w:r>
        <w:t>exemption</w:t>
      </w:r>
      <w:r>
        <w:tab/>
        <w:t>152(1)</w:t>
      </w:r>
    </w:p>
    <w:p>
      <w:pPr>
        <w:pStyle w:val="DefinedTerms"/>
      </w:pPr>
      <w:r>
        <w:t>exempt substance</w:t>
      </w:r>
      <w:r>
        <w:tab/>
        <w:t>3(1)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included in the Register</w:t>
      </w:r>
      <w:r>
        <w:tab/>
        <w:t>6A(1)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non-compliant container or label</w:t>
      </w:r>
      <w:r>
        <w:tab/>
        <w:t>85(1), 152(1)</w:t>
      </w:r>
    </w:p>
    <w:p>
      <w:pPr>
        <w:pStyle w:val="DefinedTerms"/>
      </w:pPr>
      <w:r>
        <w:t>nurse practitioner</w:t>
      </w:r>
      <w:r>
        <w:tab/>
        <w:t>3(1)</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oromucosal administration</w:t>
      </w:r>
      <w:r>
        <w:tab/>
        <w:t>6A(1)</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3(1)</w:t>
      </w:r>
    </w:p>
    <w:p>
      <w:pPr>
        <w:pStyle w:val="DefinedTerms"/>
      </w:pPr>
      <w:r>
        <w:t>prescribing code</w:t>
      </w:r>
      <w:r>
        <w:tab/>
        <w:t>114</w:t>
      </w:r>
    </w:p>
    <w:p>
      <w:pPr>
        <w:pStyle w:val="DefinedTerms"/>
      </w:pPr>
      <w:r>
        <w:lastRenderedPageBreak/>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real-time prescription monitoring system</w:t>
      </w:r>
      <w:r>
        <w:tab/>
        <w:t>22A(1)</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health professional</w:t>
      </w:r>
      <w:r>
        <w:tab/>
        <w:t>22A(1)</w:t>
      </w:r>
    </w:p>
    <w:p>
      <w:pPr>
        <w:pStyle w:val="DefinedTerms"/>
      </w:pPr>
      <w:r>
        <w:t>relevant medicine</w:t>
      </w:r>
      <w:r>
        <w:tab/>
        <w:t>22A(1)</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Schedule 4 reportable poison</w:t>
      </w:r>
      <w:r>
        <w:tab/>
        <w:t>3(1)</w:t>
      </w:r>
    </w:p>
    <w:p>
      <w:pPr>
        <w:pStyle w:val="DefinedTerms"/>
      </w:pPr>
      <w:r>
        <w:t>Schedule 6 nitrous oxide</w:t>
      </w:r>
      <w:r>
        <w:tab/>
        <w:t>148D</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therapeutic use</w:t>
      </w:r>
      <w:r>
        <w:tab/>
        <w:t>6A(1)</w:t>
      </w:r>
    </w:p>
    <w:p>
      <w:pPr>
        <w:pStyle w:val="DefinedTerms"/>
      </w:pPr>
      <w:r>
        <w:t>transdermal administration</w:t>
      </w:r>
      <w:r>
        <w:tab/>
        <w:t>6A(1)</w:t>
      </w:r>
    </w:p>
    <w:p>
      <w:pPr>
        <w:pStyle w:val="DefinedTerms"/>
      </w:pPr>
      <w:r>
        <w:t>unauthorised person</w:t>
      </w:r>
      <w:r>
        <w:tab/>
        <w:t>22(1)</w:t>
      </w:r>
    </w:p>
    <w:p>
      <w:pPr>
        <w:pStyle w:val="DefinedTerms"/>
      </w:pPr>
      <w:r>
        <w:t>vessel</w:t>
      </w:r>
      <w:r>
        <w:tab/>
        <w:t>37</w:t>
      </w:r>
    </w:p>
    <w:p>
      <w:pPr>
        <w:pStyle w:val="DefinedTerms"/>
      </w:pPr>
      <w:r>
        <w:lastRenderedPageBreak/>
        <w:t>veterinary nurse</w:t>
      </w:r>
      <w:r>
        <w:tab/>
        <w:t>37</w:t>
      </w:r>
    </w:p>
    <w:p>
      <w:pPr>
        <w:pStyle w:val="DefinedTerms"/>
      </w:pPr>
      <w:r>
        <w:t>VPB-authorised person</w:t>
      </w:r>
      <w:r>
        <w:tab/>
        <w:t>37</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7473109</wp:posOffset>
                </wp:positionV>
                <wp:extent cx="127000" cy="676550"/>
                <wp:effectExtent l="0" t="0" r="1905" b="9525"/>
                <wp:wrapNone/>
                <wp:docPr id="1" name="Authority"/>
                <wp:cNvGraphicFramePr/>
                <a:graphic xmlns:a="http://schemas.openxmlformats.org/drawingml/2006/main">
                  <a:graphicData uri="http://schemas.microsoft.com/office/word/2010/wordprocessingShape">
                    <wps:wsp>
                      <wps:cNvSpPr txBox="1"/>
                      <wps:spPr>
                        <a:xfrm>
                          <a:off x="0" y="0"/>
                          <a:ext cx="127000" cy="6765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64CF98" id="_x0000_t202" coordsize="21600,21600" o:spt="202" path="m,l,21600r21600,l21600,xe">
                <v:stroke joinstyle="miter"/>
                <v:path gradientshapeok="t" o:connecttype="rect"/>
              </v:shapetype>
              <v:shape id="Authority" o:spid="_x0000_s1026" type="#_x0000_t202" style="position:absolute;margin-left:0;margin-top:588.45pt;width:10pt;height:53.2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" stroked="f" strokeweight=".5pt">
                <v:textbox>
                  <w:txbxContent>
                    <w:p w14:paraId="0E074F6B" w14:textId="62AFA8BF" w:rsidR="00506439" w:rsidRDefault="0018428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7513">
                        <w:rPr>
                          <w:sz w:val="16"/>
                        </w:rPr>
                        <w:t>2025</w:t>
                      </w:r>
                      <w:r>
                        <w:rPr>
                          <w:sz w:val="16"/>
                        </w:rPr>
                        <w:fldChar w:fldCharType="end"/>
                      </w:r>
                      <w:r>
                        <w:rPr>
                          <w:sz w:val="16"/>
                        </w:rPr>
                        <w:t>.</w:t>
                      </w:r>
                    </w:p>
                    <w:p w14:paraId="497E696D" w14:textId="77777777" w:rsidR="00506439" w:rsidRDefault="0018428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9F6539" w14:textId="25F529E3" w:rsidR="00506439" w:rsidRDefault="0018428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7513">
                        <w:rPr>
                          <w:sz w:val="16"/>
                        </w:rPr>
                        <w:t>2025</w:t>
                      </w:r>
                      <w:r>
                        <w:rPr>
                          <w:sz w:val="16"/>
                        </w:rPr>
                        <w:fldChar w:fldCharType="end"/>
                      </w:r>
                      <w:r>
                        <w:rPr>
                          <w:sz w:val="16"/>
                        </w:rPr>
                        <w:t>.</w:t>
                      </w:r>
                    </w:p>
                    <w:p w14:paraId="2AFB0164" w14:textId="5E2647A6" w:rsidR="00506439" w:rsidRDefault="0018428A">
                      <w:pPr>
                        <w:ind w:left="2438" w:right="2098"/>
                        <w:jc w:val="center"/>
                        <w:rPr>
                          <w:rFonts w:ascii="Arial" w:hAnsi="Arial" w:cs="Arial"/>
                          <w:sz w:val="12"/>
                        </w:rPr>
                      </w:pPr>
                      <w:r>
                        <w:rPr>
                          <w:rFonts w:ascii="Arial" w:hAnsi="Arial" w:cs="Arial"/>
                          <w:sz w:val="12"/>
                        </w:rPr>
                        <w:t xml:space="preserve">By Authority: </w:t>
                      </w:r>
                      <w:r w:rsidR="00C038F3" w:rsidRPr="00C038F3">
                        <w:rPr>
                          <w:rFonts w:ascii="Arial" w:hAnsi="Arial" w:cs="Arial"/>
                          <w:sz w:val="12"/>
                        </w:rPr>
                        <w:t xml:space="preserve">ROGER JACOBS, Acting </w:t>
                      </w:r>
                      <w:r>
                        <w:rPr>
                          <w:rFonts w:ascii="Arial" w:hAnsi="Arial" w:cs="Arial"/>
                          <w:sz w:val="12"/>
                        </w:rPr>
                        <w:t>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4" w:name="Schedule"/>
    <w:bookmarkEnd w:id="3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5" w:name="DefinedTerms"/>
    <w:bookmarkEnd w:id="36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0938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33572</Words>
  <Characters>171222</Characters>
  <Application>Microsoft Office Word</Application>
  <DocSecurity>0</DocSecurity>
  <Lines>5350</Lines>
  <Paragraphs>3303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2016 - 00-s0-00</dc:title>
  <dc:subject/>
  <dc:creator/>
  <cp:keywords/>
  <dc:description/>
  <cp:lastModifiedBy>Master Repository Process</cp:lastModifiedBy>
  <cp:revision>4</cp:revision>
  <cp:lastPrinted>2020-11-03T06:21:00Z</cp:lastPrinted>
  <dcterms:created xsi:type="dcterms:W3CDTF">2025-12-16T07:37:00Z</dcterms:created>
  <dcterms:modified xsi:type="dcterms:W3CDTF">2025-12-16T07:38:00Z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20251218</vt:lpwstr>
  </property>
  <property fmtid="{D5CDD505-2E9C-101B-9397-08002B2CF9AE}" pid="6" name="CommencementAsAt">
    <vt:filetime>2025-12-17T16:00:00Z</vt:filetime>
  </property>
  <property fmtid="{D5CDD505-2E9C-101B-9397-08002B2CF9AE}" pid="7" name="CommencementYear">
    <vt:lpwstr>2025</vt:lpwstr>
  </property>
  <property fmtid="{D5CDD505-2E9C-101B-9397-08002B2CF9AE}" pid="8" name="AsAtDate">
    <vt:lpwstr>18 Dec 2025</vt:lpwstr>
  </property>
  <property fmtid="{D5CDD505-2E9C-101B-9397-08002B2CF9AE}" pid="9" name="Suffix">
    <vt:lpwstr>00-s0-00</vt:lpwstr>
  </property>
  <property fmtid="{D5CDD505-2E9C-101B-9397-08002B2CF9AE}" pid="10" name="Official">
    <vt:lpwstr/>
  </property>
</Properties>
</file>