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Births, Deaths and Marriages Registration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Births, Deaths and Marriages Registration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_Toc216954851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_Toc216954852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_Toc216954853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_Toc216954854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The Registrar and staff</w:t>
      </w:r>
    </w:p>
    <w:p>
      <w:pPr>
        <w:pStyle w:val="TOC8"/>
        <w:rPr>
          <w:rFonts w:asciiTheme="minorHAnsi" w:eastAsiaTheme="minorEastAsia" w:hAnsiTheme="minorHAnsi" w:cstheme="minorBidi"/>
          <w:szCs w:val="22"/>
        </w:rPr>
      </w:pPr>
      <w:r>
        <w:t>5.</w:t>
      </w:r>
      <w:r>
        <w:tab/>
        <w:t>Registrar</w:t>
      </w:r>
      <w:r>
        <w:tab/>
      </w:r>
      <w:r>
        <w:fldChar w:fldCharType="begin"/>
      </w:r>
      <w:r>
        <w:instrText xml:space="preserve"> PAGEREF _Toc216954857 \h </w:instrText>
      </w:r>
      <w:r>
        <w:fldChar w:fldCharType="separate"/>
      </w:r>
      <w:r>
        <w:t>6</w:t>
      </w:r>
      <w:r>
        <w:fldChar w:fldCharType="end"/>
      </w:r>
    </w:p>
    <w:p>
      <w:pPr>
        <w:pStyle w:val="TOC8"/>
        <w:rPr>
          <w:rFonts w:asciiTheme="minorHAnsi" w:eastAsiaTheme="minorEastAsia" w:hAnsiTheme="minorHAnsi" w:cstheme="minorBidi"/>
          <w:szCs w:val="22"/>
        </w:rPr>
      </w:pPr>
      <w:r>
        <w:t>6.</w:t>
      </w:r>
      <w:r>
        <w:tab/>
        <w:t>Registrar’s general functions</w:t>
      </w:r>
      <w:r>
        <w:tab/>
      </w:r>
      <w:r>
        <w:fldChar w:fldCharType="begin"/>
      </w:r>
      <w:r>
        <w:instrText xml:space="preserve"> PAGEREF _Toc216954858 \h </w:instrText>
      </w:r>
      <w:r>
        <w:fldChar w:fldCharType="separate"/>
      </w:r>
      <w:r>
        <w:t>6</w:t>
      </w:r>
      <w:r>
        <w:fldChar w:fldCharType="end"/>
      </w:r>
    </w:p>
    <w:p>
      <w:pPr>
        <w:pStyle w:val="TOC8"/>
        <w:rPr>
          <w:rFonts w:asciiTheme="minorHAnsi" w:eastAsiaTheme="minorEastAsia" w:hAnsiTheme="minorHAnsi" w:cstheme="minorBidi"/>
          <w:szCs w:val="22"/>
        </w:rPr>
      </w:pPr>
      <w:r>
        <w:t>7.</w:t>
      </w:r>
      <w:r>
        <w:tab/>
        <w:t>Registrar’s staff</w:t>
      </w:r>
      <w:r>
        <w:tab/>
      </w:r>
      <w:r>
        <w:fldChar w:fldCharType="begin"/>
      </w:r>
      <w:r>
        <w:instrText xml:space="preserve"> PAGEREF _Toc216954859 \h </w:instrText>
      </w:r>
      <w:r>
        <w:fldChar w:fldCharType="separate"/>
      </w:r>
      <w:r>
        <w:t>6</w:t>
      </w:r>
      <w:r>
        <w:fldChar w:fldCharType="end"/>
      </w:r>
    </w:p>
    <w:p>
      <w:pPr>
        <w:pStyle w:val="TOC8"/>
        <w:rPr>
          <w:rFonts w:asciiTheme="minorHAnsi" w:eastAsiaTheme="minorEastAsia" w:hAnsiTheme="minorHAnsi" w:cstheme="minorBidi"/>
          <w:szCs w:val="22"/>
        </w:rPr>
      </w:pPr>
      <w:r>
        <w:t>8.</w:t>
      </w:r>
      <w:r>
        <w:tab/>
        <w:t>Delegation</w:t>
      </w:r>
      <w:r>
        <w:tab/>
      </w:r>
      <w:r>
        <w:fldChar w:fldCharType="begin"/>
      </w:r>
      <w:r>
        <w:instrText xml:space="preserve"> PAGEREF _Toc216954860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Execution of documents</w:t>
      </w:r>
    </w:p>
    <w:p>
      <w:pPr>
        <w:pStyle w:val="TOC8"/>
        <w:rPr>
          <w:rFonts w:asciiTheme="minorHAnsi" w:eastAsiaTheme="minorEastAsia" w:hAnsiTheme="minorHAnsi" w:cstheme="minorBidi"/>
          <w:szCs w:val="22"/>
        </w:rPr>
      </w:pPr>
      <w:r>
        <w:t>9.</w:t>
      </w:r>
      <w:r>
        <w:tab/>
        <w:t>The Registrar’s seal</w:t>
      </w:r>
      <w:r>
        <w:tab/>
      </w:r>
      <w:r>
        <w:fldChar w:fldCharType="begin"/>
      </w:r>
      <w:r>
        <w:instrText xml:space="preserve"> PAGEREF _Toc216954862 \h </w:instrText>
      </w:r>
      <w:r>
        <w:fldChar w:fldCharType="separate"/>
      </w:r>
      <w:r>
        <w:t>7</w:t>
      </w:r>
      <w:r>
        <w:fldChar w:fldCharType="end"/>
      </w:r>
    </w:p>
    <w:p>
      <w:pPr>
        <w:pStyle w:val="TOC8"/>
        <w:rPr>
          <w:rFonts w:asciiTheme="minorHAnsi" w:eastAsiaTheme="minorEastAsia" w:hAnsiTheme="minorHAnsi" w:cstheme="minorBidi"/>
          <w:szCs w:val="22"/>
        </w:rPr>
      </w:pPr>
      <w:r>
        <w:t>10.</w:t>
      </w:r>
      <w:r>
        <w:tab/>
        <w:t>Execution of documents</w:t>
      </w:r>
      <w:r>
        <w:tab/>
      </w:r>
      <w:r>
        <w:fldChar w:fldCharType="begin"/>
      </w:r>
      <w:r>
        <w:instrText xml:space="preserve"> PAGEREF _Toc216954863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Reciprocal administrative arrangements</w:t>
      </w:r>
    </w:p>
    <w:p>
      <w:pPr>
        <w:pStyle w:val="TOC8"/>
        <w:rPr>
          <w:rFonts w:asciiTheme="minorHAnsi" w:eastAsiaTheme="minorEastAsia" w:hAnsiTheme="minorHAnsi" w:cstheme="minorBidi"/>
          <w:szCs w:val="22"/>
        </w:rPr>
      </w:pPr>
      <w:r>
        <w:t>11.</w:t>
      </w:r>
      <w:r>
        <w:tab/>
        <w:t>Reciprocal administrative arrangements</w:t>
      </w:r>
      <w:r>
        <w:tab/>
      </w:r>
      <w:r>
        <w:fldChar w:fldCharType="begin"/>
      </w:r>
      <w:r>
        <w:instrText xml:space="preserve"> PAGEREF _Toc216954865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births</w:t>
      </w:r>
    </w:p>
    <w:p>
      <w:pPr>
        <w:pStyle w:val="TOC4"/>
        <w:tabs>
          <w:tab w:val="right" w:leader="dot" w:pos="7077"/>
        </w:tabs>
        <w:rPr>
          <w:rFonts w:asciiTheme="minorHAnsi" w:eastAsiaTheme="minorEastAsia" w:hAnsiTheme="minorHAnsi" w:cstheme="minorBidi"/>
          <w:b w:val="0"/>
          <w:szCs w:val="22"/>
        </w:rPr>
      </w:pPr>
      <w:r>
        <w:t>Division 1 — Notification of births</w:t>
      </w:r>
    </w:p>
    <w:p>
      <w:pPr>
        <w:pStyle w:val="TOC8"/>
        <w:rPr>
          <w:rFonts w:asciiTheme="minorHAnsi" w:eastAsiaTheme="minorEastAsia" w:hAnsiTheme="minorHAnsi" w:cstheme="minorBidi"/>
          <w:szCs w:val="22"/>
        </w:rPr>
      </w:pPr>
      <w:r>
        <w:t>12.</w:t>
      </w:r>
      <w:r>
        <w:tab/>
        <w:t>Notification of births</w:t>
      </w:r>
      <w:r>
        <w:tab/>
      </w:r>
      <w:r>
        <w:fldChar w:fldCharType="begin"/>
      </w:r>
      <w:r>
        <w:instrText xml:space="preserve"> PAGEREF _Toc216954868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births</w:t>
      </w:r>
    </w:p>
    <w:p>
      <w:pPr>
        <w:pStyle w:val="TOC8"/>
        <w:rPr>
          <w:rFonts w:asciiTheme="minorHAnsi" w:eastAsiaTheme="minorEastAsia" w:hAnsiTheme="minorHAnsi" w:cstheme="minorBidi"/>
          <w:szCs w:val="22"/>
        </w:rPr>
      </w:pPr>
      <w:r>
        <w:t>13.</w:t>
      </w:r>
      <w:r>
        <w:tab/>
        <w:t>Cases in which registration of birth is required or authorised</w:t>
      </w:r>
      <w:r>
        <w:tab/>
      </w:r>
      <w:r>
        <w:fldChar w:fldCharType="begin"/>
      </w:r>
      <w:r>
        <w:instrText xml:space="preserve"> PAGEREF _Toc216954870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w:t>
      </w:r>
      <w:r>
        <w:tab/>
        <w:t>How to have the birth of a child registered</w:t>
      </w:r>
      <w:r>
        <w:tab/>
      </w:r>
      <w:r>
        <w:fldChar w:fldCharType="begin"/>
      </w:r>
      <w:r>
        <w:instrText xml:space="preserve"> PAGEREF _Toc216954871 \h </w:instrText>
      </w:r>
      <w:r>
        <w:fldChar w:fldCharType="separate"/>
      </w:r>
      <w:r>
        <w:t>10</w:t>
      </w:r>
      <w:r>
        <w:fldChar w:fldCharType="end"/>
      </w:r>
    </w:p>
    <w:p>
      <w:pPr>
        <w:pStyle w:val="TOC8"/>
        <w:rPr>
          <w:rFonts w:asciiTheme="minorHAnsi" w:eastAsiaTheme="minorEastAsia" w:hAnsiTheme="minorHAnsi" w:cstheme="minorBidi"/>
          <w:szCs w:val="22"/>
        </w:rPr>
      </w:pPr>
      <w:r>
        <w:t>15.</w:t>
      </w:r>
      <w:r>
        <w:tab/>
        <w:t>Responsibility to have birth registered</w:t>
      </w:r>
      <w:r>
        <w:tab/>
      </w:r>
      <w:r>
        <w:fldChar w:fldCharType="begin"/>
      </w:r>
      <w:r>
        <w:instrText xml:space="preserve"> PAGEREF _Toc216954872 \h </w:instrText>
      </w:r>
      <w:r>
        <w:fldChar w:fldCharType="separate"/>
      </w:r>
      <w:r>
        <w:t>11</w:t>
      </w:r>
      <w:r>
        <w:fldChar w:fldCharType="end"/>
      </w:r>
    </w:p>
    <w:p>
      <w:pPr>
        <w:pStyle w:val="TOC8"/>
        <w:rPr>
          <w:rFonts w:asciiTheme="minorHAnsi" w:eastAsiaTheme="minorEastAsia" w:hAnsiTheme="minorHAnsi" w:cstheme="minorBidi"/>
          <w:szCs w:val="22"/>
        </w:rPr>
      </w:pPr>
      <w:r>
        <w:t>16.</w:t>
      </w:r>
      <w:r>
        <w:tab/>
        <w:t>Obligation to have birth registered</w:t>
      </w:r>
      <w:r>
        <w:tab/>
      </w:r>
      <w:r>
        <w:fldChar w:fldCharType="begin"/>
      </w:r>
      <w:r>
        <w:instrText xml:space="preserve"> PAGEREF _Toc216954873 \h </w:instrText>
      </w:r>
      <w:r>
        <w:fldChar w:fldCharType="separate"/>
      </w:r>
      <w:r>
        <w:t>11</w:t>
      </w:r>
      <w:r>
        <w:fldChar w:fldCharType="end"/>
      </w:r>
    </w:p>
    <w:p>
      <w:pPr>
        <w:pStyle w:val="TOC8"/>
        <w:rPr>
          <w:rFonts w:asciiTheme="minorHAnsi" w:eastAsiaTheme="minorEastAsia" w:hAnsiTheme="minorHAnsi" w:cstheme="minorBidi"/>
          <w:szCs w:val="22"/>
        </w:rPr>
      </w:pPr>
      <w:r>
        <w:t>17.</w:t>
      </w:r>
      <w:r>
        <w:tab/>
        <w:t>Registration of birth</w:t>
      </w:r>
      <w:r>
        <w:tab/>
      </w:r>
      <w:r>
        <w:fldChar w:fldCharType="begin"/>
      </w:r>
      <w:r>
        <w:instrText xml:space="preserve"> PAGEREF _Toc216954874 \h </w:instrText>
      </w:r>
      <w:r>
        <w:fldChar w:fldCharType="separate"/>
      </w:r>
      <w:r>
        <w:t>12</w:t>
      </w:r>
      <w:r>
        <w:fldChar w:fldCharType="end"/>
      </w:r>
    </w:p>
    <w:p>
      <w:pPr>
        <w:pStyle w:val="TOC8"/>
        <w:rPr>
          <w:rFonts w:asciiTheme="minorHAnsi" w:eastAsiaTheme="minorEastAsia" w:hAnsiTheme="minorHAnsi" w:cstheme="minorBidi"/>
          <w:szCs w:val="22"/>
        </w:rPr>
      </w:pPr>
      <w:r>
        <w:t>18.</w:t>
      </w:r>
      <w:r>
        <w:tab/>
        <w:t>Registration of parentage details</w:t>
      </w:r>
      <w:r>
        <w:tab/>
      </w:r>
      <w:r>
        <w:fldChar w:fldCharType="begin"/>
      </w:r>
      <w:r>
        <w:instrText xml:space="preserve"> PAGEREF _Toc216954875 \h </w:instrText>
      </w:r>
      <w:r>
        <w:fldChar w:fldCharType="separate"/>
      </w:r>
      <w:r>
        <w:t>12</w:t>
      </w:r>
      <w:r>
        <w:fldChar w:fldCharType="end"/>
      </w:r>
    </w:p>
    <w:p>
      <w:pPr>
        <w:pStyle w:val="TOC8"/>
        <w:rPr>
          <w:rFonts w:asciiTheme="minorHAnsi" w:eastAsiaTheme="minorEastAsia" w:hAnsiTheme="minorHAnsi" w:cstheme="minorBidi"/>
          <w:szCs w:val="22"/>
        </w:rPr>
      </w:pPr>
      <w:r>
        <w:t>19.</w:t>
      </w:r>
      <w:r>
        <w:tab/>
        <w:t>Addition of details after birth registration</w:t>
      </w:r>
      <w:r>
        <w:tab/>
      </w:r>
      <w:r>
        <w:fldChar w:fldCharType="begin"/>
      </w:r>
      <w:r>
        <w:instrText xml:space="preserve"> PAGEREF _Toc216954876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Court orders relating to registration of birth</w:t>
      </w:r>
    </w:p>
    <w:p>
      <w:pPr>
        <w:pStyle w:val="TOC8"/>
        <w:rPr>
          <w:rFonts w:asciiTheme="minorHAnsi" w:eastAsiaTheme="minorEastAsia" w:hAnsiTheme="minorHAnsi" w:cstheme="minorBidi"/>
          <w:szCs w:val="22"/>
        </w:rPr>
      </w:pPr>
      <w:r>
        <w:t>20.</w:t>
      </w:r>
      <w:r>
        <w:tab/>
        <w:t>Powers of State courts</w:t>
      </w:r>
      <w:r>
        <w:tab/>
      </w:r>
      <w:r>
        <w:fldChar w:fldCharType="begin"/>
      </w:r>
      <w:r>
        <w:instrText xml:space="preserve"> PAGEREF _Toc216954878 \h </w:instrText>
      </w:r>
      <w:r>
        <w:fldChar w:fldCharType="separate"/>
      </w:r>
      <w:r>
        <w:t>15</w:t>
      </w:r>
      <w:r>
        <w:fldChar w:fldCharType="end"/>
      </w:r>
    </w:p>
    <w:p>
      <w:pPr>
        <w:pStyle w:val="TOC8"/>
        <w:rPr>
          <w:rFonts w:asciiTheme="minorHAnsi" w:eastAsiaTheme="minorEastAsia" w:hAnsiTheme="minorHAnsi" w:cstheme="minorBidi"/>
          <w:szCs w:val="22"/>
        </w:rPr>
      </w:pPr>
      <w:r>
        <w:t>21.</w:t>
      </w:r>
      <w:r>
        <w:tab/>
        <w:t>Registration of birth etc. after court findings</w:t>
      </w:r>
      <w:r>
        <w:tab/>
      </w:r>
      <w:r>
        <w:fldChar w:fldCharType="begin"/>
      </w:r>
      <w:r>
        <w:instrText xml:space="preserve"> PAGEREF _Toc216954879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Child’s name</w:t>
      </w:r>
    </w:p>
    <w:p>
      <w:pPr>
        <w:pStyle w:val="TOC8"/>
        <w:rPr>
          <w:rFonts w:asciiTheme="minorHAnsi" w:eastAsiaTheme="minorEastAsia" w:hAnsiTheme="minorHAnsi" w:cstheme="minorBidi"/>
          <w:szCs w:val="22"/>
        </w:rPr>
      </w:pPr>
      <w:r>
        <w:t>22.</w:t>
      </w:r>
      <w:r>
        <w:tab/>
        <w:t>Name of child</w:t>
      </w:r>
      <w:r>
        <w:tab/>
      </w:r>
      <w:r>
        <w:fldChar w:fldCharType="begin"/>
      </w:r>
      <w:r>
        <w:instrText xml:space="preserve"> PAGEREF _Toc216954881 \h </w:instrText>
      </w:r>
      <w:r>
        <w:fldChar w:fldCharType="separate"/>
      </w:r>
      <w:r>
        <w:t>16</w:t>
      </w:r>
      <w:r>
        <w:fldChar w:fldCharType="end"/>
      </w:r>
    </w:p>
    <w:p>
      <w:pPr>
        <w:pStyle w:val="TOC8"/>
        <w:rPr>
          <w:rFonts w:asciiTheme="minorHAnsi" w:eastAsiaTheme="minorEastAsia" w:hAnsiTheme="minorHAnsi" w:cstheme="minorBidi"/>
          <w:szCs w:val="22"/>
        </w:rPr>
      </w:pPr>
      <w:r>
        <w:t>23.</w:t>
      </w:r>
      <w:r>
        <w:tab/>
        <w:t>Given names can be changed once within a year of birth</w:t>
      </w:r>
      <w:r>
        <w:tab/>
      </w:r>
      <w:r>
        <w:fldChar w:fldCharType="begin"/>
      </w:r>
      <w:r>
        <w:instrText xml:space="preserve"> PAGEREF _Toc216954882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information about certain parentage changes</w:t>
      </w:r>
    </w:p>
    <w:p>
      <w:pPr>
        <w:pStyle w:val="TOC8"/>
        <w:rPr>
          <w:rFonts w:asciiTheme="minorHAnsi" w:eastAsiaTheme="minorEastAsia" w:hAnsiTheme="minorHAnsi" w:cstheme="minorBidi"/>
          <w:szCs w:val="22"/>
        </w:rPr>
      </w:pPr>
      <w:r>
        <w:t>24.</w:t>
      </w:r>
      <w:r>
        <w:tab/>
        <w:t>WA order: birth registered in WA</w:t>
      </w:r>
      <w:r>
        <w:tab/>
      </w:r>
      <w:r>
        <w:fldChar w:fldCharType="begin"/>
      </w:r>
      <w:r>
        <w:instrText xml:space="preserve"> PAGEREF _Toc216954884 \h </w:instrText>
      </w:r>
      <w:r>
        <w:fldChar w:fldCharType="separate"/>
      </w:r>
      <w:r>
        <w:t>18</w:t>
      </w:r>
      <w:r>
        <w:fldChar w:fldCharType="end"/>
      </w:r>
    </w:p>
    <w:p>
      <w:pPr>
        <w:pStyle w:val="TOC8"/>
        <w:rPr>
          <w:rFonts w:asciiTheme="minorHAnsi" w:eastAsiaTheme="minorEastAsia" w:hAnsiTheme="minorHAnsi" w:cstheme="minorBidi"/>
          <w:szCs w:val="22"/>
        </w:rPr>
      </w:pPr>
      <w:r>
        <w:t>25.</w:t>
      </w:r>
      <w:r>
        <w:tab/>
        <w:t>WA order: birth not registered in WA</w:t>
      </w:r>
      <w:r>
        <w:tab/>
      </w:r>
      <w:r>
        <w:fldChar w:fldCharType="begin"/>
      </w:r>
      <w:r>
        <w:instrText xml:space="preserve"> PAGEREF _Toc216954885 \h </w:instrText>
      </w:r>
      <w:r>
        <w:fldChar w:fldCharType="separate"/>
      </w:r>
      <w:r>
        <w:t>18</w:t>
      </w:r>
      <w:r>
        <w:fldChar w:fldCharType="end"/>
      </w:r>
    </w:p>
    <w:p>
      <w:pPr>
        <w:pStyle w:val="TOC8"/>
        <w:rPr>
          <w:rFonts w:asciiTheme="minorHAnsi" w:eastAsiaTheme="minorEastAsia" w:hAnsiTheme="minorHAnsi" w:cstheme="minorBidi"/>
          <w:szCs w:val="22"/>
        </w:rPr>
      </w:pPr>
      <w:r>
        <w:t>26.</w:t>
      </w:r>
      <w:r>
        <w:tab/>
        <w:t>Order in other State: birth registered in WA</w:t>
      </w:r>
      <w:r>
        <w:tab/>
      </w:r>
      <w:r>
        <w:fldChar w:fldCharType="begin"/>
      </w:r>
      <w:r>
        <w:instrText xml:space="preserve"> PAGEREF _Toc216954886 \h </w:instrText>
      </w:r>
      <w:r>
        <w:fldChar w:fldCharType="separate"/>
      </w:r>
      <w:r>
        <w:t>19</w:t>
      </w:r>
      <w:r>
        <w:fldChar w:fldCharType="end"/>
      </w:r>
    </w:p>
    <w:p>
      <w:pPr>
        <w:pStyle w:val="TOC8"/>
        <w:rPr>
          <w:rFonts w:asciiTheme="minorHAnsi" w:eastAsiaTheme="minorEastAsia" w:hAnsiTheme="minorHAnsi" w:cstheme="minorBidi"/>
          <w:szCs w:val="22"/>
        </w:rPr>
      </w:pPr>
      <w:r>
        <w:t>27.</w:t>
      </w:r>
      <w:r>
        <w:tab/>
        <w:t>Manner and form of adoption information in the Register</w:t>
      </w:r>
      <w:r>
        <w:tab/>
      </w:r>
      <w:r>
        <w:fldChar w:fldCharType="begin"/>
      </w:r>
      <w:r>
        <w:instrText xml:space="preserve"> PAGEREF _Toc216954887 \h </w:instrText>
      </w:r>
      <w:r>
        <w:fldChar w:fldCharType="separate"/>
      </w:r>
      <w:r>
        <w:t>20</w:t>
      </w:r>
      <w:r>
        <w:fldChar w:fldCharType="end"/>
      </w:r>
    </w:p>
    <w:p>
      <w:pPr>
        <w:pStyle w:val="TOC8"/>
        <w:rPr>
          <w:rFonts w:asciiTheme="minorHAnsi" w:eastAsiaTheme="minorEastAsia" w:hAnsiTheme="minorHAnsi" w:cstheme="minorBidi"/>
          <w:szCs w:val="22"/>
        </w:rPr>
      </w:pPr>
      <w:r>
        <w:t>28.</w:t>
      </w:r>
      <w:r>
        <w:tab/>
        <w:t>Certain certified copies</w:t>
      </w:r>
      <w:r>
        <w:tab/>
      </w:r>
      <w:r>
        <w:fldChar w:fldCharType="begin"/>
      </w:r>
      <w:r>
        <w:instrText xml:space="preserve"> PAGEREF _Toc216954888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Change of name</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_Toc216954891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 relating to change of name</w:t>
      </w:r>
    </w:p>
    <w:p>
      <w:pPr>
        <w:pStyle w:val="TOC8"/>
        <w:rPr>
          <w:rFonts w:asciiTheme="minorHAnsi" w:eastAsiaTheme="minorEastAsia" w:hAnsiTheme="minorHAnsi" w:cstheme="minorBidi"/>
          <w:szCs w:val="22"/>
        </w:rPr>
      </w:pPr>
      <w:r>
        <w:t>29.</w:t>
      </w:r>
      <w:r>
        <w:tab/>
        <w:t>Change of name by registration</w:t>
      </w:r>
      <w:r>
        <w:tab/>
      </w:r>
      <w:r>
        <w:fldChar w:fldCharType="begin"/>
      </w:r>
      <w:r>
        <w:instrText xml:space="preserve"> PAGEREF _Toc216954893 \h </w:instrText>
      </w:r>
      <w:r>
        <w:fldChar w:fldCharType="separate"/>
      </w:r>
      <w:r>
        <w:t>22</w:t>
      </w:r>
      <w:r>
        <w:fldChar w:fldCharType="end"/>
      </w:r>
    </w:p>
    <w:p>
      <w:pPr>
        <w:pStyle w:val="TOC8"/>
        <w:rPr>
          <w:rFonts w:asciiTheme="minorHAnsi" w:eastAsiaTheme="minorEastAsia" w:hAnsiTheme="minorHAnsi" w:cstheme="minorBidi"/>
          <w:szCs w:val="22"/>
        </w:rPr>
      </w:pPr>
      <w:r>
        <w:t>29A.</w:t>
      </w:r>
      <w:r>
        <w:tab/>
        <w:t>Registrar may register change of name despite restrictions</w:t>
      </w:r>
      <w:r>
        <w:tab/>
      </w:r>
      <w:r>
        <w:fldChar w:fldCharType="begin"/>
      </w:r>
      <w:r>
        <w:instrText xml:space="preserve"> PAGEREF _Toc216954894 \h </w:instrText>
      </w:r>
      <w:r>
        <w:fldChar w:fldCharType="separate"/>
      </w:r>
      <w:r>
        <w:t>22</w:t>
      </w:r>
      <w:r>
        <w:fldChar w:fldCharType="end"/>
      </w:r>
    </w:p>
    <w:p>
      <w:pPr>
        <w:pStyle w:val="TOC8"/>
        <w:rPr>
          <w:rFonts w:asciiTheme="minorHAnsi" w:eastAsiaTheme="minorEastAsia" w:hAnsiTheme="minorHAnsi" w:cstheme="minorBidi"/>
          <w:szCs w:val="22"/>
        </w:rPr>
      </w:pPr>
      <w:r>
        <w:t>30.</w:t>
      </w:r>
      <w:r>
        <w:tab/>
        <w:t>Application to register change of adult’s name</w:t>
      </w:r>
      <w:r>
        <w:tab/>
      </w:r>
      <w:r>
        <w:fldChar w:fldCharType="begin"/>
      </w:r>
      <w:r>
        <w:instrText xml:space="preserve"> PAGEREF _Toc216954895 \h </w:instrText>
      </w:r>
      <w:r>
        <w:fldChar w:fldCharType="separate"/>
      </w:r>
      <w:r>
        <w:t>23</w:t>
      </w:r>
      <w:r>
        <w:fldChar w:fldCharType="end"/>
      </w:r>
    </w:p>
    <w:p>
      <w:pPr>
        <w:pStyle w:val="TOC8"/>
        <w:rPr>
          <w:rFonts w:asciiTheme="minorHAnsi" w:eastAsiaTheme="minorEastAsia" w:hAnsiTheme="minorHAnsi" w:cstheme="minorBidi"/>
          <w:szCs w:val="22"/>
        </w:rPr>
      </w:pPr>
      <w:r>
        <w:t>30A.</w:t>
      </w:r>
      <w:r>
        <w:tab/>
        <w:t>Restrictions on changes of adult’s name</w:t>
      </w:r>
      <w:r>
        <w:tab/>
      </w:r>
      <w:r>
        <w:fldChar w:fldCharType="begin"/>
      </w:r>
      <w:r>
        <w:instrText xml:space="preserve"> PAGEREF _Toc216954896 \h </w:instrText>
      </w:r>
      <w:r>
        <w:fldChar w:fldCharType="separate"/>
      </w:r>
      <w:r>
        <w:t>23</w:t>
      </w:r>
      <w:r>
        <w:fldChar w:fldCharType="end"/>
      </w:r>
    </w:p>
    <w:p>
      <w:pPr>
        <w:pStyle w:val="TOC8"/>
        <w:rPr>
          <w:rFonts w:asciiTheme="minorHAnsi" w:eastAsiaTheme="minorEastAsia" w:hAnsiTheme="minorHAnsi" w:cstheme="minorBidi"/>
          <w:szCs w:val="22"/>
        </w:rPr>
      </w:pPr>
      <w:r>
        <w:t>31.</w:t>
      </w:r>
      <w:r>
        <w:tab/>
        <w:t>Application to register change of child’s name</w:t>
      </w:r>
      <w:r>
        <w:tab/>
      </w:r>
      <w:r>
        <w:fldChar w:fldCharType="begin"/>
      </w:r>
      <w:r>
        <w:instrText xml:space="preserve"> PAGEREF _Toc216954897 \h </w:instrText>
      </w:r>
      <w:r>
        <w:fldChar w:fldCharType="separate"/>
      </w:r>
      <w:r>
        <w:t>24</w:t>
      </w:r>
      <w:r>
        <w:fldChar w:fldCharType="end"/>
      </w:r>
    </w:p>
    <w:p>
      <w:pPr>
        <w:pStyle w:val="TOC8"/>
        <w:rPr>
          <w:rFonts w:asciiTheme="minorHAnsi" w:eastAsiaTheme="minorEastAsia" w:hAnsiTheme="minorHAnsi" w:cstheme="minorBidi"/>
          <w:szCs w:val="22"/>
        </w:rPr>
      </w:pPr>
      <w:r>
        <w:t>32.</w:t>
      </w:r>
      <w:r>
        <w:tab/>
        <w:t>Child’s consent to change of name</w:t>
      </w:r>
      <w:r>
        <w:tab/>
      </w:r>
      <w:r>
        <w:fldChar w:fldCharType="begin"/>
      </w:r>
      <w:r>
        <w:instrText xml:space="preserve"> PAGEREF _Toc216954898 \h </w:instrText>
      </w:r>
      <w:r>
        <w:fldChar w:fldCharType="separate"/>
      </w:r>
      <w:r>
        <w:t>25</w:t>
      </w:r>
      <w:r>
        <w:fldChar w:fldCharType="end"/>
      </w:r>
    </w:p>
    <w:p>
      <w:pPr>
        <w:pStyle w:val="TOC8"/>
        <w:rPr>
          <w:rFonts w:asciiTheme="minorHAnsi" w:eastAsiaTheme="minorEastAsia" w:hAnsiTheme="minorHAnsi" w:cstheme="minorBidi"/>
          <w:szCs w:val="22"/>
        </w:rPr>
      </w:pPr>
      <w:r>
        <w:t>32A.</w:t>
      </w:r>
      <w:r>
        <w:tab/>
        <w:t>Restriction on changes of child’s name</w:t>
      </w:r>
      <w:r>
        <w:tab/>
      </w:r>
      <w:r>
        <w:fldChar w:fldCharType="begin"/>
      </w:r>
      <w:r>
        <w:instrText xml:space="preserve"> PAGEREF _Toc216954899 \h </w:instrText>
      </w:r>
      <w:r>
        <w:fldChar w:fldCharType="separate"/>
      </w:r>
      <w:r>
        <w:t>25</w:t>
      </w:r>
      <w:r>
        <w:fldChar w:fldCharType="end"/>
      </w:r>
    </w:p>
    <w:p>
      <w:pPr>
        <w:pStyle w:val="TOC8"/>
        <w:rPr>
          <w:rFonts w:asciiTheme="minorHAnsi" w:eastAsiaTheme="minorEastAsia" w:hAnsiTheme="minorHAnsi" w:cstheme="minorBidi"/>
          <w:szCs w:val="22"/>
        </w:rPr>
      </w:pPr>
      <w:r>
        <w:t>33.</w:t>
      </w:r>
      <w:r>
        <w:tab/>
        <w:t>Application to register change of child’s name approved by Family Court</w:t>
      </w:r>
      <w:r>
        <w:tab/>
      </w:r>
      <w:r>
        <w:fldChar w:fldCharType="begin"/>
      </w:r>
      <w:r>
        <w:instrText xml:space="preserve"> PAGEREF _Toc216954900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34.</w:t>
      </w:r>
      <w:r>
        <w:tab/>
        <w:t>Registration of change of name</w:t>
      </w:r>
      <w:r>
        <w:tab/>
      </w:r>
      <w:r>
        <w:fldChar w:fldCharType="begin"/>
      </w:r>
      <w:r>
        <w:instrText xml:space="preserve"> PAGEREF _Toc216954901 \h </w:instrText>
      </w:r>
      <w:r>
        <w:fldChar w:fldCharType="separate"/>
      </w:r>
      <w:r>
        <w:t>26</w:t>
      </w:r>
      <w:r>
        <w:fldChar w:fldCharType="end"/>
      </w:r>
    </w:p>
    <w:p>
      <w:pPr>
        <w:pStyle w:val="TOC8"/>
        <w:rPr>
          <w:rFonts w:asciiTheme="minorHAnsi" w:eastAsiaTheme="minorEastAsia" w:hAnsiTheme="minorHAnsi" w:cstheme="minorBidi"/>
          <w:szCs w:val="22"/>
        </w:rPr>
      </w:pPr>
      <w:r>
        <w:t>35.</w:t>
      </w:r>
      <w:r>
        <w:tab/>
        <w:t>Entries to be made in the Register</w:t>
      </w:r>
      <w:r>
        <w:tab/>
      </w:r>
      <w:r>
        <w:fldChar w:fldCharType="begin"/>
      </w:r>
      <w:r>
        <w:instrText xml:space="preserve"> PAGEREF _Toc216954902 \h </w:instrText>
      </w:r>
      <w:r>
        <w:fldChar w:fldCharType="separate"/>
      </w:r>
      <w:r>
        <w:t>27</w:t>
      </w:r>
      <w:r>
        <w:fldChar w:fldCharType="end"/>
      </w:r>
    </w:p>
    <w:p>
      <w:pPr>
        <w:pStyle w:val="TOC8"/>
        <w:rPr>
          <w:rFonts w:asciiTheme="minorHAnsi" w:eastAsiaTheme="minorEastAsia" w:hAnsiTheme="minorHAnsi" w:cstheme="minorBidi"/>
          <w:szCs w:val="22"/>
        </w:rPr>
      </w:pPr>
      <w:r>
        <w:t>35A.</w:t>
      </w:r>
      <w:r>
        <w:tab/>
        <w:t>Registrar must inform certain registering authorities</w:t>
      </w:r>
      <w:r>
        <w:tab/>
      </w:r>
      <w:r>
        <w:fldChar w:fldCharType="begin"/>
      </w:r>
      <w:r>
        <w:instrText xml:space="preserve"> PAGEREF _Toc216954903 \h </w:instrText>
      </w:r>
      <w:r>
        <w:fldChar w:fldCharType="separate"/>
      </w:r>
      <w:r>
        <w:t>28</w:t>
      </w:r>
      <w:r>
        <w:fldChar w:fldCharType="end"/>
      </w:r>
    </w:p>
    <w:p>
      <w:pPr>
        <w:pStyle w:val="TOC8"/>
        <w:rPr>
          <w:rFonts w:asciiTheme="minorHAnsi" w:eastAsiaTheme="minorEastAsia" w:hAnsiTheme="minorHAnsi" w:cstheme="minorBidi"/>
          <w:szCs w:val="22"/>
        </w:rPr>
      </w:pPr>
      <w:r>
        <w:t>35B.</w:t>
      </w:r>
      <w:r>
        <w:tab/>
        <w:t>Registrar may inform prescribed public authorities</w:t>
      </w:r>
      <w:r>
        <w:tab/>
      </w:r>
      <w:r>
        <w:fldChar w:fldCharType="begin"/>
      </w:r>
      <w:r>
        <w:instrText xml:space="preserve"> PAGEREF _Toc216954904 \h </w:instrText>
      </w:r>
      <w:r>
        <w:fldChar w:fldCharType="separate"/>
      </w:r>
      <w:r>
        <w:t>28</w:t>
      </w:r>
      <w:r>
        <w:fldChar w:fldCharType="end"/>
      </w:r>
    </w:p>
    <w:p>
      <w:pPr>
        <w:pStyle w:val="TOC8"/>
        <w:rPr>
          <w:rFonts w:asciiTheme="minorHAnsi" w:eastAsiaTheme="minorEastAsia" w:hAnsiTheme="minorHAnsi" w:cstheme="minorBidi"/>
          <w:szCs w:val="22"/>
        </w:rPr>
      </w:pPr>
      <w:r>
        <w:t>36.</w:t>
      </w:r>
      <w:r>
        <w:tab/>
        <w:t>Change of name may be established by repute or usage</w:t>
      </w:r>
      <w:r>
        <w:tab/>
      </w:r>
      <w:r>
        <w:fldChar w:fldCharType="begin"/>
      </w:r>
      <w:r>
        <w:instrText xml:space="preserve"> PAGEREF _Toc216954905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Change of name restrictions for restricted persons</w:t>
      </w:r>
    </w:p>
    <w:p>
      <w:pPr>
        <w:pStyle w:val="TOC8"/>
        <w:rPr>
          <w:rFonts w:asciiTheme="minorHAnsi" w:eastAsiaTheme="minorEastAsia" w:hAnsiTheme="minorHAnsi" w:cstheme="minorBidi"/>
          <w:szCs w:val="22"/>
        </w:rPr>
      </w:pPr>
      <w:r>
        <w:t>36A.</w:t>
      </w:r>
      <w:r>
        <w:tab/>
        <w:t>Terms used</w:t>
      </w:r>
      <w:r>
        <w:tab/>
      </w:r>
      <w:r>
        <w:fldChar w:fldCharType="begin"/>
      </w:r>
      <w:r>
        <w:instrText xml:space="preserve"> PAGEREF _Toc216954907 \h </w:instrText>
      </w:r>
      <w:r>
        <w:fldChar w:fldCharType="separate"/>
      </w:r>
      <w:r>
        <w:t>29</w:t>
      </w:r>
      <w:r>
        <w:fldChar w:fldCharType="end"/>
      </w:r>
    </w:p>
    <w:p>
      <w:pPr>
        <w:pStyle w:val="TOC8"/>
        <w:rPr>
          <w:rFonts w:asciiTheme="minorHAnsi" w:eastAsiaTheme="minorEastAsia" w:hAnsiTheme="minorHAnsi" w:cstheme="minorBidi"/>
          <w:szCs w:val="22"/>
        </w:rPr>
      </w:pPr>
      <w:r>
        <w:t>36B.</w:t>
      </w:r>
      <w:r>
        <w:tab/>
        <w:t>Registrar not to register name change without approval</w:t>
      </w:r>
      <w:r>
        <w:tab/>
      </w:r>
      <w:r>
        <w:fldChar w:fldCharType="begin"/>
      </w:r>
      <w:r>
        <w:instrText xml:space="preserve"> PAGEREF _Toc216954908 \h </w:instrText>
      </w:r>
      <w:r>
        <w:fldChar w:fldCharType="separate"/>
      </w:r>
      <w:r>
        <w:t>30</w:t>
      </w:r>
      <w:r>
        <w:fldChar w:fldCharType="end"/>
      </w:r>
    </w:p>
    <w:p>
      <w:pPr>
        <w:pStyle w:val="TOC8"/>
        <w:rPr>
          <w:rFonts w:asciiTheme="minorHAnsi" w:eastAsiaTheme="minorEastAsia" w:hAnsiTheme="minorHAnsi" w:cstheme="minorBidi"/>
          <w:szCs w:val="22"/>
        </w:rPr>
      </w:pPr>
      <w:r>
        <w:t>36C.</w:t>
      </w:r>
      <w:r>
        <w:tab/>
        <w:t>Restricted person not to apply to change name</w:t>
      </w:r>
      <w:r>
        <w:tab/>
      </w:r>
      <w:r>
        <w:fldChar w:fldCharType="begin"/>
      </w:r>
      <w:r>
        <w:instrText xml:space="preserve"> PAGEREF _Toc216954909 \h </w:instrText>
      </w:r>
      <w:r>
        <w:fldChar w:fldCharType="separate"/>
      </w:r>
      <w:r>
        <w:t>30</w:t>
      </w:r>
      <w:r>
        <w:fldChar w:fldCharType="end"/>
      </w:r>
    </w:p>
    <w:p>
      <w:pPr>
        <w:pStyle w:val="TOC8"/>
        <w:rPr>
          <w:rFonts w:asciiTheme="minorHAnsi" w:eastAsiaTheme="minorEastAsia" w:hAnsiTheme="minorHAnsi" w:cstheme="minorBidi"/>
          <w:szCs w:val="22"/>
        </w:rPr>
      </w:pPr>
      <w:r>
        <w:t>36D.</w:t>
      </w:r>
      <w:r>
        <w:tab/>
        <w:t>Person not to apply to change restricted person’s name</w:t>
      </w:r>
      <w:r>
        <w:tab/>
      </w:r>
      <w:r>
        <w:fldChar w:fldCharType="begin"/>
      </w:r>
      <w:r>
        <w:instrText xml:space="preserve"> PAGEREF _Toc216954910 \h </w:instrText>
      </w:r>
      <w:r>
        <w:fldChar w:fldCharType="separate"/>
      </w:r>
      <w:r>
        <w:t>30</w:t>
      </w:r>
      <w:r>
        <w:fldChar w:fldCharType="end"/>
      </w:r>
    </w:p>
    <w:p>
      <w:pPr>
        <w:pStyle w:val="TOC8"/>
        <w:rPr>
          <w:rFonts w:asciiTheme="minorHAnsi" w:eastAsiaTheme="minorEastAsia" w:hAnsiTheme="minorHAnsi" w:cstheme="minorBidi"/>
          <w:szCs w:val="22"/>
        </w:rPr>
      </w:pPr>
      <w:r>
        <w:t>36E.</w:t>
      </w:r>
      <w:r>
        <w:tab/>
        <w:t>Approval by supervisory authority</w:t>
      </w:r>
      <w:r>
        <w:tab/>
      </w:r>
      <w:r>
        <w:fldChar w:fldCharType="begin"/>
      </w:r>
      <w:r>
        <w:instrText xml:space="preserve"> PAGEREF _Toc216954911 \h </w:instrText>
      </w:r>
      <w:r>
        <w:fldChar w:fldCharType="separate"/>
      </w:r>
      <w:r>
        <w:t>31</w:t>
      </w:r>
      <w:r>
        <w:fldChar w:fldCharType="end"/>
      </w:r>
    </w:p>
    <w:p>
      <w:pPr>
        <w:pStyle w:val="TOC8"/>
        <w:rPr>
          <w:rFonts w:asciiTheme="minorHAnsi" w:eastAsiaTheme="minorEastAsia" w:hAnsiTheme="minorHAnsi" w:cstheme="minorBidi"/>
          <w:szCs w:val="22"/>
        </w:rPr>
      </w:pPr>
      <w:r>
        <w:t>36F.</w:t>
      </w:r>
      <w:r>
        <w:tab/>
        <w:t>Notice of decision by Registrar</w:t>
      </w:r>
      <w:r>
        <w:tab/>
      </w:r>
      <w:r>
        <w:fldChar w:fldCharType="begin"/>
      </w:r>
      <w:r>
        <w:instrText xml:space="preserve"> PAGEREF _Toc216954912 \h </w:instrText>
      </w:r>
      <w:r>
        <w:fldChar w:fldCharType="separate"/>
      </w:r>
      <w:r>
        <w:t>32</w:t>
      </w:r>
      <w:r>
        <w:fldChar w:fldCharType="end"/>
      </w:r>
    </w:p>
    <w:p>
      <w:pPr>
        <w:pStyle w:val="TOC8"/>
        <w:rPr>
          <w:rFonts w:asciiTheme="minorHAnsi" w:eastAsiaTheme="minorEastAsia" w:hAnsiTheme="minorHAnsi" w:cstheme="minorBidi"/>
          <w:szCs w:val="22"/>
        </w:rPr>
      </w:pPr>
      <w:r>
        <w:t>36G.</w:t>
      </w:r>
      <w:r>
        <w:tab/>
        <w:t>Supervisory authority to give, and give notice of, documents and information</w:t>
      </w:r>
      <w:r>
        <w:tab/>
      </w:r>
      <w:r>
        <w:fldChar w:fldCharType="begin"/>
      </w:r>
      <w:r>
        <w:instrText xml:space="preserve"> PAGEREF _Toc216954913 \h </w:instrText>
      </w:r>
      <w:r>
        <w:fldChar w:fldCharType="separate"/>
      </w:r>
      <w:r>
        <w:t>32</w:t>
      </w:r>
      <w:r>
        <w:fldChar w:fldCharType="end"/>
      </w:r>
    </w:p>
    <w:p>
      <w:pPr>
        <w:pStyle w:val="TOC8"/>
        <w:rPr>
          <w:rFonts w:asciiTheme="minorHAnsi" w:eastAsiaTheme="minorEastAsia" w:hAnsiTheme="minorHAnsi" w:cstheme="minorBidi"/>
          <w:szCs w:val="22"/>
        </w:rPr>
      </w:pPr>
      <w:r>
        <w:t>36H.</w:t>
      </w:r>
      <w:r>
        <w:tab/>
        <w:t>Delegation by chief executive officers</w:t>
      </w:r>
      <w:r>
        <w:tab/>
      </w:r>
      <w:r>
        <w:fldChar w:fldCharType="begin"/>
      </w:r>
      <w:r>
        <w:instrText xml:space="preserve"> PAGEREF _Toc216954914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5A — Changes of registration of sex or gender and issue of acknowledgment documents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36I.</w:t>
      </w:r>
      <w:r>
        <w:tab/>
        <w:t>Terms used</w:t>
      </w:r>
      <w:r>
        <w:tab/>
      </w:r>
      <w:r>
        <w:fldChar w:fldCharType="begin"/>
      </w:r>
      <w:r>
        <w:instrText xml:space="preserve"> PAGEREF _Toc216954917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Change of registration of sex or gender</w:t>
      </w:r>
    </w:p>
    <w:p>
      <w:pPr>
        <w:pStyle w:val="TOC8"/>
        <w:rPr>
          <w:rFonts w:asciiTheme="minorHAnsi" w:eastAsiaTheme="minorEastAsia" w:hAnsiTheme="minorHAnsi" w:cstheme="minorBidi"/>
          <w:szCs w:val="22"/>
        </w:rPr>
      </w:pPr>
      <w:r>
        <w:t>36J.</w:t>
      </w:r>
      <w:r>
        <w:tab/>
        <w:t>Application to Registrar by person 18 years or more</w:t>
      </w:r>
      <w:r>
        <w:tab/>
      </w:r>
      <w:r>
        <w:fldChar w:fldCharType="begin"/>
      </w:r>
      <w:r>
        <w:instrText xml:space="preserve"> PAGEREF _Toc216954919 \h </w:instrText>
      </w:r>
      <w:r>
        <w:fldChar w:fldCharType="separate"/>
      </w:r>
      <w:r>
        <w:t>36</w:t>
      </w:r>
      <w:r>
        <w:fldChar w:fldCharType="end"/>
      </w:r>
    </w:p>
    <w:p>
      <w:pPr>
        <w:pStyle w:val="TOC8"/>
        <w:rPr>
          <w:rFonts w:asciiTheme="minorHAnsi" w:eastAsiaTheme="minorEastAsia" w:hAnsiTheme="minorHAnsi" w:cstheme="minorBidi"/>
          <w:szCs w:val="22"/>
        </w:rPr>
      </w:pPr>
      <w:r>
        <w:t>36K.</w:t>
      </w:r>
      <w:r>
        <w:tab/>
        <w:t>Application to Registrar to change registration of sex or gender of child 12 years or more</w:t>
      </w:r>
      <w:r>
        <w:tab/>
      </w:r>
      <w:r>
        <w:fldChar w:fldCharType="begin"/>
      </w:r>
      <w:r>
        <w:instrText xml:space="preserve"> PAGEREF _Toc216954920 \h </w:instrText>
      </w:r>
      <w:r>
        <w:fldChar w:fldCharType="separate"/>
      </w:r>
      <w:r>
        <w:t>36</w:t>
      </w:r>
      <w:r>
        <w:fldChar w:fldCharType="end"/>
      </w:r>
    </w:p>
    <w:p>
      <w:pPr>
        <w:pStyle w:val="TOC8"/>
        <w:rPr>
          <w:rFonts w:asciiTheme="minorHAnsi" w:eastAsiaTheme="minorEastAsia" w:hAnsiTheme="minorHAnsi" w:cstheme="minorBidi"/>
          <w:szCs w:val="22"/>
        </w:rPr>
      </w:pPr>
      <w:r>
        <w:t>36L.</w:t>
      </w:r>
      <w:r>
        <w:tab/>
        <w:t>Application to Family Court by parent or guardian of child 12 years or more</w:t>
      </w:r>
      <w:r>
        <w:tab/>
      </w:r>
      <w:r>
        <w:fldChar w:fldCharType="begin"/>
      </w:r>
      <w:r>
        <w:instrText xml:space="preserve"> PAGEREF _Toc216954921 \h </w:instrText>
      </w:r>
      <w:r>
        <w:fldChar w:fldCharType="separate"/>
      </w:r>
      <w:r>
        <w:t>38</w:t>
      </w:r>
      <w:r>
        <w:fldChar w:fldCharType="end"/>
      </w:r>
    </w:p>
    <w:p>
      <w:pPr>
        <w:pStyle w:val="TOC8"/>
        <w:rPr>
          <w:rFonts w:asciiTheme="minorHAnsi" w:eastAsiaTheme="minorEastAsia" w:hAnsiTheme="minorHAnsi" w:cstheme="minorBidi"/>
          <w:szCs w:val="22"/>
        </w:rPr>
      </w:pPr>
      <w:r>
        <w:t>36M.</w:t>
      </w:r>
      <w:r>
        <w:tab/>
        <w:t>Application to Family Court by child 12 years or more</w:t>
      </w:r>
      <w:r>
        <w:tab/>
      </w:r>
      <w:r>
        <w:fldChar w:fldCharType="begin"/>
      </w:r>
      <w:r>
        <w:instrText xml:space="preserve"> PAGEREF _Toc216954922 \h </w:instrText>
      </w:r>
      <w:r>
        <w:fldChar w:fldCharType="separate"/>
      </w:r>
      <w:r>
        <w:t>39</w:t>
      </w:r>
      <w:r>
        <w:fldChar w:fldCharType="end"/>
      </w:r>
    </w:p>
    <w:p>
      <w:pPr>
        <w:pStyle w:val="TOC8"/>
        <w:rPr>
          <w:rFonts w:asciiTheme="minorHAnsi" w:eastAsiaTheme="minorEastAsia" w:hAnsiTheme="minorHAnsi" w:cstheme="minorBidi"/>
          <w:szCs w:val="22"/>
        </w:rPr>
      </w:pPr>
      <w:r>
        <w:t>36N.</w:t>
      </w:r>
      <w:r>
        <w:tab/>
        <w:t>Application to Family Court by parent or guardian of child under 12 years</w:t>
      </w:r>
      <w:r>
        <w:tab/>
      </w:r>
      <w:r>
        <w:fldChar w:fldCharType="begin"/>
      </w:r>
      <w:r>
        <w:instrText xml:space="preserve"> PAGEREF _Toc216954923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36O.</w:t>
      </w:r>
      <w:r>
        <w:tab/>
        <w:t>Application by CEO (Children and Community Services)</w:t>
      </w:r>
      <w:r>
        <w:tab/>
      </w:r>
      <w:r>
        <w:fldChar w:fldCharType="begin"/>
      </w:r>
      <w:r>
        <w:instrText xml:space="preserve"> PAGEREF _Toc216954924 \h </w:instrText>
      </w:r>
      <w:r>
        <w:fldChar w:fldCharType="separate"/>
      </w:r>
      <w:r>
        <w:t>41</w:t>
      </w:r>
      <w:r>
        <w:fldChar w:fldCharType="end"/>
      </w:r>
    </w:p>
    <w:p>
      <w:pPr>
        <w:pStyle w:val="TOC8"/>
        <w:rPr>
          <w:rFonts w:asciiTheme="minorHAnsi" w:eastAsiaTheme="minorEastAsia" w:hAnsiTheme="minorHAnsi" w:cstheme="minorBidi"/>
          <w:szCs w:val="22"/>
        </w:rPr>
      </w:pPr>
      <w:r>
        <w:t>36P.</w:t>
      </w:r>
      <w:r>
        <w:tab/>
        <w:t>Application to Registrar if Family Court order made</w:t>
      </w:r>
      <w:r>
        <w:tab/>
      </w:r>
      <w:r>
        <w:fldChar w:fldCharType="begin"/>
      </w:r>
      <w:r>
        <w:instrText xml:space="preserve"> PAGEREF _Toc216954925 \h </w:instrText>
      </w:r>
      <w:r>
        <w:fldChar w:fldCharType="separate"/>
      </w:r>
      <w:r>
        <w:t>41</w:t>
      </w:r>
      <w:r>
        <w:fldChar w:fldCharType="end"/>
      </w:r>
    </w:p>
    <w:p>
      <w:pPr>
        <w:pStyle w:val="TOC8"/>
        <w:rPr>
          <w:rFonts w:asciiTheme="minorHAnsi" w:eastAsiaTheme="minorEastAsia" w:hAnsiTheme="minorHAnsi" w:cstheme="minorBidi"/>
          <w:szCs w:val="22"/>
        </w:rPr>
      </w:pPr>
      <w:r>
        <w:t>36Q.</w:t>
      </w:r>
      <w:r>
        <w:tab/>
        <w:t>Entries on, and access to, Register and issue of certificates</w:t>
      </w:r>
      <w:r>
        <w:tab/>
      </w:r>
      <w:r>
        <w:fldChar w:fldCharType="begin"/>
      </w:r>
      <w:r>
        <w:instrText xml:space="preserve"> PAGEREF _Toc216954926 \h </w:instrText>
      </w:r>
      <w:r>
        <w:fldChar w:fldCharType="separate"/>
      </w:r>
      <w:r>
        <w:t>42</w:t>
      </w:r>
      <w:r>
        <w:fldChar w:fldCharType="end"/>
      </w:r>
    </w:p>
    <w:p>
      <w:pPr>
        <w:pStyle w:val="TOC8"/>
        <w:rPr>
          <w:rFonts w:asciiTheme="minorHAnsi" w:eastAsiaTheme="minorEastAsia" w:hAnsiTheme="minorHAnsi" w:cstheme="minorBidi"/>
          <w:szCs w:val="22"/>
        </w:rPr>
      </w:pPr>
      <w:r>
        <w:t>36R.</w:t>
      </w:r>
      <w:r>
        <w:tab/>
        <w:t>Entitlement not affected by change of registration of sex or gender</w:t>
      </w:r>
      <w:r>
        <w:tab/>
      </w:r>
      <w:r>
        <w:fldChar w:fldCharType="begin"/>
      </w:r>
      <w:r>
        <w:instrText xml:space="preserve"> PAGEREF _Toc216954927 \h </w:instrText>
      </w:r>
      <w:r>
        <w:fldChar w:fldCharType="separate"/>
      </w:r>
      <w:r>
        <w:t>43</w:t>
      </w:r>
      <w:r>
        <w:fldChar w:fldCharType="end"/>
      </w:r>
    </w:p>
    <w:p>
      <w:pPr>
        <w:pStyle w:val="TOC8"/>
        <w:rPr>
          <w:rFonts w:asciiTheme="minorHAnsi" w:eastAsiaTheme="minorEastAsia" w:hAnsiTheme="minorHAnsi" w:cstheme="minorBidi"/>
          <w:szCs w:val="22"/>
        </w:rPr>
      </w:pPr>
      <w:r>
        <w:t>36S.</w:t>
      </w:r>
      <w:r>
        <w:tab/>
        <w:t>Interaction with other laws</w:t>
      </w:r>
      <w:r>
        <w:tab/>
      </w:r>
      <w:r>
        <w:fldChar w:fldCharType="begin"/>
      </w:r>
      <w:r>
        <w:instrText xml:space="preserve"> PAGEREF _Toc216954928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Western Australian residents born outside of Australia</w:t>
      </w:r>
    </w:p>
    <w:p>
      <w:pPr>
        <w:pStyle w:val="TOC8"/>
        <w:rPr>
          <w:rFonts w:asciiTheme="minorHAnsi" w:eastAsiaTheme="minorEastAsia" w:hAnsiTheme="minorHAnsi" w:cstheme="minorBidi"/>
          <w:szCs w:val="22"/>
        </w:rPr>
      </w:pPr>
      <w:r>
        <w:t>36T.</w:t>
      </w:r>
      <w:r>
        <w:tab/>
        <w:t>Application to Registrar for acknowledgment document by person 18 years or more</w:t>
      </w:r>
      <w:r>
        <w:tab/>
      </w:r>
      <w:r>
        <w:fldChar w:fldCharType="begin"/>
      </w:r>
      <w:r>
        <w:instrText xml:space="preserve"> PAGEREF _Toc216954930 \h </w:instrText>
      </w:r>
      <w:r>
        <w:fldChar w:fldCharType="separate"/>
      </w:r>
      <w:r>
        <w:t>44</w:t>
      </w:r>
      <w:r>
        <w:fldChar w:fldCharType="end"/>
      </w:r>
    </w:p>
    <w:p>
      <w:pPr>
        <w:pStyle w:val="TOC8"/>
        <w:rPr>
          <w:rFonts w:asciiTheme="minorHAnsi" w:eastAsiaTheme="minorEastAsia" w:hAnsiTheme="minorHAnsi" w:cstheme="minorBidi"/>
          <w:szCs w:val="22"/>
        </w:rPr>
      </w:pPr>
      <w:r>
        <w:t>36U.</w:t>
      </w:r>
      <w:r>
        <w:tab/>
        <w:t>Application to Registrar for acknowledgment document for child 12 years or more</w:t>
      </w:r>
      <w:r>
        <w:tab/>
      </w:r>
      <w:r>
        <w:fldChar w:fldCharType="begin"/>
      </w:r>
      <w:r>
        <w:instrText xml:space="preserve"> PAGEREF _Toc216954931 \h </w:instrText>
      </w:r>
      <w:r>
        <w:fldChar w:fldCharType="separate"/>
      </w:r>
      <w:r>
        <w:t>45</w:t>
      </w:r>
      <w:r>
        <w:fldChar w:fldCharType="end"/>
      </w:r>
    </w:p>
    <w:p>
      <w:pPr>
        <w:pStyle w:val="TOC8"/>
        <w:rPr>
          <w:rFonts w:asciiTheme="minorHAnsi" w:eastAsiaTheme="minorEastAsia" w:hAnsiTheme="minorHAnsi" w:cstheme="minorBidi"/>
          <w:szCs w:val="22"/>
        </w:rPr>
      </w:pPr>
      <w:r>
        <w:t>36V.</w:t>
      </w:r>
      <w:r>
        <w:tab/>
        <w:t>Application to Family Court by parent or guardian of child 12 years or more</w:t>
      </w:r>
      <w:r>
        <w:tab/>
      </w:r>
      <w:r>
        <w:fldChar w:fldCharType="begin"/>
      </w:r>
      <w:r>
        <w:instrText xml:space="preserve"> PAGEREF _Toc216954932 \h </w:instrText>
      </w:r>
      <w:r>
        <w:fldChar w:fldCharType="separate"/>
      </w:r>
      <w:r>
        <w:t>46</w:t>
      </w:r>
      <w:r>
        <w:fldChar w:fldCharType="end"/>
      </w:r>
    </w:p>
    <w:p>
      <w:pPr>
        <w:pStyle w:val="TOC8"/>
        <w:rPr>
          <w:rFonts w:asciiTheme="minorHAnsi" w:eastAsiaTheme="minorEastAsia" w:hAnsiTheme="minorHAnsi" w:cstheme="minorBidi"/>
          <w:szCs w:val="22"/>
        </w:rPr>
      </w:pPr>
      <w:r>
        <w:t>36W.</w:t>
      </w:r>
      <w:r>
        <w:tab/>
        <w:t>Application to Family Court by child 12 years or more</w:t>
      </w:r>
      <w:r>
        <w:tab/>
      </w:r>
      <w:r>
        <w:fldChar w:fldCharType="begin"/>
      </w:r>
      <w:r>
        <w:instrText xml:space="preserve"> PAGEREF _Toc216954933 \h </w:instrText>
      </w:r>
      <w:r>
        <w:fldChar w:fldCharType="separate"/>
      </w:r>
      <w:r>
        <w:t>47</w:t>
      </w:r>
      <w:r>
        <w:fldChar w:fldCharType="end"/>
      </w:r>
    </w:p>
    <w:p>
      <w:pPr>
        <w:pStyle w:val="TOC8"/>
        <w:rPr>
          <w:rFonts w:asciiTheme="minorHAnsi" w:eastAsiaTheme="minorEastAsia" w:hAnsiTheme="minorHAnsi" w:cstheme="minorBidi"/>
          <w:szCs w:val="22"/>
        </w:rPr>
      </w:pPr>
      <w:r>
        <w:t>36X.</w:t>
      </w:r>
      <w:r>
        <w:tab/>
        <w:t>Application to Family Court by parent or guardian of child under 12 years</w:t>
      </w:r>
      <w:r>
        <w:tab/>
      </w:r>
      <w:r>
        <w:fldChar w:fldCharType="begin"/>
      </w:r>
      <w:r>
        <w:instrText xml:space="preserve"> PAGEREF _Toc216954934 \h </w:instrText>
      </w:r>
      <w:r>
        <w:fldChar w:fldCharType="separate"/>
      </w:r>
      <w:r>
        <w:t>48</w:t>
      </w:r>
      <w:r>
        <w:fldChar w:fldCharType="end"/>
      </w:r>
    </w:p>
    <w:p>
      <w:pPr>
        <w:pStyle w:val="TOC8"/>
        <w:rPr>
          <w:rFonts w:asciiTheme="minorHAnsi" w:eastAsiaTheme="minorEastAsia" w:hAnsiTheme="minorHAnsi" w:cstheme="minorBidi"/>
          <w:szCs w:val="22"/>
        </w:rPr>
      </w:pPr>
      <w:r>
        <w:t>36Y.</w:t>
      </w:r>
      <w:r>
        <w:tab/>
        <w:t>Application by CEO (Children and Community Services)</w:t>
      </w:r>
      <w:r>
        <w:tab/>
      </w:r>
      <w:r>
        <w:fldChar w:fldCharType="begin"/>
      </w:r>
      <w:r>
        <w:instrText xml:space="preserve"> PAGEREF _Toc216954935 \h </w:instrText>
      </w:r>
      <w:r>
        <w:fldChar w:fldCharType="separate"/>
      </w:r>
      <w:r>
        <w:t>49</w:t>
      </w:r>
      <w:r>
        <w:fldChar w:fldCharType="end"/>
      </w:r>
    </w:p>
    <w:p>
      <w:pPr>
        <w:pStyle w:val="TOC8"/>
        <w:rPr>
          <w:rFonts w:asciiTheme="minorHAnsi" w:eastAsiaTheme="minorEastAsia" w:hAnsiTheme="minorHAnsi" w:cstheme="minorBidi"/>
          <w:szCs w:val="22"/>
        </w:rPr>
      </w:pPr>
      <w:r>
        <w:t>36Z.</w:t>
      </w:r>
      <w:r>
        <w:tab/>
        <w:t>Application to Registrar if Family Court order made</w:t>
      </w:r>
      <w:r>
        <w:tab/>
      </w:r>
      <w:r>
        <w:fldChar w:fldCharType="begin"/>
      </w:r>
      <w:r>
        <w:instrText xml:space="preserve"> PAGEREF _Toc216954936 \h </w:instrText>
      </w:r>
      <w:r>
        <w:fldChar w:fldCharType="separate"/>
      </w:r>
      <w:r>
        <w:t>50</w:t>
      </w:r>
      <w:r>
        <w:fldChar w:fldCharType="end"/>
      </w:r>
    </w:p>
    <w:p>
      <w:pPr>
        <w:pStyle w:val="TOC8"/>
        <w:rPr>
          <w:rFonts w:asciiTheme="minorHAnsi" w:eastAsiaTheme="minorEastAsia" w:hAnsiTheme="minorHAnsi" w:cstheme="minorBidi"/>
          <w:szCs w:val="22"/>
        </w:rPr>
      </w:pPr>
      <w:r>
        <w:t>36ZA.</w:t>
      </w:r>
      <w:r>
        <w:tab/>
        <w:t>Issue of acknowledgment document</w:t>
      </w:r>
      <w:r>
        <w:tab/>
      </w:r>
      <w:r>
        <w:fldChar w:fldCharType="begin"/>
      </w:r>
      <w:r>
        <w:instrText xml:space="preserve"> PAGEREF _Toc216954937 \h </w:instrText>
      </w:r>
      <w:r>
        <w:fldChar w:fldCharType="separate"/>
      </w:r>
      <w:r>
        <w:t>50</w:t>
      </w:r>
      <w:r>
        <w:fldChar w:fldCharType="end"/>
      </w:r>
    </w:p>
    <w:p>
      <w:pPr>
        <w:pStyle w:val="TOC8"/>
        <w:rPr>
          <w:rFonts w:asciiTheme="minorHAnsi" w:eastAsiaTheme="minorEastAsia" w:hAnsiTheme="minorHAnsi" w:cstheme="minorBidi"/>
          <w:szCs w:val="22"/>
        </w:rPr>
      </w:pPr>
      <w:r>
        <w:t>36ZB.</w:t>
      </w:r>
      <w:r>
        <w:tab/>
        <w:t>Entitlement not affected by issue of acknowledgment document</w:t>
      </w:r>
      <w:r>
        <w:tab/>
      </w:r>
      <w:r>
        <w:fldChar w:fldCharType="begin"/>
      </w:r>
      <w:r>
        <w:instrText xml:space="preserve"> PAGEREF _Toc216954938 \h </w:instrText>
      </w:r>
      <w:r>
        <w:fldChar w:fldCharType="separate"/>
      </w:r>
      <w:r>
        <w:t>51</w:t>
      </w:r>
      <w:r>
        <w:fldChar w:fldCharType="end"/>
      </w:r>
    </w:p>
    <w:p>
      <w:pPr>
        <w:pStyle w:val="TOC8"/>
        <w:rPr>
          <w:rFonts w:asciiTheme="minorHAnsi" w:eastAsiaTheme="minorEastAsia" w:hAnsiTheme="minorHAnsi" w:cstheme="minorBidi"/>
          <w:szCs w:val="22"/>
        </w:rPr>
      </w:pPr>
      <w:r>
        <w:t>36ZC.</w:t>
      </w:r>
      <w:r>
        <w:tab/>
        <w:t>Interaction with other laws</w:t>
      </w:r>
      <w:r>
        <w:tab/>
      </w:r>
      <w:r>
        <w:fldChar w:fldCharType="begin"/>
      </w:r>
      <w:r>
        <w:instrText xml:space="preserve"> PAGEREF _Toc216954939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Restrictions on changes of registration and issue of acknowledgment documents</w:t>
      </w:r>
    </w:p>
    <w:p>
      <w:pPr>
        <w:pStyle w:val="TOC8"/>
        <w:rPr>
          <w:rFonts w:asciiTheme="minorHAnsi" w:eastAsiaTheme="minorEastAsia" w:hAnsiTheme="minorHAnsi" w:cstheme="minorBidi"/>
          <w:szCs w:val="22"/>
        </w:rPr>
      </w:pPr>
      <w:r>
        <w:t>36ZD.</w:t>
      </w:r>
      <w:r>
        <w:tab/>
        <w:t>Terms used</w:t>
      </w:r>
      <w:r>
        <w:tab/>
      </w:r>
      <w:r>
        <w:fldChar w:fldCharType="begin"/>
      </w:r>
      <w:r>
        <w:instrText xml:space="preserve"> PAGEREF _Toc216954941 \h </w:instrText>
      </w:r>
      <w:r>
        <w:fldChar w:fldCharType="separate"/>
      </w:r>
      <w:r>
        <w:t>52</w:t>
      </w:r>
      <w:r>
        <w:fldChar w:fldCharType="end"/>
      </w:r>
    </w:p>
    <w:p>
      <w:pPr>
        <w:pStyle w:val="TOC8"/>
        <w:rPr>
          <w:rFonts w:asciiTheme="minorHAnsi" w:eastAsiaTheme="minorEastAsia" w:hAnsiTheme="minorHAnsi" w:cstheme="minorBidi"/>
          <w:szCs w:val="22"/>
        </w:rPr>
      </w:pPr>
      <w:r>
        <w:t>36ZE.</w:t>
      </w:r>
      <w:r>
        <w:tab/>
        <w:t>Restrictions on change of registration based on frequency of change</w:t>
      </w:r>
      <w:r>
        <w:tab/>
      </w:r>
      <w:r>
        <w:fldChar w:fldCharType="begin"/>
      </w:r>
      <w:r>
        <w:instrText xml:space="preserve"> PAGEREF _Toc216954942 \h </w:instrText>
      </w:r>
      <w:r>
        <w:fldChar w:fldCharType="separate"/>
      </w:r>
      <w:r>
        <w:t>52</w:t>
      </w:r>
      <w:r>
        <w:fldChar w:fldCharType="end"/>
      </w:r>
    </w:p>
    <w:p>
      <w:pPr>
        <w:pStyle w:val="TOC8"/>
        <w:rPr>
          <w:rFonts w:asciiTheme="minorHAnsi" w:eastAsiaTheme="minorEastAsia" w:hAnsiTheme="minorHAnsi" w:cstheme="minorBidi"/>
          <w:szCs w:val="22"/>
        </w:rPr>
      </w:pPr>
      <w:r>
        <w:t>36ZF.</w:t>
      </w:r>
      <w:r>
        <w:tab/>
        <w:t>Restrictions on issue of acknowledgment document based on frequency of issue</w:t>
      </w:r>
      <w:r>
        <w:tab/>
      </w:r>
      <w:r>
        <w:fldChar w:fldCharType="begin"/>
      </w:r>
      <w:r>
        <w:instrText xml:space="preserve"> PAGEREF _Toc216954943 \h </w:instrText>
      </w:r>
      <w:r>
        <w:fldChar w:fldCharType="separate"/>
      </w:r>
      <w:r>
        <w:t>53</w:t>
      </w:r>
      <w:r>
        <w:fldChar w:fldCharType="end"/>
      </w:r>
    </w:p>
    <w:p>
      <w:pPr>
        <w:pStyle w:val="TOC8"/>
        <w:rPr>
          <w:rFonts w:asciiTheme="minorHAnsi" w:eastAsiaTheme="minorEastAsia" w:hAnsiTheme="minorHAnsi" w:cstheme="minorBidi"/>
          <w:szCs w:val="22"/>
        </w:rPr>
      </w:pPr>
      <w:r>
        <w:t>36ZG.</w:t>
      </w:r>
      <w:r>
        <w:tab/>
        <w:t>Supervisory authority approval required in relation to restricted person</w:t>
      </w:r>
      <w:r>
        <w:tab/>
      </w:r>
      <w:r>
        <w:fldChar w:fldCharType="begin"/>
      </w:r>
      <w:r>
        <w:instrText xml:space="preserve"> PAGEREF _Toc216954944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36ZH.</w:t>
      </w:r>
      <w:r>
        <w:tab/>
        <w:t>Application by restricted person</w:t>
      </w:r>
      <w:r>
        <w:tab/>
      </w:r>
      <w:r>
        <w:fldChar w:fldCharType="begin"/>
      </w:r>
      <w:r>
        <w:instrText xml:space="preserve"> PAGEREF _Toc216954945 \h </w:instrText>
      </w:r>
      <w:r>
        <w:fldChar w:fldCharType="separate"/>
      </w:r>
      <w:r>
        <w:t>54</w:t>
      </w:r>
      <w:r>
        <w:fldChar w:fldCharType="end"/>
      </w:r>
    </w:p>
    <w:p>
      <w:pPr>
        <w:pStyle w:val="TOC8"/>
        <w:rPr>
          <w:rFonts w:asciiTheme="minorHAnsi" w:eastAsiaTheme="minorEastAsia" w:hAnsiTheme="minorHAnsi" w:cstheme="minorBidi"/>
          <w:szCs w:val="22"/>
        </w:rPr>
      </w:pPr>
      <w:r>
        <w:t>36ZI.</w:t>
      </w:r>
      <w:r>
        <w:tab/>
        <w:t>Application on behalf of restricted person</w:t>
      </w:r>
      <w:r>
        <w:tab/>
      </w:r>
      <w:r>
        <w:fldChar w:fldCharType="begin"/>
      </w:r>
      <w:r>
        <w:instrText xml:space="preserve"> PAGEREF _Toc216954946 \h </w:instrText>
      </w:r>
      <w:r>
        <w:fldChar w:fldCharType="separate"/>
      </w:r>
      <w:r>
        <w:t>55</w:t>
      </w:r>
      <w:r>
        <w:fldChar w:fldCharType="end"/>
      </w:r>
    </w:p>
    <w:p>
      <w:pPr>
        <w:pStyle w:val="TOC8"/>
        <w:rPr>
          <w:rFonts w:asciiTheme="minorHAnsi" w:eastAsiaTheme="minorEastAsia" w:hAnsiTheme="minorHAnsi" w:cstheme="minorBidi"/>
          <w:szCs w:val="22"/>
        </w:rPr>
      </w:pPr>
      <w:r>
        <w:t>36ZJ.</w:t>
      </w:r>
      <w:r>
        <w:tab/>
        <w:t>Approval by supervisory authority</w:t>
      </w:r>
      <w:r>
        <w:tab/>
      </w:r>
      <w:r>
        <w:fldChar w:fldCharType="begin"/>
      </w:r>
      <w:r>
        <w:instrText xml:space="preserve"> PAGEREF _Toc216954947 \h </w:instrText>
      </w:r>
      <w:r>
        <w:fldChar w:fldCharType="separate"/>
      </w:r>
      <w:r>
        <w:t>55</w:t>
      </w:r>
      <w:r>
        <w:fldChar w:fldCharType="end"/>
      </w:r>
    </w:p>
    <w:p>
      <w:pPr>
        <w:pStyle w:val="TOC8"/>
        <w:rPr>
          <w:rFonts w:asciiTheme="minorHAnsi" w:eastAsiaTheme="minorEastAsia" w:hAnsiTheme="minorHAnsi" w:cstheme="minorBidi"/>
          <w:szCs w:val="22"/>
        </w:rPr>
      </w:pPr>
      <w:r>
        <w:t>36ZK.</w:t>
      </w:r>
      <w:r>
        <w:tab/>
        <w:t>Notice of decision by Registrar</w:t>
      </w:r>
      <w:r>
        <w:tab/>
      </w:r>
      <w:r>
        <w:fldChar w:fldCharType="begin"/>
      </w:r>
      <w:r>
        <w:instrText xml:space="preserve"> PAGEREF _Toc216954948 \h </w:instrText>
      </w:r>
      <w:r>
        <w:fldChar w:fldCharType="separate"/>
      </w:r>
      <w:r>
        <w:t>56</w:t>
      </w:r>
      <w:r>
        <w:fldChar w:fldCharType="end"/>
      </w:r>
    </w:p>
    <w:p>
      <w:pPr>
        <w:pStyle w:val="TOC8"/>
        <w:rPr>
          <w:rFonts w:asciiTheme="minorHAnsi" w:eastAsiaTheme="minorEastAsia" w:hAnsiTheme="minorHAnsi" w:cstheme="minorBidi"/>
          <w:szCs w:val="22"/>
        </w:rPr>
      </w:pPr>
      <w:r>
        <w:t>36ZL.</w:t>
      </w:r>
      <w:r>
        <w:tab/>
        <w:t>Supervisory authority to give documents and information</w:t>
      </w:r>
      <w:r>
        <w:tab/>
      </w:r>
      <w:r>
        <w:fldChar w:fldCharType="begin"/>
      </w:r>
      <w:r>
        <w:instrText xml:space="preserve"> PAGEREF _Toc216954949 \h </w:instrText>
      </w:r>
      <w:r>
        <w:fldChar w:fldCharType="separate"/>
      </w:r>
      <w:r>
        <w:t>57</w:t>
      </w:r>
      <w:r>
        <w:fldChar w:fldCharType="end"/>
      </w:r>
    </w:p>
    <w:p>
      <w:pPr>
        <w:pStyle w:val="TOC8"/>
        <w:rPr>
          <w:rFonts w:asciiTheme="minorHAnsi" w:eastAsiaTheme="minorEastAsia" w:hAnsiTheme="minorHAnsi" w:cstheme="minorBidi"/>
          <w:szCs w:val="22"/>
        </w:rPr>
      </w:pPr>
      <w:r>
        <w:t>36ZM.</w:t>
      </w:r>
      <w:r>
        <w:tab/>
        <w:t>Delegation by chief executive officers</w:t>
      </w:r>
      <w:r>
        <w:tab/>
      </w:r>
      <w:r>
        <w:fldChar w:fldCharType="begin"/>
      </w:r>
      <w:r>
        <w:instrText xml:space="preserve"> PAGEREF _Toc216954950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Registration of marriages</w:t>
      </w:r>
    </w:p>
    <w:p>
      <w:pPr>
        <w:pStyle w:val="TOC8"/>
        <w:rPr>
          <w:rFonts w:asciiTheme="minorHAnsi" w:eastAsiaTheme="minorEastAsia" w:hAnsiTheme="minorHAnsi" w:cstheme="minorBidi"/>
          <w:szCs w:val="22"/>
        </w:rPr>
      </w:pPr>
      <w:r>
        <w:t>37.</w:t>
      </w:r>
      <w:r>
        <w:tab/>
        <w:t>Marriages in the State to be registered</w:t>
      </w:r>
      <w:r>
        <w:tab/>
      </w:r>
      <w:r>
        <w:fldChar w:fldCharType="begin"/>
      </w:r>
      <w:r>
        <w:instrText xml:space="preserve"> PAGEREF _Toc216954952 \h </w:instrText>
      </w:r>
      <w:r>
        <w:fldChar w:fldCharType="separate"/>
      </w:r>
      <w:r>
        <w:t>59</w:t>
      </w:r>
      <w:r>
        <w:fldChar w:fldCharType="end"/>
      </w:r>
    </w:p>
    <w:p>
      <w:pPr>
        <w:pStyle w:val="TOC8"/>
        <w:rPr>
          <w:rFonts w:asciiTheme="minorHAnsi" w:eastAsiaTheme="minorEastAsia" w:hAnsiTheme="minorHAnsi" w:cstheme="minorBidi"/>
          <w:szCs w:val="22"/>
        </w:rPr>
      </w:pPr>
      <w:r>
        <w:t>38.</w:t>
      </w:r>
      <w:r>
        <w:tab/>
        <w:t>How to have marriage registered</w:t>
      </w:r>
      <w:r>
        <w:tab/>
      </w:r>
      <w:r>
        <w:fldChar w:fldCharType="begin"/>
      </w:r>
      <w:r>
        <w:instrText xml:space="preserve"> PAGEREF _Toc216954953 \h </w:instrText>
      </w:r>
      <w:r>
        <w:fldChar w:fldCharType="separate"/>
      </w:r>
      <w:r>
        <w:t>59</w:t>
      </w:r>
      <w:r>
        <w:fldChar w:fldCharType="end"/>
      </w:r>
    </w:p>
    <w:p>
      <w:pPr>
        <w:pStyle w:val="TOC8"/>
        <w:rPr>
          <w:rFonts w:asciiTheme="minorHAnsi" w:eastAsiaTheme="minorEastAsia" w:hAnsiTheme="minorHAnsi" w:cstheme="minorBidi"/>
          <w:szCs w:val="22"/>
        </w:rPr>
      </w:pPr>
      <w:r>
        <w:t>39.</w:t>
      </w:r>
      <w:r>
        <w:tab/>
        <w:t>Registration of marriage</w:t>
      </w:r>
      <w:r>
        <w:tab/>
      </w:r>
      <w:r>
        <w:fldChar w:fldCharType="begin"/>
      </w:r>
      <w:r>
        <w:instrText xml:space="preserve"> PAGEREF _Toc216954954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Registration of deaths</w:t>
      </w:r>
    </w:p>
    <w:p>
      <w:pPr>
        <w:pStyle w:val="TOC4"/>
        <w:tabs>
          <w:tab w:val="right" w:leader="dot" w:pos="7077"/>
        </w:tabs>
        <w:rPr>
          <w:rFonts w:asciiTheme="minorHAnsi" w:eastAsiaTheme="minorEastAsia" w:hAnsiTheme="minorHAnsi" w:cstheme="minorBidi"/>
          <w:b w:val="0"/>
          <w:szCs w:val="22"/>
        </w:rPr>
      </w:pPr>
      <w:r>
        <w:t>Division 1 — Cases where registration of death is required or authorised</w:t>
      </w:r>
    </w:p>
    <w:p>
      <w:pPr>
        <w:pStyle w:val="TOC8"/>
        <w:rPr>
          <w:rFonts w:asciiTheme="minorHAnsi" w:eastAsiaTheme="minorEastAsia" w:hAnsiTheme="minorHAnsi" w:cstheme="minorBidi"/>
          <w:szCs w:val="22"/>
        </w:rPr>
      </w:pPr>
      <w:r>
        <w:t>40.</w:t>
      </w:r>
      <w:r>
        <w:tab/>
        <w:t>Deaths to be registered under this Act</w:t>
      </w:r>
      <w:r>
        <w:tab/>
      </w:r>
      <w:r>
        <w:fldChar w:fldCharType="begin"/>
      </w:r>
      <w:r>
        <w:instrText xml:space="preserve"> PAGEREF _Toc216954957 \h </w:instrText>
      </w:r>
      <w:r>
        <w:fldChar w:fldCharType="separate"/>
      </w:r>
      <w:r>
        <w:t>60</w:t>
      </w:r>
      <w:r>
        <w:fldChar w:fldCharType="end"/>
      </w:r>
    </w:p>
    <w:p>
      <w:pPr>
        <w:pStyle w:val="TOC8"/>
        <w:rPr>
          <w:rFonts w:asciiTheme="minorHAnsi" w:eastAsiaTheme="minorEastAsia" w:hAnsiTheme="minorHAnsi" w:cstheme="minorBidi"/>
          <w:szCs w:val="22"/>
        </w:rPr>
      </w:pPr>
      <w:r>
        <w:t>41.</w:t>
      </w:r>
      <w:r>
        <w:tab/>
        <w:t>Powers of State courts and coroners and registration of death etc. after court findings</w:t>
      </w:r>
      <w:r>
        <w:tab/>
      </w:r>
      <w:r>
        <w:fldChar w:fldCharType="begin"/>
      </w:r>
      <w:r>
        <w:instrText xml:space="preserve"> PAGEREF _Toc216954958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death</w:t>
      </w:r>
    </w:p>
    <w:p>
      <w:pPr>
        <w:pStyle w:val="TOC8"/>
        <w:rPr>
          <w:rFonts w:asciiTheme="minorHAnsi" w:eastAsiaTheme="minorEastAsia" w:hAnsiTheme="minorHAnsi" w:cstheme="minorBidi"/>
          <w:szCs w:val="22"/>
        </w:rPr>
      </w:pPr>
      <w:r>
        <w:t>42.</w:t>
      </w:r>
      <w:r>
        <w:tab/>
        <w:t>Person responsible for notification of death</w:t>
      </w:r>
      <w:r>
        <w:tab/>
      </w:r>
      <w:r>
        <w:fldChar w:fldCharType="begin"/>
      </w:r>
      <w:r>
        <w:instrText xml:space="preserve"> PAGEREF _Toc216954960 \h </w:instrText>
      </w:r>
      <w:r>
        <w:fldChar w:fldCharType="separate"/>
      </w:r>
      <w:r>
        <w:t>61</w:t>
      </w:r>
      <w:r>
        <w:fldChar w:fldCharType="end"/>
      </w:r>
    </w:p>
    <w:p>
      <w:pPr>
        <w:pStyle w:val="TOC8"/>
        <w:rPr>
          <w:rFonts w:asciiTheme="minorHAnsi" w:eastAsiaTheme="minorEastAsia" w:hAnsiTheme="minorHAnsi" w:cstheme="minorBidi"/>
          <w:szCs w:val="22"/>
        </w:rPr>
      </w:pPr>
      <w:r>
        <w:t>43.</w:t>
      </w:r>
      <w:r>
        <w:tab/>
        <w:t>Notification of suspected death</w:t>
      </w:r>
      <w:r>
        <w:tab/>
      </w:r>
      <w:r>
        <w:fldChar w:fldCharType="begin"/>
      </w:r>
      <w:r>
        <w:instrText xml:space="preserve"> PAGEREF _Toc216954961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cause of death</w:t>
      </w:r>
    </w:p>
    <w:p>
      <w:pPr>
        <w:pStyle w:val="TOC8"/>
        <w:rPr>
          <w:rFonts w:asciiTheme="minorHAnsi" w:eastAsiaTheme="minorEastAsia" w:hAnsiTheme="minorHAnsi" w:cstheme="minorBidi"/>
          <w:szCs w:val="22"/>
        </w:rPr>
      </w:pPr>
      <w:r>
        <w:t>44.</w:t>
      </w:r>
      <w:r>
        <w:tab/>
        <w:t>Doctor to provide certificate of cause of death unless the death is reportable to a coroner</w:t>
      </w:r>
      <w:r>
        <w:tab/>
      </w:r>
      <w:r>
        <w:fldChar w:fldCharType="begin"/>
      </w:r>
      <w:r>
        <w:instrText xml:space="preserve"> PAGEREF _Toc216954963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Disposal of human remains</w:t>
      </w:r>
    </w:p>
    <w:p>
      <w:pPr>
        <w:pStyle w:val="TOC8"/>
        <w:rPr>
          <w:rFonts w:asciiTheme="minorHAnsi" w:eastAsiaTheme="minorEastAsia" w:hAnsiTheme="minorHAnsi" w:cstheme="minorBidi"/>
          <w:szCs w:val="22"/>
        </w:rPr>
      </w:pPr>
      <w:r>
        <w:t>45.</w:t>
      </w:r>
      <w:r>
        <w:tab/>
        <w:t>Notification of disposal of human remains in the State</w:t>
      </w:r>
      <w:r>
        <w:tab/>
      </w:r>
      <w:r>
        <w:fldChar w:fldCharType="begin"/>
      </w:r>
      <w:r>
        <w:instrText xml:space="preserve"> PAGEREF _Toc216954965 \h </w:instrText>
      </w:r>
      <w:r>
        <w:fldChar w:fldCharType="separate"/>
      </w:r>
      <w:r>
        <w:t>64</w:t>
      </w:r>
      <w:r>
        <w:fldChar w:fldCharType="end"/>
      </w:r>
    </w:p>
    <w:p>
      <w:pPr>
        <w:pStyle w:val="TOC8"/>
        <w:rPr>
          <w:rFonts w:asciiTheme="minorHAnsi" w:eastAsiaTheme="minorEastAsia" w:hAnsiTheme="minorHAnsi" w:cstheme="minorBidi"/>
          <w:szCs w:val="22"/>
        </w:rPr>
      </w:pPr>
      <w:r>
        <w:t>46.</w:t>
      </w:r>
      <w:r>
        <w:tab/>
        <w:t>Notification of disposal of human remains out of the State</w:t>
      </w:r>
      <w:r>
        <w:tab/>
      </w:r>
      <w:r>
        <w:fldChar w:fldCharType="begin"/>
      </w:r>
      <w:r>
        <w:instrText xml:space="preserve"> PAGEREF _Toc216954966 \h </w:instrText>
      </w:r>
      <w:r>
        <w:fldChar w:fldCharType="separate"/>
      </w:r>
      <w:r>
        <w:t>64</w:t>
      </w:r>
      <w:r>
        <w:fldChar w:fldCharType="end"/>
      </w:r>
    </w:p>
    <w:p>
      <w:pPr>
        <w:pStyle w:val="TOC8"/>
        <w:rPr>
          <w:rFonts w:asciiTheme="minorHAnsi" w:eastAsiaTheme="minorEastAsia" w:hAnsiTheme="minorHAnsi" w:cstheme="minorBidi"/>
          <w:szCs w:val="22"/>
        </w:rPr>
      </w:pPr>
      <w:r>
        <w:t>47.</w:t>
      </w:r>
      <w:r>
        <w:tab/>
        <w:t>Notification if disposal has not occurred within 30 days</w:t>
      </w:r>
      <w:r>
        <w:tab/>
      </w:r>
      <w:r>
        <w:fldChar w:fldCharType="begin"/>
      </w:r>
      <w:r>
        <w:instrText xml:space="preserve"> PAGEREF _Toc216954967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death</w:t>
      </w:r>
    </w:p>
    <w:p>
      <w:pPr>
        <w:pStyle w:val="TOC8"/>
        <w:rPr>
          <w:rFonts w:asciiTheme="minorHAnsi" w:eastAsiaTheme="minorEastAsia" w:hAnsiTheme="minorHAnsi" w:cstheme="minorBidi"/>
          <w:szCs w:val="22"/>
        </w:rPr>
      </w:pPr>
      <w:r>
        <w:t>48.</w:t>
      </w:r>
      <w:r>
        <w:tab/>
        <w:t>Registration of death</w:t>
      </w:r>
      <w:r>
        <w:tab/>
      </w:r>
      <w:r>
        <w:fldChar w:fldCharType="begin"/>
      </w:r>
      <w:r>
        <w:instrText xml:space="preserve"> PAGEREF _Toc216954969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The Register</w:t>
      </w:r>
    </w:p>
    <w:p>
      <w:pPr>
        <w:pStyle w:val="TOC4"/>
        <w:tabs>
          <w:tab w:val="right" w:leader="dot" w:pos="7077"/>
        </w:tabs>
        <w:rPr>
          <w:rFonts w:asciiTheme="minorHAnsi" w:eastAsiaTheme="minorEastAsia" w:hAnsiTheme="minorHAnsi" w:cstheme="minorBidi"/>
          <w:b w:val="0"/>
          <w:szCs w:val="22"/>
        </w:rPr>
      </w:pPr>
      <w:r>
        <w:t>Division 1 — Keeping the Register</w:t>
      </w:r>
    </w:p>
    <w:p>
      <w:pPr>
        <w:pStyle w:val="TOC8"/>
        <w:rPr>
          <w:rFonts w:asciiTheme="minorHAnsi" w:eastAsiaTheme="minorEastAsia" w:hAnsiTheme="minorHAnsi" w:cstheme="minorBidi"/>
          <w:szCs w:val="22"/>
        </w:rPr>
      </w:pPr>
      <w:r>
        <w:t>49.</w:t>
      </w:r>
      <w:r>
        <w:tab/>
        <w:t>The Register</w:t>
      </w:r>
      <w:r>
        <w:tab/>
      </w:r>
      <w:r>
        <w:fldChar w:fldCharType="begin"/>
      </w:r>
      <w:r>
        <w:instrText xml:space="preserve"> PAGEREF _Toc216954972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Registrar’s powers of inquiry</w:t>
      </w:r>
    </w:p>
    <w:p>
      <w:pPr>
        <w:pStyle w:val="TOC8"/>
        <w:rPr>
          <w:rFonts w:asciiTheme="minorHAnsi" w:eastAsiaTheme="minorEastAsia" w:hAnsiTheme="minorHAnsi" w:cstheme="minorBidi"/>
          <w:szCs w:val="22"/>
        </w:rPr>
      </w:pPr>
      <w:r>
        <w:t>50.</w:t>
      </w:r>
      <w:r>
        <w:tab/>
        <w:t>Registrar’s powers of inquiry</w:t>
      </w:r>
      <w:r>
        <w:tab/>
      </w:r>
      <w:r>
        <w:fldChar w:fldCharType="begin"/>
      </w:r>
      <w:r>
        <w:instrText xml:space="preserve"> PAGEREF _Toc216954974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Correction and amendment of Register</w:t>
      </w:r>
    </w:p>
    <w:p>
      <w:pPr>
        <w:pStyle w:val="TOC8"/>
        <w:rPr>
          <w:rFonts w:asciiTheme="minorHAnsi" w:eastAsiaTheme="minorEastAsia" w:hAnsiTheme="minorHAnsi" w:cstheme="minorBidi"/>
          <w:szCs w:val="22"/>
        </w:rPr>
      </w:pPr>
      <w:r>
        <w:t>51.</w:t>
      </w:r>
      <w:r>
        <w:tab/>
        <w:t>Correction of Register</w:t>
      </w:r>
      <w:r>
        <w:tab/>
      </w:r>
      <w:r>
        <w:fldChar w:fldCharType="begin"/>
      </w:r>
      <w:r>
        <w:instrText xml:space="preserve"> PAGEREF _Toc216954976 \h </w:instrText>
      </w:r>
      <w:r>
        <w:fldChar w:fldCharType="separate"/>
      </w:r>
      <w:r>
        <w:t>67</w:t>
      </w:r>
      <w:r>
        <w:fldChar w:fldCharType="end"/>
      </w:r>
    </w:p>
    <w:p>
      <w:pPr>
        <w:pStyle w:val="TOC8"/>
        <w:rPr>
          <w:rFonts w:asciiTheme="minorHAnsi" w:eastAsiaTheme="minorEastAsia" w:hAnsiTheme="minorHAnsi" w:cstheme="minorBidi"/>
          <w:szCs w:val="22"/>
        </w:rPr>
      </w:pPr>
      <w:r>
        <w:t>52.</w:t>
      </w:r>
      <w:r>
        <w:tab/>
        <w:t>Amendment of Register</w:t>
      </w:r>
      <w:r>
        <w:tab/>
      </w:r>
      <w:r>
        <w:fldChar w:fldCharType="begin"/>
      </w:r>
      <w:r>
        <w:instrText xml:space="preserve"> PAGEREF _Toc216954977 \h </w:instrText>
      </w:r>
      <w:r>
        <w:fldChar w:fldCharType="separate"/>
      </w:r>
      <w:r>
        <w:t>68</w:t>
      </w:r>
      <w:r>
        <w:fldChar w:fldCharType="end"/>
      </w:r>
    </w:p>
    <w:p>
      <w:pPr>
        <w:pStyle w:val="TOC8"/>
        <w:rPr>
          <w:rFonts w:asciiTheme="minorHAnsi" w:eastAsiaTheme="minorEastAsia" w:hAnsiTheme="minorHAnsi" w:cstheme="minorBidi"/>
          <w:szCs w:val="22"/>
        </w:rPr>
      </w:pPr>
      <w:r>
        <w:t>53.</w:t>
      </w:r>
      <w:r>
        <w:tab/>
        <w:t>Registrar’s functions under other Acts</w:t>
      </w:r>
      <w:r>
        <w:tab/>
      </w:r>
      <w:r>
        <w:fldChar w:fldCharType="begin"/>
      </w:r>
      <w:r>
        <w:instrText xml:space="preserve"> PAGEREF _Toc216954978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Access to, and certification of, Register entries</w:t>
      </w:r>
    </w:p>
    <w:p>
      <w:pPr>
        <w:pStyle w:val="TOC8"/>
        <w:rPr>
          <w:rFonts w:asciiTheme="minorHAnsi" w:eastAsiaTheme="minorEastAsia" w:hAnsiTheme="minorHAnsi" w:cstheme="minorBidi"/>
          <w:szCs w:val="22"/>
        </w:rPr>
      </w:pPr>
      <w:r>
        <w:t>54.</w:t>
      </w:r>
      <w:r>
        <w:tab/>
        <w:t>Access to and verification of Register</w:t>
      </w:r>
      <w:r>
        <w:tab/>
      </w:r>
      <w:r>
        <w:fldChar w:fldCharType="begin"/>
      </w:r>
      <w:r>
        <w:instrText xml:space="preserve"> PAGEREF _Toc216954980 \h </w:instrText>
      </w:r>
      <w:r>
        <w:fldChar w:fldCharType="separate"/>
      </w:r>
      <w:r>
        <w:t>68</w:t>
      </w:r>
      <w:r>
        <w:fldChar w:fldCharType="end"/>
      </w:r>
    </w:p>
    <w:p>
      <w:pPr>
        <w:pStyle w:val="TOC8"/>
        <w:rPr>
          <w:rFonts w:asciiTheme="minorHAnsi" w:eastAsiaTheme="minorEastAsia" w:hAnsiTheme="minorHAnsi" w:cstheme="minorBidi"/>
          <w:szCs w:val="22"/>
        </w:rPr>
      </w:pPr>
      <w:r>
        <w:t>55.</w:t>
      </w:r>
      <w:r>
        <w:tab/>
        <w:t>Search of Register</w:t>
      </w:r>
      <w:r>
        <w:tab/>
      </w:r>
      <w:r>
        <w:fldChar w:fldCharType="begin"/>
      </w:r>
      <w:r>
        <w:instrText xml:space="preserve"> PAGEREF _Toc216954981 \h </w:instrText>
      </w:r>
      <w:r>
        <w:fldChar w:fldCharType="separate"/>
      </w:r>
      <w:r>
        <w:t>69</w:t>
      </w:r>
      <w:r>
        <w:fldChar w:fldCharType="end"/>
      </w:r>
    </w:p>
    <w:p>
      <w:pPr>
        <w:pStyle w:val="TOC8"/>
        <w:rPr>
          <w:rFonts w:asciiTheme="minorHAnsi" w:eastAsiaTheme="minorEastAsia" w:hAnsiTheme="minorHAnsi" w:cstheme="minorBidi"/>
          <w:szCs w:val="22"/>
        </w:rPr>
      </w:pPr>
      <w:r>
        <w:t>56.</w:t>
      </w:r>
      <w:r>
        <w:tab/>
        <w:t>Protection of privacy</w:t>
      </w:r>
      <w:r>
        <w:tab/>
      </w:r>
      <w:r>
        <w:fldChar w:fldCharType="begin"/>
      </w:r>
      <w:r>
        <w:instrText xml:space="preserve"> PAGEREF _Toc216954982 \h </w:instrText>
      </w:r>
      <w:r>
        <w:fldChar w:fldCharType="separate"/>
      </w:r>
      <w:r>
        <w:t>70</w:t>
      </w:r>
      <w:r>
        <w:fldChar w:fldCharType="end"/>
      </w:r>
    </w:p>
    <w:p>
      <w:pPr>
        <w:pStyle w:val="TOC8"/>
        <w:rPr>
          <w:rFonts w:asciiTheme="minorHAnsi" w:eastAsiaTheme="minorEastAsia" w:hAnsiTheme="minorHAnsi" w:cstheme="minorBidi"/>
          <w:szCs w:val="22"/>
        </w:rPr>
      </w:pPr>
      <w:r>
        <w:t>57.</w:t>
      </w:r>
      <w:r>
        <w:tab/>
        <w:t>Issue of certificate</w:t>
      </w:r>
      <w:r>
        <w:tab/>
      </w:r>
      <w:r>
        <w:fldChar w:fldCharType="begin"/>
      </w:r>
      <w:r>
        <w:instrText xml:space="preserve"> PAGEREF _Toc216954983 \h </w:instrText>
      </w:r>
      <w:r>
        <w:fldChar w:fldCharType="separate"/>
      </w:r>
      <w:r>
        <w:t>70</w:t>
      </w:r>
      <w:r>
        <w:fldChar w:fldCharType="end"/>
      </w:r>
    </w:p>
    <w:p>
      <w:pPr>
        <w:pStyle w:val="TOC8"/>
        <w:rPr>
          <w:rFonts w:asciiTheme="minorHAnsi" w:eastAsiaTheme="minorEastAsia" w:hAnsiTheme="minorHAnsi" w:cstheme="minorBidi"/>
          <w:szCs w:val="22"/>
        </w:rPr>
      </w:pPr>
      <w:r>
        <w:t>58.</w:t>
      </w:r>
      <w:r>
        <w:tab/>
        <w:t>Access policies</w:t>
      </w:r>
      <w:r>
        <w:tab/>
      </w:r>
      <w:r>
        <w:fldChar w:fldCharType="begin"/>
      </w:r>
      <w:r>
        <w:instrText xml:space="preserve"> PAGEREF _Toc216954984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59.</w:t>
      </w:r>
      <w:r>
        <w:tab/>
        <w:t>False representation</w:t>
      </w:r>
      <w:r>
        <w:tab/>
      </w:r>
      <w:r>
        <w:fldChar w:fldCharType="begin"/>
      </w:r>
      <w:r>
        <w:instrText xml:space="preserve"> PAGEREF _Toc216954986 \h </w:instrText>
      </w:r>
      <w:r>
        <w:fldChar w:fldCharType="separate"/>
      </w:r>
      <w:r>
        <w:t>71</w:t>
      </w:r>
      <w:r>
        <w:fldChar w:fldCharType="end"/>
      </w:r>
    </w:p>
    <w:p>
      <w:pPr>
        <w:pStyle w:val="TOC8"/>
        <w:rPr>
          <w:rFonts w:asciiTheme="minorHAnsi" w:eastAsiaTheme="minorEastAsia" w:hAnsiTheme="minorHAnsi" w:cstheme="minorBidi"/>
          <w:szCs w:val="22"/>
        </w:rPr>
      </w:pPr>
      <w:r>
        <w:t>60.</w:t>
      </w:r>
      <w:r>
        <w:tab/>
        <w:t>Unauthorised access to or interference with Register</w:t>
      </w:r>
      <w:r>
        <w:tab/>
      </w:r>
      <w:r>
        <w:fldChar w:fldCharType="begin"/>
      </w:r>
      <w:r>
        <w:instrText xml:space="preserve"> PAGEREF _Toc216954987 \h </w:instrText>
      </w:r>
      <w:r>
        <w:fldChar w:fldCharType="separate"/>
      </w:r>
      <w:r>
        <w:t>71</w:t>
      </w:r>
      <w:r>
        <w:fldChar w:fldCharType="end"/>
      </w:r>
    </w:p>
    <w:p>
      <w:pPr>
        <w:pStyle w:val="TOC8"/>
        <w:rPr>
          <w:rFonts w:asciiTheme="minorHAnsi" w:eastAsiaTheme="minorEastAsia" w:hAnsiTheme="minorHAnsi" w:cstheme="minorBidi"/>
          <w:szCs w:val="22"/>
        </w:rPr>
      </w:pPr>
      <w:r>
        <w:t>61.</w:t>
      </w:r>
      <w:r>
        <w:tab/>
        <w:t>Falsification of certificate etc.</w:t>
      </w:r>
      <w:r>
        <w:tab/>
      </w:r>
      <w:r>
        <w:fldChar w:fldCharType="begin"/>
      </w:r>
      <w:r>
        <w:instrText xml:space="preserve"> PAGEREF _Toc216954988 \h </w:instrText>
      </w:r>
      <w:r>
        <w:fldChar w:fldCharType="separate"/>
      </w:r>
      <w:r>
        <w:t>71</w:t>
      </w:r>
      <w:r>
        <w:fldChar w:fldCharType="end"/>
      </w:r>
    </w:p>
    <w:p>
      <w:pPr>
        <w:pStyle w:val="TOC8"/>
        <w:rPr>
          <w:rFonts w:asciiTheme="minorHAnsi" w:eastAsiaTheme="minorEastAsia" w:hAnsiTheme="minorHAnsi" w:cstheme="minorBidi"/>
          <w:szCs w:val="22"/>
        </w:rPr>
      </w:pPr>
      <w:r>
        <w:t>62.</w:t>
      </w:r>
      <w:r>
        <w:tab/>
        <w:t>Revocation of registration or Part 5A change obtained by fraud</w:t>
      </w:r>
      <w:r>
        <w:tab/>
      </w:r>
      <w:r>
        <w:fldChar w:fldCharType="begin"/>
      </w:r>
      <w:r>
        <w:instrText xml:space="preserve"> PAGEREF _Toc216954989 \h </w:instrText>
      </w:r>
      <w:r>
        <w:fldChar w:fldCharType="separate"/>
      </w:r>
      <w:r>
        <w:t>72</w:t>
      </w:r>
      <w:r>
        <w:fldChar w:fldCharType="end"/>
      </w:r>
    </w:p>
    <w:p>
      <w:pPr>
        <w:pStyle w:val="TOC8"/>
        <w:rPr>
          <w:rFonts w:asciiTheme="minorHAnsi" w:eastAsiaTheme="minorEastAsia" w:hAnsiTheme="minorHAnsi" w:cstheme="minorBidi"/>
          <w:szCs w:val="22"/>
        </w:rPr>
      </w:pPr>
      <w:r>
        <w:t>63.</w:t>
      </w:r>
      <w:r>
        <w:tab/>
        <w:t>Unauthorised disclosure of information</w:t>
      </w:r>
      <w:r>
        <w:tab/>
      </w:r>
      <w:r>
        <w:fldChar w:fldCharType="begin"/>
      </w:r>
      <w:r>
        <w:instrText xml:space="preserve"> PAGEREF _Toc216954990 \h </w:instrText>
      </w:r>
      <w:r>
        <w:fldChar w:fldCharType="separate"/>
      </w:r>
      <w:r>
        <w:t>72</w:t>
      </w:r>
      <w:r>
        <w:fldChar w:fldCharType="end"/>
      </w:r>
    </w:p>
    <w:p>
      <w:pPr>
        <w:pStyle w:val="TOC8"/>
        <w:rPr>
          <w:rFonts w:asciiTheme="minorHAnsi" w:eastAsiaTheme="minorEastAsia" w:hAnsiTheme="minorHAnsi" w:cstheme="minorBidi"/>
          <w:szCs w:val="22"/>
        </w:rPr>
      </w:pPr>
      <w:r>
        <w:t>64.</w:t>
      </w:r>
      <w:r>
        <w:tab/>
        <w:t>Power to require and take statutory declarations</w:t>
      </w:r>
      <w:r>
        <w:tab/>
      </w:r>
      <w:r>
        <w:fldChar w:fldCharType="begin"/>
      </w:r>
      <w:r>
        <w:instrText xml:space="preserve"> PAGEREF _Toc216954991 \h </w:instrText>
      </w:r>
      <w:r>
        <w:fldChar w:fldCharType="separate"/>
      </w:r>
      <w:r>
        <w:t>73</w:t>
      </w:r>
      <w:r>
        <w:fldChar w:fldCharType="end"/>
      </w:r>
    </w:p>
    <w:p>
      <w:pPr>
        <w:pStyle w:val="TOC8"/>
        <w:rPr>
          <w:rFonts w:asciiTheme="minorHAnsi" w:eastAsiaTheme="minorEastAsia" w:hAnsiTheme="minorHAnsi" w:cstheme="minorBidi"/>
          <w:szCs w:val="22"/>
        </w:rPr>
      </w:pPr>
      <w:r>
        <w:t>65.</w:t>
      </w:r>
      <w:r>
        <w:tab/>
        <w:t>Evidentiary</w:t>
      </w:r>
      <w:r>
        <w:tab/>
      </w:r>
      <w:r>
        <w:fldChar w:fldCharType="begin"/>
      </w:r>
      <w:r>
        <w:instrText xml:space="preserve"> PAGEREF _Toc216954992 \h </w:instrText>
      </w:r>
      <w:r>
        <w:fldChar w:fldCharType="separate"/>
      </w:r>
      <w:r>
        <w:t>73</w:t>
      </w:r>
      <w:r>
        <w:fldChar w:fldCharType="end"/>
      </w:r>
    </w:p>
    <w:p>
      <w:pPr>
        <w:pStyle w:val="TOC8"/>
        <w:rPr>
          <w:rFonts w:asciiTheme="minorHAnsi" w:eastAsiaTheme="minorEastAsia" w:hAnsiTheme="minorHAnsi" w:cstheme="minorBidi"/>
          <w:szCs w:val="22"/>
        </w:rPr>
      </w:pPr>
      <w:r>
        <w:t>66.</w:t>
      </w:r>
      <w:r>
        <w:tab/>
        <w:t>Protection from liability</w:t>
      </w:r>
      <w:r>
        <w:tab/>
      </w:r>
      <w:r>
        <w:fldChar w:fldCharType="begin"/>
      </w:r>
      <w:r>
        <w:instrText xml:space="preserve"> PAGEREF _Toc216954993 \h </w:instrText>
      </w:r>
      <w:r>
        <w:fldChar w:fldCharType="separate"/>
      </w:r>
      <w:r>
        <w:t>73</w:t>
      </w:r>
      <w:r>
        <w:fldChar w:fldCharType="end"/>
      </w:r>
    </w:p>
    <w:p>
      <w:pPr>
        <w:pStyle w:val="TOC8"/>
        <w:rPr>
          <w:rFonts w:asciiTheme="minorHAnsi" w:eastAsiaTheme="minorEastAsia" w:hAnsiTheme="minorHAnsi" w:cstheme="minorBidi"/>
          <w:szCs w:val="22"/>
        </w:rPr>
      </w:pPr>
      <w:r>
        <w:t>67.</w:t>
      </w:r>
      <w:r>
        <w:tab/>
        <w:t>Review</w:t>
      </w:r>
      <w:r>
        <w:tab/>
      </w:r>
      <w:r>
        <w:fldChar w:fldCharType="begin"/>
      </w:r>
      <w:r>
        <w:instrText xml:space="preserve"> PAGEREF _Toc216954994 \h </w:instrText>
      </w:r>
      <w:r>
        <w:fldChar w:fldCharType="separate"/>
      </w:r>
      <w:r>
        <w:t>74</w:t>
      </w:r>
      <w:r>
        <w:fldChar w:fldCharType="end"/>
      </w:r>
    </w:p>
    <w:p>
      <w:pPr>
        <w:pStyle w:val="TOC8"/>
        <w:rPr>
          <w:rFonts w:asciiTheme="minorHAnsi" w:eastAsiaTheme="minorEastAsia" w:hAnsiTheme="minorHAnsi" w:cstheme="minorBidi"/>
          <w:szCs w:val="22"/>
        </w:rPr>
      </w:pPr>
      <w:r>
        <w:t>68.</w:t>
      </w:r>
      <w:r>
        <w:tab/>
      </w:r>
      <w:r>
        <w:rPr>
          <w:iCs/>
        </w:rPr>
        <w:t xml:space="preserve">Some effects of </w:t>
      </w:r>
      <w:r>
        <w:rPr>
          <w:i/>
        </w:rPr>
        <w:t>Adoption Act 1994</w:t>
      </w:r>
      <w:r>
        <w:rPr>
          <w:iCs/>
        </w:rPr>
        <w:t xml:space="preserve"> and </w:t>
      </w:r>
      <w:r>
        <w:rPr>
          <w:i/>
        </w:rPr>
        <w:t>Surrogacy Act 2008</w:t>
      </w:r>
      <w:r>
        <w:tab/>
      </w:r>
      <w:r>
        <w:fldChar w:fldCharType="begin"/>
      </w:r>
      <w:r>
        <w:instrText xml:space="preserve"> PAGEREF _Toc216954995 \h </w:instrText>
      </w:r>
      <w:r>
        <w:fldChar w:fldCharType="separate"/>
      </w:r>
      <w:r>
        <w:t>74</w:t>
      </w:r>
      <w:r>
        <w:fldChar w:fldCharType="end"/>
      </w:r>
    </w:p>
    <w:p>
      <w:pPr>
        <w:pStyle w:val="TOC8"/>
        <w:rPr>
          <w:rFonts w:asciiTheme="minorHAnsi" w:eastAsiaTheme="minorEastAsia" w:hAnsiTheme="minorHAnsi" w:cstheme="minorBidi"/>
          <w:szCs w:val="22"/>
        </w:rPr>
      </w:pPr>
      <w:r>
        <w:t>68A.</w:t>
      </w:r>
      <w:r>
        <w:tab/>
        <w:t xml:space="preserve">Review of amendments made by </w:t>
      </w:r>
      <w:r>
        <w:rPr>
          <w:i/>
        </w:rPr>
        <w:t>Births, Deaths and Marriages Registration Amendment (Sex or Gender Changes) Act 2024</w:t>
      </w:r>
      <w:r>
        <w:tab/>
      </w:r>
      <w:r>
        <w:fldChar w:fldCharType="begin"/>
      </w:r>
      <w:r>
        <w:instrText xml:space="preserve"> PAGEREF _Toc216954996 \h </w:instrText>
      </w:r>
      <w:r>
        <w:fldChar w:fldCharType="separate"/>
      </w:r>
      <w:r>
        <w:t>75</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_Toc216954997 \h </w:instrText>
      </w:r>
      <w:r>
        <w:fldChar w:fldCharType="separate"/>
      </w:r>
      <w:r>
        <w:t>75</w:t>
      </w:r>
      <w:r>
        <w:fldChar w:fldCharType="end"/>
      </w:r>
    </w:p>
    <w:p>
      <w:pPr>
        <w:pStyle w:val="TOC8"/>
        <w:rPr>
          <w:rFonts w:asciiTheme="minorHAnsi" w:eastAsiaTheme="minorEastAsia" w:hAnsiTheme="minorHAnsi" w:cstheme="minorBidi"/>
          <w:szCs w:val="22"/>
        </w:rPr>
      </w:pPr>
      <w:r>
        <w:t>70.</w:t>
      </w:r>
      <w:r>
        <w:tab/>
        <w:t>Power to remit fees</w:t>
      </w:r>
      <w:r>
        <w:tab/>
      </w:r>
      <w:r>
        <w:fldChar w:fldCharType="begin"/>
      </w:r>
      <w:r>
        <w:instrText xml:space="preserve"> PAGEREF _Toc216954998 \h </w:instrText>
      </w:r>
      <w:r>
        <w:fldChar w:fldCharType="separate"/>
      </w:r>
      <w:r>
        <w:t>76</w:t>
      </w:r>
      <w:r>
        <w:fldChar w:fldCharType="end"/>
      </w:r>
    </w:p>
    <w:p>
      <w:pPr>
        <w:pStyle w:val="TOC8"/>
        <w:rPr>
          <w:rFonts w:asciiTheme="minorHAnsi" w:eastAsiaTheme="minorEastAsia" w:hAnsiTheme="minorHAnsi" w:cstheme="minorBidi"/>
          <w:szCs w:val="22"/>
        </w:rPr>
      </w:pPr>
      <w:r>
        <w:t>70A.</w:t>
      </w:r>
      <w:r>
        <w:tab/>
        <w:t xml:space="preserve">Savings provisions for recognition certificates issued under </w:t>
      </w:r>
      <w:r>
        <w:rPr>
          <w:i/>
          <w:iCs/>
        </w:rPr>
        <w:t>Gender Reassignment Act 2000</w:t>
      </w:r>
      <w:r>
        <w:tab/>
      </w:r>
      <w:r>
        <w:fldChar w:fldCharType="begin"/>
      </w:r>
      <w:r>
        <w:instrText xml:space="preserve"> PAGEREF _Toc216954999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_Toc216955001 \h </w:instrText>
      </w:r>
      <w:r>
        <w:fldChar w:fldCharType="separate"/>
      </w:r>
      <w:r>
        <w:t>77</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_Toc216955002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_Toc216955003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960" w:after="1200"/>
      </w:pPr>
      <w:r>
        <w:lastRenderedPageBreak/>
        <w:t>Births, Deaths and Marriages Registration Act 1998</w:t>
      </w:r>
    </w:p>
    <w:p>
      <w:pPr>
        <w:pStyle w:val="LongTitle"/>
      </w:pPr>
      <w:r>
        <w:t xml:space="preserve">An Act to provide for the registration of births, deaths, marriages, changes of </w:t>
      </w:r>
      <w:r>
        <w:rPr>
          <w:bCs/>
        </w:rPr>
        <w:t xml:space="preserve">name, </w:t>
      </w:r>
      <w:r>
        <w:rPr>
          <w:bCs/>
          <w:szCs w:val="24"/>
        </w:rPr>
        <w:t>changes</w:t>
      </w:r>
      <w:r>
        <w:rPr>
          <w:bCs/>
        </w:rPr>
        <w:t xml:space="preserve"> of registration of sex and gender, and</w:t>
      </w:r>
      <w:r>
        <w:t xml:space="preserve"> information about certain parentage changes in Western Australia and for related matters.</w:t>
      </w:r>
    </w:p>
    <w:p>
      <w:pPr>
        <w:pStyle w:val="Footnotelongtitle"/>
      </w:pPr>
      <w:r>
        <w:tab/>
        <w:t>[Long title amended: No. 47 of 2008 s. 47; No. 31 of 2024 s. 4.]</w:t>
      </w:r>
    </w:p>
    <w:p>
      <w:pPr>
        <w:pStyle w:val="Heading2"/>
      </w:pPr>
      <w:bookmarkStart w:id="2" w:name="_Toc198827618"/>
      <w:bookmarkStart w:id="3" w:name="_Toc198908863"/>
      <w:bookmarkStart w:id="4" w:name="_Toc199153698"/>
      <w:bookmarkStart w:id="5" w:name="_Toc216795067"/>
      <w:bookmarkStart w:id="6" w:name="_Toc216795450"/>
      <w:bookmarkStart w:id="7" w:name="_Toc216795605"/>
      <w:bookmarkStart w:id="8" w:name="_Toc216942166"/>
      <w:bookmarkStart w:id="9" w:name="_Toc216942321"/>
      <w:bookmarkStart w:id="10" w:name="_Toc2169548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216954851"/>
      <w:r>
        <w:rPr>
          <w:rStyle w:val="CharSectno"/>
        </w:rPr>
        <w:t>1</w:t>
      </w:r>
      <w:r>
        <w:t>.</w:t>
      </w:r>
      <w:r>
        <w:tab/>
        <w:t>Short title</w:t>
      </w:r>
      <w:bookmarkEnd w:id="11"/>
    </w:p>
    <w:p>
      <w:pPr>
        <w:pStyle w:val="Subsection"/>
      </w:pPr>
      <w:r>
        <w:tab/>
      </w:r>
      <w:r>
        <w:tab/>
        <w:t xml:space="preserve">This Act may be cited as the </w:t>
      </w:r>
      <w:r>
        <w:rPr>
          <w:i/>
        </w:rPr>
        <w:t>Births, Deaths and Marriages Registration Act 1998</w:t>
      </w:r>
      <w:r>
        <w:t>.</w:t>
      </w:r>
    </w:p>
    <w:p>
      <w:pPr>
        <w:pStyle w:val="Heading5"/>
      </w:pPr>
      <w:bookmarkStart w:id="12" w:name="_Toc216954852"/>
      <w:r>
        <w:rPr>
          <w:rStyle w:val="CharSectno"/>
        </w:rPr>
        <w:t>2</w:t>
      </w:r>
      <w:r>
        <w:t>.</w:t>
      </w:r>
      <w:r>
        <w:tab/>
        <w:t>Commencement</w:t>
      </w:r>
      <w:bookmarkEnd w:id="12"/>
    </w:p>
    <w:p>
      <w:pPr>
        <w:pStyle w:val="Subsection"/>
      </w:pPr>
      <w:r>
        <w:tab/>
      </w:r>
      <w:r>
        <w:tab/>
        <w:t>This Act comes into operation on such day as is fixed by proclamation.</w:t>
      </w:r>
    </w:p>
    <w:p>
      <w:pPr>
        <w:pStyle w:val="Heading5"/>
      </w:pPr>
      <w:bookmarkStart w:id="13" w:name="_Toc216954853"/>
      <w:r>
        <w:rPr>
          <w:rStyle w:val="CharSectno"/>
        </w:rPr>
        <w:t>3</w:t>
      </w:r>
      <w:r>
        <w:t>.</w:t>
      </w:r>
      <w:r>
        <w:tab/>
        <w:t>Objects of Act</w:t>
      </w:r>
      <w:bookmarkEnd w:id="13"/>
    </w:p>
    <w:p>
      <w:pPr>
        <w:pStyle w:val="Subsection"/>
      </w:pPr>
      <w:r>
        <w:tab/>
      </w:r>
      <w:r>
        <w:tab/>
        <w:t>The objects of this Act are to provide for the following —</w:t>
      </w:r>
    </w:p>
    <w:p>
      <w:pPr>
        <w:pStyle w:val="Indenta"/>
      </w:pPr>
      <w:r>
        <w:tab/>
        <w:t>(a)</w:t>
      </w:r>
      <w:r>
        <w:tab/>
        <w:t xml:space="preserve">the registration of births, deaths, marriages, changes of name, changes of registration of sex and gender and parentage change information in Western Australia; </w:t>
      </w:r>
    </w:p>
    <w:p>
      <w:pPr>
        <w:pStyle w:val="Indenta"/>
      </w:pPr>
      <w:r>
        <w:tab/>
        <w:t>(b)</w:t>
      </w:r>
      <w:r>
        <w:tab/>
        <w:t>the keeping of registers for recording and preserving information about births, deaths, marriages, changes of name and parentage changes in perpetuity;</w:t>
      </w:r>
    </w:p>
    <w:p>
      <w:pPr>
        <w:pStyle w:val="Indenta"/>
      </w:pPr>
      <w:r>
        <w:tab/>
        <w:t>(c)</w:t>
      </w:r>
      <w:r>
        <w:tab/>
        <w:t>access to the information in the registers in appropriate cases by government or private agencies and members of the public, from within and outside the State;</w:t>
      </w:r>
    </w:p>
    <w:p>
      <w:pPr>
        <w:pStyle w:val="Indenta"/>
      </w:pPr>
      <w:r>
        <w:tab/>
        <w:t>(d)</w:t>
      </w:r>
      <w:r>
        <w:tab/>
        <w:t>the issue of certified and uncertified information from the registers;</w:t>
      </w:r>
    </w:p>
    <w:p>
      <w:pPr>
        <w:pStyle w:val="Indenta"/>
      </w:pPr>
      <w:r>
        <w:tab/>
        <w:t>(da)</w:t>
      </w:r>
      <w:r>
        <w:tab/>
        <w:t>the issue of documents that acknowledge the sex or gender of persons who are resident in Western Australia and were born outside of Australia;</w:t>
      </w:r>
    </w:p>
    <w:p>
      <w:pPr>
        <w:pStyle w:val="Indenta"/>
      </w:pPr>
      <w:r>
        <w:tab/>
        <w:t>(e)</w:t>
      </w:r>
      <w:r>
        <w:tab/>
        <w:t>the collection and dissemination of statistical information.</w:t>
      </w:r>
    </w:p>
    <w:p>
      <w:pPr>
        <w:pStyle w:val="Footnotesection"/>
      </w:pPr>
      <w:r>
        <w:tab/>
        <w:t>[Section 3 amended: No. 47 of 2008 s. 48; No. 31 of 2024 s. 5.]</w:t>
      </w:r>
    </w:p>
    <w:p>
      <w:pPr>
        <w:pStyle w:val="Heading5"/>
      </w:pPr>
      <w:bookmarkStart w:id="14" w:name="_Toc216954854"/>
      <w:r>
        <w:rPr>
          <w:rStyle w:val="CharSectno"/>
        </w:rPr>
        <w:lastRenderedPageBreak/>
        <w:t>4</w:t>
      </w:r>
      <w:r>
        <w:t>.</w:t>
      </w:r>
      <w:r>
        <w:tab/>
        <w:t>Terms used</w:t>
      </w:r>
      <w:bookmarkEnd w:id="14"/>
    </w:p>
    <w:p>
      <w:pPr>
        <w:pStyle w:val="Subsection"/>
        <w:keepNext/>
      </w:pPr>
      <w:r>
        <w:tab/>
      </w:r>
      <w:r>
        <w:tab/>
        <w:t>In this Act, unless the contrary intention appears — </w:t>
      </w:r>
    </w:p>
    <w:p>
      <w:pPr>
        <w:pStyle w:val="Defstart"/>
      </w:pPr>
      <w:r>
        <w:rPr>
          <w:b/>
        </w:rPr>
        <w:tab/>
      </w:r>
      <w:r>
        <w:rPr>
          <w:rStyle w:val="CharDefText"/>
        </w:rPr>
        <w:t>adult</w:t>
      </w:r>
      <w:r>
        <w:t xml:space="preserve"> means a person who — </w:t>
      </w:r>
    </w:p>
    <w:p>
      <w:pPr>
        <w:pStyle w:val="Defpara"/>
      </w:pPr>
      <w:r>
        <w:tab/>
        <w:t>(a)</w:t>
      </w:r>
      <w:r>
        <w:tab/>
        <w:t xml:space="preserve">is 18 years of age or more; or </w:t>
      </w:r>
    </w:p>
    <w:p>
      <w:pPr>
        <w:pStyle w:val="Defpara"/>
        <w:keepNext/>
      </w:pPr>
      <w:r>
        <w:tab/>
        <w:t>(b)</w:t>
      </w:r>
      <w:r>
        <w:tab/>
        <w:t>although under 18 years of age, is or has been married;</w:t>
      </w:r>
    </w:p>
    <w:p>
      <w:pPr>
        <w:pStyle w:val="Defstart"/>
      </w:pPr>
      <w:r>
        <w:tab/>
      </w:r>
      <w:r>
        <w:rPr>
          <w:rStyle w:val="CharDefText"/>
        </w:rPr>
        <w:t>approved</w:t>
      </w:r>
      <w:r>
        <w:t xml:space="preserve"> means approved by the Registrar;</w:t>
      </w:r>
    </w:p>
    <w:p>
      <w:pPr>
        <w:pStyle w:val="Defstart"/>
      </w:pPr>
      <w:r>
        <w:tab/>
      </w:r>
      <w:r>
        <w:rPr>
          <w:rStyle w:val="CharDefText"/>
        </w:rPr>
        <w:t>birth</w:t>
      </w:r>
      <w:r>
        <w:t xml:space="preserve"> means the expulsion or extraction of a child from its mother;</w:t>
      </w:r>
    </w:p>
    <w:p>
      <w:pPr>
        <w:pStyle w:val="Defstart"/>
      </w:pPr>
      <w:r>
        <w:tab/>
      </w:r>
      <w:r>
        <w:rPr>
          <w:rStyle w:val="CharDefText"/>
        </w:rPr>
        <w:t>birth registration statement</w:t>
      </w:r>
      <w:r>
        <w:t xml:space="preserve"> means the statement referred to in section 14;</w:t>
      </w:r>
    </w:p>
    <w:p>
      <w:pPr>
        <w:pStyle w:val="Defstart"/>
      </w:pPr>
      <w:r>
        <w:tab/>
      </w:r>
      <w:r>
        <w:rPr>
          <w:rStyle w:val="CharDefText"/>
        </w:rPr>
        <w:t>change</w:t>
      </w:r>
      <w:r>
        <w:t>, in relation to a name, includes an addition, omission or substitution;</w:t>
      </w:r>
    </w:p>
    <w:p>
      <w:pPr>
        <w:pStyle w:val="Defstart"/>
      </w:pPr>
      <w:r>
        <w:tab/>
      </w:r>
      <w:r>
        <w:rPr>
          <w:rStyle w:val="CharDefText"/>
        </w:rPr>
        <w:t>child</w:t>
      </w:r>
      <w:r>
        <w:t xml:space="preserve"> includes a still</w:t>
      </w:r>
      <w:r>
        <w:noBreakHyphen/>
        <w:t>born child;</w:t>
      </w:r>
    </w:p>
    <w:p>
      <w:pPr>
        <w:pStyle w:val="Defstart"/>
      </w:pPr>
      <w:r>
        <w:tab/>
      </w:r>
      <w:r>
        <w:rPr>
          <w:rStyle w:val="CharDefText"/>
        </w:rPr>
        <w:t>corresponding law</w:t>
      </w:r>
      <w:r>
        <w:t xml:space="preserve"> means a law of another State that provides for the registration of births, deaths and marriages;</w:t>
      </w:r>
    </w:p>
    <w:p>
      <w:pPr>
        <w:pStyle w:val="Defstart"/>
      </w:pPr>
      <w:r>
        <w:tab/>
      </w:r>
      <w:r>
        <w:rPr>
          <w:rStyle w:val="CharDefText"/>
        </w:rPr>
        <w:t>death</w:t>
      </w:r>
      <w:r>
        <w:t xml:space="preserve"> includes still</w:t>
      </w:r>
      <w:r>
        <w:noBreakHyphen/>
        <w:t>birth;</w:t>
      </w:r>
    </w:p>
    <w:p>
      <w:pPr>
        <w:pStyle w:val="Defstart"/>
      </w:pPr>
      <w:r>
        <w:tab/>
      </w:r>
      <w:r>
        <w:rPr>
          <w:rStyle w:val="CharDefText"/>
        </w:rPr>
        <w:t>disposal</w:t>
      </w:r>
      <w:r>
        <w:t>, in relation to human remains, means — </w:t>
      </w:r>
    </w:p>
    <w:p>
      <w:pPr>
        <w:pStyle w:val="Defpara"/>
      </w:pPr>
      <w:r>
        <w:tab/>
        <w:t>(a)</w:t>
      </w:r>
      <w:r>
        <w:tab/>
        <w:t xml:space="preserve">cremation of the remains; </w:t>
      </w:r>
    </w:p>
    <w:p>
      <w:pPr>
        <w:pStyle w:val="Defpara"/>
      </w:pPr>
      <w:r>
        <w:tab/>
        <w:t>(b)</w:t>
      </w:r>
      <w:r>
        <w:tab/>
        <w:t xml:space="preserve">burial of the remains (including burial at sea); </w:t>
      </w:r>
    </w:p>
    <w:p>
      <w:pPr>
        <w:pStyle w:val="Defpara"/>
      </w:pPr>
      <w:r>
        <w:tab/>
        <w:t>(c)</w:t>
      </w:r>
      <w:r>
        <w:tab/>
        <w:t>placing the remains in a mausoleum or other permanent resting place; or</w:t>
      </w:r>
    </w:p>
    <w:p>
      <w:pPr>
        <w:pStyle w:val="Defpara"/>
      </w:pPr>
      <w:r>
        <w:tab/>
        <w:t>(d)</w:t>
      </w:r>
      <w:r>
        <w:tab/>
        <w:t>removal of the remains from the State (but not if the remains have been cremated or are taken from the State by sea and buried at sea in the course of the voyage);</w:t>
      </w:r>
    </w:p>
    <w:p>
      <w:pPr>
        <w:pStyle w:val="Defstart"/>
      </w:pPr>
      <w:r>
        <w:tab/>
      </w:r>
      <w:r>
        <w:rPr>
          <w:rStyle w:val="CharDefText"/>
        </w:rPr>
        <w:t>doctor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funeral director</w:t>
      </w:r>
      <w:r>
        <w:t xml:space="preserve"> means a person who carries on the business of arranging for the disposal of human remains;</w:t>
      </w:r>
    </w:p>
    <w:p>
      <w:pPr>
        <w:pStyle w:val="Defstart"/>
      </w:pPr>
      <w:r>
        <w:rPr>
          <w:b/>
        </w:rPr>
        <w:tab/>
      </w:r>
      <w:r>
        <w:rPr>
          <w:rStyle w:val="CharDefText"/>
        </w:rPr>
        <w:t>human remains</w:t>
      </w:r>
      <w:r>
        <w:t xml:space="preserve"> includes the remains of a still</w:t>
      </w:r>
      <w:r>
        <w:noBreakHyphen/>
        <w:t>born child;</w:t>
      </w:r>
    </w:p>
    <w:p>
      <w:pPr>
        <w:pStyle w:val="Defstart"/>
      </w:pPr>
      <w:r>
        <w:rPr>
          <w:b/>
        </w:rPr>
        <w:lastRenderedPageBreak/>
        <w:tab/>
      </w:r>
      <w:r>
        <w:rPr>
          <w:rStyle w:val="CharDefText"/>
        </w:rPr>
        <w:t>neonatal death</w:t>
      </w:r>
      <w:r>
        <w:t xml:space="preserve"> means the death of a live</w:t>
      </w:r>
      <w:r>
        <w:noBreakHyphen/>
        <w:t xml:space="preserve">born child within 28 days after the birth; </w:t>
      </w:r>
    </w:p>
    <w:p>
      <w:pPr>
        <w:pStyle w:val="Defstart"/>
      </w:pPr>
      <w:r>
        <w:rPr>
          <w:b/>
        </w:rPr>
        <w:tab/>
      </w:r>
      <w:r>
        <w:rPr>
          <w:rStyle w:val="CharDefText"/>
        </w:rPr>
        <w:t>prohibited name</w:t>
      </w:r>
      <w:r>
        <w:t xml:space="preserve"> means a name that, in the opinion of the Registrar — </w:t>
      </w:r>
    </w:p>
    <w:p>
      <w:pPr>
        <w:pStyle w:val="Defpara"/>
      </w:pPr>
      <w:r>
        <w:tab/>
        <w:t>(a)</w:t>
      </w:r>
      <w:r>
        <w:tab/>
        <w:t xml:space="preserve">is obscene or offensive; </w:t>
      </w:r>
    </w:p>
    <w:p>
      <w:pPr>
        <w:pStyle w:val="Defpara"/>
        <w:keepNext/>
        <w:keepLines/>
      </w:pPr>
      <w:r>
        <w:tab/>
        <w:t>(b)</w:t>
      </w:r>
      <w:r>
        <w:tab/>
        <w:t>could not practicably be established by repute or usage — </w:t>
      </w:r>
    </w:p>
    <w:p>
      <w:pPr>
        <w:pStyle w:val="Defsubpara"/>
        <w:keepNext/>
      </w:pPr>
      <w:r>
        <w:tab/>
        <w:t>(i)</w:t>
      </w:r>
      <w:r>
        <w:tab/>
        <w:t xml:space="preserve">because it is too long; </w:t>
      </w:r>
    </w:p>
    <w:p>
      <w:pPr>
        <w:pStyle w:val="Defsubpara"/>
      </w:pPr>
      <w:r>
        <w:tab/>
        <w:t>(ii)</w:t>
      </w:r>
      <w:r>
        <w:tab/>
        <w:t>because it consists of or includes symbols without phonetic significance; or</w:t>
      </w:r>
    </w:p>
    <w:p>
      <w:pPr>
        <w:pStyle w:val="Defsubpara"/>
      </w:pPr>
      <w:r>
        <w:tab/>
        <w:t>(iii)</w:t>
      </w:r>
      <w:r>
        <w:tab/>
        <w:t xml:space="preserve">for some other reason; </w:t>
      </w:r>
    </w:p>
    <w:p>
      <w:pPr>
        <w:pStyle w:val="Defpara"/>
      </w:pPr>
      <w:r>
        <w:tab/>
        <w:t>(c)</w:t>
      </w:r>
      <w:r>
        <w:tab/>
        <w:t>is contrary to the public interest for some other reason;</w:t>
      </w:r>
    </w:p>
    <w:p>
      <w:pPr>
        <w:pStyle w:val="Defstart"/>
      </w:pPr>
      <w:r>
        <w:rPr>
          <w:b/>
        </w:rPr>
        <w:tab/>
      </w:r>
      <w:r>
        <w:rPr>
          <w:rStyle w:val="CharDefText"/>
        </w:rPr>
        <w:t>Register</w:t>
      </w:r>
      <w:r>
        <w:t xml:space="preserve"> means the Register referred to in section 49(1);</w:t>
      </w:r>
    </w:p>
    <w:p>
      <w:pPr>
        <w:pStyle w:val="Defstart"/>
      </w:pPr>
      <w:r>
        <w:rPr>
          <w:b/>
        </w:rPr>
        <w:tab/>
      </w:r>
      <w:r>
        <w:rPr>
          <w:rStyle w:val="CharDefText"/>
        </w:rPr>
        <w:t>registering authority</w:t>
      </w:r>
      <w:r>
        <w:t xml:space="preserve"> means an authority responsible under a corresponding law for the registration of births, deaths and marriages;</w:t>
      </w:r>
    </w:p>
    <w:p>
      <w:pPr>
        <w:pStyle w:val="Defstart"/>
      </w:pPr>
      <w:r>
        <w:rPr>
          <w:b/>
        </w:rPr>
        <w:tab/>
      </w:r>
      <w:r>
        <w:rPr>
          <w:rStyle w:val="CharDefText"/>
        </w:rPr>
        <w:t>registrable event</w:t>
      </w:r>
      <w:r>
        <w:t xml:space="preserve"> means a birth, death, marriage, change of name or an adoption or discharge of an adoption or the making or discharge of a parentage order as defined in the </w:t>
      </w:r>
      <w:r>
        <w:rPr>
          <w:i/>
        </w:rPr>
        <w:t>Surrogacy Act 2008</w:t>
      </w:r>
      <w:r>
        <w:t xml:space="preserve"> section 14;</w:t>
      </w:r>
    </w:p>
    <w:p>
      <w:pPr>
        <w:pStyle w:val="Defstart"/>
      </w:pPr>
      <w:r>
        <w:rPr>
          <w:b/>
        </w:rPr>
        <w:tab/>
      </w:r>
      <w:r>
        <w:rPr>
          <w:rStyle w:val="CharDefText"/>
        </w:rPr>
        <w:t>registrable information</w:t>
      </w:r>
      <w:r>
        <w:t xml:space="preserve"> means the particulars and the further information referred to in section 49(2) or (2A) that must or may be included in the Register;</w:t>
      </w:r>
    </w:p>
    <w:p>
      <w:pPr>
        <w:pStyle w:val="Defstart"/>
      </w:pPr>
      <w:r>
        <w:rPr>
          <w:b/>
        </w:rPr>
        <w:tab/>
      </w:r>
      <w:r>
        <w:rPr>
          <w:rStyle w:val="CharDefText"/>
        </w:rPr>
        <w:t>Registrar</w:t>
      </w:r>
      <w:r>
        <w:t xml:space="preserve"> means the Registrar of Births, Deaths and Marriages referred to in section 5;</w:t>
      </w:r>
    </w:p>
    <w:p>
      <w:pPr>
        <w:pStyle w:val="Defstart"/>
      </w:pPr>
      <w:r>
        <w:rPr>
          <w:b/>
        </w:rPr>
        <w:tab/>
      </w:r>
      <w:r>
        <w:rPr>
          <w:rStyle w:val="CharDefText"/>
        </w:rPr>
        <w:t>State</w:t>
      </w:r>
      <w:r>
        <w:t xml:space="preserve"> includes a Territory;</w:t>
      </w:r>
    </w:p>
    <w:p>
      <w:pPr>
        <w:pStyle w:val="Defstart"/>
      </w:pPr>
      <w:r>
        <w:rPr>
          <w:b/>
        </w:rPr>
        <w:tab/>
      </w:r>
      <w:r>
        <w:rPr>
          <w:rStyle w:val="CharDefText"/>
        </w:rPr>
        <w:t>State court</w:t>
      </w:r>
      <w:r>
        <w:t xml:space="preserve"> means the Supreme Court, the District Court, the Family Court (including a court of summary jurisdiction having jurisdiction that may be exercised by the Family Court) or the Children’s Court;</w:t>
      </w:r>
    </w:p>
    <w:p>
      <w:pPr>
        <w:pStyle w:val="Defstart"/>
      </w:pPr>
      <w:r>
        <w:rPr>
          <w:b/>
        </w:rPr>
        <w:tab/>
      </w:r>
      <w:r>
        <w:rPr>
          <w:rStyle w:val="CharDefText"/>
        </w:rPr>
        <w:t>still</w:t>
      </w:r>
      <w:r>
        <w:rPr>
          <w:rStyle w:val="CharDefText"/>
        </w:rPr>
        <w:noBreakHyphen/>
        <w:t>birth</w:t>
      </w:r>
      <w:r>
        <w:t xml:space="preserve"> means the birth of a still</w:t>
      </w:r>
      <w:r>
        <w:noBreakHyphen/>
        <w:t>born child;</w:t>
      </w:r>
    </w:p>
    <w:p>
      <w:pPr>
        <w:pStyle w:val="Defstart"/>
        <w:keepNext/>
      </w:pPr>
      <w:r>
        <w:rPr>
          <w:b/>
        </w:rPr>
        <w:lastRenderedPageBreak/>
        <w:tab/>
      </w:r>
      <w:r>
        <w:rPr>
          <w:rStyle w:val="CharDefText"/>
        </w:rPr>
        <w:t>still</w:t>
      </w:r>
      <w:r>
        <w:rPr>
          <w:rStyle w:val="CharDefText"/>
        </w:rPr>
        <w:noBreakHyphen/>
        <w:t>born child</w:t>
      </w:r>
      <w:r>
        <w:t xml:space="preserve"> means a child — </w:t>
      </w:r>
    </w:p>
    <w:p>
      <w:pPr>
        <w:pStyle w:val="Defpara"/>
      </w:pPr>
      <w:r>
        <w:tab/>
        <w:t>(a)</w:t>
      </w:r>
      <w:r>
        <w:tab/>
        <w:t xml:space="preserve">of at least 20 weeks’ gestation; or </w:t>
      </w:r>
    </w:p>
    <w:p>
      <w:pPr>
        <w:pStyle w:val="Defpara"/>
        <w:keepNext/>
      </w:pPr>
      <w:r>
        <w:tab/>
        <w:t>(b)</w:t>
      </w:r>
      <w:r>
        <w:tab/>
        <w:t xml:space="preserve">if it cannot be reliably established whether the child’s period of gestation is more or less than 20 weeks, with a body mass of at least 400 grams at birth, </w:t>
      </w:r>
    </w:p>
    <w:p>
      <w:pPr>
        <w:pStyle w:val="Defstart"/>
      </w:pPr>
      <w:r>
        <w:tab/>
        <w:t>that exhibits no sign of respiration or heartbeat, or other sign of life, immediately after birth.</w:t>
      </w:r>
    </w:p>
    <w:p>
      <w:pPr>
        <w:pStyle w:val="Footnotesection"/>
      </w:pPr>
      <w:r>
        <w:tab/>
        <w:t>[Section 4 amended: No. 22 of 2008 Sch. 3 cl. 5; No. 47 of 2008 s. 49; No. 35 of 2010 s. 34; No. 31 of 2024 s. 6.]</w:t>
      </w:r>
    </w:p>
    <w:p>
      <w:pPr>
        <w:pStyle w:val="Heading2"/>
      </w:pPr>
      <w:bookmarkStart w:id="15" w:name="_Toc198827623"/>
      <w:bookmarkStart w:id="16" w:name="_Toc198908868"/>
      <w:bookmarkStart w:id="17" w:name="_Toc199153703"/>
      <w:bookmarkStart w:id="18" w:name="_Toc216795072"/>
      <w:bookmarkStart w:id="19" w:name="_Toc216795455"/>
      <w:bookmarkStart w:id="20" w:name="_Toc216795610"/>
      <w:bookmarkStart w:id="21" w:name="_Toc216942171"/>
      <w:bookmarkStart w:id="22" w:name="_Toc216942326"/>
      <w:bookmarkStart w:id="23" w:name="_Toc216954855"/>
      <w:r>
        <w:rPr>
          <w:rStyle w:val="CharPartNo"/>
        </w:rPr>
        <w:lastRenderedPageBreak/>
        <w:t>Part 2</w:t>
      </w:r>
      <w:r>
        <w:t> — </w:t>
      </w:r>
      <w:r>
        <w:rPr>
          <w:rStyle w:val="CharPartText"/>
        </w:rPr>
        <w:t>Administration</w:t>
      </w:r>
      <w:bookmarkEnd w:id="15"/>
      <w:bookmarkEnd w:id="16"/>
      <w:bookmarkEnd w:id="17"/>
      <w:bookmarkEnd w:id="18"/>
      <w:bookmarkEnd w:id="19"/>
      <w:bookmarkEnd w:id="20"/>
      <w:bookmarkEnd w:id="21"/>
      <w:bookmarkEnd w:id="22"/>
      <w:bookmarkEnd w:id="23"/>
    </w:p>
    <w:p>
      <w:pPr>
        <w:pStyle w:val="Heading3"/>
      </w:pPr>
      <w:bookmarkStart w:id="24" w:name="_Toc198827624"/>
      <w:bookmarkStart w:id="25" w:name="_Toc198908869"/>
      <w:bookmarkStart w:id="26" w:name="_Toc199153704"/>
      <w:bookmarkStart w:id="27" w:name="_Toc216795073"/>
      <w:bookmarkStart w:id="28" w:name="_Toc216795456"/>
      <w:bookmarkStart w:id="29" w:name="_Toc216795611"/>
      <w:bookmarkStart w:id="30" w:name="_Toc216942172"/>
      <w:bookmarkStart w:id="31" w:name="_Toc216942327"/>
      <w:bookmarkStart w:id="32" w:name="_Toc216954856"/>
      <w:r>
        <w:rPr>
          <w:rStyle w:val="CharDivNo"/>
        </w:rPr>
        <w:t>Division 1</w:t>
      </w:r>
      <w:r>
        <w:t> — </w:t>
      </w:r>
      <w:r>
        <w:rPr>
          <w:rStyle w:val="CharDivText"/>
        </w:rPr>
        <w:t>The Registrar and staff</w:t>
      </w:r>
      <w:bookmarkEnd w:id="24"/>
      <w:bookmarkEnd w:id="25"/>
      <w:bookmarkEnd w:id="26"/>
      <w:bookmarkEnd w:id="27"/>
      <w:bookmarkEnd w:id="28"/>
      <w:bookmarkEnd w:id="29"/>
      <w:bookmarkEnd w:id="30"/>
      <w:bookmarkEnd w:id="31"/>
      <w:bookmarkEnd w:id="32"/>
    </w:p>
    <w:p>
      <w:pPr>
        <w:pStyle w:val="Heading5"/>
      </w:pPr>
      <w:bookmarkStart w:id="33" w:name="_Toc216954857"/>
      <w:r>
        <w:rPr>
          <w:rStyle w:val="CharSectno"/>
        </w:rPr>
        <w:t>5</w:t>
      </w:r>
      <w:r>
        <w:t>.</w:t>
      </w:r>
      <w:r>
        <w:tab/>
        <w:t>Registrar</w:t>
      </w:r>
      <w:bookmarkEnd w:id="33"/>
    </w:p>
    <w:p>
      <w:pPr>
        <w:pStyle w:val="Subsection"/>
      </w:pPr>
      <w:r>
        <w:tab/>
      </w:r>
      <w:r>
        <w:tab/>
        <w:t xml:space="preserve">There is to be appointed under and subject to Part 3 of the </w:t>
      </w:r>
      <w:r>
        <w:rPr>
          <w:i/>
        </w:rPr>
        <w:t>Public Sector Management Act 1994</w:t>
      </w:r>
      <w:r>
        <w:t xml:space="preserve"> a Registrar of Births, Deaths and Marriages for the State.</w:t>
      </w:r>
    </w:p>
    <w:p>
      <w:pPr>
        <w:pStyle w:val="Heading5"/>
      </w:pPr>
      <w:bookmarkStart w:id="34" w:name="_Toc216954858"/>
      <w:r>
        <w:rPr>
          <w:rStyle w:val="CharSectno"/>
        </w:rPr>
        <w:t>6</w:t>
      </w:r>
      <w:r>
        <w:t>.</w:t>
      </w:r>
      <w:r>
        <w:tab/>
        <w:t>Registrar’s general functions</w:t>
      </w:r>
      <w:bookmarkEnd w:id="34"/>
    </w:p>
    <w:p>
      <w:pPr>
        <w:pStyle w:val="Subsection"/>
      </w:pPr>
      <w:r>
        <w:tab/>
      </w:r>
      <w:r>
        <w:tab/>
        <w:t>The Registrar’s general functions are to — </w:t>
      </w:r>
    </w:p>
    <w:p>
      <w:pPr>
        <w:pStyle w:val="Indenta"/>
      </w:pPr>
      <w:r>
        <w:tab/>
        <w:t>(a)</w:t>
      </w:r>
      <w:r>
        <w:tab/>
        <w:t xml:space="preserve">establish and maintain the registers necessary for the purposes of this Act; </w:t>
      </w:r>
    </w:p>
    <w:p>
      <w:pPr>
        <w:pStyle w:val="Indenta"/>
      </w:pPr>
      <w:r>
        <w:tab/>
        <w:t>(b)</w:t>
      </w:r>
      <w:r>
        <w:tab/>
        <w:t>administer the registration system established by this Act and ensure that it operates efficiently, effectively and economically; and</w:t>
      </w:r>
    </w:p>
    <w:p>
      <w:pPr>
        <w:pStyle w:val="Indenta"/>
      </w:pPr>
      <w:r>
        <w:tab/>
        <w:t>(c)</w:t>
      </w:r>
      <w:r>
        <w:tab/>
        <w:t>ensure that this Act is administered in the way best calculated to achieve its objects.</w:t>
      </w:r>
    </w:p>
    <w:p>
      <w:pPr>
        <w:pStyle w:val="Heading5"/>
      </w:pPr>
      <w:bookmarkStart w:id="35" w:name="_Toc216954859"/>
      <w:r>
        <w:rPr>
          <w:rStyle w:val="CharSectno"/>
        </w:rPr>
        <w:t>7</w:t>
      </w:r>
      <w:r>
        <w:t>.</w:t>
      </w:r>
      <w:r>
        <w:tab/>
        <w:t>Registrar’s staff</w:t>
      </w:r>
      <w:bookmarkEnd w:id="35"/>
    </w:p>
    <w:p>
      <w:pPr>
        <w:pStyle w:val="Subsection"/>
      </w:pPr>
      <w:r>
        <w:tab/>
        <w:t>(1)</w:t>
      </w:r>
      <w:r>
        <w:tab/>
        <w:t xml:space="preserve">There are to be appointed under and subject to Part 3 of the </w:t>
      </w:r>
      <w:r>
        <w:rPr>
          <w:i/>
        </w:rPr>
        <w:t>Public Sector Management Act 1994</w:t>
      </w:r>
      <w:r>
        <w:t xml:space="preserve"> — </w:t>
      </w:r>
    </w:p>
    <w:p>
      <w:pPr>
        <w:pStyle w:val="Indenta"/>
      </w:pPr>
      <w:r>
        <w:tab/>
        <w:t>(a)</w:t>
      </w:r>
      <w:r>
        <w:tab/>
        <w:t>one or more Deputy Registrars of Births, Deaths and Marriages; and</w:t>
      </w:r>
    </w:p>
    <w:p>
      <w:pPr>
        <w:pStyle w:val="Indenta"/>
      </w:pPr>
      <w:r>
        <w:tab/>
        <w:t>(b)</w:t>
      </w:r>
      <w:r>
        <w:tab/>
        <w:t>such other staff as are necessary for the proper administration of this Act.</w:t>
      </w:r>
    </w:p>
    <w:p>
      <w:pPr>
        <w:pStyle w:val="Subsection"/>
      </w:pPr>
      <w:r>
        <w:tab/>
        <w:t>(2)</w:t>
      </w:r>
      <w:r>
        <w:tab/>
        <w:t>A Deputy Registrar has the powers and functions of the Registrar but is subject to direction by the Registrar.</w:t>
      </w:r>
    </w:p>
    <w:p>
      <w:pPr>
        <w:pStyle w:val="Subsection"/>
      </w:pPr>
      <w:r>
        <w:tab/>
        <w:t>(3)</w:t>
      </w:r>
      <w:r>
        <w:tab/>
        <w:t>Subject to subsection (2), a Deputy Registrar may act as the Registrar when the Registrar is temporarily unavailable for any reason to perform the functions of office.</w:t>
      </w:r>
    </w:p>
    <w:p>
      <w:pPr>
        <w:pStyle w:val="Heading5"/>
      </w:pPr>
      <w:bookmarkStart w:id="36" w:name="_Toc216954860"/>
      <w:r>
        <w:rPr>
          <w:rStyle w:val="CharSectno"/>
        </w:rPr>
        <w:lastRenderedPageBreak/>
        <w:t>8</w:t>
      </w:r>
      <w:r>
        <w:t>.</w:t>
      </w:r>
      <w:r>
        <w:tab/>
        <w:t>Delegation</w:t>
      </w:r>
      <w:bookmarkEnd w:id="36"/>
    </w:p>
    <w:p>
      <w:pPr>
        <w:pStyle w:val="Subsection"/>
      </w:pPr>
      <w:r>
        <w:tab/>
        <w:t>(1)</w:t>
      </w:r>
      <w:r>
        <w:tab/>
        <w:t>The Registrar may, by instrument in writing, delegate to any person, either generally or as otherwise provided in the instrument, a power or duty that the Registrar has under this Act, other than this power of delegation.</w:t>
      </w:r>
    </w:p>
    <w:p>
      <w:pPr>
        <w:pStyle w:val="Subsection"/>
      </w:pPr>
      <w:r>
        <w:tab/>
        <w:t>(2)</w:t>
      </w:r>
      <w:r>
        <w:tab/>
        <w:t>Anything done by a delegate under a delegation under this section has the same force and effect as if it had been done by the Registrar.</w:t>
      </w:r>
    </w:p>
    <w:p>
      <w:pPr>
        <w:pStyle w:val="Heading3"/>
      </w:pPr>
      <w:bookmarkStart w:id="37" w:name="_Toc198827629"/>
      <w:bookmarkStart w:id="38" w:name="_Toc198908874"/>
      <w:bookmarkStart w:id="39" w:name="_Toc199153709"/>
      <w:bookmarkStart w:id="40" w:name="_Toc216795078"/>
      <w:bookmarkStart w:id="41" w:name="_Toc216795461"/>
      <w:bookmarkStart w:id="42" w:name="_Toc216795616"/>
      <w:bookmarkStart w:id="43" w:name="_Toc216942177"/>
      <w:bookmarkStart w:id="44" w:name="_Toc216942332"/>
      <w:bookmarkStart w:id="45" w:name="_Toc216954861"/>
      <w:r>
        <w:rPr>
          <w:rStyle w:val="CharDivNo"/>
        </w:rPr>
        <w:t>Division 2</w:t>
      </w:r>
      <w:r>
        <w:t> — </w:t>
      </w:r>
      <w:r>
        <w:rPr>
          <w:rStyle w:val="CharDivText"/>
        </w:rPr>
        <w:t>Execution of documents</w:t>
      </w:r>
      <w:bookmarkEnd w:id="37"/>
      <w:bookmarkEnd w:id="38"/>
      <w:bookmarkEnd w:id="39"/>
      <w:bookmarkEnd w:id="40"/>
      <w:bookmarkEnd w:id="41"/>
      <w:bookmarkEnd w:id="42"/>
      <w:bookmarkEnd w:id="43"/>
      <w:bookmarkEnd w:id="44"/>
      <w:bookmarkEnd w:id="45"/>
    </w:p>
    <w:p>
      <w:pPr>
        <w:pStyle w:val="Heading5"/>
      </w:pPr>
      <w:bookmarkStart w:id="46" w:name="_Toc216954862"/>
      <w:r>
        <w:rPr>
          <w:rStyle w:val="CharSectno"/>
        </w:rPr>
        <w:t>9</w:t>
      </w:r>
      <w:r>
        <w:t>.</w:t>
      </w:r>
      <w:r>
        <w:tab/>
        <w:t>The Registrar’s seal</w:t>
      </w:r>
      <w:bookmarkEnd w:id="46"/>
    </w:p>
    <w:p>
      <w:pPr>
        <w:pStyle w:val="Subsection"/>
      </w:pPr>
      <w:r>
        <w:tab/>
      </w:r>
      <w:r>
        <w:tab/>
        <w:t>The Registrar is to have a seal.</w:t>
      </w:r>
    </w:p>
    <w:p>
      <w:pPr>
        <w:pStyle w:val="Heading5"/>
      </w:pPr>
      <w:bookmarkStart w:id="47" w:name="_Toc216954863"/>
      <w:r>
        <w:rPr>
          <w:rStyle w:val="CharSectno"/>
        </w:rPr>
        <w:t>10</w:t>
      </w:r>
      <w:r>
        <w:t>.</w:t>
      </w:r>
      <w:r>
        <w:tab/>
        <w:t>Execution of documents</w:t>
      </w:r>
      <w:bookmarkEnd w:id="47"/>
      <w:r>
        <w:t> </w:t>
      </w:r>
    </w:p>
    <w:p>
      <w:pPr>
        <w:pStyle w:val="Subsection"/>
      </w:pPr>
      <w:r>
        <w:tab/>
        <w:t>(1)</w:t>
      </w:r>
      <w:r>
        <w:tab/>
        <w:t>The Registrar may issue a certificate or other document under — </w:t>
      </w:r>
    </w:p>
    <w:p>
      <w:pPr>
        <w:pStyle w:val="Indenta"/>
      </w:pPr>
      <w:r>
        <w:tab/>
        <w:t>(a)</w:t>
      </w:r>
      <w:r>
        <w:tab/>
        <w:t xml:space="preserve">the Registrar’s signature and seal; or </w:t>
      </w:r>
    </w:p>
    <w:p>
      <w:pPr>
        <w:pStyle w:val="Indenta"/>
      </w:pPr>
      <w:r>
        <w:tab/>
        <w:t>(b)</w:t>
      </w:r>
      <w:r>
        <w:tab/>
        <w:t>a facsimile of the Registrar’s signature and seal produced by stamp, machine imprint or a prescribed method.</w:t>
      </w:r>
    </w:p>
    <w:p>
      <w:pPr>
        <w:pStyle w:val="Subsection"/>
      </w:pPr>
      <w:r>
        <w:tab/>
        <w:t>(2)</w:t>
      </w:r>
      <w:r>
        <w:tab/>
        <w:t>If a document produced before a court or a person acting judicially, or an administrative authority or official is apparently under — </w:t>
      </w:r>
    </w:p>
    <w:p>
      <w:pPr>
        <w:pStyle w:val="Indenta"/>
      </w:pPr>
      <w:r>
        <w:tab/>
        <w:t>(a)</w:t>
      </w:r>
      <w:r>
        <w:tab/>
        <w:t>the Registrar’s signature and seal; or</w:t>
      </w:r>
    </w:p>
    <w:p>
      <w:pPr>
        <w:pStyle w:val="Indenta"/>
      </w:pPr>
      <w:r>
        <w:tab/>
        <w:t>(b)</w:t>
      </w:r>
      <w:r>
        <w:tab/>
        <w:t>a facsimile of the Registrar’s signature and seal produced by stamp, machine imprint or a prescribed method,</w:t>
      </w:r>
    </w:p>
    <w:p>
      <w:pPr>
        <w:pStyle w:val="Subsection"/>
      </w:pPr>
      <w:r>
        <w:tab/>
      </w:r>
      <w:r>
        <w:tab/>
        <w:t>the court, person, authority or official must presume, in the absence of evidence to the contrary, that the document was properly issued under the Registrar’s authority.</w:t>
      </w:r>
    </w:p>
    <w:p>
      <w:pPr>
        <w:pStyle w:val="Heading3"/>
      </w:pPr>
      <w:bookmarkStart w:id="48" w:name="_Toc198827632"/>
      <w:bookmarkStart w:id="49" w:name="_Toc198908877"/>
      <w:bookmarkStart w:id="50" w:name="_Toc199153712"/>
      <w:bookmarkStart w:id="51" w:name="_Toc216795081"/>
      <w:bookmarkStart w:id="52" w:name="_Toc216795464"/>
      <w:bookmarkStart w:id="53" w:name="_Toc216795619"/>
      <w:bookmarkStart w:id="54" w:name="_Toc216942180"/>
      <w:bookmarkStart w:id="55" w:name="_Toc216942335"/>
      <w:bookmarkStart w:id="56" w:name="_Toc216954864"/>
      <w:r>
        <w:rPr>
          <w:rStyle w:val="CharDivNo"/>
        </w:rPr>
        <w:lastRenderedPageBreak/>
        <w:t>Division 3</w:t>
      </w:r>
      <w:r>
        <w:t> — </w:t>
      </w:r>
      <w:r>
        <w:rPr>
          <w:rStyle w:val="CharDivText"/>
        </w:rPr>
        <w:t>Reciprocal administrative arrangements</w:t>
      </w:r>
      <w:bookmarkEnd w:id="48"/>
      <w:bookmarkEnd w:id="49"/>
      <w:bookmarkEnd w:id="50"/>
      <w:bookmarkEnd w:id="51"/>
      <w:bookmarkEnd w:id="52"/>
      <w:bookmarkEnd w:id="53"/>
      <w:bookmarkEnd w:id="54"/>
      <w:bookmarkEnd w:id="55"/>
      <w:bookmarkEnd w:id="56"/>
    </w:p>
    <w:p>
      <w:pPr>
        <w:pStyle w:val="Heading5"/>
      </w:pPr>
      <w:bookmarkStart w:id="57" w:name="_Toc216954865"/>
      <w:r>
        <w:rPr>
          <w:rStyle w:val="CharSectno"/>
        </w:rPr>
        <w:t>11</w:t>
      </w:r>
      <w:r>
        <w:t>.</w:t>
      </w:r>
      <w:r>
        <w:tab/>
        <w:t>Reciprocal administrative arrangements</w:t>
      </w:r>
      <w:bookmarkEnd w:id="57"/>
    </w:p>
    <w:p>
      <w:pPr>
        <w:pStyle w:val="Subsection"/>
      </w:pPr>
      <w:r>
        <w:tab/>
        <w:t>(1)</w:t>
      </w:r>
      <w:r>
        <w:tab/>
        <w:t>The Minister may enter into an arrangement with the Minister responsible for the administration of a corresponding law and the arrangement may provide for — </w:t>
      </w:r>
    </w:p>
    <w:p>
      <w:pPr>
        <w:pStyle w:val="Indenta"/>
      </w:pPr>
      <w:r>
        <w:tab/>
        <w:t>(a)</w:t>
      </w:r>
      <w:r>
        <w:tab/>
        <w:t>the performance by the Registrar of functions of the registering authority under the corresponding law; and</w:t>
      </w:r>
    </w:p>
    <w:p>
      <w:pPr>
        <w:pStyle w:val="Indenta"/>
      </w:pPr>
      <w:r>
        <w:tab/>
        <w:t>(b)</w:t>
      </w:r>
      <w:r>
        <w:tab/>
        <w:t>the performance by the registering authority under the corresponding law of functions of the Registrar under this Act.</w:t>
      </w:r>
    </w:p>
    <w:p>
      <w:pPr>
        <w:pStyle w:val="Subsection"/>
      </w:pPr>
      <w:r>
        <w:tab/>
        <w:t>(2)</w:t>
      </w:r>
      <w:r>
        <w:tab/>
        <w:t>When an arrangement is in force under this section — </w:t>
      </w:r>
    </w:p>
    <w:p>
      <w:pPr>
        <w:pStyle w:val="Indenta"/>
      </w:pPr>
      <w:r>
        <w:tab/>
        <w:t>(a)</w:t>
      </w:r>
      <w:r>
        <w:tab/>
        <w:t>the Registrar may perform, to the extent authorised by the arrangement (but subject to the conditions of the arrangement), the functions of the registering authority under the corresponding law; and</w:t>
      </w:r>
    </w:p>
    <w:p>
      <w:pPr>
        <w:pStyle w:val="Indenta"/>
      </w:pPr>
      <w:r>
        <w:tab/>
        <w:t>(b)</w:t>
      </w:r>
      <w:r>
        <w:tab/>
        <w:t>the registering authority under the corresponding law may perform, to the extent authorised by the arrangement (but subject to the conditions of the arrangement), the functions of the Registrar under this Act.</w:t>
      </w:r>
    </w:p>
    <w:p>
      <w:pPr>
        <w:pStyle w:val="Subsection"/>
      </w:pPr>
      <w:r>
        <w:tab/>
        <w:t>(3)</w:t>
      </w:r>
      <w:r>
        <w:tab/>
        <w:t>An arrangement under this section may — </w:t>
      </w:r>
    </w:p>
    <w:p>
      <w:pPr>
        <w:pStyle w:val="Indenta"/>
      </w:pPr>
      <w:r>
        <w:tab/>
        <w:t>(a)</w:t>
      </w:r>
      <w:r>
        <w:tab/>
        <w:t xml:space="preserve">establish a database in which information is recorded for the benefit of all the participants in the arrangement; </w:t>
      </w:r>
    </w:p>
    <w:p>
      <w:pPr>
        <w:pStyle w:val="Indenta"/>
      </w:pPr>
      <w:r>
        <w:tab/>
        <w:t>(b)</w:t>
      </w:r>
      <w:r>
        <w:tab/>
        <w:t>provide for access to information contained in the database; and</w:t>
      </w:r>
    </w:p>
    <w:p>
      <w:pPr>
        <w:pStyle w:val="Indenta"/>
      </w:pPr>
      <w:r>
        <w:tab/>
        <w:t>(c)</w:t>
      </w:r>
      <w:r>
        <w:tab/>
        <w:t>provide for payments by or to participants in the arrangement for services provided under the arrangement.</w:t>
      </w:r>
    </w:p>
    <w:p>
      <w:pPr>
        <w:pStyle w:val="Heading2"/>
      </w:pPr>
      <w:bookmarkStart w:id="58" w:name="_Toc198827634"/>
      <w:bookmarkStart w:id="59" w:name="_Toc198908879"/>
      <w:bookmarkStart w:id="60" w:name="_Toc199153714"/>
      <w:bookmarkStart w:id="61" w:name="_Toc216795083"/>
      <w:bookmarkStart w:id="62" w:name="_Toc216795466"/>
      <w:bookmarkStart w:id="63" w:name="_Toc216795621"/>
      <w:bookmarkStart w:id="64" w:name="_Toc216942182"/>
      <w:bookmarkStart w:id="65" w:name="_Toc216942337"/>
      <w:bookmarkStart w:id="66" w:name="_Toc216954866"/>
      <w:r>
        <w:rPr>
          <w:rStyle w:val="CharPartNo"/>
        </w:rPr>
        <w:lastRenderedPageBreak/>
        <w:t>Part 3</w:t>
      </w:r>
      <w:r>
        <w:t> — </w:t>
      </w:r>
      <w:r>
        <w:rPr>
          <w:rStyle w:val="CharPartText"/>
        </w:rPr>
        <w:t>Registration of births</w:t>
      </w:r>
      <w:bookmarkEnd w:id="58"/>
      <w:bookmarkEnd w:id="59"/>
      <w:bookmarkEnd w:id="60"/>
      <w:bookmarkEnd w:id="61"/>
      <w:bookmarkEnd w:id="62"/>
      <w:bookmarkEnd w:id="63"/>
      <w:bookmarkEnd w:id="64"/>
      <w:bookmarkEnd w:id="65"/>
      <w:bookmarkEnd w:id="66"/>
    </w:p>
    <w:p>
      <w:pPr>
        <w:pStyle w:val="Heading3"/>
      </w:pPr>
      <w:bookmarkStart w:id="67" w:name="_Toc198827635"/>
      <w:bookmarkStart w:id="68" w:name="_Toc198908880"/>
      <w:bookmarkStart w:id="69" w:name="_Toc199153715"/>
      <w:bookmarkStart w:id="70" w:name="_Toc216795084"/>
      <w:bookmarkStart w:id="71" w:name="_Toc216795467"/>
      <w:bookmarkStart w:id="72" w:name="_Toc216795622"/>
      <w:bookmarkStart w:id="73" w:name="_Toc216942183"/>
      <w:bookmarkStart w:id="74" w:name="_Toc216942338"/>
      <w:bookmarkStart w:id="75" w:name="_Toc216954867"/>
      <w:r>
        <w:rPr>
          <w:rStyle w:val="CharDivNo"/>
        </w:rPr>
        <w:t>Division 1</w:t>
      </w:r>
      <w:r>
        <w:t> — </w:t>
      </w:r>
      <w:r>
        <w:rPr>
          <w:rStyle w:val="CharDivText"/>
        </w:rPr>
        <w:t>Notification of births</w:t>
      </w:r>
      <w:bookmarkEnd w:id="67"/>
      <w:bookmarkEnd w:id="68"/>
      <w:bookmarkEnd w:id="69"/>
      <w:bookmarkEnd w:id="70"/>
      <w:bookmarkEnd w:id="71"/>
      <w:bookmarkEnd w:id="72"/>
      <w:bookmarkEnd w:id="73"/>
      <w:bookmarkEnd w:id="74"/>
      <w:bookmarkEnd w:id="75"/>
    </w:p>
    <w:p>
      <w:pPr>
        <w:pStyle w:val="Heading5"/>
      </w:pPr>
      <w:bookmarkStart w:id="76" w:name="_Toc216954868"/>
      <w:r>
        <w:rPr>
          <w:rStyle w:val="CharSectno"/>
        </w:rPr>
        <w:t>12</w:t>
      </w:r>
      <w:r>
        <w:t>.</w:t>
      </w:r>
      <w:r>
        <w:tab/>
        <w:t>Notification of births</w:t>
      </w:r>
      <w:bookmarkEnd w:id="76"/>
    </w:p>
    <w:p>
      <w:pPr>
        <w:pStyle w:val="Subsection"/>
      </w:pPr>
      <w:r>
        <w:tab/>
        <w:t>(1)</w:t>
      </w:r>
      <w:r>
        <w:tab/>
        <w:t>In this section — </w:t>
      </w:r>
    </w:p>
    <w:p>
      <w:pPr>
        <w:pStyle w:val="Defstart"/>
      </w:pPr>
      <w:r>
        <w:rPr>
          <w:b/>
        </w:rPr>
        <w:tab/>
      </w:r>
      <w:r>
        <w:rPr>
          <w:rStyle w:val="CharDefText"/>
        </w:rPr>
        <w:t>responsible person</w:t>
      </w:r>
      <w:r>
        <w:t>, in relation to the birth of a child — </w:t>
      </w:r>
    </w:p>
    <w:p>
      <w:pPr>
        <w:pStyle w:val="Defpara"/>
      </w:pPr>
      <w:r>
        <w:tab/>
        <w:t>(a)</w:t>
      </w:r>
      <w:r>
        <w:tab/>
        <w:t>if the child was born in a hospital or brought to a hospital within 24 hours after the child’s birth, means —</w:t>
      </w:r>
    </w:p>
    <w:p>
      <w:pPr>
        <w:pStyle w:val="Defsubpara"/>
      </w:pPr>
      <w:r>
        <w:tab/>
        <w:t>(i)</w:t>
      </w:r>
      <w:r>
        <w:tab/>
        <w:t xml:space="preserve">in the case of a public hospital as defined in the </w:t>
      </w:r>
      <w:r>
        <w:rPr>
          <w:i/>
        </w:rPr>
        <w:t>Health Services Act 2016</w:t>
      </w:r>
      <w:r>
        <w:t xml:space="preserve"> section 6 — the chief executive of the health service provider for that hospital; or</w:t>
      </w:r>
    </w:p>
    <w:p>
      <w:pPr>
        <w:pStyle w:val="Defsubpara"/>
      </w:pPr>
      <w:r>
        <w:tab/>
        <w:t>(ii)</w:t>
      </w:r>
      <w:r>
        <w:tab/>
        <w:t xml:space="preserve">in the case of a private hospital as defined in the </w:t>
      </w:r>
      <w:r>
        <w:rPr>
          <w:i/>
        </w:rPr>
        <w:t>Private Hospitals and Health Services Act 1927</w:t>
      </w:r>
      <w:r>
        <w:t xml:space="preserve"> section 2(1) — the chief executive officer or general manager of the hospital;</w:t>
      </w:r>
    </w:p>
    <w:p>
      <w:pPr>
        <w:pStyle w:val="Defpara"/>
      </w:pPr>
      <w:r>
        <w:tab/>
      </w:r>
      <w:r>
        <w:tab/>
        <w:t>or</w:t>
      </w:r>
    </w:p>
    <w:p>
      <w:pPr>
        <w:pStyle w:val="Defpara"/>
      </w:pPr>
      <w:r>
        <w:tab/>
        <w:t>(b)</w:t>
      </w:r>
      <w:r>
        <w:tab/>
        <w:t>in any other case — </w:t>
      </w:r>
    </w:p>
    <w:p>
      <w:pPr>
        <w:pStyle w:val="Defsubpara"/>
      </w:pPr>
      <w:r>
        <w:tab/>
        <w:t>(i)</w:t>
      </w:r>
      <w:r>
        <w:tab/>
        <w:t>means the doctor or midwife responsible for the professional care of the child’s mother at the birth;</w:t>
      </w:r>
    </w:p>
    <w:p>
      <w:pPr>
        <w:pStyle w:val="Defsubpara"/>
      </w:pPr>
      <w:r>
        <w:tab/>
        <w:t>(ii)</w:t>
      </w:r>
      <w:r>
        <w:tab/>
        <w:t>if the child was still</w:t>
      </w:r>
      <w:r>
        <w:noBreakHyphen/>
        <w:t>born, means the doctor who examined the child’s body after the birth; or</w:t>
      </w:r>
    </w:p>
    <w:p>
      <w:pPr>
        <w:pStyle w:val="Defsubpara"/>
      </w:pPr>
      <w:r>
        <w:tab/>
        <w:t>(iii)</w:t>
      </w:r>
      <w:r>
        <w:tab/>
        <w:t>if no doctor or midwife was in attendance at the child’s birth, means any person in attendance at the birth.</w:t>
      </w:r>
    </w:p>
    <w:p>
      <w:pPr>
        <w:pStyle w:val="Subsection"/>
      </w:pPr>
      <w:r>
        <w:tab/>
        <w:t>(2)</w:t>
      </w:r>
      <w:r>
        <w:tab/>
        <w:t>When a child is born in the State, the responsible person must give the Registrar notice of the birth — </w:t>
      </w:r>
    </w:p>
    <w:p>
      <w:pPr>
        <w:pStyle w:val="Indenta"/>
      </w:pPr>
      <w:r>
        <w:tab/>
        <w:t>(a)</w:t>
      </w:r>
      <w:r>
        <w:tab/>
        <w:t xml:space="preserve">within one month after the birth; and </w:t>
      </w:r>
    </w:p>
    <w:p>
      <w:pPr>
        <w:pStyle w:val="Indenta"/>
      </w:pPr>
      <w:r>
        <w:tab/>
        <w:t>(b)</w:t>
      </w:r>
      <w:r>
        <w:tab/>
        <w:t>in an approved form and manner.</w:t>
      </w:r>
    </w:p>
    <w:p>
      <w:pPr>
        <w:pStyle w:val="Penstart"/>
      </w:pPr>
      <w:r>
        <w:tab/>
        <w:t>Penalty: $1 000.</w:t>
      </w:r>
    </w:p>
    <w:p>
      <w:pPr>
        <w:pStyle w:val="Subsection"/>
      </w:pPr>
      <w:r>
        <w:lastRenderedPageBreak/>
        <w:tab/>
        <w:t>(3)</w:t>
      </w:r>
      <w:r>
        <w:tab/>
        <w:t>A person does not commit an offence under subsection (2) if notice of the birth is given by another person.</w:t>
      </w:r>
    </w:p>
    <w:p>
      <w:pPr>
        <w:pStyle w:val="Footnotesection"/>
      </w:pPr>
      <w:r>
        <w:tab/>
        <w:t>[Section 12 amended: No. 11 of 2016 s. 284.]</w:t>
      </w:r>
    </w:p>
    <w:p>
      <w:pPr>
        <w:pStyle w:val="Heading3"/>
      </w:pPr>
      <w:bookmarkStart w:id="77" w:name="_Toc198827637"/>
      <w:bookmarkStart w:id="78" w:name="_Toc198908882"/>
      <w:bookmarkStart w:id="79" w:name="_Toc199153717"/>
      <w:bookmarkStart w:id="80" w:name="_Toc216795086"/>
      <w:bookmarkStart w:id="81" w:name="_Toc216795469"/>
      <w:bookmarkStart w:id="82" w:name="_Toc216795624"/>
      <w:bookmarkStart w:id="83" w:name="_Toc216942185"/>
      <w:bookmarkStart w:id="84" w:name="_Toc216942340"/>
      <w:bookmarkStart w:id="85" w:name="_Toc216954869"/>
      <w:r>
        <w:rPr>
          <w:rStyle w:val="CharDivNo"/>
        </w:rPr>
        <w:t>Division 2</w:t>
      </w:r>
      <w:r>
        <w:t> — </w:t>
      </w:r>
      <w:r>
        <w:rPr>
          <w:rStyle w:val="CharDivText"/>
        </w:rPr>
        <w:t>Registration of births</w:t>
      </w:r>
      <w:bookmarkEnd w:id="77"/>
      <w:bookmarkEnd w:id="78"/>
      <w:bookmarkEnd w:id="79"/>
      <w:bookmarkEnd w:id="80"/>
      <w:bookmarkEnd w:id="81"/>
      <w:bookmarkEnd w:id="82"/>
      <w:bookmarkEnd w:id="83"/>
      <w:bookmarkEnd w:id="84"/>
      <w:bookmarkEnd w:id="85"/>
    </w:p>
    <w:p>
      <w:pPr>
        <w:pStyle w:val="Heading5"/>
      </w:pPr>
      <w:bookmarkStart w:id="86" w:name="_Toc216954870"/>
      <w:r>
        <w:rPr>
          <w:rStyle w:val="CharSectno"/>
        </w:rPr>
        <w:t>13</w:t>
      </w:r>
      <w:r>
        <w:t>.</w:t>
      </w:r>
      <w:r>
        <w:tab/>
        <w:t>Cases in which registration of birth is required or authorised</w:t>
      </w:r>
      <w:bookmarkEnd w:id="86"/>
    </w:p>
    <w:p>
      <w:pPr>
        <w:pStyle w:val="Subsection"/>
      </w:pPr>
      <w:r>
        <w:tab/>
        <w:t>(1)</w:t>
      </w:r>
      <w:r>
        <w:tab/>
        <w:t>If a child is born in the State, the birth must be registered under this Act.</w:t>
      </w:r>
    </w:p>
    <w:p>
      <w:pPr>
        <w:pStyle w:val="Subsection"/>
      </w:pPr>
      <w:r>
        <w:tab/>
        <w:t>(2)</w:t>
      </w:r>
      <w:r>
        <w:tab/>
        <w:t>If a State court orders that a birth be registered in this State, the birth must be registered under this Act.</w:t>
      </w:r>
    </w:p>
    <w:p>
      <w:pPr>
        <w:pStyle w:val="Subsection"/>
      </w:pPr>
      <w:r>
        <w:tab/>
        <w:t>(3)</w:t>
      </w:r>
      <w:r>
        <w:tab/>
        <w:t>If a court of another State or of the Commonwealth makes a determination that a birth should be registered in this State, the birth may be registered under this Act if the Registrar considers that it is appropriate to do so.</w:t>
      </w:r>
    </w:p>
    <w:p>
      <w:pPr>
        <w:pStyle w:val="Subsection"/>
      </w:pPr>
      <w:r>
        <w:tab/>
        <w:t>(4)</w:t>
      </w:r>
      <w:r>
        <w:tab/>
        <w:t xml:space="preserve">If a child is born — </w:t>
      </w:r>
    </w:p>
    <w:p>
      <w:pPr>
        <w:pStyle w:val="Indenta"/>
      </w:pPr>
      <w:r>
        <w:tab/>
        <w:t>(a)</w:t>
      </w:r>
      <w:r>
        <w:tab/>
        <w:t xml:space="preserve">in an aircraft during a flight to an airport in the State; or </w:t>
      </w:r>
    </w:p>
    <w:p>
      <w:pPr>
        <w:pStyle w:val="Indenta"/>
      </w:pPr>
      <w:r>
        <w:tab/>
        <w:t>(b)</w:t>
      </w:r>
      <w:r>
        <w:tab/>
        <w:t xml:space="preserve">on a vessel during a voyage to a port in the State, </w:t>
      </w:r>
    </w:p>
    <w:p>
      <w:pPr>
        <w:pStyle w:val="Subsection"/>
      </w:pPr>
      <w:r>
        <w:tab/>
      </w:r>
      <w:r>
        <w:tab/>
        <w:t>the birth may be registered under this Act.</w:t>
      </w:r>
    </w:p>
    <w:p>
      <w:pPr>
        <w:pStyle w:val="Subsection"/>
      </w:pPr>
      <w:r>
        <w:tab/>
        <w:t>(5)</w:t>
      </w:r>
      <w:r>
        <w:tab/>
        <w:t>If a child is born outside the Commonwealth, but the child is to become (or in the case of a still</w:t>
      </w:r>
      <w:r>
        <w:noBreakHyphen/>
        <w:t>birth, was to become) a resident of the State, the birth may be registered under this Act.</w:t>
      </w:r>
    </w:p>
    <w:p>
      <w:pPr>
        <w:pStyle w:val="Subsection"/>
      </w:pPr>
      <w:r>
        <w:tab/>
        <w:t>(6)</w:t>
      </w:r>
      <w:r>
        <w:tab/>
        <w:t>The Registrar must not register a birth under subsection (4) or (5) if the birth is registered under a corresponding law.</w:t>
      </w:r>
    </w:p>
    <w:p>
      <w:pPr>
        <w:pStyle w:val="Heading5"/>
      </w:pPr>
      <w:bookmarkStart w:id="87" w:name="_Toc216954871"/>
      <w:r>
        <w:rPr>
          <w:rStyle w:val="CharSectno"/>
        </w:rPr>
        <w:t>14</w:t>
      </w:r>
      <w:r>
        <w:t>.</w:t>
      </w:r>
      <w:r>
        <w:tab/>
        <w:t>How to have the birth of a child registered</w:t>
      </w:r>
      <w:bookmarkEnd w:id="87"/>
    </w:p>
    <w:p>
      <w:pPr>
        <w:pStyle w:val="Subsection"/>
      </w:pPr>
      <w:r>
        <w:tab/>
      </w:r>
      <w:r>
        <w:tab/>
        <w:t>A person has the birth of a child registered under this Act by lodging a statement (the “birth registration statement”) in an approved form.</w:t>
      </w:r>
    </w:p>
    <w:p>
      <w:pPr>
        <w:pStyle w:val="Heading5"/>
      </w:pPr>
      <w:bookmarkStart w:id="88" w:name="_Toc216954872"/>
      <w:r>
        <w:rPr>
          <w:rStyle w:val="CharSectno"/>
        </w:rPr>
        <w:lastRenderedPageBreak/>
        <w:t>15</w:t>
      </w:r>
      <w:r>
        <w:t>.</w:t>
      </w:r>
      <w:r>
        <w:tab/>
        <w:t>Responsibility to have birth registered</w:t>
      </w:r>
      <w:bookmarkEnd w:id="88"/>
    </w:p>
    <w:p>
      <w:pPr>
        <w:pStyle w:val="Subsection"/>
      </w:pPr>
      <w:r>
        <w:tab/>
        <w:t>(1)</w:t>
      </w:r>
      <w:r>
        <w:tab/>
        <w:t>The parents of a child are jointly responsible for having the child’s birth registered under this Act (and must both sign the birth registration statement) but the Registrar may accept a birth registration statement from one of the parents if satisfied that it is impracticable for the other parent to join or be required to join in the application because of his or her death, disappearance, ill health or unavailability or the need to avoid unwarranted distress to obtain the signatures of both parents on the birth registration statement.</w:t>
      </w:r>
    </w:p>
    <w:p>
      <w:pPr>
        <w:pStyle w:val="Subsection"/>
      </w:pPr>
      <w:r>
        <w:tab/>
        <w:t>(2)</w:t>
      </w:r>
      <w:r>
        <w:tab/>
        <w:t>If a child is a foundling, the person with responsibility for the long</w:t>
      </w:r>
      <w:r>
        <w:noBreakHyphen/>
        <w:t>term care, welfare and development of the child is responsible for having the child’s birth registered.</w:t>
      </w:r>
    </w:p>
    <w:p>
      <w:pPr>
        <w:pStyle w:val="Subsection"/>
      </w:pPr>
      <w:r>
        <w:tab/>
        <w:t>(3)</w:t>
      </w:r>
      <w:r>
        <w:tab/>
        <w:t xml:space="preserve">The Registrar may accept a birth registration statement from a person who is not responsible for having the child’s birth registered if satisfied that — </w:t>
      </w:r>
    </w:p>
    <w:p>
      <w:pPr>
        <w:pStyle w:val="Indenta"/>
      </w:pPr>
      <w:r>
        <w:tab/>
        <w:t>(a)</w:t>
      </w:r>
      <w:r>
        <w:tab/>
        <w:t>the person lodging the statement has knowledge of the relevant facts; and</w:t>
      </w:r>
    </w:p>
    <w:p>
      <w:pPr>
        <w:pStyle w:val="Indenta"/>
      </w:pPr>
      <w:r>
        <w:tab/>
        <w:t>(b)</w:t>
      </w:r>
      <w:r>
        <w:tab/>
        <w:t>the child’s parents are unable or unlikely to lodge a birth registration statement.</w:t>
      </w:r>
    </w:p>
    <w:p>
      <w:pPr>
        <w:pStyle w:val="Heading5"/>
      </w:pPr>
      <w:bookmarkStart w:id="89" w:name="_Toc216954873"/>
      <w:r>
        <w:rPr>
          <w:rStyle w:val="CharSectno"/>
        </w:rPr>
        <w:t>16</w:t>
      </w:r>
      <w:r>
        <w:t>.</w:t>
      </w:r>
      <w:r>
        <w:tab/>
        <w:t>Obligation to have birth registered</w:t>
      </w:r>
      <w:bookmarkEnd w:id="89"/>
    </w:p>
    <w:p>
      <w:pPr>
        <w:pStyle w:val="Subsection"/>
      </w:pPr>
      <w:r>
        <w:tab/>
        <w:t>(1)</w:t>
      </w:r>
      <w:r>
        <w:tab/>
        <w:t>A person who is responsible under section 15(1) or (2) for having a child’s birth registered must ensure that a birth registration statement is lodged with the Registrar within 60 days after the date of the birth.</w:t>
      </w:r>
    </w:p>
    <w:p>
      <w:pPr>
        <w:pStyle w:val="Penstart"/>
      </w:pPr>
      <w:r>
        <w:tab/>
        <w:t>Penalty: $1 000.</w:t>
      </w:r>
    </w:p>
    <w:p>
      <w:pPr>
        <w:pStyle w:val="Subsection"/>
      </w:pPr>
      <w:r>
        <w:tab/>
        <w:t>(2)</w:t>
      </w:r>
      <w:r>
        <w:tab/>
        <w:t>The Registrar must accept a birth registration statement even though it is lodged after the end of the 60 day period.</w:t>
      </w:r>
    </w:p>
    <w:p>
      <w:pPr>
        <w:pStyle w:val="Heading5"/>
      </w:pPr>
      <w:bookmarkStart w:id="90" w:name="_Toc216954874"/>
      <w:r>
        <w:rPr>
          <w:rStyle w:val="CharSectno"/>
        </w:rPr>
        <w:lastRenderedPageBreak/>
        <w:t>17</w:t>
      </w:r>
      <w:r>
        <w:t>.</w:t>
      </w:r>
      <w:r>
        <w:tab/>
        <w:t>Registration of birth</w:t>
      </w:r>
      <w:bookmarkEnd w:id="90"/>
    </w:p>
    <w:p>
      <w:pPr>
        <w:pStyle w:val="Subsection"/>
      </w:pPr>
      <w:r>
        <w:tab/>
        <w:t>(1)</w:t>
      </w:r>
      <w:r>
        <w:tab/>
        <w:t>The Registrar is to register a birth by making an entry about the birth in the Register including such particulars as the Registrar considers appropriate to register the birth.</w:t>
      </w:r>
    </w:p>
    <w:p>
      <w:pPr>
        <w:pStyle w:val="Subsection"/>
      </w:pPr>
      <w:r>
        <w:tab/>
        <w:t>(2)</w:t>
      </w:r>
      <w:r>
        <w:tab/>
        <w:t>If the particulars available to the Registrar are incomplete the Registrar may register a birth on the basis of incomplete particulars.</w:t>
      </w:r>
    </w:p>
    <w:p>
      <w:pPr>
        <w:pStyle w:val="Heading5"/>
      </w:pPr>
      <w:bookmarkStart w:id="91" w:name="_Toc216954875"/>
      <w:r>
        <w:rPr>
          <w:rStyle w:val="CharSectno"/>
        </w:rPr>
        <w:t>18</w:t>
      </w:r>
      <w:r>
        <w:t>.</w:t>
      </w:r>
      <w:r>
        <w:tab/>
        <w:t>Registration of parentage details</w:t>
      </w:r>
      <w:bookmarkEnd w:id="91"/>
    </w:p>
    <w:p>
      <w:pPr>
        <w:pStyle w:val="Subsection"/>
      </w:pPr>
      <w:r>
        <w:tab/>
        <w:t>(1)</w:t>
      </w:r>
      <w:r>
        <w:tab/>
        <w:t xml:space="preserve">The Registrar is not to include information about the identity of a child’s parents in the Register unless — </w:t>
      </w:r>
    </w:p>
    <w:p>
      <w:pPr>
        <w:pStyle w:val="Indenta"/>
      </w:pPr>
      <w:r>
        <w:tab/>
        <w:t>(a)</w:t>
      </w:r>
      <w:r>
        <w:tab/>
        <w:t>both parents of the child make a joint application for the inclusion of registrable information about that identity;</w:t>
      </w:r>
    </w:p>
    <w:p>
      <w:pPr>
        <w:pStyle w:val="Indenta"/>
      </w:pPr>
      <w:r>
        <w:tab/>
        <w:t>(b)</w:t>
      </w:r>
      <w:r>
        <w:tab/>
        <w:t xml:space="preserve">one parent of the child makes an application for the inclusion of registrable information about that identity and the other parent cannot join in the application because — </w:t>
      </w:r>
    </w:p>
    <w:p>
      <w:pPr>
        <w:pStyle w:val="Indenti"/>
      </w:pPr>
      <w:r>
        <w:tab/>
        <w:t>(i)</w:t>
      </w:r>
      <w:r>
        <w:tab/>
        <w:t>the other parent is dead; or</w:t>
      </w:r>
    </w:p>
    <w:p>
      <w:pPr>
        <w:pStyle w:val="Indenti"/>
      </w:pPr>
      <w:r>
        <w:tab/>
        <w:t>(ii)</w:t>
      </w:r>
      <w:r>
        <w:tab/>
        <w:t>the other parent cannot be found; or</w:t>
      </w:r>
    </w:p>
    <w:p>
      <w:pPr>
        <w:pStyle w:val="Indenti"/>
      </w:pPr>
      <w:r>
        <w:tab/>
        <w:t>(iii)</w:t>
      </w:r>
      <w:r>
        <w:tab/>
        <w:t>of some other reason;</w:t>
      </w:r>
    </w:p>
    <w:p>
      <w:pPr>
        <w:pStyle w:val="Indenta"/>
      </w:pPr>
      <w:r>
        <w:tab/>
        <w:t>(c)</w:t>
      </w:r>
      <w:r>
        <w:tab/>
        <w:t>one parent of the child makes an application for the inclusion of registrable information about that identity and the Registrar is satisfied that the other parent does not dispute the correctness of that information;</w:t>
      </w:r>
    </w:p>
    <w:p>
      <w:pPr>
        <w:pStyle w:val="Indenta"/>
      </w:pPr>
      <w:r>
        <w:tab/>
        <w:t>(d)</w:t>
      </w:r>
      <w:r>
        <w:tab/>
        <w:t xml:space="preserve">a State court orders the inclusion of registrable information about the identity in the Register or makes a finding that a particular person is a parent of a child; </w:t>
      </w:r>
    </w:p>
    <w:p>
      <w:pPr>
        <w:pStyle w:val="Indenta"/>
      </w:pPr>
      <w:r>
        <w:tab/>
        <w:t>(e)</w:t>
      </w:r>
      <w:r>
        <w:tab/>
        <w:t>a court of another State or of the Commonwealth makes a determination that registrable information about the identity should be included in the Register or makes a finding that a particular person is a parent of a child and the Registrar considers that it is appropriate to include the information in the Register; or</w:t>
      </w:r>
    </w:p>
    <w:p>
      <w:pPr>
        <w:pStyle w:val="Indenta"/>
      </w:pPr>
      <w:r>
        <w:lastRenderedPageBreak/>
        <w:tab/>
        <w:t>(f)</w:t>
      </w:r>
      <w:r>
        <w:tab/>
        <w:t>the Registrar is entitled under any law (including a law of another State or the Commonwealth) to make a presumption as to the identity of the child’s parent.</w:t>
      </w:r>
    </w:p>
    <w:p>
      <w:pPr>
        <w:pStyle w:val="Subsection"/>
      </w:pPr>
      <w:r>
        <w:tab/>
        <w:t>(2)</w:t>
      </w:r>
      <w:r>
        <w:tab/>
        <w:t xml:space="preserve">The Registrar may include information about the identity of a child’s parent in the Register if — </w:t>
      </w:r>
    </w:p>
    <w:p>
      <w:pPr>
        <w:pStyle w:val="Indenta"/>
      </w:pPr>
      <w:r>
        <w:tab/>
        <w:t>(a)</w:t>
      </w:r>
      <w:r>
        <w:tab/>
        <w:t>the Registrar is not prohibited by subsection (1) from doing so;</w:t>
      </w:r>
    </w:p>
    <w:p>
      <w:pPr>
        <w:pStyle w:val="Indenta"/>
      </w:pPr>
      <w:r>
        <w:tab/>
        <w:t>(b)</w:t>
      </w:r>
      <w:r>
        <w:tab/>
        <w:t>despite subsection (1), both parents are unable to give registrable information about the identity of a child’s parent or parents for some reason or are unavailable and another person can provide information to the Registrar’s satisfaction as to the identity of the child’s parent or parents; or</w:t>
      </w:r>
    </w:p>
    <w:p>
      <w:pPr>
        <w:pStyle w:val="Indenta"/>
      </w:pPr>
      <w:r>
        <w:tab/>
        <w:t>(c)</w:t>
      </w:r>
      <w:r>
        <w:tab/>
        <w:t>despite subsection (1), one parent has provided the birth registration statement and the registrable information relates only to the identity of that parent.</w:t>
      </w:r>
    </w:p>
    <w:p>
      <w:pPr>
        <w:pStyle w:val="Footnotesection"/>
      </w:pPr>
      <w:r>
        <w:tab/>
        <w:t>[Section 18 amended: No. 3 of 2002 s. 30; No. 31 of 2024 s. 7.]</w:t>
      </w:r>
    </w:p>
    <w:p>
      <w:pPr>
        <w:pStyle w:val="Heading5"/>
      </w:pPr>
      <w:bookmarkStart w:id="92" w:name="_Toc216954876"/>
      <w:r>
        <w:rPr>
          <w:rStyle w:val="CharSectno"/>
        </w:rPr>
        <w:t>19</w:t>
      </w:r>
      <w:r>
        <w:t>.</w:t>
      </w:r>
      <w:r>
        <w:tab/>
        <w:t>Addition of details after birth registration</w:t>
      </w:r>
      <w:bookmarkEnd w:id="92"/>
    </w:p>
    <w:p>
      <w:pPr>
        <w:pStyle w:val="Subsection"/>
      </w:pPr>
      <w:r>
        <w:tab/>
        <w:t>(1)</w:t>
      </w:r>
      <w:r>
        <w:tab/>
        <w:t>Subject to section 18, a person may apply to the Registrar for the inclusion of additional registrable information about a person’s birth registration in the Register.</w:t>
      </w:r>
    </w:p>
    <w:p>
      <w:pPr>
        <w:pStyle w:val="Subsection"/>
      </w:pPr>
      <w:r>
        <w:tab/>
        <w:t>(2)</w:t>
      </w:r>
      <w:r>
        <w:tab/>
        <w:t xml:space="preserve">An application under subsection (1) — </w:t>
      </w:r>
    </w:p>
    <w:p>
      <w:pPr>
        <w:pStyle w:val="Indenta"/>
      </w:pPr>
      <w:r>
        <w:tab/>
        <w:t>(a)</w:t>
      </w:r>
      <w:r>
        <w:tab/>
        <w:t xml:space="preserve">must be made in writing; </w:t>
      </w:r>
    </w:p>
    <w:p>
      <w:pPr>
        <w:pStyle w:val="Indenta"/>
      </w:pPr>
      <w:r>
        <w:tab/>
        <w:t>(b)</w:t>
      </w:r>
      <w:r>
        <w:tab/>
        <w:t xml:space="preserve">must include such information that may be required by the Registrar; </w:t>
      </w:r>
    </w:p>
    <w:p>
      <w:pPr>
        <w:pStyle w:val="Indenta"/>
      </w:pPr>
      <w:r>
        <w:tab/>
        <w:t>(c)</w:t>
      </w:r>
      <w:r>
        <w:tab/>
        <w:t xml:space="preserve">in relation to a child, may include a request that a different surname for the child be entered in the Register (the </w:t>
      </w:r>
      <w:r>
        <w:rPr>
          <w:rStyle w:val="CharDefText"/>
        </w:rPr>
        <w:t>proposed surname</w:t>
      </w:r>
      <w:r>
        <w:t>); and</w:t>
      </w:r>
    </w:p>
    <w:p>
      <w:pPr>
        <w:pStyle w:val="Indenta"/>
      </w:pPr>
      <w:r>
        <w:tab/>
        <w:t>(d)</w:t>
      </w:r>
      <w:r>
        <w:tab/>
        <w:t xml:space="preserve">must, if the Registrar requires verification of the information contained in the application, be accompanied by a statutory declaration verifying the </w:t>
      </w:r>
      <w:r>
        <w:lastRenderedPageBreak/>
        <w:t>information contained in the application and other evidence the Registrar may require.</w:t>
      </w:r>
    </w:p>
    <w:p>
      <w:pPr>
        <w:pStyle w:val="Subsection"/>
      </w:pPr>
      <w:r>
        <w:tab/>
        <w:t>(3)</w:t>
      </w:r>
      <w:r>
        <w:tab/>
        <w:t xml:space="preserve">Subject to subsection (4), on an application under subsection (1) that includes a request that a different surname for a child be entered in the Register — </w:t>
      </w:r>
    </w:p>
    <w:p>
      <w:pPr>
        <w:pStyle w:val="Indenta"/>
      </w:pPr>
      <w:r>
        <w:tab/>
        <w:t>(a)</w:t>
      </w:r>
      <w:r>
        <w:tab/>
        <w:t>if the application is jointly made by both parents of the child, the Registrar may change the surname for the child entered in the Register to the proposed surname; or</w:t>
      </w:r>
    </w:p>
    <w:p>
      <w:pPr>
        <w:pStyle w:val="Indenta"/>
      </w:pPr>
      <w:r>
        <w:tab/>
        <w:t>(b)</w:t>
      </w:r>
      <w:r>
        <w:tab/>
        <w:t xml:space="preserve">if the application is not jointly made by both parents of the child, the Registrar may change the surname for the child entered in the Register to the proposed surname if — </w:t>
      </w:r>
    </w:p>
    <w:p>
      <w:pPr>
        <w:pStyle w:val="Indenti"/>
      </w:pPr>
      <w:r>
        <w:tab/>
        <w:t>(i)</w:t>
      </w:r>
      <w:r>
        <w:tab/>
        <w:t>the child’s other parent has died; or</w:t>
      </w:r>
    </w:p>
    <w:p>
      <w:pPr>
        <w:pStyle w:val="Indenti"/>
      </w:pPr>
      <w:r>
        <w:tab/>
        <w:t>(ii)</w:t>
      </w:r>
      <w:r>
        <w:tab/>
        <w:t>the child’s other parent cannot be found but other children of the same parents are registered in the proposed surname.</w:t>
      </w:r>
    </w:p>
    <w:p>
      <w:pPr>
        <w:pStyle w:val="Subsection"/>
      </w:pPr>
      <w:r>
        <w:tab/>
        <w:t>(4)</w:t>
      </w:r>
      <w:r>
        <w:tab/>
        <w:t xml:space="preserve">On an application under subsection (1) that includes a request that a different surname for a child be entered in the Register the Registrar may change the surname for the child entered in the Register to the proposed surname — </w:t>
      </w:r>
    </w:p>
    <w:p>
      <w:pPr>
        <w:pStyle w:val="Indenta"/>
      </w:pPr>
      <w:r>
        <w:tab/>
        <w:t>(a)</w:t>
      </w:r>
      <w:r>
        <w:tab/>
        <w:t>if the proposed surname is not a prohibited name; and</w:t>
      </w:r>
    </w:p>
    <w:p>
      <w:pPr>
        <w:pStyle w:val="Indenta"/>
      </w:pPr>
      <w:r>
        <w:tab/>
        <w:t>(b)</w:t>
      </w:r>
      <w:r>
        <w:tab/>
        <w:t xml:space="preserve">if the child is 12 years of age or more and — </w:t>
      </w:r>
    </w:p>
    <w:p>
      <w:pPr>
        <w:pStyle w:val="Indenti"/>
      </w:pPr>
      <w:r>
        <w:tab/>
        <w:t>(i)</w:t>
      </w:r>
      <w:r>
        <w:tab/>
        <w:t>the child consents to the proposed surname; or</w:t>
      </w:r>
    </w:p>
    <w:p>
      <w:pPr>
        <w:pStyle w:val="Indenti"/>
      </w:pPr>
      <w:r>
        <w:tab/>
        <w:t>(ii)</w:t>
      </w:r>
      <w:r>
        <w:tab/>
        <w:t>the child is unable to understand the meaning and implications of the change of surname.</w:t>
      </w:r>
    </w:p>
    <w:p>
      <w:pPr>
        <w:pStyle w:val="Footnotesection"/>
      </w:pPr>
      <w:r>
        <w:tab/>
        <w:t>[Section 19 amended: No. 3 of 2002 s. 31.]</w:t>
      </w:r>
    </w:p>
    <w:p>
      <w:pPr>
        <w:pStyle w:val="Heading3"/>
      </w:pPr>
      <w:bookmarkStart w:id="93" w:name="_Toc198827645"/>
      <w:bookmarkStart w:id="94" w:name="_Toc198908890"/>
      <w:bookmarkStart w:id="95" w:name="_Toc199153725"/>
      <w:bookmarkStart w:id="96" w:name="_Toc216795094"/>
      <w:bookmarkStart w:id="97" w:name="_Toc216795477"/>
      <w:bookmarkStart w:id="98" w:name="_Toc216795632"/>
      <w:bookmarkStart w:id="99" w:name="_Toc216942193"/>
      <w:bookmarkStart w:id="100" w:name="_Toc216942348"/>
      <w:bookmarkStart w:id="101" w:name="_Toc216954877"/>
      <w:r>
        <w:rPr>
          <w:rStyle w:val="CharDivNo"/>
        </w:rPr>
        <w:lastRenderedPageBreak/>
        <w:t>Division 3</w:t>
      </w:r>
      <w:r>
        <w:t> — </w:t>
      </w:r>
      <w:r>
        <w:rPr>
          <w:rStyle w:val="CharDivText"/>
        </w:rPr>
        <w:t>Court orders relating to registration of birth</w:t>
      </w:r>
      <w:bookmarkEnd w:id="93"/>
      <w:bookmarkEnd w:id="94"/>
      <w:bookmarkEnd w:id="95"/>
      <w:bookmarkEnd w:id="96"/>
      <w:bookmarkEnd w:id="97"/>
      <w:bookmarkEnd w:id="98"/>
      <w:bookmarkEnd w:id="99"/>
      <w:bookmarkEnd w:id="100"/>
      <w:bookmarkEnd w:id="101"/>
    </w:p>
    <w:p>
      <w:pPr>
        <w:pStyle w:val="Heading5"/>
      </w:pPr>
      <w:bookmarkStart w:id="102" w:name="_Toc216954878"/>
      <w:r>
        <w:rPr>
          <w:rStyle w:val="CharSectno"/>
        </w:rPr>
        <w:t>20</w:t>
      </w:r>
      <w:r>
        <w:t>.</w:t>
      </w:r>
      <w:r>
        <w:tab/>
        <w:t>Powers of State courts</w:t>
      </w:r>
      <w:bookmarkEnd w:id="102"/>
    </w:p>
    <w:p>
      <w:pPr>
        <w:pStyle w:val="Subsection"/>
        <w:keepNext/>
      </w:pPr>
      <w:r>
        <w:tab/>
      </w:r>
      <w:r>
        <w:tab/>
        <w:t xml:space="preserve">A State court may, on application by an interested person or on its own initiative, order the Registrar to — </w:t>
      </w:r>
    </w:p>
    <w:p>
      <w:pPr>
        <w:pStyle w:val="Indenta"/>
      </w:pPr>
      <w:r>
        <w:tab/>
        <w:t>(a)</w:t>
      </w:r>
      <w:r>
        <w:tab/>
        <w:t>register a birth; or</w:t>
      </w:r>
    </w:p>
    <w:p>
      <w:pPr>
        <w:pStyle w:val="Indenta"/>
      </w:pPr>
      <w:r>
        <w:tab/>
        <w:t>(b)</w:t>
      </w:r>
      <w:r>
        <w:tab/>
        <w:t>include or correct registrable information about a birth or a child’s parents in the Register.</w:t>
      </w:r>
    </w:p>
    <w:p>
      <w:pPr>
        <w:pStyle w:val="Heading5"/>
      </w:pPr>
      <w:bookmarkStart w:id="103" w:name="_Toc216954879"/>
      <w:r>
        <w:rPr>
          <w:rStyle w:val="CharSectno"/>
        </w:rPr>
        <w:t>21</w:t>
      </w:r>
      <w:r>
        <w:t>.</w:t>
      </w:r>
      <w:r>
        <w:tab/>
        <w:t>Registration of birth etc. after court findings</w:t>
      </w:r>
      <w:bookmarkEnd w:id="103"/>
    </w:p>
    <w:p>
      <w:pPr>
        <w:pStyle w:val="Subsection"/>
      </w:pPr>
      <w:r>
        <w:tab/>
        <w:t>(1)</w:t>
      </w:r>
      <w:r>
        <w:tab/>
        <w:t xml:space="preserve">If a State court finds that — </w:t>
      </w:r>
    </w:p>
    <w:p>
      <w:pPr>
        <w:pStyle w:val="Indenta"/>
      </w:pPr>
      <w:r>
        <w:tab/>
        <w:t>(a)</w:t>
      </w:r>
      <w:r>
        <w:tab/>
        <w:t xml:space="preserve">the birth of a person is not registered as required under this Act or a corresponding law; </w:t>
      </w:r>
    </w:p>
    <w:p>
      <w:pPr>
        <w:pStyle w:val="Indenta"/>
      </w:pPr>
      <w:r>
        <w:tab/>
        <w:t>(b)</w:t>
      </w:r>
      <w:r>
        <w:tab/>
        <w:t>the registrable information contained in an entry about a birth in the Register under this Act or a corresponding law is incomplete or incorrect; or</w:t>
      </w:r>
    </w:p>
    <w:p>
      <w:pPr>
        <w:pStyle w:val="Indenta"/>
      </w:pPr>
      <w:r>
        <w:tab/>
        <w:t>(c)</w:t>
      </w:r>
      <w:r>
        <w:tab/>
        <w:t>information about the identity of a child’s parents should be included in the Register under this Act or a corresponding law,</w:t>
      </w:r>
    </w:p>
    <w:p>
      <w:pPr>
        <w:pStyle w:val="Subsection"/>
      </w:pPr>
      <w:r>
        <w:tab/>
      </w:r>
      <w:r>
        <w:tab/>
        <w:t>the State court may order the registration of the birth or order the inclusion or correction of registrable information in the Register or make a determination for the purposes of the corresponding law (as is applicable to the case).</w:t>
      </w:r>
    </w:p>
    <w:p>
      <w:pPr>
        <w:pStyle w:val="Subsection"/>
      </w:pPr>
      <w:r>
        <w:tab/>
        <w:t>(2)</w:t>
      </w:r>
      <w:r>
        <w:tab/>
        <w:t>The Registrar may register a birth or amend the Register in accordance with the determination of a court of another State or of the Commonwealth which has made a finding of a kind referred to in subsection (1) if the Registrar considers it is appropriate to do so.</w:t>
      </w:r>
    </w:p>
    <w:p>
      <w:pPr>
        <w:pStyle w:val="Heading3"/>
      </w:pPr>
      <w:bookmarkStart w:id="104" w:name="_Toc198827648"/>
      <w:bookmarkStart w:id="105" w:name="_Toc198908893"/>
      <w:bookmarkStart w:id="106" w:name="_Toc199153728"/>
      <w:bookmarkStart w:id="107" w:name="_Toc216795097"/>
      <w:bookmarkStart w:id="108" w:name="_Toc216795480"/>
      <w:bookmarkStart w:id="109" w:name="_Toc216795635"/>
      <w:bookmarkStart w:id="110" w:name="_Toc216942196"/>
      <w:bookmarkStart w:id="111" w:name="_Toc216942351"/>
      <w:bookmarkStart w:id="112" w:name="_Toc216954880"/>
      <w:r>
        <w:rPr>
          <w:rStyle w:val="CharDivNo"/>
        </w:rPr>
        <w:lastRenderedPageBreak/>
        <w:t>Division 4</w:t>
      </w:r>
      <w:r>
        <w:t> — </w:t>
      </w:r>
      <w:r>
        <w:rPr>
          <w:rStyle w:val="CharDivText"/>
        </w:rPr>
        <w:t>Child’s name</w:t>
      </w:r>
      <w:bookmarkEnd w:id="104"/>
      <w:bookmarkEnd w:id="105"/>
      <w:bookmarkEnd w:id="106"/>
      <w:bookmarkEnd w:id="107"/>
      <w:bookmarkEnd w:id="108"/>
      <w:bookmarkEnd w:id="109"/>
      <w:bookmarkEnd w:id="110"/>
      <w:bookmarkEnd w:id="111"/>
      <w:bookmarkEnd w:id="112"/>
    </w:p>
    <w:p>
      <w:pPr>
        <w:pStyle w:val="Heading5"/>
      </w:pPr>
      <w:bookmarkStart w:id="113" w:name="_Toc216954881"/>
      <w:r>
        <w:rPr>
          <w:rStyle w:val="CharSectno"/>
        </w:rPr>
        <w:t>22</w:t>
      </w:r>
      <w:r>
        <w:t>.</w:t>
      </w:r>
      <w:r>
        <w:tab/>
        <w:t>Name of child</w:t>
      </w:r>
      <w:bookmarkEnd w:id="113"/>
    </w:p>
    <w:p>
      <w:pPr>
        <w:pStyle w:val="Subsection"/>
      </w:pPr>
      <w:r>
        <w:tab/>
        <w:t>(1)</w:t>
      </w:r>
      <w:r>
        <w:tab/>
        <w:t>The birth registration statement for a child must state the name of the child.</w:t>
      </w:r>
    </w:p>
    <w:p>
      <w:pPr>
        <w:pStyle w:val="Subsection"/>
      </w:pPr>
      <w:r>
        <w:tab/>
        <w:t>(2)</w:t>
      </w:r>
      <w:r>
        <w:tab/>
        <w:t>Subsection (1) does not require a still</w:t>
      </w:r>
      <w:r>
        <w:noBreakHyphen/>
        <w:t>born child or a child who has a neonatal death to be named but nothing in this subsection prevents such a child from being named if the persons lodging the birth registration statement for the child so wish.</w:t>
      </w:r>
    </w:p>
    <w:p>
      <w:pPr>
        <w:pStyle w:val="Subsection"/>
      </w:pPr>
      <w:r>
        <w:tab/>
        <w:t>(3)</w:t>
      </w:r>
      <w:r>
        <w:tab/>
        <w:t xml:space="preserve">The name is a matter of choice for the person or persons lodging the birth registration statement and nothing in this Act requires that — </w:t>
      </w:r>
    </w:p>
    <w:p>
      <w:pPr>
        <w:pStyle w:val="Indenta"/>
      </w:pPr>
      <w:r>
        <w:tab/>
        <w:t>(a)</w:t>
      </w:r>
      <w:r>
        <w:tab/>
        <w:t>the name be made up of both a surname and a given name or given names; or</w:t>
      </w:r>
    </w:p>
    <w:p>
      <w:pPr>
        <w:pStyle w:val="Indenta"/>
      </w:pPr>
      <w:r>
        <w:tab/>
        <w:t>(b)</w:t>
      </w:r>
      <w:r>
        <w:tab/>
        <w:t>the surname be the same as that of a parent of the child.</w:t>
      </w:r>
    </w:p>
    <w:p>
      <w:pPr>
        <w:pStyle w:val="Subsection"/>
        <w:keepNext/>
        <w:keepLines/>
      </w:pPr>
      <w:r>
        <w:tab/>
        <w:t>(4)</w:t>
      </w:r>
      <w:r>
        <w:tab/>
        <w:t xml:space="preserve">The Registrar may assign a name to a child if — </w:t>
      </w:r>
    </w:p>
    <w:p>
      <w:pPr>
        <w:pStyle w:val="Indenta"/>
      </w:pPr>
      <w:r>
        <w:tab/>
        <w:t>(a)</w:t>
      </w:r>
      <w:r>
        <w:tab/>
        <w:t>the name stated in the birth registration statement is a prohibited name; or</w:t>
      </w:r>
    </w:p>
    <w:p>
      <w:pPr>
        <w:pStyle w:val="Indenta"/>
      </w:pPr>
      <w:r>
        <w:tab/>
        <w:t>(b)</w:t>
      </w:r>
      <w:r>
        <w:tab/>
        <w:t>the birth registration statement is lodged by both parents of the child and they satisfy the Registrar that they are unable to agree on the child’s name.</w:t>
      </w:r>
    </w:p>
    <w:p>
      <w:pPr>
        <w:pStyle w:val="Subsection"/>
      </w:pPr>
      <w:r>
        <w:tab/>
        <w:t>(5)</w:t>
      </w:r>
      <w:r>
        <w:tab/>
        <w:t>If the Family Court has resolved a dispute about a child’s name the Registrar must assign or re</w:t>
      </w:r>
      <w:r>
        <w:noBreakHyphen/>
        <w:t>assign the child’s name in accordance with the court orders.</w:t>
      </w:r>
    </w:p>
    <w:p>
      <w:pPr>
        <w:pStyle w:val="Subsection"/>
      </w:pPr>
      <w:r>
        <w:tab/>
        <w:t>(6)</w:t>
      </w:r>
      <w:r>
        <w:tab/>
        <w:t>If a court of another State or of the Commonwealth has resolved a dispute about a child’s name the Registrar may assign or re</w:t>
      </w:r>
      <w:r>
        <w:noBreakHyphen/>
        <w:t>assign the child’s name in accordance with the determination if the Registrar considers that it is appropriate to do so.</w:t>
      </w:r>
    </w:p>
    <w:p>
      <w:pPr>
        <w:pStyle w:val="Heading5"/>
        <w:ind w:left="890" w:hanging="890"/>
      </w:pPr>
      <w:bookmarkStart w:id="114" w:name="_Toc216954882"/>
      <w:r>
        <w:rPr>
          <w:rStyle w:val="CharSectno"/>
        </w:rPr>
        <w:lastRenderedPageBreak/>
        <w:t>23</w:t>
      </w:r>
      <w:r>
        <w:t>.</w:t>
      </w:r>
      <w:r>
        <w:tab/>
        <w:t>Given names can be changed once within a year of birth</w:t>
      </w:r>
      <w:bookmarkEnd w:id="114"/>
    </w:p>
    <w:p>
      <w:pPr>
        <w:pStyle w:val="Subsection"/>
      </w:pPr>
      <w:r>
        <w:tab/>
        <w:t>(1)</w:t>
      </w:r>
      <w:r>
        <w:tab/>
        <w:t>A person may apply to the Registrar requesting the Registrar to change a name or names of a child entered in the Register other than the child’s surname.</w:t>
      </w:r>
    </w:p>
    <w:p>
      <w:pPr>
        <w:pStyle w:val="Subsection"/>
      </w:pPr>
      <w:r>
        <w:tab/>
        <w:t>(2)</w:t>
      </w:r>
      <w:r>
        <w:tab/>
        <w:t xml:space="preserve">An application under subsection (1) — </w:t>
      </w:r>
    </w:p>
    <w:p>
      <w:pPr>
        <w:pStyle w:val="Indenta"/>
      </w:pPr>
      <w:r>
        <w:tab/>
        <w:t>(a)</w:t>
      </w:r>
      <w:r>
        <w:tab/>
        <w:t>must be made in writing;</w:t>
      </w:r>
    </w:p>
    <w:p>
      <w:pPr>
        <w:pStyle w:val="Indenta"/>
      </w:pPr>
      <w:r>
        <w:tab/>
        <w:t>(b)</w:t>
      </w:r>
      <w:r>
        <w:tab/>
        <w:t>must be made within 12 months after the date of the child’s birth;</w:t>
      </w:r>
    </w:p>
    <w:p>
      <w:pPr>
        <w:pStyle w:val="Indenta"/>
      </w:pPr>
      <w:r>
        <w:tab/>
        <w:t>(c)</w:t>
      </w:r>
      <w:r>
        <w:tab/>
        <w:t xml:space="preserve">must be made — </w:t>
      </w:r>
    </w:p>
    <w:p>
      <w:pPr>
        <w:pStyle w:val="Indenti"/>
      </w:pPr>
      <w:r>
        <w:tab/>
        <w:t>(i)</w:t>
      </w:r>
      <w:r>
        <w:tab/>
        <w:t xml:space="preserve">if both of the child’s parents signed the birth registration statement for the child, by both parents; </w:t>
      </w:r>
    </w:p>
    <w:p>
      <w:pPr>
        <w:pStyle w:val="Indenti"/>
      </w:pPr>
      <w:r>
        <w:tab/>
        <w:t>(ii)</w:t>
      </w:r>
      <w:r>
        <w:tab/>
        <w:t xml:space="preserve">if the Registrar accepted the birth registration statement for the child from one parent under section 15(1), by that parent; </w:t>
      </w:r>
    </w:p>
    <w:p>
      <w:pPr>
        <w:pStyle w:val="Indenti"/>
      </w:pPr>
      <w:r>
        <w:tab/>
        <w:t>(iii)</w:t>
      </w:r>
      <w:r>
        <w:tab/>
        <w:t>if, after the time when the birth registration statement for the child was lodged, one of the child’s parents has died, by the other parent; or</w:t>
      </w:r>
    </w:p>
    <w:p>
      <w:pPr>
        <w:pStyle w:val="Indenti"/>
      </w:pPr>
      <w:r>
        <w:tab/>
        <w:t>(iv)</w:t>
      </w:r>
      <w:r>
        <w:tab/>
        <w:t>if, after the time when the birth registration statement for the child was lodged, both of the child’s parents have died, cannot be found or for some other reason cannot exercise their parental responsibilities in relation to the child, by the child’s guardian;</w:t>
      </w:r>
    </w:p>
    <w:p>
      <w:pPr>
        <w:pStyle w:val="Indenta"/>
      </w:pPr>
      <w:r>
        <w:tab/>
      </w:r>
      <w:r>
        <w:tab/>
        <w:t>and</w:t>
      </w:r>
    </w:p>
    <w:p>
      <w:pPr>
        <w:pStyle w:val="Indenta"/>
      </w:pPr>
      <w:r>
        <w:tab/>
        <w:t>(d)</w:t>
      </w:r>
      <w:r>
        <w:tab/>
        <w:t>cannot be made if a previous application under this section has been made.</w:t>
      </w:r>
    </w:p>
    <w:p>
      <w:pPr>
        <w:pStyle w:val="Subsection"/>
      </w:pPr>
      <w:r>
        <w:tab/>
        <w:t>(3)</w:t>
      </w:r>
      <w:r>
        <w:tab/>
        <w:t>On an application under subsection (1) the Registrar may change a name or names of the child entered in the Register other than the child’s surname to the name or names in accordance with the request unless a requested name is a prohibited name.</w:t>
      </w:r>
    </w:p>
    <w:p>
      <w:pPr>
        <w:pStyle w:val="Heading2"/>
      </w:pPr>
      <w:bookmarkStart w:id="115" w:name="_Toc198827651"/>
      <w:bookmarkStart w:id="116" w:name="_Toc198908896"/>
      <w:bookmarkStart w:id="117" w:name="_Toc199153731"/>
      <w:bookmarkStart w:id="118" w:name="_Toc216795100"/>
      <w:bookmarkStart w:id="119" w:name="_Toc216795483"/>
      <w:bookmarkStart w:id="120" w:name="_Toc216795638"/>
      <w:bookmarkStart w:id="121" w:name="_Toc216942199"/>
      <w:bookmarkStart w:id="122" w:name="_Toc216942354"/>
      <w:bookmarkStart w:id="123" w:name="_Toc216954883"/>
      <w:r>
        <w:rPr>
          <w:rStyle w:val="CharPartNo"/>
        </w:rPr>
        <w:lastRenderedPageBreak/>
        <w:t>Part 4</w:t>
      </w:r>
      <w:r>
        <w:rPr>
          <w:rStyle w:val="CharDivNo"/>
        </w:rPr>
        <w:t> </w:t>
      </w:r>
      <w:r>
        <w:t>—</w:t>
      </w:r>
      <w:r>
        <w:rPr>
          <w:rStyle w:val="CharDivText"/>
        </w:rPr>
        <w:t> </w:t>
      </w:r>
      <w:r>
        <w:rPr>
          <w:rStyle w:val="CharPartText"/>
        </w:rPr>
        <w:t>Registration of information about certain parentage changes</w:t>
      </w:r>
      <w:bookmarkEnd w:id="115"/>
      <w:bookmarkEnd w:id="116"/>
      <w:bookmarkEnd w:id="117"/>
      <w:bookmarkEnd w:id="118"/>
      <w:bookmarkEnd w:id="119"/>
      <w:bookmarkEnd w:id="120"/>
      <w:bookmarkEnd w:id="121"/>
      <w:bookmarkEnd w:id="122"/>
      <w:bookmarkEnd w:id="123"/>
    </w:p>
    <w:p>
      <w:pPr>
        <w:pStyle w:val="Footnoteheading"/>
      </w:pPr>
      <w:r>
        <w:tab/>
        <w:t>[Heading inserted: No. 47 of 2008 s. 50.]</w:t>
      </w:r>
    </w:p>
    <w:p>
      <w:pPr>
        <w:pStyle w:val="Heading5"/>
      </w:pPr>
      <w:bookmarkStart w:id="124" w:name="_Toc216954884"/>
      <w:r>
        <w:rPr>
          <w:rStyle w:val="CharSectno"/>
        </w:rPr>
        <w:t>24</w:t>
      </w:r>
      <w:r>
        <w:t>.</w:t>
      </w:r>
      <w:r>
        <w:tab/>
        <w:t>WA order: birth registered in WA</w:t>
      </w:r>
      <w:bookmarkEnd w:id="124"/>
    </w:p>
    <w:p>
      <w:pPr>
        <w:pStyle w:val="Subsection"/>
      </w:pPr>
      <w:r>
        <w:tab/>
        <w:t>(1)</w:t>
      </w:r>
      <w:r>
        <w:tab/>
        <w:t xml:space="preserve">On receipt of a notice under section 78(1) of the </w:t>
      </w:r>
      <w:r>
        <w:rPr>
          <w:i/>
        </w:rPr>
        <w:t>Adoption Act 1994</w:t>
      </w:r>
      <w:r>
        <w:t xml:space="preserve"> in relation to an adoptee whose birth is registered in this State, the particulars provided in the notice must be registered by the Registrar in relation to the registration of the adoptee’s birth.</w:t>
      </w: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Footnotesection"/>
      </w:pPr>
      <w:r>
        <w:tab/>
        <w:t>[Section 24 amended: No. 47 of 2008 s. 51.]</w:t>
      </w:r>
    </w:p>
    <w:p>
      <w:pPr>
        <w:pStyle w:val="Heading5"/>
      </w:pPr>
      <w:bookmarkStart w:id="125" w:name="_Toc216954885"/>
      <w:r>
        <w:rPr>
          <w:rStyle w:val="CharSectno"/>
        </w:rPr>
        <w:t>25</w:t>
      </w:r>
      <w:r>
        <w:t>.</w:t>
      </w:r>
      <w:r>
        <w:tab/>
        <w:t>WA order: birth not registered in WA</w:t>
      </w:r>
      <w:bookmarkEnd w:id="125"/>
    </w:p>
    <w:p>
      <w:pPr>
        <w:pStyle w:val="Subsection"/>
      </w:pPr>
      <w:r>
        <w:tab/>
        <w:t>(1)</w:t>
      </w:r>
      <w:r>
        <w:tab/>
        <w:t xml:space="preserve">On receipt of a notice under section 78(1) of the </w:t>
      </w:r>
      <w:r>
        <w:rPr>
          <w:i/>
        </w:rPr>
        <w:t>Adoption Act 1994</w:t>
      </w:r>
      <w:r>
        <w:t xml:space="preserve"> in relation to an adoptee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adoptee’s birth in accordance with the information provided under section 78 of that Act.</w:t>
      </w: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lastRenderedPageBreak/>
        <w:tab/>
        <w:t>(b)</w:t>
      </w:r>
      <w:r>
        <w:tab/>
        <w:t>subject to subsection (2), must register the child’s birth in accordance with the information provided under section 32 of that Act.</w:t>
      </w:r>
    </w:p>
    <w:p>
      <w:pPr>
        <w:pStyle w:val="Subsection"/>
      </w:pPr>
      <w:r>
        <w:tab/>
        <w:t>(2)</w:t>
      </w:r>
      <w:r>
        <w:tab/>
        <w:t xml:space="preserve">The Registrar is not required to register a birth under subsection (1) or (2A) if — </w:t>
      </w:r>
    </w:p>
    <w:p>
      <w:pPr>
        <w:pStyle w:val="Indenta"/>
      </w:pPr>
      <w:r>
        <w:tab/>
        <w:t>(a)</w:t>
      </w:r>
      <w:r>
        <w:tab/>
        <w:t>the birth is registered under a corresponding law; and</w:t>
      </w:r>
    </w:p>
    <w:p>
      <w:pPr>
        <w:pStyle w:val="Indenta"/>
      </w:pPr>
      <w:r>
        <w:tab/>
        <w:t>(b)</w:t>
      </w:r>
      <w:r>
        <w:tab/>
        <w:t>information about the adoption order or parentage order, or the discharge of the adoption order or parentage order, as is applicable in the case, is registered under a corresponding law.</w:t>
      </w:r>
    </w:p>
    <w:p>
      <w:pPr>
        <w:pStyle w:val="Subsection"/>
      </w:pPr>
      <w:r>
        <w:tab/>
        <w:t>(3)</w:t>
      </w:r>
      <w:r>
        <w:tab/>
        <w:t>If a birth is to be registered under subsection (1) or (2A) but some of the information required to register the birth is not available, the Registrar may endorse the birth registration to the effect that the information was not available when the birth was registered.</w:t>
      </w:r>
    </w:p>
    <w:p>
      <w:pPr>
        <w:pStyle w:val="Footnotesection"/>
      </w:pPr>
      <w:r>
        <w:tab/>
        <w:t>[Section 25 amended: No. 47 of 2008 s. 52.]</w:t>
      </w:r>
    </w:p>
    <w:p>
      <w:pPr>
        <w:pStyle w:val="Heading5"/>
      </w:pPr>
      <w:bookmarkStart w:id="126" w:name="_Toc216954886"/>
      <w:r>
        <w:rPr>
          <w:rStyle w:val="CharSectno"/>
        </w:rPr>
        <w:t>26</w:t>
      </w:r>
      <w:r>
        <w:t>.</w:t>
      </w:r>
      <w:r>
        <w:tab/>
        <w:t>Order in other State: birth registered in WA</w:t>
      </w:r>
      <w:bookmarkEnd w:id="126"/>
    </w:p>
    <w:p>
      <w:pPr>
        <w:pStyle w:val="Subsection"/>
      </w:pPr>
      <w:r>
        <w:tab/>
        <w:t>(1)</w:t>
      </w:r>
      <w:r>
        <w:tab/>
        <w:t xml:space="preserve">If — </w:t>
      </w:r>
    </w:p>
    <w:p>
      <w:pPr>
        <w:pStyle w:val="Indenta"/>
      </w:pPr>
      <w:r>
        <w:tab/>
        <w:t>(a)</w:t>
      </w:r>
      <w:r>
        <w:tab/>
        <w:t>an adoption order or parentage order is made or discharged under a law in force in another State; and</w:t>
      </w:r>
    </w:p>
    <w:p>
      <w:pPr>
        <w:pStyle w:val="Indenta"/>
      </w:pPr>
      <w:r>
        <w:tab/>
        <w:t>(b)</w:t>
      </w:r>
      <w:r>
        <w:tab/>
        <w:t>the order was made or discharged in relation to a person whose birth is registered under this Act,</w:t>
      </w:r>
    </w:p>
    <w:p>
      <w:pPr>
        <w:pStyle w:val="Subsection"/>
      </w:pPr>
      <w:r>
        <w:tab/>
      </w:r>
      <w:r>
        <w:tab/>
        <w:t>the particulars (if any) provided under that law must be registered by the Registrar in relation to the registration of the person’s birth.</w:t>
      </w: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Footnotesection"/>
      </w:pPr>
      <w:r>
        <w:tab/>
        <w:t>[Section 26 amended: No. 47 of 2008 s. 53]</w:t>
      </w:r>
    </w:p>
    <w:p>
      <w:pPr>
        <w:pStyle w:val="Heading5"/>
      </w:pPr>
      <w:bookmarkStart w:id="127" w:name="_Toc216954887"/>
      <w:r>
        <w:rPr>
          <w:rStyle w:val="CharSectno"/>
        </w:rPr>
        <w:lastRenderedPageBreak/>
        <w:t>27</w:t>
      </w:r>
      <w:r>
        <w:t>.</w:t>
      </w:r>
      <w:r>
        <w:tab/>
        <w:t>Manner and form of adoption information in the Register</w:t>
      </w:r>
      <w:bookmarkEnd w:id="127"/>
    </w:p>
    <w:p>
      <w:pPr>
        <w:pStyle w:val="Subsection"/>
      </w:pPr>
      <w:r>
        <w:tab/>
      </w:r>
      <w:r>
        <w:tab/>
        <w:t>A registration or endorsement required under this Part and any related entry in the Register are to be made in an approved manner and form.</w:t>
      </w:r>
    </w:p>
    <w:p>
      <w:pPr>
        <w:pStyle w:val="Heading5"/>
      </w:pPr>
      <w:bookmarkStart w:id="128" w:name="_Toc216954888"/>
      <w:r>
        <w:rPr>
          <w:rStyle w:val="CharSectno"/>
        </w:rPr>
        <w:t>28</w:t>
      </w:r>
      <w:r>
        <w:t>.</w:t>
      </w:r>
      <w:r>
        <w:tab/>
        <w:t>Certain certified copies</w:t>
      </w:r>
      <w:bookmarkEnd w:id="128"/>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Footnotesection"/>
      </w:pPr>
      <w:r>
        <w:tab/>
        <w:t>[Section 28 inserted: No. 47 of 2008 s. 54.]</w:t>
      </w:r>
    </w:p>
    <w:p>
      <w:pPr>
        <w:pStyle w:val="Heading2"/>
      </w:pPr>
      <w:bookmarkStart w:id="129" w:name="_Toc198827657"/>
      <w:bookmarkStart w:id="130" w:name="_Toc198908902"/>
      <w:bookmarkStart w:id="131" w:name="_Toc199153737"/>
      <w:bookmarkStart w:id="132" w:name="_Toc216795106"/>
      <w:bookmarkStart w:id="133" w:name="_Toc216795489"/>
      <w:bookmarkStart w:id="134" w:name="_Toc216795644"/>
      <w:bookmarkStart w:id="135" w:name="_Toc216942205"/>
      <w:bookmarkStart w:id="136" w:name="_Toc216942360"/>
      <w:bookmarkStart w:id="137" w:name="_Toc216954889"/>
      <w:r>
        <w:rPr>
          <w:rStyle w:val="CharPartNo"/>
        </w:rPr>
        <w:lastRenderedPageBreak/>
        <w:t>Part 5</w:t>
      </w:r>
      <w:r>
        <w:t> — </w:t>
      </w:r>
      <w:r>
        <w:rPr>
          <w:rStyle w:val="CharPartText"/>
        </w:rPr>
        <w:t>Change of name</w:t>
      </w:r>
      <w:bookmarkEnd w:id="129"/>
      <w:bookmarkEnd w:id="130"/>
      <w:bookmarkEnd w:id="131"/>
      <w:bookmarkEnd w:id="132"/>
      <w:bookmarkEnd w:id="133"/>
      <w:bookmarkEnd w:id="134"/>
      <w:bookmarkEnd w:id="135"/>
      <w:bookmarkEnd w:id="136"/>
      <w:bookmarkEnd w:id="137"/>
    </w:p>
    <w:p>
      <w:pPr>
        <w:pStyle w:val="Heading3"/>
      </w:pPr>
      <w:bookmarkStart w:id="138" w:name="_Toc198827658"/>
      <w:bookmarkStart w:id="139" w:name="_Toc198908903"/>
      <w:bookmarkStart w:id="140" w:name="_Toc199153738"/>
      <w:bookmarkStart w:id="141" w:name="_Toc216795107"/>
      <w:bookmarkStart w:id="142" w:name="_Toc216795490"/>
      <w:bookmarkStart w:id="143" w:name="_Toc216795645"/>
      <w:bookmarkStart w:id="144" w:name="_Toc216942206"/>
      <w:bookmarkStart w:id="145" w:name="_Toc216942361"/>
      <w:bookmarkStart w:id="146" w:name="_Toc216954890"/>
      <w:r>
        <w:rPr>
          <w:rStyle w:val="CharDivNo"/>
        </w:rPr>
        <w:t>Division 1</w:t>
      </w:r>
      <w:r>
        <w:t> — </w:t>
      </w:r>
      <w:r>
        <w:rPr>
          <w:rStyle w:val="CharDivText"/>
        </w:rPr>
        <w:t>Terms used</w:t>
      </w:r>
      <w:bookmarkEnd w:id="138"/>
      <w:bookmarkEnd w:id="139"/>
      <w:bookmarkEnd w:id="140"/>
      <w:bookmarkEnd w:id="141"/>
      <w:bookmarkEnd w:id="142"/>
      <w:bookmarkEnd w:id="143"/>
      <w:bookmarkEnd w:id="144"/>
      <w:bookmarkEnd w:id="145"/>
      <w:bookmarkEnd w:id="146"/>
    </w:p>
    <w:p>
      <w:pPr>
        <w:pStyle w:val="Footnoteheading"/>
      </w:pPr>
      <w:r>
        <w:tab/>
        <w:t>[Heading inserted: No. 46 of 2020 s. 4.]</w:t>
      </w:r>
    </w:p>
    <w:p>
      <w:pPr>
        <w:pStyle w:val="Heading5"/>
      </w:pPr>
      <w:bookmarkStart w:id="147" w:name="_Toc216954891"/>
      <w:r>
        <w:rPr>
          <w:rStyle w:val="CharSectno"/>
        </w:rPr>
        <w:t>28A</w:t>
      </w:r>
      <w:r>
        <w:t>.</w:t>
      </w:r>
      <w:r>
        <w:tab/>
        <w:t>Terms used</w:t>
      </w:r>
      <w:bookmarkEnd w:id="147"/>
    </w:p>
    <w:p>
      <w:pPr>
        <w:pStyle w:val="Subsection"/>
      </w:pPr>
      <w:r>
        <w:tab/>
      </w:r>
      <w:r>
        <w:tab/>
        <w:t xml:space="preserve">In this Part — </w:t>
      </w:r>
    </w:p>
    <w:p>
      <w:pPr>
        <w:pStyle w:val="Defstart"/>
      </w:pPr>
      <w:r>
        <w:tab/>
      </w:r>
      <w:r>
        <w:rPr>
          <w:rStyle w:val="CharDefText"/>
        </w:rPr>
        <w:t>Australian citizen</w:t>
      </w:r>
      <w:r>
        <w:t xml:space="preserve"> has the meaning given in the </w:t>
      </w:r>
      <w:r>
        <w:rPr>
          <w:i/>
        </w:rPr>
        <w:t>Australian Citizenship Act 2007</w:t>
      </w:r>
      <w:r>
        <w:t xml:space="preserve"> (Commonwealth) 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early release order</w:t>
      </w:r>
      <w:r>
        <w:t xml:space="preserve"> has the meaning given in the </w:t>
      </w:r>
      <w:r>
        <w:rPr>
          <w:i/>
        </w:rPr>
        <w:t xml:space="preserve">Sentence Administration Act 2003 </w:t>
      </w:r>
      <w:r>
        <w:t>section 4(2);</w:t>
      </w:r>
    </w:p>
    <w:p>
      <w:pPr>
        <w:pStyle w:val="Defstart"/>
      </w:pPr>
      <w:r>
        <w:tab/>
      </w:r>
      <w:r>
        <w:rPr>
          <w:rStyle w:val="CharDefText"/>
        </w:rPr>
        <w:t>high risk serious offender</w:t>
      </w:r>
      <w:r>
        <w:t xml:space="preserve"> means a person subject to — </w:t>
      </w:r>
    </w:p>
    <w:p>
      <w:pPr>
        <w:pStyle w:val="Defpara"/>
      </w:pPr>
      <w:r>
        <w:tab/>
        <w:t>(a)</w:t>
      </w:r>
      <w:r>
        <w:tab/>
        <w:t xml:space="preserve">a supervision order as defined in the </w:t>
      </w:r>
      <w:r>
        <w:rPr>
          <w:i/>
        </w:rPr>
        <w:t>High Risk Serious Offenders Act 2020</w:t>
      </w:r>
      <w:r>
        <w:t xml:space="preserve"> section 27(1); or</w:t>
      </w:r>
    </w:p>
    <w:p>
      <w:pPr>
        <w:pStyle w:val="Defpara"/>
      </w:pPr>
      <w:r>
        <w:tab/>
        <w:t>(b)</w:t>
      </w:r>
      <w:r>
        <w:tab/>
        <w:t xml:space="preserve">an order under the </w:t>
      </w:r>
      <w:r>
        <w:rPr>
          <w:i/>
        </w:rPr>
        <w:t>High Risk Serious Offenders Act 2020</w:t>
      </w:r>
      <w:r>
        <w:t xml:space="preserve"> section 58;</w:t>
      </w:r>
    </w:p>
    <w:p>
      <w:pPr>
        <w:pStyle w:val="Defstart"/>
      </w:pPr>
      <w:r>
        <w:tab/>
      </w:r>
      <w:r>
        <w:rPr>
          <w:rStyle w:val="CharDefText"/>
        </w:rPr>
        <w:t>permanent resident</w:t>
      </w:r>
      <w:r>
        <w:t xml:space="preserve"> has the meaning given in the </w:t>
      </w:r>
      <w:r>
        <w:rPr>
          <w:i/>
        </w:rPr>
        <w:t>Australian Citizenship Act 2007</w:t>
      </w:r>
      <w:r>
        <w:t xml:space="preserve"> (Commonwealth) section 3;</w:t>
      </w:r>
    </w:p>
    <w:p>
      <w:pPr>
        <w:pStyle w:val="Defstart"/>
      </w:pPr>
      <w:r>
        <w:tab/>
      </w:r>
      <w:r>
        <w:rPr>
          <w:rStyle w:val="CharDefText"/>
        </w:rPr>
        <w:t>prisoner</w:t>
      </w:r>
      <w:r>
        <w:t xml:space="preserve"> has the meaning given in the </w:t>
      </w:r>
      <w:r>
        <w:rPr>
          <w:i/>
        </w:rPr>
        <w:t>Prisons Act 1981</w:t>
      </w:r>
      <w:r>
        <w:t xml:space="preserve"> section 3(1);</w:t>
      </w:r>
    </w:p>
    <w:p>
      <w:pPr>
        <w:pStyle w:val="Defstart"/>
      </w:pPr>
      <w:r>
        <w:tab/>
      </w:r>
      <w:r>
        <w:rPr>
          <w:rStyle w:val="CharDefText"/>
        </w:rPr>
        <w:t>reportable offender</w:t>
      </w:r>
      <w:r>
        <w:t xml:space="preserve"> has the meaning given in the </w:t>
      </w:r>
      <w:r>
        <w:rPr>
          <w:i/>
        </w:rPr>
        <w:t>Community Protection (Offender Reporting) Act 2004</w:t>
      </w:r>
      <w:r>
        <w:t xml:space="preserve"> section 3;</w:t>
      </w:r>
    </w:p>
    <w:p>
      <w:pPr>
        <w:pStyle w:val="Defstart"/>
      </w:pPr>
      <w:r>
        <w:tab/>
      </w:r>
      <w:r>
        <w:rPr>
          <w:rStyle w:val="CharDefText"/>
        </w:rPr>
        <w:t>required declarant</w:t>
      </w:r>
      <w:r>
        <w:t xml:space="preserve"> means a person who is any of the following —</w:t>
      </w:r>
    </w:p>
    <w:p>
      <w:pPr>
        <w:pStyle w:val="Defpara"/>
      </w:pPr>
      <w:r>
        <w:tab/>
        <w:t>(a)</w:t>
      </w:r>
      <w:r>
        <w:tab/>
        <w:t>a high risk serious offender;</w:t>
      </w:r>
    </w:p>
    <w:p>
      <w:pPr>
        <w:pStyle w:val="Defpara"/>
      </w:pPr>
      <w:r>
        <w:tab/>
        <w:t>(b)</w:t>
      </w:r>
      <w:r>
        <w:tab/>
        <w:t>a detainee;</w:t>
      </w:r>
    </w:p>
    <w:p>
      <w:pPr>
        <w:pStyle w:val="Defpara"/>
      </w:pPr>
      <w:r>
        <w:tab/>
        <w:t>(c)</w:t>
      </w:r>
      <w:r>
        <w:tab/>
        <w:t>a person subject to an early release order;</w:t>
      </w:r>
    </w:p>
    <w:p>
      <w:pPr>
        <w:pStyle w:val="Defpara"/>
      </w:pPr>
      <w:r>
        <w:tab/>
        <w:t>(d)</w:t>
      </w:r>
      <w:r>
        <w:tab/>
        <w:t>a prisoner;</w:t>
      </w:r>
    </w:p>
    <w:p>
      <w:pPr>
        <w:pStyle w:val="Defpara"/>
      </w:pPr>
      <w:r>
        <w:tab/>
        <w:t>(e)</w:t>
      </w:r>
      <w:r>
        <w:tab/>
        <w:t>a reportable offender;</w:t>
      </w:r>
    </w:p>
    <w:p>
      <w:pPr>
        <w:pStyle w:val="Defpara"/>
      </w:pPr>
      <w:r>
        <w:lastRenderedPageBreak/>
        <w:tab/>
        <w:t>(f)</w:t>
      </w:r>
      <w:r>
        <w:tab/>
        <w:t>a supervised offender;</w:t>
      </w:r>
    </w:p>
    <w:p>
      <w:pPr>
        <w:pStyle w:val="Defpara"/>
      </w:pPr>
      <w:r>
        <w:tab/>
        <w:t>(g)</w:t>
      </w:r>
      <w:r>
        <w:tab/>
        <w:t>a supervised young offender;</w:t>
      </w:r>
    </w:p>
    <w:p>
      <w:pPr>
        <w:pStyle w:val="Defstart"/>
      </w:pPr>
      <w:r>
        <w:tab/>
      </w:r>
      <w:r>
        <w:rPr>
          <w:rStyle w:val="CharDefText"/>
        </w:rPr>
        <w:t>supervised offender</w:t>
      </w:r>
      <w:r>
        <w:t xml:space="preserve"> — </w:t>
      </w:r>
    </w:p>
    <w:p>
      <w:pPr>
        <w:pStyle w:val="Defpara"/>
      </w:pPr>
      <w:r>
        <w:tab/>
        <w:t>(a)</w:t>
      </w:r>
      <w:r>
        <w:tab/>
        <w:t xml:space="preserve">means a person who is subject to an order under which the person is supervised or monitored under the </w:t>
      </w:r>
      <w:r>
        <w:rPr>
          <w:i/>
        </w:rPr>
        <w:t>Sentencing Act 1995</w:t>
      </w:r>
      <w:r>
        <w:t xml:space="preserve">, the </w:t>
      </w:r>
      <w:r>
        <w:rPr>
          <w:i/>
        </w:rPr>
        <w:t>Sentence Administration Act 2003</w:t>
      </w:r>
      <w:r>
        <w:t xml:space="preserve"> or the </w:t>
      </w:r>
      <w:r>
        <w:rPr>
          <w:i/>
        </w:rPr>
        <w:t>Young Offenders Act 1994</w:t>
      </w:r>
      <w:r>
        <w:t>; but</w:t>
      </w:r>
    </w:p>
    <w:p>
      <w:pPr>
        <w:pStyle w:val="Defpara"/>
      </w:pPr>
      <w:r>
        <w:tab/>
        <w:t>(b)</w:t>
      </w:r>
      <w:r>
        <w:tab/>
        <w:t>does not include a supervised young offender or a person subject to an early release order;</w:t>
      </w:r>
    </w:p>
    <w:p>
      <w:pPr>
        <w:pStyle w:val="Defstart"/>
      </w:pPr>
      <w:r>
        <w:tab/>
      </w:r>
      <w:r>
        <w:rPr>
          <w:rStyle w:val="CharDefText"/>
        </w:rPr>
        <w:t>supervised young offender</w:t>
      </w:r>
      <w:r>
        <w:t xml:space="preserve"> means a person who is the subject of a supervised release order as defined in the </w:t>
      </w:r>
      <w:r>
        <w:rPr>
          <w:i/>
        </w:rPr>
        <w:t xml:space="preserve">Young Offenders Act 1994 </w:t>
      </w:r>
      <w:r>
        <w:t>section 3.</w:t>
      </w:r>
    </w:p>
    <w:p>
      <w:pPr>
        <w:pStyle w:val="Footnotesection"/>
      </w:pPr>
      <w:r>
        <w:tab/>
        <w:t>[Section 28A inserted: No. 46 of 2020 s. 4.]</w:t>
      </w:r>
    </w:p>
    <w:p>
      <w:pPr>
        <w:pStyle w:val="Heading3"/>
      </w:pPr>
      <w:bookmarkStart w:id="148" w:name="_Toc198827660"/>
      <w:bookmarkStart w:id="149" w:name="_Toc198908905"/>
      <w:bookmarkStart w:id="150" w:name="_Toc199153740"/>
      <w:bookmarkStart w:id="151" w:name="_Toc216795109"/>
      <w:bookmarkStart w:id="152" w:name="_Toc216795492"/>
      <w:bookmarkStart w:id="153" w:name="_Toc216795647"/>
      <w:bookmarkStart w:id="154" w:name="_Toc216942208"/>
      <w:bookmarkStart w:id="155" w:name="_Toc216942363"/>
      <w:bookmarkStart w:id="156" w:name="_Toc216954892"/>
      <w:r>
        <w:rPr>
          <w:rStyle w:val="CharDivNo"/>
        </w:rPr>
        <w:t>Division 2</w:t>
      </w:r>
      <w:r>
        <w:t> — </w:t>
      </w:r>
      <w:r>
        <w:rPr>
          <w:rStyle w:val="CharDivText"/>
        </w:rPr>
        <w:t>General requirements relating to change of name</w:t>
      </w:r>
      <w:bookmarkEnd w:id="148"/>
      <w:bookmarkEnd w:id="149"/>
      <w:bookmarkEnd w:id="150"/>
      <w:bookmarkEnd w:id="151"/>
      <w:bookmarkEnd w:id="152"/>
      <w:bookmarkEnd w:id="153"/>
      <w:bookmarkEnd w:id="154"/>
      <w:bookmarkEnd w:id="155"/>
      <w:bookmarkEnd w:id="156"/>
    </w:p>
    <w:p>
      <w:pPr>
        <w:pStyle w:val="Footnoteheading"/>
      </w:pPr>
      <w:r>
        <w:tab/>
        <w:t>[Heading inserted: No. 46 of 2020 s. 5.]</w:t>
      </w:r>
    </w:p>
    <w:p>
      <w:pPr>
        <w:pStyle w:val="Heading5"/>
      </w:pPr>
      <w:bookmarkStart w:id="157" w:name="_Toc216954893"/>
      <w:r>
        <w:rPr>
          <w:rStyle w:val="CharSectno"/>
        </w:rPr>
        <w:t>29</w:t>
      </w:r>
      <w:r>
        <w:t>.</w:t>
      </w:r>
      <w:r>
        <w:tab/>
        <w:t>Change of name by registration</w:t>
      </w:r>
      <w:bookmarkEnd w:id="157"/>
    </w:p>
    <w:p>
      <w:pPr>
        <w:pStyle w:val="Subsection"/>
      </w:pPr>
      <w:r>
        <w:tab/>
      </w:r>
      <w:r>
        <w:tab/>
        <w:t>A person’s name may be changed by registration of the change under this Part.</w:t>
      </w:r>
    </w:p>
    <w:p>
      <w:pPr>
        <w:pStyle w:val="Heading5"/>
      </w:pPr>
      <w:bookmarkStart w:id="158" w:name="_Toc216954894"/>
      <w:r>
        <w:rPr>
          <w:rStyle w:val="CharSectno"/>
        </w:rPr>
        <w:t>29A</w:t>
      </w:r>
      <w:r>
        <w:t>.</w:t>
      </w:r>
      <w:r>
        <w:tab/>
        <w:t>Registrar may register change of name despite restrictions</w:t>
      </w:r>
      <w:bookmarkEnd w:id="158"/>
    </w:p>
    <w:p>
      <w:pPr>
        <w:pStyle w:val="Subsection"/>
      </w:pPr>
      <w:r>
        <w:tab/>
        <w:t>(1)</w:t>
      </w:r>
      <w:r>
        <w:tab/>
        <w:t>Despite any restriction imposed by this Division, the Registrar may, on application, register a change of a person’s name if the Registrar is satisfied that —</w:t>
      </w:r>
    </w:p>
    <w:p>
      <w:pPr>
        <w:pStyle w:val="Indenta"/>
      </w:pPr>
      <w:r>
        <w:tab/>
        <w:t>(a)</w:t>
      </w:r>
      <w:r>
        <w:tab/>
        <w:t>the change is for the personal protection of the person; or</w:t>
      </w:r>
    </w:p>
    <w:p>
      <w:pPr>
        <w:pStyle w:val="Indenta"/>
      </w:pPr>
      <w:r>
        <w:tab/>
        <w:t>(b)</w:t>
      </w:r>
      <w:r>
        <w:tab/>
        <w:t>the change is because of the marriage or divorce of the person; or</w:t>
      </w:r>
    </w:p>
    <w:p>
      <w:pPr>
        <w:pStyle w:val="Indenta"/>
      </w:pPr>
      <w:r>
        <w:tab/>
        <w:t>(c)</w:t>
      </w:r>
      <w:r>
        <w:tab/>
        <w:t>the change is justified by exceptional circumstances.</w:t>
      </w:r>
    </w:p>
    <w:p>
      <w:pPr>
        <w:pStyle w:val="Subsection"/>
      </w:pPr>
      <w:r>
        <w:tab/>
        <w:t>(2)</w:t>
      </w:r>
      <w:r>
        <w:tab/>
        <w:t>The Registrar may require the applicant to provide evidence to enable the Registrar to be satisfied under subsection (1).</w:t>
      </w:r>
    </w:p>
    <w:p>
      <w:pPr>
        <w:pStyle w:val="Footnotesection"/>
      </w:pPr>
      <w:r>
        <w:lastRenderedPageBreak/>
        <w:tab/>
        <w:t>[Section 29A inserted: No. 46 of 2020 s. 6.]</w:t>
      </w:r>
    </w:p>
    <w:p>
      <w:pPr>
        <w:pStyle w:val="Heading5"/>
      </w:pPr>
      <w:bookmarkStart w:id="159" w:name="_Toc216954895"/>
      <w:r>
        <w:rPr>
          <w:rStyle w:val="CharSectno"/>
        </w:rPr>
        <w:t>30</w:t>
      </w:r>
      <w:r>
        <w:t>.</w:t>
      </w:r>
      <w:r>
        <w:tab/>
        <w:t>Application to register change of adult’s name</w:t>
      </w:r>
      <w:bookmarkEnd w:id="159"/>
    </w:p>
    <w:p>
      <w:pPr>
        <w:pStyle w:val="Subsection"/>
      </w:pPr>
      <w:r>
        <w:tab/>
        <w:t>(1)</w:t>
      </w:r>
      <w:r>
        <w:tab/>
        <w:t>An adult may apply to the Registrar for registration of a change of the adult’s name if —</w:t>
      </w:r>
    </w:p>
    <w:p>
      <w:pPr>
        <w:pStyle w:val="Indenta"/>
      </w:pPr>
      <w:r>
        <w:tab/>
        <w:t>(a)</w:t>
      </w:r>
      <w:r>
        <w:tab/>
        <w:t>the adult’s birth is registered in the State; or</w:t>
      </w:r>
    </w:p>
    <w:p>
      <w:pPr>
        <w:pStyle w:val="Indenta"/>
      </w:pPr>
      <w:r>
        <w:tab/>
        <w:t>(b)</w:t>
      </w:r>
      <w:r>
        <w:tab/>
        <w:t xml:space="preserve">the adult was born outside Australia and — </w:t>
      </w:r>
    </w:p>
    <w:p>
      <w:pPr>
        <w:pStyle w:val="Indenti"/>
      </w:pPr>
      <w:r>
        <w:tab/>
        <w:t>(i)</w:t>
      </w:r>
      <w:r>
        <w:tab/>
        <w:t>the adult is an Australian citizen or permanent resident; and</w:t>
      </w:r>
    </w:p>
    <w:p>
      <w:pPr>
        <w:pStyle w:val="Indenti"/>
      </w:pPr>
      <w:r>
        <w:tab/>
        <w:t>(ii)</w:t>
      </w:r>
      <w:r>
        <w:tab/>
        <w:t>the adult’s birth is not registered in another State; and</w:t>
      </w:r>
    </w:p>
    <w:p>
      <w:pPr>
        <w:pStyle w:val="Indenti"/>
      </w:pPr>
      <w:r>
        <w:tab/>
        <w:t>(iii)</w:t>
      </w:r>
      <w:r>
        <w:tab/>
        <w:t>the adult has lived in the State for at least 12 consecutive months immediately before the day the application is made.</w:t>
      </w:r>
    </w:p>
    <w:p>
      <w:pPr>
        <w:pStyle w:val="Subsection"/>
      </w:pPr>
      <w:r>
        <w:tab/>
        <w:t>(2)</w:t>
      </w:r>
      <w:r>
        <w:tab/>
        <w:t>The application must be made in the approved form.</w:t>
      </w:r>
    </w:p>
    <w:p>
      <w:pPr>
        <w:pStyle w:val="Subsection"/>
      </w:pPr>
      <w:r>
        <w:tab/>
        <w:t>(3)</w:t>
      </w:r>
      <w:r>
        <w:tab/>
        <w:t>The application must contain a declaration by the applicant setting out whether the applicant is, at the time the application is made, a required declarant.</w:t>
      </w:r>
    </w:p>
    <w:p>
      <w:pPr>
        <w:pStyle w:val="Footnotesection"/>
      </w:pPr>
      <w:r>
        <w:tab/>
        <w:t>[Section 30 inserted: No. 46 of 2020 s. 7.]</w:t>
      </w:r>
    </w:p>
    <w:p>
      <w:pPr>
        <w:pStyle w:val="Heading5"/>
      </w:pPr>
      <w:bookmarkStart w:id="160" w:name="_Toc216954896"/>
      <w:r>
        <w:rPr>
          <w:rStyle w:val="CharSectno"/>
        </w:rPr>
        <w:t>30A</w:t>
      </w:r>
      <w:r>
        <w:t>.</w:t>
      </w:r>
      <w:r>
        <w:tab/>
        <w:t>Restrictions on changes of adult’s name</w:t>
      </w:r>
      <w:bookmarkEnd w:id="160"/>
    </w:p>
    <w:p>
      <w:pPr>
        <w:pStyle w:val="Subsection"/>
      </w:pPr>
      <w:r>
        <w:tab/>
        <w:t>(1)</w:t>
      </w:r>
      <w:r>
        <w:tab/>
        <w:t>The Registrar must not register a change of an adult’s name on an application under section 30 if the Registrar is aware that —</w:t>
      </w:r>
    </w:p>
    <w:p>
      <w:pPr>
        <w:pStyle w:val="Indenta"/>
      </w:pPr>
      <w:r>
        <w:tab/>
        <w:t>(a)</w:t>
      </w:r>
      <w:r>
        <w:tab/>
        <w:t>a change of the adult’s name has been registered (whether in this State or in another State) within the period of 12 months immediately before the day the application is made; or</w:t>
      </w:r>
    </w:p>
    <w:p>
      <w:pPr>
        <w:pStyle w:val="Indenta"/>
      </w:pPr>
      <w:r>
        <w:tab/>
        <w:t>(b)</w:t>
      </w:r>
      <w:r>
        <w:tab/>
        <w:t>3 or more changes of the adult’s name have been registered (whether in this State or in another State).</w:t>
      </w:r>
    </w:p>
    <w:p>
      <w:pPr>
        <w:pStyle w:val="Subsection"/>
      </w:pPr>
      <w:r>
        <w:tab/>
        <w:t>(2)</w:t>
      </w:r>
      <w:r>
        <w:tab/>
        <w:t>When counting the number of changes of name for the purposes of subsection (1)(b), a change of name made before the applicant becomes an adult must not be counted.</w:t>
      </w:r>
    </w:p>
    <w:p>
      <w:pPr>
        <w:pStyle w:val="Footnotesection"/>
      </w:pPr>
      <w:r>
        <w:lastRenderedPageBreak/>
        <w:tab/>
        <w:t>[Section 30A inserted: No. 46 of 2020 s. 7.]</w:t>
      </w:r>
    </w:p>
    <w:p>
      <w:pPr>
        <w:pStyle w:val="Heading5"/>
      </w:pPr>
      <w:bookmarkStart w:id="161" w:name="_Toc216954897"/>
      <w:r>
        <w:rPr>
          <w:rStyle w:val="CharSectno"/>
        </w:rPr>
        <w:t>31</w:t>
      </w:r>
      <w:r>
        <w:t>.</w:t>
      </w:r>
      <w:r>
        <w:tab/>
        <w:t>Application to register change of child’s name</w:t>
      </w:r>
      <w:bookmarkEnd w:id="161"/>
    </w:p>
    <w:p>
      <w:pPr>
        <w:pStyle w:val="Subsection"/>
      </w:pPr>
      <w:r>
        <w:tab/>
        <w:t>(1)</w:t>
      </w:r>
      <w:r>
        <w:tab/>
        <w:t>The parents or guardian of a child may apply to the Registrar for registration of a change of the child’s name if the child’s birth is registered in the State.</w:t>
      </w:r>
    </w:p>
    <w:p>
      <w:pPr>
        <w:pStyle w:val="Subsection"/>
      </w:pPr>
      <w:r>
        <w:tab/>
        <w:t>(2)</w:t>
      </w:r>
      <w:r>
        <w:tab/>
        <w:t xml:space="preserve">The parents or guardian of a child may also apply to the Registrar for registration of a change of the child’s name if — </w:t>
      </w:r>
    </w:p>
    <w:p>
      <w:pPr>
        <w:pStyle w:val="Indenta"/>
      </w:pPr>
      <w:r>
        <w:tab/>
        <w:t>(a)</w:t>
      </w:r>
      <w:r>
        <w:tab/>
        <w:t>the child was born outside Australia; and</w:t>
      </w:r>
    </w:p>
    <w:p>
      <w:pPr>
        <w:pStyle w:val="Indenta"/>
      </w:pPr>
      <w:r>
        <w:tab/>
        <w:t>(b)</w:t>
      </w:r>
      <w:r>
        <w:tab/>
        <w:t>the child is an Australian citizen or permanent resident; and</w:t>
      </w:r>
    </w:p>
    <w:p>
      <w:pPr>
        <w:pStyle w:val="Indenta"/>
      </w:pPr>
      <w:r>
        <w:tab/>
        <w:t>(c)</w:t>
      </w:r>
      <w:r>
        <w:tab/>
        <w:t>the child’s birth is not registered in another State; and</w:t>
      </w:r>
    </w:p>
    <w:p>
      <w:pPr>
        <w:pStyle w:val="Indenta"/>
      </w:pPr>
      <w:r>
        <w:tab/>
        <w:t>(d)</w:t>
      </w:r>
      <w:r>
        <w:tab/>
        <w:t xml:space="preserve">either — </w:t>
      </w:r>
    </w:p>
    <w:p>
      <w:pPr>
        <w:pStyle w:val="Indenti"/>
      </w:pPr>
      <w:r>
        <w:tab/>
        <w:t>(i)</w:t>
      </w:r>
      <w:r>
        <w:tab/>
        <w:t>the application is made within 12 months after the date of the child’s birth and at least 1 of the child’s parents or guardians has lived in the State for at least 12 consecutive months immediately before the day the application is made; or</w:t>
      </w:r>
    </w:p>
    <w:p>
      <w:pPr>
        <w:pStyle w:val="Indenti"/>
      </w:pPr>
      <w:r>
        <w:tab/>
        <w:t>(ii)</w:t>
      </w:r>
      <w:r>
        <w:tab/>
        <w:t>the application is not made within 12 months after the date of the child’s birth and the child has lived in the State for at least 12 consecutive months immediately before the day the application is made.</w:t>
      </w:r>
    </w:p>
    <w:p>
      <w:pPr>
        <w:pStyle w:val="Subsection"/>
      </w:pPr>
      <w:r>
        <w:tab/>
        <w:t>(3)</w:t>
      </w:r>
      <w:r>
        <w:tab/>
        <w:t>An application under subsection (1) or (2) may be made by a child’s guardian if, and only if, the parents of the child are dead, cannot be found or for some other reason cannot exercise their parental responsibilities for the child.</w:t>
      </w:r>
    </w:p>
    <w:p>
      <w:pPr>
        <w:pStyle w:val="Subsection"/>
      </w:pPr>
      <w:r>
        <w:tab/>
        <w:t>(4)</w:t>
      </w:r>
      <w:r>
        <w:tab/>
        <w:t xml:space="preserve">An application under subsection (1) or (2) may be made by 1 parent if, and only if — </w:t>
      </w:r>
    </w:p>
    <w:p>
      <w:pPr>
        <w:pStyle w:val="Indenta"/>
      </w:pPr>
      <w:r>
        <w:tab/>
        <w:t>(a)</w:t>
      </w:r>
      <w:r>
        <w:tab/>
        <w:t>the applicant is the sole parent named in the registration of the child’s birth under this Act or any other law; or</w:t>
      </w:r>
    </w:p>
    <w:p>
      <w:pPr>
        <w:pStyle w:val="Indenta"/>
      </w:pPr>
      <w:r>
        <w:tab/>
        <w:t>(b)</w:t>
      </w:r>
      <w:r>
        <w:tab/>
        <w:t>the child’s other parent has died.</w:t>
      </w:r>
    </w:p>
    <w:p>
      <w:pPr>
        <w:pStyle w:val="Subsection"/>
      </w:pPr>
      <w:r>
        <w:lastRenderedPageBreak/>
        <w:tab/>
        <w:t>(5)</w:t>
      </w:r>
      <w:r>
        <w:tab/>
        <w:t xml:space="preserve">An application under subsection (1) or (2) must — </w:t>
      </w:r>
    </w:p>
    <w:p>
      <w:pPr>
        <w:pStyle w:val="Indenta"/>
      </w:pPr>
      <w:r>
        <w:tab/>
        <w:t>(a)</w:t>
      </w:r>
      <w:r>
        <w:tab/>
        <w:t>be made in the approved form; and</w:t>
      </w:r>
    </w:p>
    <w:p>
      <w:pPr>
        <w:pStyle w:val="Indenta"/>
      </w:pPr>
      <w:r>
        <w:tab/>
        <w:t>(b)</w:t>
      </w:r>
      <w:r>
        <w:tab/>
        <w:t>contain a declaration by the applicant setting out whether the child is, at the time the application is made, a required declarant.</w:t>
      </w:r>
    </w:p>
    <w:p>
      <w:pPr>
        <w:pStyle w:val="Footnotesection"/>
      </w:pPr>
      <w:r>
        <w:tab/>
        <w:t>[Section 31 inserted: No. 46 of 2020 s. 8; amended: No. 31 of 2024 s. 8.]</w:t>
      </w:r>
    </w:p>
    <w:p>
      <w:pPr>
        <w:pStyle w:val="Heading5"/>
      </w:pPr>
      <w:bookmarkStart w:id="162" w:name="_Toc216954898"/>
      <w:r>
        <w:rPr>
          <w:rStyle w:val="CharSectno"/>
        </w:rPr>
        <w:t>32</w:t>
      </w:r>
      <w:r>
        <w:t>.</w:t>
      </w:r>
      <w:r>
        <w:tab/>
        <w:t>Child’s consent to change of name</w:t>
      </w:r>
      <w:bookmarkEnd w:id="162"/>
    </w:p>
    <w:p>
      <w:pPr>
        <w:pStyle w:val="Subsection"/>
      </w:pPr>
      <w:r>
        <w:tab/>
      </w:r>
      <w:r>
        <w:tab/>
        <w:t xml:space="preserve">A change of a name of a child who is 12 years of age or more and in respect of whom an application under section 31 has been made must not be registered unless — </w:t>
      </w:r>
    </w:p>
    <w:p>
      <w:pPr>
        <w:pStyle w:val="Indenta"/>
      </w:pPr>
      <w:r>
        <w:tab/>
        <w:t>(a)</w:t>
      </w:r>
      <w:r>
        <w:tab/>
        <w:t>the child consents to the change of name; or</w:t>
      </w:r>
    </w:p>
    <w:p>
      <w:pPr>
        <w:pStyle w:val="Indenta"/>
      </w:pPr>
      <w:r>
        <w:tab/>
        <w:t>(b)</w:t>
      </w:r>
      <w:r>
        <w:tab/>
        <w:t>the child is unable to understand the meaning and implications of the change of name.</w:t>
      </w:r>
    </w:p>
    <w:p>
      <w:pPr>
        <w:pStyle w:val="Heading5"/>
      </w:pPr>
      <w:bookmarkStart w:id="163" w:name="_Toc216954899"/>
      <w:r>
        <w:rPr>
          <w:rStyle w:val="CharSectno"/>
        </w:rPr>
        <w:t>32A</w:t>
      </w:r>
      <w:r>
        <w:t>.</w:t>
      </w:r>
      <w:r>
        <w:tab/>
        <w:t>Restriction on changes of child’s name</w:t>
      </w:r>
      <w:bookmarkEnd w:id="163"/>
    </w:p>
    <w:p>
      <w:pPr>
        <w:pStyle w:val="Subsection"/>
      </w:pPr>
      <w:r>
        <w:tab/>
        <w:t>(1)</w:t>
      </w:r>
      <w:r>
        <w:tab/>
        <w:t>The Registrar must not register a change of a child’s name on an application under section 31 if a change of the child’s name has been registered (whether in this State or in another State) within the period of 12 months immediately before the day the application is made.</w:t>
      </w:r>
    </w:p>
    <w:p>
      <w:pPr>
        <w:pStyle w:val="Subsection"/>
      </w:pPr>
      <w:r>
        <w:tab/>
        <w:t>(2)</w:t>
      </w:r>
      <w:r>
        <w:tab/>
        <w:t>Subsection (1) does not apply if the change of the child’s name has been registered on an application under section 23 or 33.</w:t>
      </w:r>
    </w:p>
    <w:p>
      <w:pPr>
        <w:pStyle w:val="Footnotesection"/>
      </w:pPr>
      <w:r>
        <w:tab/>
        <w:t>[Section 32A inserted: No. 46 of 2020 s. 9.]</w:t>
      </w:r>
    </w:p>
    <w:p>
      <w:pPr>
        <w:pStyle w:val="Heading5"/>
      </w:pPr>
      <w:bookmarkStart w:id="164" w:name="_Toc216954900"/>
      <w:r>
        <w:rPr>
          <w:rStyle w:val="CharSectno"/>
        </w:rPr>
        <w:t>33</w:t>
      </w:r>
      <w:r>
        <w:t>.</w:t>
      </w:r>
      <w:r>
        <w:tab/>
        <w:t>Application to register change of child’s name approved by Family Court</w:t>
      </w:r>
      <w:bookmarkEnd w:id="164"/>
    </w:p>
    <w:p>
      <w:pPr>
        <w:pStyle w:val="Subsection"/>
      </w:pPr>
      <w:r>
        <w:tab/>
        <w:t>(1)</w:t>
      </w:r>
      <w:r>
        <w:tab/>
        <w:t>If the Family Court has approved the change of a child’s name or names any person may, in an approved form, apply to the Registrar for registration of the change of the child’s name in accordance with the court orders.</w:t>
      </w:r>
    </w:p>
    <w:p>
      <w:pPr>
        <w:pStyle w:val="Subsection"/>
      </w:pPr>
      <w:r>
        <w:lastRenderedPageBreak/>
        <w:tab/>
        <w:t>(2)</w:t>
      </w:r>
      <w:r>
        <w:tab/>
        <w:t>The Registrar must register a change of name made on an application under this section.</w:t>
      </w:r>
    </w:p>
    <w:p>
      <w:pPr>
        <w:pStyle w:val="Heading5"/>
      </w:pPr>
      <w:bookmarkStart w:id="165" w:name="_Toc216954901"/>
      <w:r>
        <w:rPr>
          <w:rStyle w:val="CharSectno"/>
        </w:rPr>
        <w:t>34</w:t>
      </w:r>
      <w:r>
        <w:t>.</w:t>
      </w:r>
      <w:r>
        <w:tab/>
        <w:t>Registration of change of name</w:t>
      </w:r>
      <w:bookmarkEnd w:id="165"/>
    </w:p>
    <w:p>
      <w:pPr>
        <w:pStyle w:val="Subsection"/>
      </w:pPr>
      <w:r>
        <w:tab/>
        <w:t>(1)</w:t>
      </w:r>
      <w:r>
        <w:tab/>
        <w:t xml:space="preserve">Before registering a change of name under this Division, the Registrar may require the applicant to provide evidence to establish to the Registrar’s satisfaction any of the following — </w:t>
      </w:r>
    </w:p>
    <w:p>
      <w:pPr>
        <w:pStyle w:val="Indenta"/>
      </w:pPr>
      <w:r>
        <w:tab/>
        <w:t>(a)</w:t>
      </w:r>
      <w:r>
        <w:tab/>
        <w:t>the identity and age of the person whose name is to be changed;</w:t>
      </w:r>
    </w:p>
    <w:p>
      <w:pPr>
        <w:pStyle w:val="Indenta"/>
      </w:pPr>
      <w:r>
        <w:tab/>
        <w:t>(b)</w:t>
      </w:r>
      <w:r>
        <w:tab/>
        <w:t>that all requirements of this Division have been met;</w:t>
      </w:r>
    </w:p>
    <w:p>
      <w:pPr>
        <w:pStyle w:val="Indenta"/>
      </w:pPr>
      <w:r>
        <w:tab/>
        <w:t>(c)</w:t>
      </w:r>
      <w:r>
        <w:tab/>
        <w:t>that the person whose name is to be changed is not the subject of a pending charge, within or outside the State, of an offence involving fraud or dishonesty and has not been convicted of such an offence;</w:t>
      </w:r>
    </w:p>
    <w:p>
      <w:pPr>
        <w:pStyle w:val="Indenta"/>
      </w:pPr>
      <w:r>
        <w:tab/>
        <w:t>(d)</w:t>
      </w:r>
      <w:r>
        <w:tab/>
        <w:t xml:space="preserve">that the change of name is not sought for the purpose of avoiding the payment of a debt; </w:t>
      </w:r>
    </w:p>
    <w:p>
      <w:pPr>
        <w:pStyle w:val="Indenta"/>
      </w:pPr>
      <w:r>
        <w:tab/>
        <w:t>(e)</w:t>
      </w:r>
      <w:r>
        <w:tab/>
        <w:t xml:space="preserve">that the change of name is not sought for the purpose of preventing the location or identification of the person whose name is to be changed by — </w:t>
      </w:r>
    </w:p>
    <w:p>
      <w:pPr>
        <w:pStyle w:val="Indenti"/>
      </w:pPr>
      <w:r>
        <w:tab/>
        <w:t>(i)</w:t>
      </w:r>
      <w:r>
        <w:tab/>
        <w:t>a government department, agency or organisation of this State, another State or the Commonwealth; or</w:t>
      </w:r>
    </w:p>
    <w:p>
      <w:pPr>
        <w:pStyle w:val="Indenti"/>
      </w:pPr>
      <w:r>
        <w:tab/>
        <w:t>(ii)</w:t>
      </w:r>
      <w:r>
        <w:tab/>
        <w:t>a body or organisation, if the person is required by a written law or a law of another State or the Commonwealth to prove their identity to that body or organisation; or</w:t>
      </w:r>
    </w:p>
    <w:p>
      <w:pPr>
        <w:pStyle w:val="Indenti"/>
      </w:pPr>
      <w:r>
        <w:tab/>
        <w:t>(iii)</w:t>
      </w:r>
      <w:r>
        <w:tab/>
        <w:t>a body or organisation that is required by a written law or a law of another State or the Commonwealth to record the person’s identity;</w:t>
      </w:r>
    </w:p>
    <w:p>
      <w:pPr>
        <w:pStyle w:val="Indenta"/>
      </w:pPr>
      <w:r>
        <w:tab/>
        <w:t>(f)</w:t>
      </w:r>
      <w:r>
        <w:tab/>
        <w:t>that the change of name is not sought for a fraudulent or other improper purpose;</w:t>
      </w:r>
    </w:p>
    <w:p>
      <w:pPr>
        <w:pStyle w:val="Indenta"/>
        <w:keepNext/>
      </w:pPr>
      <w:r>
        <w:lastRenderedPageBreak/>
        <w:tab/>
        <w:t>(g)</w:t>
      </w:r>
      <w:r>
        <w:tab/>
        <w:t xml:space="preserve">if the person whose name is to be changed is a child who is 12 years of age or more, that — </w:t>
      </w:r>
    </w:p>
    <w:p>
      <w:pPr>
        <w:pStyle w:val="Indenti"/>
      </w:pPr>
      <w:r>
        <w:tab/>
        <w:t>(i)</w:t>
      </w:r>
      <w:r>
        <w:tab/>
        <w:t>the child consents to the change of name; or</w:t>
      </w:r>
    </w:p>
    <w:p>
      <w:pPr>
        <w:pStyle w:val="Indenti"/>
      </w:pPr>
      <w:r>
        <w:tab/>
        <w:t>(ii)</w:t>
      </w:r>
      <w:r>
        <w:tab/>
        <w:t>the child is unable to understand the meaning and implications of the change of name.</w:t>
      </w:r>
    </w:p>
    <w:p>
      <w:pPr>
        <w:pStyle w:val="Subsection"/>
      </w:pPr>
      <w:r>
        <w:tab/>
        <w:t>(2)</w:t>
      </w:r>
      <w:r>
        <w:tab/>
        <w:t>If the Registrar is satisfied that the name of a person whose birth is registered in the State has been changed under the law, or by order of a court, of another State or of the Commonwealth, the change of name may be registered under this Act if the Registrar considers that it is appropriate to do so.</w:t>
      </w:r>
    </w:p>
    <w:p>
      <w:pPr>
        <w:pStyle w:val="Subsection"/>
      </w:pPr>
      <w:r>
        <w:tab/>
        <w:t>(3)</w:t>
      </w:r>
      <w:r>
        <w:tab/>
        <w:t xml:space="preserve">The Registrar may refuse to register a change of name if — </w:t>
      </w:r>
    </w:p>
    <w:p>
      <w:pPr>
        <w:pStyle w:val="Indenta"/>
      </w:pPr>
      <w:r>
        <w:tab/>
        <w:t>(a)</w:t>
      </w:r>
      <w:r>
        <w:tab/>
        <w:t>as a result of the change, the name would become a prohibited name; or</w:t>
      </w:r>
    </w:p>
    <w:p>
      <w:pPr>
        <w:pStyle w:val="Indenta"/>
      </w:pPr>
      <w:r>
        <w:tab/>
        <w:t>(b)</w:t>
      </w:r>
      <w:r>
        <w:tab/>
        <w:t>the Registrar is not satisfied that any of the matters set out in subsection (1)(a) to (g) have been established.</w:t>
      </w:r>
    </w:p>
    <w:p>
      <w:pPr>
        <w:pStyle w:val="Subsection"/>
      </w:pPr>
      <w:r>
        <w:tab/>
        <w:t>(4)</w:t>
      </w:r>
      <w:r>
        <w:tab/>
        <w:t>This section does not apply to an application under section 33.</w:t>
      </w:r>
    </w:p>
    <w:p>
      <w:pPr>
        <w:pStyle w:val="Footnotesection"/>
      </w:pPr>
      <w:r>
        <w:tab/>
        <w:t>[Section 34 amended: No. 46 of 2020 s. 10.]</w:t>
      </w:r>
    </w:p>
    <w:p>
      <w:pPr>
        <w:pStyle w:val="Heading5"/>
      </w:pPr>
      <w:bookmarkStart w:id="166" w:name="_Toc216954902"/>
      <w:r>
        <w:rPr>
          <w:rStyle w:val="CharSectno"/>
        </w:rPr>
        <w:t>35</w:t>
      </w:r>
      <w:r>
        <w:t>.</w:t>
      </w:r>
      <w:r>
        <w:tab/>
        <w:t>Entries to be made in the Register</w:t>
      </w:r>
      <w:bookmarkEnd w:id="166"/>
    </w:p>
    <w:p>
      <w:pPr>
        <w:pStyle w:val="Subsection"/>
      </w:pPr>
      <w:r>
        <w:tab/>
        <w:t>(1)</w:t>
      </w:r>
      <w:r>
        <w:tab/>
        <w:t>The Registrar is to register a change of name by making an entry about the change of name in the Register including such particulars as the Registrar considers appropriate to register the change of name.</w:t>
      </w:r>
    </w:p>
    <w:p>
      <w:pPr>
        <w:pStyle w:val="Subsection"/>
      </w:pPr>
      <w:r>
        <w:tab/>
        <w:t>(2)</w:t>
      </w:r>
      <w:r>
        <w:tab/>
        <w:t>If the birth of the person whose name has been changed is registered under this Act, the Registrar may note the change of name in the entry relating to the birth.</w:t>
      </w:r>
    </w:p>
    <w:p>
      <w:pPr>
        <w:pStyle w:val="Ednotesubsection"/>
      </w:pPr>
      <w:r>
        <w:tab/>
        <w:t>[(3)</w:t>
      </w:r>
      <w:r>
        <w:tab/>
        <w:t>deleted]</w:t>
      </w:r>
    </w:p>
    <w:p>
      <w:pPr>
        <w:pStyle w:val="Subsection"/>
      </w:pPr>
      <w:r>
        <w:tab/>
        <w:t>(4)</w:t>
      </w:r>
      <w:r>
        <w:tab/>
        <w:t>If the change of name is noted in the Register under subsection (2), a birth certificate issued by the Registrar for the person must show the person’s name as changed under this Part.</w:t>
      </w:r>
    </w:p>
    <w:p>
      <w:pPr>
        <w:pStyle w:val="Footnotesection"/>
      </w:pPr>
      <w:r>
        <w:tab/>
        <w:t>[Section 35 amended: No. 46 of 2020 s. 11.]</w:t>
      </w:r>
    </w:p>
    <w:p>
      <w:pPr>
        <w:pStyle w:val="Heading5"/>
      </w:pPr>
      <w:bookmarkStart w:id="167" w:name="_Toc216954903"/>
      <w:r>
        <w:rPr>
          <w:rStyle w:val="CharSectno"/>
        </w:rPr>
        <w:lastRenderedPageBreak/>
        <w:t>35A</w:t>
      </w:r>
      <w:r>
        <w:t>.</w:t>
      </w:r>
      <w:r>
        <w:tab/>
        <w:t>Registrar must inform certain registering authorities</w:t>
      </w:r>
      <w:bookmarkEnd w:id="167"/>
    </w:p>
    <w:p>
      <w:pPr>
        <w:pStyle w:val="Subsection"/>
      </w:pPr>
      <w:r>
        <w:tab/>
        <w:t>(1)</w:t>
      </w:r>
      <w:r>
        <w:tab/>
        <w:t>If the Registrar registers a change of a person’s name and the person’s birth was registered by a registering authority, the Registrar must inform the authority of the change and give the authority sufficient information to identify the person.</w:t>
      </w:r>
    </w:p>
    <w:p>
      <w:pPr>
        <w:pStyle w:val="Subsection"/>
      </w:pPr>
      <w:r>
        <w:tab/>
        <w:t>(2)</w:t>
      </w:r>
      <w:r>
        <w:tab/>
        <w:t>The Registrar must not comply with subsection (1) if, in the Registrar’s opinion, informing the authority of the change of the person’s name would pose a risk to the safety of the person.</w:t>
      </w:r>
    </w:p>
    <w:p>
      <w:pPr>
        <w:pStyle w:val="Footnotesection"/>
      </w:pPr>
      <w:r>
        <w:tab/>
        <w:t>[Section 35A inserted: No. 46 of 2020 s. 12.]</w:t>
      </w:r>
    </w:p>
    <w:p>
      <w:pPr>
        <w:pStyle w:val="Heading5"/>
      </w:pPr>
      <w:bookmarkStart w:id="168" w:name="_Toc216954904"/>
      <w:r>
        <w:rPr>
          <w:rStyle w:val="CharSectno"/>
        </w:rPr>
        <w:t>35B</w:t>
      </w:r>
      <w:r>
        <w:t>.</w:t>
      </w:r>
      <w:r>
        <w:tab/>
        <w:t>Registrar may inform prescribed public authorities</w:t>
      </w:r>
      <w:bookmarkEnd w:id="168"/>
    </w:p>
    <w:p>
      <w:pPr>
        <w:pStyle w:val="Subsection"/>
      </w:pPr>
      <w:r>
        <w:tab/>
        <w:t>(1)</w:t>
      </w:r>
      <w:r>
        <w:tab/>
        <w:t xml:space="preserve">In this section — </w:t>
      </w:r>
    </w:p>
    <w:p>
      <w:pPr>
        <w:pStyle w:val="Defstart"/>
      </w:pPr>
      <w:r>
        <w:tab/>
      </w:r>
      <w:r>
        <w:rPr>
          <w:rStyle w:val="CharDefText"/>
        </w:rPr>
        <w:t>public authority</w:t>
      </w:r>
      <w:r>
        <w:t xml:space="preserve"> means — </w:t>
      </w:r>
    </w:p>
    <w:p>
      <w:pPr>
        <w:pStyle w:val="Defpara"/>
      </w:pPr>
      <w:r>
        <w:tab/>
        <w:t>(a)</w:t>
      </w:r>
      <w:r>
        <w:tab/>
        <w:t>a government department, agency or organisation of this State, another State or the Commonwealth; or</w:t>
      </w:r>
    </w:p>
    <w:p>
      <w:pPr>
        <w:pStyle w:val="Defpara"/>
      </w:pPr>
      <w:r>
        <w:tab/>
        <w:t>(b)</w:t>
      </w:r>
      <w:r>
        <w:tab/>
        <w:t>a body, corporate or unincorporate, that is established or continued for a public purpose by this State, another State or the Commonwealth, regardless of the way it is established; or</w:t>
      </w:r>
    </w:p>
    <w:p>
      <w:pPr>
        <w:pStyle w:val="Defpara"/>
      </w:pPr>
      <w:r>
        <w:tab/>
        <w:t>(c)</w:t>
      </w:r>
      <w:r>
        <w:tab/>
        <w:t>a body, corporate or unincorporate, in another country that has similar functions to the functions of the Registrar under this Part.</w:t>
      </w:r>
    </w:p>
    <w:p>
      <w:pPr>
        <w:pStyle w:val="Subsection"/>
      </w:pPr>
      <w:r>
        <w:tab/>
        <w:t>(2)</w:t>
      </w:r>
      <w:r>
        <w:tab/>
        <w:t>If the Registrar registers a change of a person’s name, the Registrar may inform a prescribed public authority of the change and give the authority sufficient information to identify the person.</w:t>
      </w:r>
    </w:p>
    <w:p>
      <w:pPr>
        <w:pStyle w:val="Footnotesection"/>
      </w:pPr>
      <w:r>
        <w:tab/>
        <w:t>[Section 35B inserted: No. 46 of 2020 s. 12.]</w:t>
      </w:r>
    </w:p>
    <w:p>
      <w:pPr>
        <w:pStyle w:val="Heading5"/>
      </w:pPr>
      <w:bookmarkStart w:id="169" w:name="_Toc216954905"/>
      <w:r>
        <w:rPr>
          <w:rStyle w:val="CharSectno"/>
        </w:rPr>
        <w:t>36</w:t>
      </w:r>
      <w:r>
        <w:t>.</w:t>
      </w:r>
      <w:r>
        <w:tab/>
        <w:t>Change of name may be established by repute or usage</w:t>
      </w:r>
      <w:bookmarkEnd w:id="169"/>
    </w:p>
    <w:p>
      <w:pPr>
        <w:pStyle w:val="Subsection"/>
      </w:pPr>
      <w:r>
        <w:tab/>
      </w:r>
      <w:r>
        <w:tab/>
        <w:t>This Part does not prevent a change of name by repute or usage if the change is made after the commencement of this Act.</w:t>
      </w:r>
    </w:p>
    <w:p>
      <w:pPr>
        <w:pStyle w:val="Heading3"/>
      </w:pPr>
      <w:bookmarkStart w:id="170" w:name="_Toc198827674"/>
      <w:bookmarkStart w:id="171" w:name="_Toc198908919"/>
      <w:bookmarkStart w:id="172" w:name="_Toc199153754"/>
      <w:bookmarkStart w:id="173" w:name="_Toc216795123"/>
      <w:bookmarkStart w:id="174" w:name="_Toc216795506"/>
      <w:bookmarkStart w:id="175" w:name="_Toc216795661"/>
      <w:bookmarkStart w:id="176" w:name="_Toc216942222"/>
      <w:bookmarkStart w:id="177" w:name="_Toc216942377"/>
      <w:bookmarkStart w:id="178" w:name="_Toc216954906"/>
      <w:r>
        <w:rPr>
          <w:rStyle w:val="CharDivNo"/>
        </w:rPr>
        <w:lastRenderedPageBreak/>
        <w:t>Division 3</w:t>
      </w:r>
      <w:r>
        <w:t> — </w:t>
      </w:r>
      <w:r>
        <w:rPr>
          <w:rStyle w:val="CharDivText"/>
        </w:rPr>
        <w:t>Change of name restrictions for restricted persons</w:t>
      </w:r>
      <w:bookmarkEnd w:id="170"/>
      <w:bookmarkEnd w:id="171"/>
      <w:bookmarkEnd w:id="172"/>
      <w:bookmarkEnd w:id="173"/>
      <w:bookmarkEnd w:id="174"/>
      <w:bookmarkEnd w:id="175"/>
      <w:bookmarkEnd w:id="176"/>
      <w:bookmarkEnd w:id="177"/>
      <w:bookmarkEnd w:id="178"/>
    </w:p>
    <w:p>
      <w:pPr>
        <w:pStyle w:val="Heading5"/>
      </w:pPr>
      <w:bookmarkStart w:id="179" w:name="_Toc216954907"/>
      <w:r>
        <w:rPr>
          <w:rStyle w:val="CharSectno"/>
        </w:rPr>
        <w:t>36A</w:t>
      </w:r>
      <w:r>
        <w:t>.</w:t>
      </w:r>
      <w:r>
        <w:tab/>
        <w:t>Terms used</w:t>
      </w:r>
      <w:bookmarkEnd w:id="179"/>
    </w:p>
    <w:p>
      <w:pPr>
        <w:pStyle w:val="Subsection"/>
      </w:pPr>
      <w:r>
        <w:tab/>
      </w:r>
      <w:r>
        <w:tab/>
        <w:t xml:space="preserve">In this Division — </w:t>
      </w:r>
    </w:p>
    <w:p>
      <w:pPr>
        <w:pStyle w:val="Defstart"/>
      </w:pPr>
      <w:r>
        <w:tab/>
      </w:r>
      <w:r>
        <w:rPr>
          <w:rStyle w:val="CharDefText"/>
        </w:rPr>
        <w:t>restricted person</w:t>
      </w:r>
      <w:r>
        <w:t xml:space="preserve"> means a person, other than a reportable offender, who is any of the following —</w:t>
      </w:r>
    </w:p>
    <w:p>
      <w:pPr>
        <w:pStyle w:val="Defpara"/>
      </w:pPr>
      <w:r>
        <w:tab/>
        <w:t>(a)</w:t>
      </w:r>
      <w:r>
        <w:tab/>
        <w:t>a high risk serious offender;</w:t>
      </w:r>
    </w:p>
    <w:p>
      <w:pPr>
        <w:pStyle w:val="Defpara"/>
      </w:pPr>
      <w:r>
        <w:tab/>
        <w:t>(b)</w:t>
      </w:r>
      <w:r>
        <w:tab/>
        <w:t>a detainee;</w:t>
      </w:r>
    </w:p>
    <w:p>
      <w:pPr>
        <w:pStyle w:val="Defpara"/>
      </w:pPr>
      <w:r>
        <w:tab/>
        <w:t>(c)</w:t>
      </w:r>
      <w:r>
        <w:tab/>
        <w:t>a person subject to an early release order;</w:t>
      </w:r>
    </w:p>
    <w:p>
      <w:pPr>
        <w:pStyle w:val="Defpara"/>
      </w:pPr>
      <w:r>
        <w:tab/>
        <w:t>(d)</w:t>
      </w:r>
      <w:r>
        <w:tab/>
        <w:t>a prisoner;</w:t>
      </w:r>
    </w:p>
    <w:p>
      <w:pPr>
        <w:pStyle w:val="Defpara"/>
      </w:pPr>
      <w:r>
        <w:tab/>
        <w:t>(e)</w:t>
      </w:r>
      <w:r>
        <w:tab/>
        <w:t>a supervised offender;</w:t>
      </w:r>
    </w:p>
    <w:p>
      <w:pPr>
        <w:pStyle w:val="Defpara"/>
      </w:pPr>
      <w:r>
        <w:tab/>
        <w:t>(f)</w:t>
      </w:r>
      <w:r>
        <w:tab/>
        <w:t>a supervised young offender;</w:t>
      </w:r>
    </w:p>
    <w:p>
      <w:pPr>
        <w:pStyle w:val="PermNoteHeading"/>
      </w:pPr>
      <w:r>
        <w:tab/>
        <w:t>Note for this definition:</w:t>
      </w:r>
    </w:p>
    <w:p>
      <w:pPr>
        <w:pStyle w:val="PermNoteText"/>
      </w:pPr>
      <w:r>
        <w:tab/>
      </w:r>
      <w:r>
        <w:tab/>
        <w:t xml:space="preserve">The </w:t>
      </w:r>
      <w:r>
        <w:rPr>
          <w:i/>
        </w:rPr>
        <w:t>Community Protection (Offender Reporting) Act 2004</w:t>
      </w:r>
      <w:r>
        <w:t xml:space="preserve"> Part 4A is relevant to changing the name of a person who is a reportable offender.</w:t>
      </w:r>
    </w:p>
    <w:p>
      <w:pPr>
        <w:pStyle w:val="Defstart"/>
      </w:pPr>
      <w:r>
        <w:tab/>
      </w:r>
      <w:r>
        <w:rPr>
          <w:rStyle w:val="CharDefText"/>
        </w:rPr>
        <w:t>supervisory authority</w:t>
      </w:r>
      <w:r>
        <w:t xml:space="preserve"> means — </w:t>
      </w:r>
    </w:p>
    <w:p>
      <w:pPr>
        <w:pStyle w:val="Defpara"/>
      </w:pPr>
      <w:r>
        <w:tab/>
        <w:t>(a)</w:t>
      </w:r>
      <w:r>
        <w:tab/>
        <w:t xml:space="preserve">for a high risk serious offender, the chief executive officer of the department principally assisting in the administration of the </w:t>
      </w:r>
      <w:r>
        <w:rPr>
          <w:i/>
        </w:rPr>
        <w:t xml:space="preserve">High Risk Serious Offenders Act 2020 </w:t>
      </w:r>
      <w:r>
        <w:t>Part 4 Division 2; or</w:t>
      </w:r>
    </w:p>
    <w:p>
      <w:pPr>
        <w:pStyle w:val="Defpara"/>
      </w:pPr>
      <w:r>
        <w:tab/>
        <w:t>(b)</w:t>
      </w:r>
      <w:r>
        <w:tab/>
        <w:t xml:space="preserve">for a detainee, the chief executive officer as defined in the </w:t>
      </w:r>
      <w:r>
        <w:rPr>
          <w:i/>
        </w:rPr>
        <w:t xml:space="preserve">Young Offenders Act 1994 </w:t>
      </w:r>
      <w:r>
        <w:t>section 3; or</w:t>
      </w:r>
    </w:p>
    <w:p>
      <w:pPr>
        <w:pStyle w:val="Defpara"/>
      </w:pPr>
      <w:r>
        <w:tab/>
        <w:t>(c)</w:t>
      </w:r>
      <w:r>
        <w:tab/>
        <w:t xml:space="preserve">for a person subject to an early release order, the Prisoners Review Board established under the </w:t>
      </w:r>
      <w:r>
        <w:rPr>
          <w:i/>
        </w:rPr>
        <w:t>Sentence Administration Act 2003</w:t>
      </w:r>
      <w:r>
        <w:t xml:space="preserve"> section 102(1); or</w:t>
      </w:r>
    </w:p>
    <w:p>
      <w:pPr>
        <w:pStyle w:val="Defpara"/>
      </w:pPr>
      <w:r>
        <w:tab/>
        <w:t>(d)</w:t>
      </w:r>
      <w:r>
        <w:tab/>
        <w:t xml:space="preserve">for a prisoner, the chief executive officer as defined in the </w:t>
      </w:r>
      <w:r>
        <w:rPr>
          <w:i/>
        </w:rPr>
        <w:t>Prisons Act 1981</w:t>
      </w:r>
      <w:r>
        <w:t xml:space="preserve"> section 3(1); or</w:t>
      </w:r>
    </w:p>
    <w:p>
      <w:pPr>
        <w:pStyle w:val="Defpara"/>
      </w:pPr>
      <w:r>
        <w:tab/>
        <w:t>(e)</w:t>
      </w:r>
      <w:r>
        <w:tab/>
        <w:t>for a supervised offender, the chief executive officer of the department principally assisting in the administration of the provision of the Act under which the supervised offender is supervised or monitored; or</w:t>
      </w:r>
    </w:p>
    <w:p>
      <w:pPr>
        <w:pStyle w:val="Defpara"/>
      </w:pPr>
      <w:r>
        <w:lastRenderedPageBreak/>
        <w:tab/>
        <w:t>(f)</w:t>
      </w:r>
      <w:r>
        <w:tab/>
        <w:t xml:space="preserve">for a supervised young offender, the Supervised Release Review Board established under the </w:t>
      </w:r>
      <w:r>
        <w:rPr>
          <w:i/>
        </w:rPr>
        <w:t>Young Offenders Act 1994</w:t>
      </w:r>
      <w:r>
        <w:t xml:space="preserve"> section 151(1).</w:t>
      </w:r>
    </w:p>
    <w:p>
      <w:pPr>
        <w:pStyle w:val="Footnotesection"/>
      </w:pPr>
      <w:r>
        <w:tab/>
        <w:t>[Section 36A inserted: No. 46 of 2020 s. 13.]</w:t>
      </w:r>
    </w:p>
    <w:p>
      <w:pPr>
        <w:pStyle w:val="Heading5"/>
      </w:pPr>
      <w:bookmarkStart w:id="180" w:name="_Toc216954908"/>
      <w:r>
        <w:rPr>
          <w:rStyle w:val="CharSectno"/>
        </w:rPr>
        <w:t>36B</w:t>
      </w:r>
      <w:r>
        <w:t>.</w:t>
      </w:r>
      <w:r>
        <w:tab/>
        <w:t>Registrar not to register name change without approval</w:t>
      </w:r>
      <w:bookmarkEnd w:id="180"/>
    </w:p>
    <w:p>
      <w:pPr>
        <w:pStyle w:val="Subsection"/>
      </w:pPr>
      <w:r>
        <w:tab/>
        <w:t>(1)</w:t>
      </w:r>
      <w:r>
        <w:tab/>
        <w:t>The Registrar must not register a change of a restricted person’s name on an application unless the Registrar has been given a copy of the written approval for the application by the supervisory authority for the person.</w:t>
      </w:r>
    </w:p>
    <w:p>
      <w:pPr>
        <w:pStyle w:val="Subsection"/>
      </w:pPr>
      <w:r>
        <w:tab/>
        <w:t>(2)</w:t>
      </w:r>
      <w:r>
        <w:tab/>
        <w:t>Subsection (1) does not apply if the Registrar receives an application under section 33.</w:t>
      </w:r>
    </w:p>
    <w:p>
      <w:pPr>
        <w:pStyle w:val="Footnotesection"/>
      </w:pPr>
      <w:r>
        <w:tab/>
        <w:t>[Section 36B inserted: No. 46 of 2020 s. 13.]</w:t>
      </w:r>
    </w:p>
    <w:p>
      <w:pPr>
        <w:pStyle w:val="Heading5"/>
      </w:pPr>
      <w:bookmarkStart w:id="181" w:name="_Toc216954909"/>
      <w:r>
        <w:rPr>
          <w:rStyle w:val="CharSectno"/>
        </w:rPr>
        <w:t>36C</w:t>
      </w:r>
      <w:r>
        <w:t>.</w:t>
      </w:r>
      <w:r>
        <w:tab/>
        <w:t>Restricted person not to apply to change name</w:t>
      </w:r>
      <w:bookmarkEnd w:id="181"/>
    </w:p>
    <w:p>
      <w:pPr>
        <w:pStyle w:val="Subsection"/>
      </w:pPr>
      <w:r>
        <w:tab/>
        <w:t>(1)</w:t>
      </w:r>
      <w:r>
        <w:tab/>
        <w:t xml:space="preserve">A restricted person must not do any of the following, unless the person has obtained the written approval of the supervisory authority for the person — </w:t>
      </w:r>
    </w:p>
    <w:p>
      <w:pPr>
        <w:pStyle w:val="Indenta"/>
      </w:pPr>
      <w:r>
        <w:tab/>
        <w:t>(a)</w:t>
      </w:r>
      <w:r>
        <w:tab/>
        <w:t>apply, under this Act, to the Registrar for registration of a change of the person’s name;</w:t>
      </w:r>
    </w:p>
    <w:p>
      <w:pPr>
        <w:pStyle w:val="Indenta"/>
      </w:pPr>
      <w:r>
        <w:tab/>
        <w:t>(b)</w:t>
      </w:r>
      <w:r>
        <w:tab/>
        <w:t>apply to a registering authority for registration of a change of the person’s name.</w:t>
      </w:r>
    </w:p>
    <w:p>
      <w:pPr>
        <w:pStyle w:val="Penstart"/>
      </w:pPr>
      <w:r>
        <w:tab/>
        <w:t>Penalty for this subsection: imprisonment for 2 years and a fine of $12 000.</w:t>
      </w:r>
    </w:p>
    <w:p>
      <w:pPr>
        <w:pStyle w:val="Subsection"/>
      </w:pPr>
      <w:r>
        <w:tab/>
        <w:t>(2)</w:t>
      </w:r>
      <w:r>
        <w:tab/>
        <w:t>Subsection (1) does not apply to an application made under section 33.</w:t>
      </w:r>
    </w:p>
    <w:p>
      <w:pPr>
        <w:pStyle w:val="Footnotesection"/>
      </w:pPr>
      <w:r>
        <w:tab/>
        <w:t>[Section 36C inserted: No. 46 of 2020 s. 13; amended: No. 31 of 2024 s. 9.]</w:t>
      </w:r>
    </w:p>
    <w:p>
      <w:pPr>
        <w:pStyle w:val="Heading5"/>
      </w:pPr>
      <w:bookmarkStart w:id="182" w:name="_Toc216954910"/>
      <w:r>
        <w:rPr>
          <w:rStyle w:val="CharSectno"/>
        </w:rPr>
        <w:t>36D</w:t>
      </w:r>
      <w:r>
        <w:t>.</w:t>
      </w:r>
      <w:r>
        <w:tab/>
        <w:t>Person not to apply to change restricted person’s name</w:t>
      </w:r>
      <w:bookmarkEnd w:id="182"/>
    </w:p>
    <w:p>
      <w:pPr>
        <w:pStyle w:val="Subsection"/>
      </w:pPr>
      <w:r>
        <w:tab/>
        <w:t>(1)</w:t>
      </w:r>
      <w:r>
        <w:tab/>
        <w:t xml:space="preserve">A person (the </w:t>
      </w:r>
      <w:r>
        <w:rPr>
          <w:rStyle w:val="CharDefText"/>
        </w:rPr>
        <w:t>applicant</w:t>
      </w:r>
      <w:r>
        <w:t xml:space="preserve">) must not, in respect of a restricted person, do any of the following, unless the applicant has </w:t>
      </w:r>
      <w:r>
        <w:lastRenderedPageBreak/>
        <w:t xml:space="preserve">obtained the written approval of the supervisory authority for the restricted person — </w:t>
      </w:r>
    </w:p>
    <w:p>
      <w:pPr>
        <w:pStyle w:val="Indenta"/>
      </w:pPr>
      <w:r>
        <w:tab/>
        <w:t>(a)</w:t>
      </w:r>
      <w:r>
        <w:tab/>
        <w:t>apply, under this Act, to the Registrar for registration of a change of the restricted person’s name;</w:t>
      </w:r>
    </w:p>
    <w:p>
      <w:pPr>
        <w:pStyle w:val="Indenta"/>
      </w:pPr>
      <w:r>
        <w:tab/>
        <w:t>(b)</w:t>
      </w:r>
      <w:r>
        <w:tab/>
        <w:t>apply to a registering authority for registration of a change of the restricted person’s name.</w:t>
      </w:r>
    </w:p>
    <w:p>
      <w:pPr>
        <w:pStyle w:val="Penstart"/>
      </w:pPr>
      <w:r>
        <w:tab/>
        <w:t>Penalty for this subsection: imprisonment for 2 years and a fine of $12 000.</w:t>
      </w:r>
    </w:p>
    <w:p>
      <w:pPr>
        <w:pStyle w:val="Subsection"/>
      </w:pPr>
      <w:r>
        <w:tab/>
        <w:t>(2)</w:t>
      </w:r>
      <w:r>
        <w:tab/>
        <w:t>Subsection (1) does not apply to an application made under section 33.</w:t>
      </w:r>
    </w:p>
    <w:p>
      <w:pPr>
        <w:pStyle w:val="Footnotesection"/>
      </w:pPr>
      <w:r>
        <w:tab/>
        <w:t>[Section 36D inserted: No. 46 of 2020 s. 13; amended: No. 31 of 2024 s. 10.]</w:t>
      </w:r>
    </w:p>
    <w:p>
      <w:pPr>
        <w:pStyle w:val="Heading5"/>
      </w:pPr>
      <w:bookmarkStart w:id="183" w:name="_Toc216954911"/>
      <w:r>
        <w:rPr>
          <w:rStyle w:val="CharSectno"/>
        </w:rPr>
        <w:t>36E</w:t>
      </w:r>
      <w:r>
        <w:t>.</w:t>
      </w:r>
      <w:r>
        <w:tab/>
        <w:t>Approval by supervisory authority</w:t>
      </w:r>
      <w:bookmarkEnd w:id="183"/>
    </w:p>
    <w:p>
      <w:pPr>
        <w:pStyle w:val="Subsection"/>
      </w:pPr>
      <w:r>
        <w:tab/>
        <w:t>(1)</w:t>
      </w:r>
      <w:r>
        <w:tab/>
        <w:t xml:space="preserve">In this section — </w:t>
      </w:r>
    </w:p>
    <w:p>
      <w:pPr>
        <w:pStyle w:val="Defstart"/>
      </w:pPr>
      <w:r>
        <w:tab/>
      </w:r>
      <w:r>
        <w:rPr>
          <w:rStyle w:val="CharDefText"/>
        </w:rPr>
        <w:t>change of name application</w:t>
      </w:r>
      <w:r>
        <w:t xml:space="preserve"> means an application proposed to be made by or in respect of a restricted person for the registration of a change of the person’s name.</w:t>
      </w:r>
    </w:p>
    <w:p>
      <w:pPr>
        <w:pStyle w:val="Subsection"/>
      </w:pPr>
      <w:r>
        <w:tab/>
        <w:t>(2)</w:t>
      </w:r>
      <w:r>
        <w:tab/>
        <w:t>A person may apply to a supervisory authority for approval to make a change of name application.</w:t>
      </w:r>
    </w:p>
    <w:p>
      <w:pPr>
        <w:pStyle w:val="Subsection"/>
      </w:pPr>
      <w:r>
        <w:tab/>
        <w:t>(3)</w:t>
      </w:r>
      <w:r>
        <w:tab/>
        <w:t>The application for approval must be made in a manner approved by the supervisory authority.</w:t>
      </w:r>
    </w:p>
    <w:p>
      <w:pPr>
        <w:pStyle w:val="Subsection"/>
      </w:pPr>
      <w:r>
        <w:tab/>
        <w:t>(4)</w:t>
      </w:r>
      <w:r>
        <w:tab/>
        <w:t>A supervisory authority may only approve the making of a change of name application if the authority is satisfied that the change of name is in all the circumstances necessary or reasonable.</w:t>
      </w:r>
    </w:p>
    <w:p>
      <w:pPr>
        <w:pStyle w:val="Subsection"/>
      </w:pPr>
      <w:r>
        <w:tab/>
        <w:t>(5)</w:t>
      </w:r>
      <w:r>
        <w:tab/>
        <w:t xml:space="preserve">A supervisory authority must not approve the making of a change of name application if the authority is satisfied that the change of name is reasonably likely — </w:t>
      </w:r>
    </w:p>
    <w:p>
      <w:pPr>
        <w:pStyle w:val="Indenta"/>
      </w:pPr>
      <w:r>
        <w:lastRenderedPageBreak/>
        <w:tab/>
        <w:t>(a)</w:t>
      </w:r>
      <w:r>
        <w:tab/>
        <w:t>if the restricted person is detained, to have an adverse effect on the security, discipline or good order of the place in which the restricted person is detained; or</w:t>
      </w:r>
    </w:p>
    <w:p>
      <w:pPr>
        <w:pStyle w:val="Indenta"/>
      </w:pPr>
      <w:r>
        <w:tab/>
        <w:t>(b)</w:t>
      </w:r>
      <w:r>
        <w:tab/>
        <w:t>to be regarded as offensive by a victim of crime or a significant sector of the community; or</w:t>
      </w:r>
    </w:p>
    <w:p>
      <w:pPr>
        <w:pStyle w:val="Indenta"/>
      </w:pPr>
      <w:r>
        <w:tab/>
        <w:t>(c)</w:t>
      </w:r>
      <w:r>
        <w:tab/>
        <w:t xml:space="preserve">to frustrate the administration of any of the following Acts — </w:t>
      </w:r>
    </w:p>
    <w:p>
      <w:pPr>
        <w:pStyle w:val="Indenti"/>
      </w:pPr>
      <w:r>
        <w:tab/>
        <w:t>(i)</w:t>
      </w:r>
      <w:r>
        <w:tab/>
        <w:t xml:space="preserve">the </w:t>
      </w:r>
      <w:r>
        <w:rPr>
          <w:i/>
        </w:rPr>
        <w:t>High Risk Serious Offenders Act 2020</w:t>
      </w:r>
      <w:r>
        <w:t>;</w:t>
      </w:r>
    </w:p>
    <w:p>
      <w:pPr>
        <w:pStyle w:val="Indenti"/>
      </w:pPr>
      <w:r>
        <w:tab/>
        <w:t>(ii)</w:t>
      </w:r>
      <w:r>
        <w:tab/>
        <w:t xml:space="preserve">the </w:t>
      </w:r>
      <w:r>
        <w:rPr>
          <w:i/>
        </w:rPr>
        <w:t>Prisons Act 1981</w:t>
      </w:r>
      <w:r>
        <w:t>;</w:t>
      </w:r>
    </w:p>
    <w:p>
      <w:pPr>
        <w:pStyle w:val="Indenti"/>
      </w:pPr>
      <w:r>
        <w:tab/>
        <w:t>(iii)</w:t>
      </w:r>
      <w:r>
        <w:tab/>
        <w:t xml:space="preserve">the </w:t>
      </w:r>
      <w:r>
        <w:rPr>
          <w:i/>
        </w:rPr>
        <w:t>Sentence Administration Act 2003</w:t>
      </w:r>
      <w:r>
        <w:t>;</w:t>
      </w:r>
    </w:p>
    <w:p>
      <w:pPr>
        <w:pStyle w:val="Indenti"/>
      </w:pPr>
      <w:r>
        <w:tab/>
        <w:t>(iv)</w:t>
      </w:r>
      <w:r>
        <w:tab/>
        <w:t xml:space="preserve">the </w:t>
      </w:r>
      <w:r>
        <w:rPr>
          <w:i/>
        </w:rPr>
        <w:t>Sentencing Act 1995</w:t>
      </w:r>
      <w:r>
        <w:t>;</w:t>
      </w:r>
    </w:p>
    <w:p>
      <w:pPr>
        <w:pStyle w:val="Indenti"/>
      </w:pPr>
      <w:r>
        <w:tab/>
        <w:t>(v)</w:t>
      </w:r>
      <w:r>
        <w:tab/>
        <w:t xml:space="preserve">the </w:t>
      </w:r>
      <w:r>
        <w:rPr>
          <w:i/>
        </w:rPr>
        <w:t>Young Offenders Act 1994</w:t>
      </w:r>
      <w:r>
        <w:t>.</w:t>
      </w:r>
    </w:p>
    <w:p>
      <w:pPr>
        <w:pStyle w:val="Footnotesection"/>
      </w:pPr>
      <w:r>
        <w:tab/>
        <w:t>[Section 36E inserted: No. 46 of 2020 s. 13.]</w:t>
      </w:r>
    </w:p>
    <w:p>
      <w:pPr>
        <w:pStyle w:val="Heading5"/>
      </w:pPr>
      <w:bookmarkStart w:id="184" w:name="_Toc216954912"/>
      <w:r>
        <w:rPr>
          <w:rStyle w:val="CharSectno"/>
        </w:rPr>
        <w:t>36F</w:t>
      </w:r>
      <w:r>
        <w:t>.</w:t>
      </w:r>
      <w:r>
        <w:tab/>
        <w:t>Notice of decision by Registrar</w:t>
      </w:r>
      <w:bookmarkEnd w:id="184"/>
    </w:p>
    <w:p>
      <w:pPr>
        <w:pStyle w:val="Subsection"/>
      </w:pPr>
      <w:r>
        <w:tab/>
        <w:t>(1)</w:t>
      </w:r>
      <w:r>
        <w:tab/>
        <w:t xml:space="preserve">The Registrar must notify the supervisory authority for a restricted person — </w:t>
      </w:r>
    </w:p>
    <w:p>
      <w:pPr>
        <w:pStyle w:val="Indenta"/>
      </w:pPr>
      <w:r>
        <w:tab/>
        <w:t>(a)</w:t>
      </w:r>
      <w:r>
        <w:tab/>
        <w:t>if the Registrar registers a change of the person’s name; or</w:t>
      </w:r>
    </w:p>
    <w:p>
      <w:pPr>
        <w:pStyle w:val="Indenta"/>
      </w:pPr>
      <w:r>
        <w:tab/>
        <w:t>(b)</w:t>
      </w:r>
      <w:r>
        <w:tab/>
        <w:t>if the Registrar refuses to register a change of the person’s name.</w:t>
      </w:r>
    </w:p>
    <w:p>
      <w:pPr>
        <w:pStyle w:val="Subsection"/>
      </w:pPr>
      <w:r>
        <w:tab/>
        <w:t>(2)</w:t>
      </w:r>
      <w:r>
        <w:tab/>
        <w:t>When notifying a supervisory authority under subsection (1) the Registrar must give the authority sufficient information to identify the restricted person.</w:t>
      </w:r>
    </w:p>
    <w:p>
      <w:pPr>
        <w:pStyle w:val="Footnotesection"/>
      </w:pPr>
      <w:r>
        <w:tab/>
        <w:t>[Section 36F inserted: No. 46 of 2020 s. 13.]</w:t>
      </w:r>
    </w:p>
    <w:p>
      <w:pPr>
        <w:pStyle w:val="Heading5"/>
      </w:pPr>
      <w:bookmarkStart w:id="185" w:name="_Toc216954913"/>
      <w:r>
        <w:rPr>
          <w:rStyle w:val="CharSectno"/>
        </w:rPr>
        <w:t>36G</w:t>
      </w:r>
      <w:r>
        <w:t>.</w:t>
      </w:r>
      <w:r>
        <w:tab/>
        <w:t>Supervisory authority to give, and give notice of, documents and information</w:t>
      </w:r>
      <w:bookmarkEnd w:id="185"/>
    </w:p>
    <w:p>
      <w:pPr>
        <w:pStyle w:val="Subsection"/>
      </w:pPr>
      <w:r>
        <w:tab/>
        <w:t>(1)</w:t>
      </w:r>
      <w:r>
        <w:tab/>
        <w:t xml:space="preserve">If a supervisory authority decides to approve the making of a change of name application under section 36E, the authority must, as soon as is practicable — </w:t>
      </w:r>
    </w:p>
    <w:p>
      <w:pPr>
        <w:pStyle w:val="Indenta"/>
      </w:pPr>
      <w:r>
        <w:lastRenderedPageBreak/>
        <w:tab/>
        <w:t>(a)</w:t>
      </w:r>
      <w:r>
        <w:tab/>
        <w:t>give written approval to the person who wishes to make the application; and</w:t>
      </w:r>
    </w:p>
    <w:p>
      <w:pPr>
        <w:pStyle w:val="Indenta"/>
      </w:pPr>
      <w:r>
        <w:tab/>
        <w:t>(b)</w:t>
      </w:r>
      <w:r>
        <w:tab/>
        <w:t>notify the Registrar, or if the application is to be made to a registering authority, the registering authority, of the approval.</w:t>
      </w:r>
    </w:p>
    <w:p>
      <w:pPr>
        <w:pStyle w:val="Subsection"/>
      </w:pPr>
      <w:r>
        <w:tab/>
        <w:t>(2)</w:t>
      </w:r>
      <w:r>
        <w:tab/>
        <w:t xml:space="preserve">For the purposes of the Registrar verifying the details of an application to register a change of name each supervisory authority must, if the Registrar requests, give the Registrar the following — </w:t>
      </w:r>
    </w:p>
    <w:p>
      <w:pPr>
        <w:pStyle w:val="Indenta"/>
      </w:pPr>
      <w:r>
        <w:tab/>
        <w:t>(a)</w:t>
      </w:r>
      <w:r>
        <w:tab/>
        <w:t xml:space="preserve">the name of each restricted person for whom they are the supervisory authority; </w:t>
      </w:r>
    </w:p>
    <w:p>
      <w:pPr>
        <w:pStyle w:val="Indenta"/>
      </w:pPr>
      <w:r>
        <w:tab/>
        <w:t>(b)</w:t>
      </w:r>
      <w:r>
        <w:tab/>
        <w:t xml:space="preserve">any other name by which the person is, or has previously been, known (of which the supervisory authority is aware); </w:t>
      </w:r>
    </w:p>
    <w:p>
      <w:pPr>
        <w:pStyle w:val="Indenta"/>
      </w:pPr>
      <w:r>
        <w:tab/>
        <w:t>(c)</w:t>
      </w:r>
      <w:r>
        <w:tab/>
        <w:t xml:space="preserve">the date of birth of the person; </w:t>
      </w:r>
    </w:p>
    <w:p>
      <w:pPr>
        <w:pStyle w:val="Indenta"/>
      </w:pPr>
      <w:r>
        <w:tab/>
        <w:t>(d)</w:t>
      </w:r>
      <w:r>
        <w:tab/>
        <w:t>any other information that may be used to identify the person.</w:t>
      </w:r>
    </w:p>
    <w:p>
      <w:pPr>
        <w:pStyle w:val="Footnotesection"/>
      </w:pPr>
      <w:r>
        <w:tab/>
        <w:t>[Section 36G inserted: No. 46 of 2020 s. 13; amended: No. 31 of 2024 s. 11.]</w:t>
      </w:r>
    </w:p>
    <w:p>
      <w:pPr>
        <w:pStyle w:val="Heading5"/>
      </w:pPr>
      <w:bookmarkStart w:id="186" w:name="_Toc216954914"/>
      <w:r>
        <w:rPr>
          <w:rStyle w:val="CharSectno"/>
        </w:rPr>
        <w:t>36H</w:t>
      </w:r>
      <w:r>
        <w:t>.</w:t>
      </w:r>
      <w:r>
        <w:tab/>
        <w:t>Delegation by chief executive officers</w:t>
      </w:r>
      <w:bookmarkEnd w:id="186"/>
    </w:p>
    <w:p>
      <w:pPr>
        <w:pStyle w:val="Subsection"/>
      </w:pPr>
      <w:r>
        <w:tab/>
        <w:t>(1)</w:t>
      </w:r>
      <w:r>
        <w:tab/>
        <w:t xml:space="preserve">A chief executive officer referred to in the definition of </w:t>
      </w:r>
      <w:r>
        <w:rPr>
          <w:b/>
          <w:i/>
        </w:rPr>
        <w:t>supervisory authority</w:t>
      </w:r>
      <w:r>
        <w:t xml:space="preserve"> in section 36A, may delegate to any person any power or duty of the chief executive officer under another provision of this Division.</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 xml:space="preserve">A person exercising or performing a power or duty that has been delegated to the person under this section, is taken to do so in </w:t>
      </w:r>
      <w:r>
        <w:lastRenderedPageBreak/>
        <w:t>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36H inserted: No. 46 of 2020 s. 13.]</w:t>
      </w:r>
    </w:p>
    <w:p>
      <w:pPr>
        <w:pStyle w:val="Heading2"/>
      </w:pPr>
      <w:bookmarkStart w:id="187" w:name="_Toc178258133"/>
      <w:bookmarkStart w:id="188" w:name="_Toc178258237"/>
      <w:bookmarkStart w:id="189" w:name="_Toc198908932"/>
      <w:bookmarkStart w:id="190" w:name="_Toc199153763"/>
      <w:bookmarkStart w:id="191" w:name="_Toc216795132"/>
      <w:bookmarkStart w:id="192" w:name="_Toc216795515"/>
      <w:bookmarkStart w:id="193" w:name="_Toc216795670"/>
      <w:bookmarkStart w:id="194" w:name="_Toc216942231"/>
      <w:bookmarkStart w:id="195" w:name="_Toc216942386"/>
      <w:bookmarkStart w:id="196" w:name="_Toc216954915"/>
      <w:r>
        <w:rPr>
          <w:rStyle w:val="CharPartNo"/>
        </w:rPr>
        <w:lastRenderedPageBreak/>
        <w:t>Part 5A</w:t>
      </w:r>
      <w:r>
        <w:t> — </w:t>
      </w:r>
      <w:r>
        <w:rPr>
          <w:rStyle w:val="CharPartText"/>
        </w:rPr>
        <w:t>Changes of registration of sex or gender and issue of acknowledgment documents</w:t>
      </w:r>
      <w:bookmarkEnd w:id="187"/>
      <w:bookmarkEnd w:id="188"/>
      <w:bookmarkEnd w:id="189"/>
      <w:bookmarkEnd w:id="190"/>
      <w:bookmarkEnd w:id="191"/>
      <w:bookmarkEnd w:id="192"/>
      <w:bookmarkEnd w:id="193"/>
      <w:bookmarkEnd w:id="194"/>
      <w:bookmarkEnd w:id="195"/>
      <w:bookmarkEnd w:id="196"/>
    </w:p>
    <w:p>
      <w:pPr>
        <w:pStyle w:val="Footnoteheading"/>
      </w:pPr>
      <w:bookmarkStart w:id="197" w:name="_Toc178258134"/>
      <w:bookmarkStart w:id="198" w:name="_Toc178258238"/>
      <w:r>
        <w:tab/>
        <w:t>[Heading inserted: No. 31 of 2024 s. 12.]</w:t>
      </w:r>
    </w:p>
    <w:p>
      <w:pPr>
        <w:pStyle w:val="Heading3"/>
      </w:pPr>
      <w:bookmarkStart w:id="199" w:name="_Toc198908933"/>
      <w:bookmarkStart w:id="200" w:name="_Toc199153764"/>
      <w:bookmarkStart w:id="201" w:name="_Toc216795133"/>
      <w:bookmarkStart w:id="202" w:name="_Toc216795516"/>
      <w:bookmarkStart w:id="203" w:name="_Toc216795671"/>
      <w:bookmarkStart w:id="204" w:name="_Toc216942232"/>
      <w:bookmarkStart w:id="205" w:name="_Toc216942387"/>
      <w:bookmarkStart w:id="206" w:name="_Toc216954916"/>
      <w:r>
        <w:rPr>
          <w:rStyle w:val="CharDivNo"/>
        </w:rPr>
        <w:t>Division 1</w:t>
      </w:r>
      <w:r>
        <w:t> — </w:t>
      </w:r>
      <w:r>
        <w:rPr>
          <w:rStyle w:val="CharDivText"/>
        </w:rPr>
        <w:t>Preliminary</w:t>
      </w:r>
      <w:bookmarkEnd w:id="197"/>
      <w:bookmarkEnd w:id="198"/>
      <w:bookmarkEnd w:id="199"/>
      <w:bookmarkEnd w:id="200"/>
      <w:bookmarkEnd w:id="201"/>
      <w:bookmarkEnd w:id="202"/>
      <w:bookmarkEnd w:id="203"/>
      <w:bookmarkEnd w:id="204"/>
      <w:bookmarkEnd w:id="205"/>
      <w:bookmarkEnd w:id="206"/>
    </w:p>
    <w:p>
      <w:pPr>
        <w:pStyle w:val="Footnoteheading"/>
      </w:pPr>
      <w:bookmarkStart w:id="207" w:name="_Toc178258239"/>
      <w:r>
        <w:tab/>
        <w:t>[Heading inserted: No. 31 of 2024 s. 12.]</w:t>
      </w:r>
    </w:p>
    <w:p>
      <w:pPr>
        <w:pStyle w:val="Heading5"/>
      </w:pPr>
      <w:bookmarkStart w:id="208" w:name="_Toc216954917"/>
      <w:r>
        <w:rPr>
          <w:rStyle w:val="CharSectno"/>
        </w:rPr>
        <w:t>36I</w:t>
      </w:r>
      <w:r>
        <w:t>.</w:t>
      </w:r>
      <w:r>
        <w:tab/>
        <w:t>Terms used</w:t>
      </w:r>
      <w:bookmarkEnd w:id="207"/>
      <w:bookmarkEnd w:id="208"/>
    </w:p>
    <w:p>
      <w:pPr>
        <w:pStyle w:val="Subsection"/>
      </w:pPr>
      <w:r>
        <w:tab/>
        <w:t>(1)</w:t>
      </w:r>
      <w:r>
        <w:tab/>
        <w:t xml:space="preserve">In this Part — </w:t>
      </w:r>
    </w:p>
    <w:p>
      <w:pPr>
        <w:pStyle w:val="Defstart"/>
      </w:pPr>
      <w:r>
        <w:tab/>
      </w:r>
      <w:r>
        <w:rPr>
          <w:rStyle w:val="CharDefText"/>
        </w:rPr>
        <w:t>acknowledgment document</w:t>
      </w:r>
      <w:r>
        <w:t xml:space="preserve"> has the meaning given in section 36ZA(1);</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Subsection"/>
      </w:pPr>
      <w:r>
        <w:tab/>
        <w:t>(2)</w:t>
      </w:r>
      <w:r>
        <w:tab/>
        <w:t>Terms used in this Part have the same meaning as they have in section 28A.</w:t>
      </w:r>
    </w:p>
    <w:p>
      <w:pPr>
        <w:pStyle w:val="Subsection"/>
      </w:pPr>
      <w:r>
        <w:tab/>
        <w:t>(3)</w:t>
      </w:r>
      <w:r>
        <w:tab/>
        <w:t xml:space="preserve">A reference in this Part to the Family Court — </w:t>
      </w:r>
    </w:p>
    <w:p>
      <w:pPr>
        <w:pStyle w:val="Indenta"/>
      </w:pPr>
      <w:r>
        <w:tab/>
        <w:t>(a)</w:t>
      </w:r>
      <w:r>
        <w:tab/>
        <w:t xml:space="preserve">includes a reference to the Magistrates Court constituted by a family law magistrate (as defined in the </w:t>
      </w:r>
      <w:r>
        <w:rPr>
          <w:i/>
        </w:rPr>
        <w:t>Family Court Act 1997</w:t>
      </w:r>
      <w:r>
        <w:t xml:space="preserve"> section 5(1)) so as to be able, under the </w:t>
      </w:r>
      <w:r>
        <w:rPr>
          <w:i/>
        </w:rPr>
        <w:t>Family Court Act 1997</w:t>
      </w:r>
      <w:r>
        <w:t xml:space="preserve"> section 39(b), to exercise the Family Court’s non</w:t>
      </w:r>
      <w:r>
        <w:noBreakHyphen/>
        <w:t>federal jurisdiction; but</w:t>
      </w:r>
    </w:p>
    <w:p>
      <w:pPr>
        <w:pStyle w:val="Indenta"/>
      </w:pPr>
      <w:r>
        <w:tab/>
        <w:t>(b)</w:t>
      </w:r>
      <w:r>
        <w:tab/>
        <w:t xml:space="preserve">does not include a reference to the Magistrates Court referred to in the </w:t>
      </w:r>
      <w:r>
        <w:rPr>
          <w:i/>
        </w:rPr>
        <w:t>Family Court Act 1997</w:t>
      </w:r>
      <w:r>
        <w:t xml:space="preserve"> section 39(a).</w:t>
      </w:r>
    </w:p>
    <w:p>
      <w:pPr>
        <w:pStyle w:val="Footnotesection"/>
      </w:pPr>
      <w:bookmarkStart w:id="209" w:name="_Toc178258136"/>
      <w:bookmarkStart w:id="210" w:name="_Toc178258240"/>
      <w:r>
        <w:tab/>
        <w:t>[Section 36I inserted: No. 31 of 2024 s. 12.]</w:t>
      </w:r>
    </w:p>
    <w:p>
      <w:pPr>
        <w:pStyle w:val="Heading3"/>
      </w:pPr>
      <w:bookmarkStart w:id="211" w:name="_Toc198908935"/>
      <w:bookmarkStart w:id="212" w:name="_Toc199153766"/>
      <w:bookmarkStart w:id="213" w:name="_Toc216795135"/>
      <w:bookmarkStart w:id="214" w:name="_Toc216795518"/>
      <w:bookmarkStart w:id="215" w:name="_Toc216795673"/>
      <w:bookmarkStart w:id="216" w:name="_Toc216942234"/>
      <w:bookmarkStart w:id="217" w:name="_Toc216942389"/>
      <w:bookmarkStart w:id="218" w:name="_Toc216954918"/>
      <w:r>
        <w:rPr>
          <w:rStyle w:val="CharDivNo"/>
        </w:rPr>
        <w:lastRenderedPageBreak/>
        <w:t>Division 2</w:t>
      </w:r>
      <w:r>
        <w:t> — </w:t>
      </w:r>
      <w:r>
        <w:rPr>
          <w:rStyle w:val="CharDivText"/>
        </w:rPr>
        <w:t>Change of registration of sex or gender</w:t>
      </w:r>
      <w:bookmarkEnd w:id="209"/>
      <w:bookmarkEnd w:id="210"/>
      <w:bookmarkEnd w:id="211"/>
      <w:bookmarkEnd w:id="212"/>
      <w:bookmarkEnd w:id="213"/>
      <w:bookmarkEnd w:id="214"/>
      <w:bookmarkEnd w:id="215"/>
      <w:bookmarkEnd w:id="216"/>
      <w:bookmarkEnd w:id="217"/>
      <w:bookmarkEnd w:id="218"/>
    </w:p>
    <w:p>
      <w:pPr>
        <w:pStyle w:val="Footnoteheading"/>
        <w:keepNext/>
      </w:pPr>
      <w:bookmarkStart w:id="219" w:name="_Toc178258241"/>
      <w:r>
        <w:tab/>
        <w:t>[Heading inserted: No. 31 of 2024 s. 12.]</w:t>
      </w:r>
    </w:p>
    <w:p>
      <w:pPr>
        <w:pStyle w:val="Heading5"/>
      </w:pPr>
      <w:bookmarkStart w:id="220" w:name="_Toc216954919"/>
      <w:r>
        <w:rPr>
          <w:rStyle w:val="CharSectno"/>
        </w:rPr>
        <w:t>36J</w:t>
      </w:r>
      <w:r>
        <w:t>.</w:t>
      </w:r>
      <w:r>
        <w:tab/>
        <w:t>Application to Registrar by person 18 years or more</w:t>
      </w:r>
      <w:bookmarkEnd w:id="219"/>
      <w:bookmarkEnd w:id="220"/>
      <w:r>
        <w:t xml:space="preserve"> </w:t>
      </w:r>
    </w:p>
    <w:p>
      <w:pPr>
        <w:pStyle w:val="Subsection"/>
      </w:pPr>
      <w:r>
        <w:tab/>
        <w:t>(1)</w:t>
      </w:r>
      <w:r>
        <w:tab/>
        <w:t xml:space="preserve">A person who is 18 years of age or more may apply to the Registrar to change the person’s sex or gender in the registration of the person’s birth if — </w:t>
      </w:r>
    </w:p>
    <w:p>
      <w:pPr>
        <w:pStyle w:val="Indenta"/>
      </w:pPr>
      <w:r>
        <w:tab/>
        <w:t>(a)</w:t>
      </w:r>
      <w:r>
        <w:tab/>
        <w:t>the person’s birth is registered in the State; and</w:t>
      </w:r>
    </w:p>
    <w:p>
      <w:pPr>
        <w:pStyle w:val="Indenta"/>
      </w:pPr>
      <w:r>
        <w:tab/>
        <w:t>(b)</w:t>
      </w:r>
      <w:r>
        <w:tab/>
        <w:t>the person believes the person’s sex or gender to be the sex or gender specified in the application.</w:t>
      </w:r>
    </w:p>
    <w:p>
      <w:pPr>
        <w:pStyle w:val="Subsection"/>
      </w:pPr>
      <w:r>
        <w:tab/>
        <w:t>(2)</w:t>
      </w:r>
      <w:r>
        <w:tab/>
        <w:t xml:space="preserve">The application must — </w:t>
      </w:r>
    </w:p>
    <w:p>
      <w:pPr>
        <w:pStyle w:val="Indenta"/>
      </w:pPr>
      <w:r>
        <w:tab/>
        <w:t>(a)</w:t>
      </w:r>
      <w:r>
        <w:tab/>
        <w:t>be made in the approved form; and</w:t>
      </w:r>
    </w:p>
    <w:p>
      <w:pPr>
        <w:pStyle w:val="Indenta"/>
      </w:pPr>
      <w:r>
        <w:tab/>
        <w:t>(b)</w:t>
      </w:r>
      <w:r>
        <w:tab/>
        <w:t>specify a sex or gender of a kind prescribed in the regulations; and</w:t>
      </w:r>
    </w:p>
    <w:p>
      <w:pPr>
        <w:pStyle w:val="Indenta"/>
      </w:pPr>
      <w:r>
        <w:tab/>
        <w:t>(c)</w:t>
      </w:r>
      <w:r>
        <w:tab/>
        <w:t xml:space="preserve">be accompanied by — </w:t>
      </w:r>
    </w:p>
    <w:p>
      <w:pPr>
        <w:pStyle w:val="Indenti"/>
      </w:pPr>
      <w:r>
        <w:tab/>
        <w:t>(i)</w:t>
      </w:r>
      <w:r>
        <w:tab/>
        <w:t>a statement by a doctor, or a psychologist, certifying that the person has received appropriate clinical treatment in relation to the person’s sex or gender; and</w:t>
      </w:r>
    </w:p>
    <w:p>
      <w:pPr>
        <w:pStyle w:val="Indenti"/>
      </w:pPr>
      <w:r>
        <w:tab/>
        <w:t>(ii)</w:t>
      </w:r>
      <w:r>
        <w:tab/>
        <w:t>any other document or information prescribed by the regulations;</w:t>
      </w:r>
    </w:p>
    <w:p>
      <w:pPr>
        <w:pStyle w:val="Indenta"/>
      </w:pPr>
      <w:r>
        <w:tab/>
      </w:r>
      <w:r>
        <w:tab/>
        <w:t>and</w:t>
      </w:r>
    </w:p>
    <w:p>
      <w:pPr>
        <w:pStyle w:val="Indenta"/>
      </w:pPr>
      <w:r>
        <w:tab/>
        <w:t>(d)</w:t>
      </w:r>
      <w:r>
        <w:tab/>
        <w:t>contain a declaration by the applicant setting out whether the applicant is, at the time the application is made, a required declarant.</w:t>
      </w:r>
    </w:p>
    <w:p>
      <w:pPr>
        <w:pStyle w:val="Footnotesection"/>
      </w:pPr>
      <w:bookmarkStart w:id="221" w:name="_Toc178258242"/>
      <w:r>
        <w:tab/>
        <w:t>[Section 36J inserted: No. 31 of 2024 s. 12.]</w:t>
      </w:r>
    </w:p>
    <w:p>
      <w:pPr>
        <w:pStyle w:val="Heading5"/>
      </w:pPr>
      <w:bookmarkStart w:id="222" w:name="_Toc216954920"/>
      <w:r>
        <w:rPr>
          <w:rStyle w:val="CharSectno"/>
        </w:rPr>
        <w:t>36K</w:t>
      </w:r>
      <w:r>
        <w:t>.</w:t>
      </w:r>
      <w:r>
        <w:tab/>
        <w:t>Application to Registrar to change registration of sex or gender of child 12 years or more</w:t>
      </w:r>
      <w:bookmarkEnd w:id="221"/>
      <w:bookmarkEnd w:id="222"/>
    </w:p>
    <w:p>
      <w:pPr>
        <w:pStyle w:val="Subsection"/>
      </w:pPr>
      <w:r>
        <w:tab/>
        <w:t>(1)</w:t>
      </w:r>
      <w:r>
        <w:tab/>
        <w:t xml:space="preserve">The parents or guardians of a child who is at least 12 years of age and under 18 years of age may apply to the Registrar to </w:t>
      </w:r>
      <w:r>
        <w:lastRenderedPageBreak/>
        <w:t xml:space="preserve">change the child’s sex or gender in the registration of the child’s birth if — </w:t>
      </w:r>
    </w:p>
    <w:p>
      <w:pPr>
        <w:pStyle w:val="Indenta"/>
      </w:pPr>
      <w:r>
        <w:tab/>
        <w:t>(a)</w:t>
      </w:r>
      <w:r>
        <w:tab/>
        <w:t>the child’s birth is registered in the State; and</w:t>
      </w:r>
    </w:p>
    <w:p>
      <w:pPr>
        <w:pStyle w:val="Indenta"/>
      </w:pPr>
      <w:r>
        <w:tab/>
        <w:t>(b)</w:t>
      </w:r>
      <w:r>
        <w:tab/>
        <w:t>the child consents to the change in accordance with the application; and</w:t>
      </w:r>
    </w:p>
    <w:p>
      <w:pPr>
        <w:pStyle w:val="Indenta"/>
      </w:pPr>
      <w:r>
        <w:tab/>
        <w:t>(c)</w:t>
      </w:r>
      <w:r>
        <w:tab/>
        <w:t>each applicant believes the child’s sex or gender to be the sex or gender specified in the application.</w:t>
      </w:r>
    </w:p>
    <w:p>
      <w:pPr>
        <w:pStyle w:val="Subsection"/>
      </w:pPr>
      <w:r>
        <w:tab/>
        <w:t>(2)</w:t>
      </w:r>
      <w:r>
        <w:tab/>
        <w:t xml:space="preserve">The application must — </w:t>
      </w:r>
    </w:p>
    <w:p>
      <w:pPr>
        <w:pStyle w:val="Indenta"/>
      </w:pPr>
      <w:r>
        <w:tab/>
        <w:t>(a)</w:t>
      </w:r>
      <w:r>
        <w:tab/>
        <w:t>be made in the approved form; and</w:t>
      </w:r>
    </w:p>
    <w:p>
      <w:pPr>
        <w:pStyle w:val="Indenta"/>
      </w:pPr>
      <w:r>
        <w:tab/>
        <w:t>(b)</w:t>
      </w:r>
      <w:r>
        <w:tab/>
        <w:t>specify a sex or gender of a kind prescribed in the regulations; and</w:t>
      </w:r>
    </w:p>
    <w:p>
      <w:pPr>
        <w:pStyle w:val="Indenta"/>
      </w:pPr>
      <w:r>
        <w:tab/>
        <w:t>(c)</w:t>
      </w:r>
      <w:r>
        <w:tab/>
        <w:t xml:space="preserve">be accompanied by a statement by a doctor, or a psychologist, certifying that the child — </w:t>
      </w:r>
    </w:p>
    <w:p>
      <w:pPr>
        <w:pStyle w:val="Indenti"/>
      </w:pPr>
      <w:r>
        <w:tab/>
        <w:t>(i)</w:t>
      </w:r>
      <w:r>
        <w:tab/>
        <w:t>has received appropriate clinical treatment in relation to the child’s sex or gender; and</w:t>
      </w:r>
    </w:p>
    <w:p>
      <w:pPr>
        <w:pStyle w:val="Indenti"/>
      </w:pPr>
      <w:r>
        <w:tab/>
        <w:t>(ii)</w:t>
      </w:r>
      <w:r>
        <w:tab/>
        <w:t>understands the meaning and implications of the application;</w:t>
      </w:r>
    </w:p>
    <w:p>
      <w:pPr>
        <w:pStyle w:val="Indenta"/>
      </w:pPr>
      <w:r>
        <w:tab/>
      </w:r>
      <w:r>
        <w:tab/>
        <w:t>and</w:t>
      </w:r>
    </w:p>
    <w:p>
      <w:pPr>
        <w:pStyle w:val="Indenta"/>
      </w:pPr>
      <w:r>
        <w:tab/>
        <w:t>(d)</w:t>
      </w:r>
      <w:r>
        <w:tab/>
        <w:t xml:space="preserve">be accompanied by — </w:t>
      </w:r>
    </w:p>
    <w:p>
      <w:pPr>
        <w:pStyle w:val="Indenti"/>
      </w:pPr>
      <w:r>
        <w:tab/>
        <w:t>(i)</w:t>
      </w:r>
      <w:r>
        <w:tab/>
        <w:t>a statement by the child consenting to the change; and</w:t>
      </w:r>
    </w:p>
    <w:p>
      <w:pPr>
        <w:pStyle w:val="Indenti"/>
      </w:pPr>
      <w:r>
        <w:tab/>
        <w:t>(ii)</w:t>
      </w:r>
      <w:r>
        <w:tab/>
        <w:t>any other document or information prescribed by the regulations;</w:t>
      </w:r>
    </w:p>
    <w:p>
      <w:pPr>
        <w:pStyle w:val="Indenta"/>
      </w:pPr>
      <w:r>
        <w:tab/>
      </w:r>
      <w:r>
        <w:tab/>
        <w:t>and</w:t>
      </w:r>
    </w:p>
    <w:p>
      <w:pPr>
        <w:pStyle w:val="Indenta"/>
      </w:pPr>
      <w:r>
        <w:tab/>
        <w:t>(e)</w:t>
      </w:r>
      <w:r>
        <w:tab/>
        <w:t>contain a declaration by each applicant setting out whether the child is, at the time the application is made, a required declarant.</w:t>
      </w:r>
    </w:p>
    <w:p>
      <w:pPr>
        <w:pStyle w:val="Subsection"/>
      </w:pPr>
      <w:r>
        <w:tab/>
        <w:t>(3)</w:t>
      </w:r>
      <w:r>
        <w:tab/>
        <w:t>An application under subsection (1) may be made by 1 parent if, and only if —</w:t>
      </w:r>
    </w:p>
    <w:p>
      <w:pPr>
        <w:pStyle w:val="Indenta"/>
      </w:pPr>
      <w:r>
        <w:tab/>
        <w:t>(a)</w:t>
      </w:r>
      <w:r>
        <w:tab/>
        <w:t>the applicant is the sole parent named in the registration of the child’s birth under this Act; or</w:t>
      </w:r>
    </w:p>
    <w:p>
      <w:pPr>
        <w:pStyle w:val="Indenta"/>
      </w:pPr>
      <w:r>
        <w:lastRenderedPageBreak/>
        <w:tab/>
        <w:t>(b)</w:t>
      </w:r>
      <w:r>
        <w:tab/>
        <w:t>the child’s other parent is dead.</w:t>
      </w:r>
    </w:p>
    <w:p>
      <w:pPr>
        <w:pStyle w:val="Subsection"/>
      </w:pPr>
      <w:r>
        <w:tab/>
        <w:t>(4)</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(5)</w:t>
      </w:r>
      <w:r>
        <w:tab/>
        <w:t>Without limiting subsection (4), an application under subsection (1) may be made by joint guardians if, and only if, the joint guardians are unanimous in making the application.</w:t>
      </w:r>
    </w:p>
    <w:p>
      <w:pPr>
        <w:pStyle w:val="Footnotesection"/>
      </w:pPr>
      <w:bookmarkStart w:id="223" w:name="_Toc178258243"/>
      <w:r>
        <w:tab/>
        <w:t>[Section 36K inserted: No. 31 of 2024 s. 12.]</w:t>
      </w:r>
    </w:p>
    <w:p>
      <w:pPr>
        <w:pStyle w:val="Heading5"/>
      </w:pPr>
      <w:bookmarkStart w:id="224" w:name="_Toc216954921"/>
      <w:r>
        <w:rPr>
          <w:rStyle w:val="CharSectno"/>
        </w:rPr>
        <w:t>36L</w:t>
      </w:r>
      <w:r>
        <w:t>.</w:t>
      </w:r>
      <w:r>
        <w:tab/>
        <w:t>Application to Family Court by parent or guardian of child 12 years or more</w:t>
      </w:r>
      <w:bookmarkEnd w:id="223"/>
      <w:bookmarkEnd w:id="224"/>
    </w:p>
    <w:p>
      <w:pPr>
        <w:pStyle w:val="Subsection"/>
      </w:pPr>
      <w:r>
        <w:tab/>
        <w:t>(1)</w:t>
      </w:r>
      <w:r>
        <w:tab/>
        <w:t xml:space="preserve">A parent or guardian of a child may apply to the Family Court for an order approving the change of the child’s sex or gender in the registration of the child’s birth if — </w:t>
      </w:r>
    </w:p>
    <w:p>
      <w:pPr>
        <w:pStyle w:val="Indenta"/>
      </w:pPr>
      <w:r>
        <w:tab/>
        <w:t>(a)</w:t>
      </w:r>
      <w:r>
        <w:tab/>
        <w:t>the child is at least 12 years of age and under 18 years of age; and</w:t>
      </w:r>
    </w:p>
    <w:p>
      <w:pPr>
        <w:pStyle w:val="Indenta"/>
      </w:pPr>
      <w:r>
        <w:tab/>
        <w:t>(b)</w:t>
      </w:r>
      <w:r>
        <w:tab/>
        <w:t>the child’s birth is registered in the State.</w:t>
      </w:r>
    </w:p>
    <w:p>
      <w:pPr>
        <w:pStyle w:val="Subsection"/>
      </w:pPr>
      <w:r>
        <w:tab/>
        <w:t>(2)</w:t>
      </w:r>
      <w:r>
        <w:tab/>
        <w:t>The application must specify a sex or gender of a kind prescribed in the regulations</w:t>
      </w:r>
      <w:r>
        <w:rPr>
          <w:iCs/>
        </w:rPr>
        <w:t>.</w:t>
      </w:r>
    </w:p>
    <w:p>
      <w:pPr>
        <w:pStyle w:val="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(4)</w:t>
      </w:r>
      <w:r>
        <w:tab/>
        <w:t>The Family Court may make the order if satisfied that it is in the child’s best interests.</w:t>
      </w:r>
    </w:p>
    <w:p>
      <w:pPr>
        <w:pStyle w:val="Subsection"/>
      </w:pPr>
      <w:r>
        <w:tab/>
        <w:t>(5)</w:t>
      </w:r>
      <w:r>
        <w:tab/>
        <w:t xml:space="preserve">In determining whether or not to make the order, the Family Court must consider — </w:t>
      </w:r>
    </w:p>
    <w:p>
      <w:pPr>
        <w:pStyle w:val="Indenta"/>
      </w:pPr>
      <w:r>
        <w:tab/>
        <w:t>(a)</w:t>
      </w:r>
      <w:r>
        <w:tab/>
        <w:t xml:space="preserve">any views expressed by the child and any factors (such as the child’s maturity or level of understanding) that the </w:t>
      </w:r>
      <w:r>
        <w:lastRenderedPageBreak/>
        <w:t>Family Court thinks are relevant to the weight it should give to the child’s views; and</w:t>
      </w:r>
    </w:p>
    <w:p>
      <w:pPr>
        <w:pStyle w:val="Indenta"/>
      </w:pPr>
      <w:r>
        <w:tab/>
        <w:t>(b)</w:t>
      </w:r>
      <w:r>
        <w:tab/>
        <w:t>any views expressed by a parent or guardian of the child; and</w:t>
      </w:r>
    </w:p>
    <w:p>
      <w:pPr>
        <w:pStyle w:val="Indenta"/>
      </w:pPr>
      <w:r>
        <w:tab/>
        <w:t>(c)</w:t>
      </w:r>
      <w:r>
        <w:tab/>
        <w:t>whether the child has received appropriate clinical treatment in relation to the child’s sex or gender.</w:t>
      </w:r>
    </w:p>
    <w:p>
      <w:pPr>
        <w:pStyle w:val="Footnotesection"/>
      </w:pPr>
      <w:bookmarkStart w:id="225" w:name="_Toc178258244"/>
      <w:r>
        <w:tab/>
        <w:t>[Section 36L inserted: No. 31 of 2024 s. 12.]</w:t>
      </w:r>
    </w:p>
    <w:p>
      <w:pPr>
        <w:pStyle w:val="Heading5"/>
      </w:pPr>
      <w:bookmarkStart w:id="226" w:name="_Toc216954922"/>
      <w:r>
        <w:rPr>
          <w:rStyle w:val="CharSectno"/>
        </w:rPr>
        <w:t>36M</w:t>
      </w:r>
      <w:r>
        <w:t>.</w:t>
      </w:r>
      <w:r>
        <w:tab/>
        <w:t>Application to Family Court by child 12 years or more</w:t>
      </w:r>
      <w:bookmarkEnd w:id="225"/>
      <w:bookmarkEnd w:id="226"/>
    </w:p>
    <w:p>
      <w:pPr>
        <w:pStyle w:val="Subsection"/>
      </w:pPr>
      <w:r>
        <w:tab/>
        <w:t>(1)</w:t>
      </w:r>
      <w:r>
        <w:tab/>
        <w:t xml:space="preserve">This section applies if — </w:t>
      </w:r>
    </w:p>
    <w:p>
      <w:pPr>
        <w:pStyle w:val="Indenta"/>
      </w:pPr>
      <w:r>
        <w:tab/>
        <w:t>(a)</w:t>
      </w:r>
      <w:r>
        <w:tab/>
        <w:t>each parent or guardian of a child who is at least 12 years of age and under 18 years of age does not support the change of the child’s sex or gender in the registration of the child’s birth; and</w:t>
      </w:r>
    </w:p>
    <w:p>
      <w:pPr>
        <w:pStyle w:val="Indenta"/>
      </w:pPr>
      <w:r>
        <w:tab/>
        <w:t>(b)</w:t>
      </w:r>
      <w:r>
        <w:tab/>
        <w:t>the child’s birth is registered in the State.</w:t>
      </w:r>
    </w:p>
    <w:p>
      <w:pPr>
        <w:pStyle w:val="Subsection"/>
      </w:pPr>
      <w:r>
        <w:tab/>
        <w:t>(2)</w:t>
      </w:r>
      <w:r>
        <w:tab/>
        <w:t>The child may apply to the Family Court for an order approving the change of the child’s sex or gender in the registration of the child’s birth.</w:t>
      </w:r>
    </w:p>
    <w:p>
      <w:pPr>
        <w:pStyle w:val="Subsection"/>
        <w:rPr>
          <w:iCs/>
        </w:rPr>
      </w:pPr>
      <w:r>
        <w:tab/>
        <w:t>(3)</w:t>
      </w:r>
      <w:r>
        <w:tab/>
        <w:t>The application must specify a sex or gender of a kind prescribed in the regulations</w:t>
      </w:r>
      <w:r>
        <w:rPr>
          <w:iCs/>
        </w:rPr>
        <w:t>.</w:t>
      </w:r>
    </w:p>
    <w:p>
      <w:pPr>
        <w:pStyle w:val="Subsection"/>
      </w:pPr>
      <w:r>
        <w:tab/>
        <w:t>(4)</w:t>
      </w:r>
      <w:r>
        <w:tab/>
        <w:t>The Family Court may make the order if satisfied that it is in the child’s best interests.</w:t>
      </w:r>
    </w:p>
    <w:p>
      <w:pPr>
        <w:pStyle w:val="Subsection"/>
      </w:pPr>
      <w:r>
        <w:tab/>
        <w:t>(5)</w:t>
      </w:r>
      <w:r>
        <w:tab/>
        <w:t xml:space="preserve">In determining whether or not to make the order, the Family Court must consider — </w:t>
      </w:r>
    </w:p>
    <w:p>
      <w:pPr>
        <w:pStyle w:val="Indenta"/>
      </w:pPr>
      <w:r>
        <w:tab/>
        <w:t>(a)</w:t>
      </w:r>
      <w:r>
        <w:tab/>
        <w:t>any views expressed by the child and any factors (such as the child’s maturity or level of understanding) that the Family Court thinks are relevant to the weight it should give to the child’s views; and</w:t>
      </w:r>
    </w:p>
    <w:p>
      <w:pPr>
        <w:pStyle w:val="Indenta"/>
      </w:pPr>
      <w:r>
        <w:tab/>
        <w:t>(b)</w:t>
      </w:r>
      <w:r>
        <w:tab/>
        <w:t>any views expressed by a parent or guardian of the child; and</w:t>
      </w:r>
    </w:p>
    <w:p>
      <w:pPr>
        <w:pStyle w:val="Indenta"/>
      </w:pPr>
      <w:r>
        <w:lastRenderedPageBreak/>
        <w:tab/>
        <w:t>(c)</w:t>
      </w:r>
      <w:r>
        <w:tab/>
        <w:t>whether the child has received appropriate clinical treatment in relation to the child’s sex or gender.</w:t>
      </w:r>
    </w:p>
    <w:p>
      <w:pPr>
        <w:pStyle w:val="Footnotesection"/>
      </w:pPr>
      <w:bookmarkStart w:id="227" w:name="_Toc178258245"/>
      <w:r>
        <w:tab/>
        <w:t>[Section 36M inserted: No. 31 of 2024 s. 12.]</w:t>
      </w:r>
    </w:p>
    <w:p>
      <w:pPr>
        <w:pStyle w:val="Heading5"/>
      </w:pPr>
      <w:bookmarkStart w:id="228" w:name="_Toc216954923"/>
      <w:r>
        <w:rPr>
          <w:rStyle w:val="CharSectno"/>
        </w:rPr>
        <w:t>36N</w:t>
      </w:r>
      <w:r>
        <w:t>.</w:t>
      </w:r>
      <w:r>
        <w:tab/>
        <w:t>Application to Family Court by parent or guardian of child under 12 years</w:t>
      </w:r>
      <w:bookmarkEnd w:id="227"/>
      <w:bookmarkEnd w:id="228"/>
    </w:p>
    <w:p>
      <w:pPr>
        <w:pStyle w:val="Subsection"/>
      </w:pPr>
      <w:r>
        <w:tab/>
        <w:t>(1)</w:t>
      </w:r>
      <w:r>
        <w:tab/>
        <w:t>A parent or guardian of a child under 12 years of age whose birth is registered in the State may apply to the Family Court for an order approving the change of the child’s sex or gender in the registration of the child’s birth.</w:t>
      </w:r>
    </w:p>
    <w:p>
      <w:pPr>
        <w:pStyle w:val="Subsection"/>
        <w:rPr>
          <w:iCs/>
        </w:rPr>
      </w:pPr>
      <w:r>
        <w:tab/>
        <w:t>(2)</w:t>
      </w:r>
      <w:r>
        <w:tab/>
        <w:t>The application must specify a sex or gender of a kind prescribed in the regulations</w:t>
      </w:r>
      <w:r>
        <w:rPr>
          <w:iCs/>
        </w:rPr>
        <w:t>.</w:t>
      </w:r>
    </w:p>
    <w:p>
      <w:pPr>
        <w:pStyle w:val="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(4)</w:t>
      </w:r>
      <w:r>
        <w:tab/>
        <w:t>The Family Court may make the order if satisfied that it is in the best interests of the child.</w:t>
      </w:r>
    </w:p>
    <w:p>
      <w:pPr>
        <w:pStyle w:val="Subsection"/>
      </w:pPr>
      <w:r>
        <w:tab/>
        <w:t>(5)</w:t>
      </w:r>
      <w:r>
        <w:tab/>
        <w:t xml:space="preserve">In determining whether or not to make the order, the Family Court must consider — </w:t>
      </w:r>
    </w:p>
    <w:p>
      <w:pPr>
        <w:pStyle w:val="Indenta"/>
      </w:pPr>
      <w:r>
        <w:tab/>
        <w:t>(a)</w:t>
      </w:r>
      <w:r>
        <w:tab/>
        <w:t>any views expressed by the child and any factors (such as the child’s maturity or level of understanding) that the Family Court thinks are relevant to the weight it should give to the child’s views; and</w:t>
      </w:r>
    </w:p>
    <w:p>
      <w:pPr>
        <w:pStyle w:val="Indenta"/>
      </w:pPr>
      <w:r>
        <w:tab/>
        <w:t>(b)</w:t>
      </w:r>
      <w:r>
        <w:tab/>
        <w:t>any views expressed by a parent or guardian of the child; and</w:t>
      </w:r>
    </w:p>
    <w:p>
      <w:pPr>
        <w:pStyle w:val="Indenta"/>
      </w:pPr>
      <w:r>
        <w:tab/>
        <w:t>(c)</w:t>
      </w:r>
      <w:r>
        <w:tab/>
        <w:t>whether the child has received appropriate clinical treatment in relation to the child’s sex or gender.</w:t>
      </w:r>
    </w:p>
    <w:p>
      <w:pPr>
        <w:pStyle w:val="Footnotesection"/>
      </w:pPr>
      <w:bookmarkStart w:id="229" w:name="_Toc178258246"/>
      <w:r>
        <w:tab/>
        <w:t>[Section 36N inserted: No. 31 of 2024 s. 12.]</w:t>
      </w:r>
    </w:p>
    <w:p>
      <w:pPr>
        <w:pStyle w:val="Heading5"/>
      </w:pPr>
      <w:bookmarkStart w:id="230" w:name="_Toc216954924"/>
      <w:r>
        <w:rPr>
          <w:rStyle w:val="CharSectno"/>
        </w:rPr>
        <w:lastRenderedPageBreak/>
        <w:t>36O</w:t>
      </w:r>
      <w:r>
        <w:t>.</w:t>
      </w:r>
      <w:r>
        <w:tab/>
        <w:t>Application by CEO (Children and Community Services)</w:t>
      </w:r>
      <w:bookmarkEnd w:id="229"/>
      <w:bookmarkEnd w:id="230"/>
    </w:p>
    <w:p>
      <w:pPr>
        <w:pStyle w:val="Subsection"/>
        <w:keepNext/>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Children and Community Services Act 2004</w:t>
      </w:r>
      <w:r>
        <w:t xml:space="preserve"> section 3;</w:t>
      </w:r>
    </w:p>
    <w:p>
      <w:pPr>
        <w:pStyle w:val="Defstart"/>
      </w:pPr>
      <w:r>
        <w:tab/>
      </w:r>
      <w:r>
        <w:rPr>
          <w:rStyle w:val="CharDefText"/>
        </w:rPr>
        <w:t>parent</w:t>
      </w:r>
      <w:r>
        <w:t xml:space="preserve"> has the meaning given in the </w:t>
      </w:r>
      <w:r>
        <w:rPr>
          <w:i/>
        </w:rPr>
        <w:t>Children and Community Services Act 2004</w:t>
      </w:r>
      <w:r>
        <w:t xml:space="preserve"> section 3.</w:t>
      </w:r>
    </w:p>
    <w:p>
      <w:pPr>
        <w:pStyle w:val="Subsection"/>
      </w:pPr>
      <w:r>
        <w:tab/>
        <w:t>(2)</w:t>
      </w:r>
      <w:r>
        <w:tab/>
        <w:t>If a protection order (time</w:t>
      </w:r>
      <w:r>
        <w:noBreakHyphen/>
        <w:t xml:space="preserve">limited) or a protection order (until 18) is in force in respect of a child under the </w:t>
      </w:r>
      <w:r>
        <w:rPr>
          <w:i/>
        </w:rPr>
        <w:t xml:space="preserve">Children and Community Services Act 2004 — </w:t>
      </w:r>
    </w:p>
    <w:p>
      <w:pPr>
        <w:pStyle w:val="Indenta"/>
      </w:pPr>
      <w:r>
        <w:tab/>
        <w:t>(a)</w:t>
      </w:r>
      <w:r>
        <w:tab/>
      </w:r>
      <w:r>
        <w:rPr>
          <w:iCs/>
        </w:rPr>
        <w:t>th</w:t>
      </w:r>
      <w:r>
        <w:t>e CEO (Children and Community Services) may make an application under section 36K, 36L or 36N in respect of the child; and</w:t>
      </w:r>
    </w:p>
    <w:p>
      <w:pPr>
        <w:pStyle w:val="Indenta"/>
      </w:pPr>
      <w:r>
        <w:tab/>
        <w:t>(b)</w:t>
      </w:r>
      <w:r>
        <w:tab/>
        <w:t>no other person can make the application.</w:t>
      </w:r>
    </w:p>
    <w:p>
      <w:pPr>
        <w:pStyle w:val="Subsection"/>
      </w:pPr>
      <w:r>
        <w:tab/>
        <w:t>(3)</w:t>
      </w:r>
      <w:r>
        <w:tab/>
        <w:t>Before making an application under section 36K the CEO (Children and Community Services) must take reasonable steps to notify each parent of the child of the proposed application and give them a reasonable opportunity to provide their written views on the making of the application.</w:t>
      </w:r>
    </w:p>
    <w:p>
      <w:pPr>
        <w:pStyle w:val="Subsection"/>
      </w:pPr>
      <w:r>
        <w:tab/>
        <w:t>(4)</w:t>
      </w:r>
      <w:r>
        <w:tab/>
        <w:t>An application may be made under section 36K only if no parent notified under subsection (3) opposes the making of the application.</w:t>
      </w:r>
    </w:p>
    <w:p>
      <w:pPr>
        <w:pStyle w:val="Footnotesection"/>
      </w:pPr>
      <w:bookmarkStart w:id="231" w:name="_Toc178258247"/>
      <w:r>
        <w:tab/>
        <w:t>[Section 36O inserted: No. 31 of 2024 s. 12.]</w:t>
      </w:r>
    </w:p>
    <w:p>
      <w:pPr>
        <w:pStyle w:val="Heading5"/>
      </w:pPr>
      <w:bookmarkStart w:id="232" w:name="_Toc216954925"/>
      <w:r>
        <w:rPr>
          <w:rStyle w:val="CharSectno"/>
        </w:rPr>
        <w:t>36P</w:t>
      </w:r>
      <w:r>
        <w:t>.</w:t>
      </w:r>
      <w:r>
        <w:tab/>
        <w:t>Application to Registrar if Family Court order made</w:t>
      </w:r>
      <w:bookmarkEnd w:id="231"/>
      <w:bookmarkEnd w:id="232"/>
    </w:p>
    <w:p>
      <w:pPr>
        <w:pStyle w:val="Subsection"/>
      </w:pPr>
      <w:r>
        <w:tab/>
        <w:t>(1)</w:t>
      </w:r>
      <w:r>
        <w:tab/>
        <w:t>Any person may apply to the Registrar to change a child’s sex or gender in the registration of the child’s birth if the Family Court has made an order under section 36L, 36M or 36N approving the change.</w:t>
      </w:r>
    </w:p>
    <w:p>
      <w:pPr>
        <w:pStyle w:val="Subsection"/>
      </w:pPr>
      <w:r>
        <w:tab/>
        <w:t>(2)</w:t>
      </w:r>
      <w:r>
        <w:tab/>
        <w:t xml:space="preserve">The application to the Registrar must — </w:t>
      </w:r>
    </w:p>
    <w:p>
      <w:pPr>
        <w:pStyle w:val="Indenta"/>
      </w:pPr>
      <w:r>
        <w:tab/>
        <w:t>(a)</w:t>
      </w:r>
      <w:r>
        <w:tab/>
        <w:t>be made in the approved form; and</w:t>
      </w:r>
    </w:p>
    <w:p>
      <w:pPr>
        <w:pStyle w:val="Indenta"/>
      </w:pPr>
      <w:r>
        <w:lastRenderedPageBreak/>
        <w:tab/>
        <w:t>(b)</w:t>
      </w:r>
      <w:r>
        <w:tab/>
        <w:t xml:space="preserve">be accompanied by — </w:t>
      </w:r>
    </w:p>
    <w:p>
      <w:pPr>
        <w:pStyle w:val="Indenti"/>
      </w:pPr>
      <w:r>
        <w:tab/>
        <w:t>(i)</w:t>
      </w:r>
      <w:r>
        <w:tab/>
        <w:t>a copy of the order; and</w:t>
      </w:r>
    </w:p>
    <w:p>
      <w:pPr>
        <w:pStyle w:val="Indenti"/>
      </w:pPr>
      <w:r>
        <w:tab/>
        <w:t>(ii)</w:t>
      </w:r>
      <w:r>
        <w:tab/>
        <w:t>any other document or information prescribed by the regulations;</w:t>
      </w:r>
    </w:p>
    <w:p>
      <w:pPr>
        <w:pStyle w:val="Indenta"/>
      </w:pPr>
      <w:r>
        <w:tab/>
      </w:r>
      <w:r>
        <w:tab/>
        <w:t>and</w:t>
      </w:r>
    </w:p>
    <w:p>
      <w:pPr>
        <w:pStyle w:val="Indenta"/>
      </w:pPr>
      <w:r>
        <w:tab/>
        <w:t>(c)</w:t>
      </w:r>
      <w:r>
        <w:tab/>
        <w:t>contain a declaration by the applicant setting out whether the child is, at the time the application is made, a required declarant.</w:t>
      </w:r>
    </w:p>
    <w:p>
      <w:pPr>
        <w:pStyle w:val="Footnotesection"/>
      </w:pPr>
      <w:bookmarkStart w:id="233" w:name="_Toc178258248"/>
      <w:r>
        <w:tab/>
        <w:t>[Section 36P inserted: No. 31 of 2024 s. 12.]</w:t>
      </w:r>
    </w:p>
    <w:p>
      <w:pPr>
        <w:pStyle w:val="Heading5"/>
      </w:pPr>
      <w:bookmarkStart w:id="234" w:name="_Toc216954926"/>
      <w:r>
        <w:rPr>
          <w:rStyle w:val="CharSectno"/>
        </w:rPr>
        <w:t>36Q</w:t>
      </w:r>
      <w:r>
        <w:t>.</w:t>
      </w:r>
      <w:r>
        <w:tab/>
        <w:t>Entries on, and access to, Register and issue of certificates</w:t>
      </w:r>
      <w:bookmarkEnd w:id="233"/>
      <w:bookmarkEnd w:id="234"/>
    </w:p>
    <w:p>
      <w:pPr>
        <w:pStyle w:val="Subsection"/>
      </w:pPr>
      <w:r>
        <w:tab/>
        <w:t>(1)</w:t>
      </w:r>
      <w:r>
        <w:tab/>
        <w:t xml:space="preserve">On receipt of an application under section 36J or 36K, the Registrar must — </w:t>
      </w:r>
    </w:p>
    <w:p>
      <w:pPr>
        <w:pStyle w:val="Indenta"/>
      </w:pPr>
      <w:r>
        <w:tab/>
        <w:t>(a)</w:t>
      </w:r>
      <w:r>
        <w:tab/>
        <w:t>make the requested change; or</w:t>
      </w:r>
    </w:p>
    <w:p>
      <w:pPr>
        <w:pStyle w:val="Indenta"/>
      </w:pPr>
      <w:r>
        <w:tab/>
        <w:t>(b)</w:t>
      </w:r>
      <w:r>
        <w:tab/>
        <w:t>refuse to make the requested change.</w:t>
      </w:r>
    </w:p>
    <w:p>
      <w:pPr>
        <w:pStyle w:val="Subsection"/>
      </w:pPr>
      <w:r>
        <w:tab/>
        <w:t>(2)</w:t>
      </w:r>
      <w:r>
        <w:tab/>
        <w:t>On receipt of an application under section 36P, the Registrar must make the change in accordance with the order of the Family Court.</w:t>
      </w:r>
    </w:p>
    <w:p>
      <w:pPr>
        <w:pStyle w:val="Subsection"/>
      </w:pPr>
      <w:r>
        <w:tab/>
        <w:t>(3)</w:t>
      </w:r>
      <w:r>
        <w:tab/>
        <w:t xml:space="preserve">If a person’s sex or gender in the registration of the person’s birth is changed under this section, the Registrar — </w:t>
      </w:r>
    </w:p>
    <w:p>
      <w:pPr>
        <w:pStyle w:val="Indenta"/>
      </w:pPr>
      <w:r>
        <w:tab/>
        <w:t>(a)</w:t>
      </w:r>
      <w:r>
        <w:tab/>
        <w:t>must retain on the Register the particulars contained in the entry in the Register relating to the person’s sex or gender before the registration was changed; but</w:t>
      </w:r>
    </w:p>
    <w:p>
      <w:pPr>
        <w:pStyle w:val="Indenta"/>
      </w:pPr>
      <w:r>
        <w:tab/>
        <w:t>(b)</w:t>
      </w:r>
      <w:r>
        <w:tab/>
        <w:t xml:space="preserve">must not — </w:t>
      </w:r>
    </w:p>
    <w:p>
      <w:pPr>
        <w:pStyle w:val="Indenti"/>
      </w:pPr>
      <w:r>
        <w:tab/>
        <w:t>(i)</w:t>
      </w:r>
      <w:r>
        <w:tab/>
        <w:t>allow access to the particulars referred to in paragraph (a); or</w:t>
      </w:r>
    </w:p>
    <w:p>
      <w:pPr>
        <w:pStyle w:val="Indenti"/>
      </w:pPr>
      <w:r>
        <w:tab/>
        <w:t>(ii)</w:t>
      </w:r>
      <w:r>
        <w:tab/>
        <w:t>issue a birth certificate for the person showing the person’s sex or gender before the registration was changed.</w:t>
      </w:r>
    </w:p>
    <w:p>
      <w:pPr>
        <w:pStyle w:val="Subsection"/>
      </w:pPr>
      <w:r>
        <w:tab/>
        <w:t>(4)</w:t>
      </w:r>
      <w:r>
        <w:tab/>
        <w:t xml:space="preserve">Despite subsection (3)(b), the Registrar may allow access to the particulars referred to in subsection (3)(a), or issue a birth </w:t>
      </w:r>
      <w:r>
        <w:lastRenderedPageBreak/>
        <w:t xml:space="preserve">certificate for the person showing both the person’s sex or gender before the registration was changed and the person’s sex or gender after the registration was changed, if an application requesting the access or issue of a certificate is made by — </w:t>
      </w:r>
    </w:p>
    <w:p>
      <w:pPr>
        <w:pStyle w:val="Indenta"/>
      </w:pPr>
      <w:r>
        <w:tab/>
        <w:t>(a)</w:t>
      </w:r>
      <w:r>
        <w:tab/>
        <w:t>the person; or</w:t>
      </w:r>
    </w:p>
    <w:p>
      <w:pPr>
        <w:pStyle w:val="Indenta"/>
      </w:pPr>
      <w:r>
        <w:tab/>
        <w:t>(b)</w:t>
      </w:r>
      <w:r>
        <w:tab/>
        <w:t>a person or body prescribed by the regulations.</w:t>
      </w:r>
    </w:p>
    <w:p>
      <w:pPr>
        <w:pStyle w:val="Subsection"/>
      </w:pPr>
      <w:r>
        <w:tab/>
        <w:t>(5)</w:t>
      </w:r>
      <w:r>
        <w:tab/>
        <w:t>If a person’s sex or gender in the registration of the person’s birth has changed more than once, an application for the issue of a birth certificate may request that specified changes be shown.</w:t>
      </w:r>
    </w:p>
    <w:p>
      <w:pPr>
        <w:pStyle w:val="Footnotesection"/>
      </w:pPr>
      <w:bookmarkStart w:id="235" w:name="_Toc178258249"/>
      <w:r>
        <w:tab/>
        <w:t>[Section 36Q inserted: No. 31 of 2024 s. 12.]</w:t>
      </w:r>
    </w:p>
    <w:p>
      <w:pPr>
        <w:pStyle w:val="Heading5"/>
      </w:pPr>
      <w:bookmarkStart w:id="236" w:name="_Toc216954927"/>
      <w:r>
        <w:rPr>
          <w:rStyle w:val="CharSectno"/>
        </w:rPr>
        <w:t>36R</w:t>
      </w:r>
      <w:r>
        <w:t>.</w:t>
      </w:r>
      <w:r>
        <w:tab/>
        <w:t>Entitlement not affected by change of registration of sex or gender</w:t>
      </w:r>
      <w:bookmarkEnd w:id="235"/>
      <w:bookmarkEnd w:id="236"/>
    </w:p>
    <w:p>
      <w:pPr>
        <w:pStyle w:val="Subsection"/>
      </w:pPr>
      <w:r>
        <w:tab/>
        <w:t>(1)</w:t>
      </w:r>
      <w:r>
        <w:tab/>
        <w:t xml:space="preserve">Subsection (2) applies to a person who has an entitlement — </w:t>
      </w:r>
    </w:p>
    <w:p>
      <w:pPr>
        <w:pStyle w:val="Indenta"/>
      </w:pPr>
      <w:r>
        <w:tab/>
        <w:t>(a)</w:t>
      </w:r>
      <w:r>
        <w:tab/>
        <w:t>under a will; or</w:t>
      </w:r>
    </w:p>
    <w:p>
      <w:pPr>
        <w:pStyle w:val="Indenta"/>
      </w:pPr>
      <w:r>
        <w:tab/>
        <w:t>(b)</w:t>
      </w:r>
      <w:r>
        <w:tab/>
        <w:t>under a trust; or</w:t>
      </w:r>
    </w:p>
    <w:p>
      <w:pPr>
        <w:pStyle w:val="Indenta"/>
      </w:pPr>
      <w:r>
        <w:tab/>
        <w:t>(c)</w:t>
      </w:r>
      <w:r>
        <w:tab/>
        <w:t>otherwise by operation of law.</w:t>
      </w:r>
    </w:p>
    <w:p>
      <w:pPr>
        <w:pStyle w:val="Subsection"/>
      </w:pPr>
      <w:r>
        <w:tab/>
        <w:t>(2)</w:t>
      </w:r>
      <w:r>
        <w:tab/>
        <w:t>The person does not, except as otherwise provided under the will, the trust or by the law conferring the entitlement, lose the entitlement only because the person’s sex or gender in the registration of the person’s birth has been changed.</w:t>
      </w:r>
    </w:p>
    <w:p>
      <w:pPr>
        <w:pStyle w:val="Footnotesection"/>
      </w:pPr>
      <w:bookmarkStart w:id="237" w:name="_Toc178258250"/>
      <w:r>
        <w:tab/>
        <w:t>[Section 36R inserted: No. 31 of 2024 s. 12.]</w:t>
      </w:r>
    </w:p>
    <w:p>
      <w:pPr>
        <w:pStyle w:val="Heading5"/>
      </w:pPr>
      <w:bookmarkStart w:id="238" w:name="_Toc216954928"/>
      <w:r>
        <w:rPr>
          <w:rStyle w:val="CharSectno"/>
        </w:rPr>
        <w:t>36S</w:t>
      </w:r>
      <w:r>
        <w:t>.</w:t>
      </w:r>
      <w:r>
        <w:tab/>
        <w:t>Interaction with other laws</w:t>
      </w:r>
      <w:bookmarkEnd w:id="237"/>
      <w:bookmarkEnd w:id="238"/>
    </w:p>
    <w:p>
      <w:pPr>
        <w:pStyle w:val="Subsection"/>
      </w:pPr>
      <w:r>
        <w:tab/>
      </w:r>
      <w:r>
        <w:tab/>
        <w:t>If a person’s sex or gender in the registration of the person’s birth is changed under this Division or under a corresponding law prescribed for the purposes of this section, the person is a person of the sex or gender as changed for the purposes of, but subject to, a law of the State.</w:t>
      </w:r>
    </w:p>
    <w:p>
      <w:pPr>
        <w:pStyle w:val="Footnotesection"/>
      </w:pPr>
      <w:bookmarkStart w:id="239" w:name="_Toc178258147"/>
      <w:bookmarkStart w:id="240" w:name="_Toc178258251"/>
      <w:r>
        <w:tab/>
        <w:t>[Section 36S inserted: No. 31 of 2024 s. 12.]</w:t>
      </w:r>
    </w:p>
    <w:p>
      <w:pPr>
        <w:pStyle w:val="Heading3"/>
      </w:pPr>
      <w:bookmarkStart w:id="241" w:name="_Toc198908946"/>
      <w:bookmarkStart w:id="242" w:name="_Toc199153777"/>
      <w:bookmarkStart w:id="243" w:name="_Toc216795146"/>
      <w:bookmarkStart w:id="244" w:name="_Toc216795529"/>
      <w:bookmarkStart w:id="245" w:name="_Toc216795684"/>
      <w:bookmarkStart w:id="246" w:name="_Toc216942245"/>
      <w:bookmarkStart w:id="247" w:name="_Toc216942400"/>
      <w:bookmarkStart w:id="248" w:name="_Toc216954929"/>
      <w:r>
        <w:rPr>
          <w:rStyle w:val="CharDivNo"/>
        </w:rPr>
        <w:lastRenderedPageBreak/>
        <w:t>Division 3</w:t>
      </w:r>
      <w:r>
        <w:t> — </w:t>
      </w:r>
      <w:r>
        <w:rPr>
          <w:rStyle w:val="CharDivText"/>
        </w:rPr>
        <w:t>Western Australian residents born outside of Australia</w:t>
      </w:r>
      <w:bookmarkEnd w:id="239"/>
      <w:bookmarkEnd w:id="240"/>
      <w:bookmarkEnd w:id="241"/>
      <w:bookmarkEnd w:id="242"/>
      <w:bookmarkEnd w:id="243"/>
      <w:bookmarkEnd w:id="244"/>
      <w:bookmarkEnd w:id="245"/>
      <w:bookmarkEnd w:id="246"/>
      <w:bookmarkEnd w:id="247"/>
      <w:bookmarkEnd w:id="248"/>
    </w:p>
    <w:p>
      <w:pPr>
        <w:pStyle w:val="Footnoteheading"/>
      </w:pPr>
      <w:bookmarkStart w:id="249" w:name="_Toc178258252"/>
      <w:r>
        <w:tab/>
        <w:t>[Heading inserted: No. 31 of 2024 s. 12.]</w:t>
      </w:r>
    </w:p>
    <w:p>
      <w:pPr>
        <w:pStyle w:val="Heading5"/>
      </w:pPr>
      <w:bookmarkStart w:id="250" w:name="_Toc216954930"/>
      <w:r>
        <w:rPr>
          <w:rStyle w:val="CharSectno"/>
        </w:rPr>
        <w:t>36T</w:t>
      </w:r>
      <w:r>
        <w:t>.</w:t>
      </w:r>
      <w:r>
        <w:tab/>
        <w:t>Application to Registrar for acknowledgment document by person 18 years or more</w:t>
      </w:r>
      <w:bookmarkEnd w:id="249"/>
      <w:bookmarkEnd w:id="250"/>
    </w:p>
    <w:p>
      <w:pPr>
        <w:pStyle w:val="Subsection"/>
      </w:pPr>
      <w:r>
        <w:tab/>
        <w:t>(1)</w:t>
      </w:r>
      <w:r>
        <w:tab/>
        <w:t xml:space="preserve">A person who is 18 years of age or more may apply to the Registrar for an acknowledgment document for the person if — </w:t>
      </w:r>
    </w:p>
    <w:p>
      <w:pPr>
        <w:pStyle w:val="Indenta"/>
      </w:pPr>
      <w:r>
        <w:tab/>
        <w:t>(a)</w:t>
      </w:r>
      <w:r>
        <w:tab/>
        <w:t>the person was born outside of Australia; and</w:t>
      </w:r>
    </w:p>
    <w:p>
      <w:pPr>
        <w:pStyle w:val="Indenta"/>
      </w:pPr>
      <w:r>
        <w:tab/>
        <w:t>(b)</w:t>
      </w:r>
      <w:r>
        <w:tab/>
        <w:t>the person has lived in the State for at least 12 consecutive months immediately before the day the application is made; and</w:t>
      </w:r>
    </w:p>
    <w:p>
      <w:pPr>
        <w:pStyle w:val="Indenta"/>
      </w:pPr>
      <w:r>
        <w:tab/>
        <w:t>(c)</w:t>
      </w:r>
      <w:r>
        <w:tab/>
        <w:t>the person believes the person’s sex or gender to be the sex or gender specified in the application.</w:t>
      </w:r>
    </w:p>
    <w:p>
      <w:pPr>
        <w:pStyle w:val="Subsection"/>
      </w:pPr>
      <w:r>
        <w:tab/>
        <w:t>(2)</w:t>
      </w:r>
      <w:r>
        <w:tab/>
        <w:t xml:space="preserve">The application must — </w:t>
      </w:r>
    </w:p>
    <w:p>
      <w:pPr>
        <w:pStyle w:val="Indenta"/>
      </w:pPr>
      <w:r>
        <w:tab/>
        <w:t>(a)</w:t>
      </w:r>
      <w:r>
        <w:tab/>
        <w:t>be made in the approved form; and</w:t>
      </w:r>
    </w:p>
    <w:p>
      <w:pPr>
        <w:pStyle w:val="Indenta"/>
      </w:pPr>
      <w:r>
        <w:tab/>
        <w:t>(b)</w:t>
      </w:r>
      <w:r>
        <w:tab/>
        <w:t>specify a sex or gender of a kind prescribed in the regulations; and</w:t>
      </w:r>
    </w:p>
    <w:p>
      <w:pPr>
        <w:pStyle w:val="Indenta"/>
      </w:pPr>
      <w:r>
        <w:tab/>
        <w:t>(c)</w:t>
      </w:r>
      <w:r>
        <w:tab/>
        <w:t xml:space="preserve">be accompanied by — </w:t>
      </w:r>
    </w:p>
    <w:p>
      <w:pPr>
        <w:pStyle w:val="Indenti"/>
      </w:pPr>
      <w:r>
        <w:tab/>
        <w:t>(i)</w:t>
      </w:r>
      <w:r>
        <w:tab/>
        <w:t>a statement by a doctor, or a psychologist, certifying that the person has received appropriate clinical treatment in relation to the person’s sex or gender; and</w:t>
      </w:r>
    </w:p>
    <w:p>
      <w:pPr>
        <w:pStyle w:val="Indenti"/>
      </w:pPr>
      <w:r>
        <w:tab/>
        <w:t>(ii)</w:t>
      </w:r>
      <w:r>
        <w:tab/>
        <w:t>any other document or information prescribed by the regulations;</w:t>
      </w:r>
    </w:p>
    <w:p>
      <w:pPr>
        <w:pStyle w:val="Indenta"/>
      </w:pPr>
      <w:r>
        <w:tab/>
      </w:r>
      <w:r>
        <w:tab/>
        <w:t>and</w:t>
      </w:r>
    </w:p>
    <w:p>
      <w:pPr>
        <w:pStyle w:val="Indenta"/>
      </w:pPr>
      <w:r>
        <w:tab/>
        <w:t>(d)</w:t>
      </w:r>
      <w:r>
        <w:tab/>
        <w:t>contain a declaration by the applicant setting out whether the applicant is, at the time the application is made, a required declarant.</w:t>
      </w:r>
    </w:p>
    <w:p>
      <w:pPr>
        <w:pStyle w:val="Footnotesection"/>
      </w:pPr>
      <w:bookmarkStart w:id="251" w:name="_Toc178258253"/>
      <w:r>
        <w:tab/>
        <w:t>[Section 36T inserted: No. 31 of 2024 s. 12.]</w:t>
      </w:r>
    </w:p>
    <w:p>
      <w:pPr>
        <w:pStyle w:val="Heading5"/>
      </w:pPr>
      <w:bookmarkStart w:id="252" w:name="_Toc216954931"/>
      <w:r>
        <w:rPr>
          <w:rStyle w:val="CharSectno"/>
        </w:rPr>
        <w:lastRenderedPageBreak/>
        <w:t>36U</w:t>
      </w:r>
      <w:r>
        <w:t>.</w:t>
      </w:r>
      <w:r>
        <w:tab/>
        <w:t>Application to Registrar for acknowledgment document for child 12 years or more</w:t>
      </w:r>
      <w:bookmarkEnd w:id="251"/>
      <w:bookmarkEnd w:id="252"/>
    </w:p>
    <w:p>
      <w:pPr>
        <w:pStyle w:val="Subsection"/>
      </w:pPr>
      <w:r>
        <w:tab/>
        <w:t>(1)</w:t>
      </w:r>
      <w:r>
        <w:tab/>
        <w:t xml:space="preserve">The parents or guardians of a child who is at least 12 years of age and under 18 years of age may apply to the Registrar for an acknowledgment document for the child if — </w:t>
      </w:r>
    </w:p>
    <w:p>
      <w:pPr>
        <w:pStyle w:val="Indenta"/>
      </w:pPr>
      <w:r>
        <w:tab/>
        <w:t>(a)</w:t>
      </w:r>
      <w:r>
        <w:tab/>
        <w:t>the child was born outside of Australia; and</w:t>
      </w:r>
    </w:p>
    <w:p>
      <w:pPr>
        <w:pStyle w:val="Indenta"/>
      </w:pPr>
      <w:r>
        <w:tab/>
        <w:t>(b)</w:t>
      </w:r>
      <w:r>
        <w:tab/>
        <w:t>the child has lived in the State for at least 12 consecutive months immediately before the day the application is made; and</w:t>
      </w:r>
    </w:p>
    <w:p>
      <w:pPr>
        <w:pStyle w:val="Indenta"/>
      </w:pPr>
      <w:r>
        <w:tab/>
        <w:t>(c)</w:t>
      </w:r>
      <w:r>
        <w:tab/>
        <w:t>the child consents to the issue of the document in accordance with the application; and</w:t>
      </w:r>
    </w:p>
    <w:p>
      <w:pPr>
        <w:pStyle w:val="Indenta"/>
      </w:pPr>
      <w:r>
        <w:tab/>
        <w:t>(d)</w:t>
      </w:r>
      <w:r>
        <w:tab/>
        <w:t>each applicant believes the child’s sex or gender to be the sex or gender specified in the application.</w:t>
      </w:r>
    </w:p>
    <w:p>
      <w:pPr>
        <w:pStyle w:val="Subsection"/>
      </w:pPr>
      <w:r>
        <w:tab/>
        <w:t>(2)</w:t>
      </w:r>
      <w:r>
        <w:tab/>
        <w:t xml:space="preserve">The application must — </w:t>
      </w:r>
    </w:p>
    <w:p>
      <w:pPr>
        <w:pStyle w:val="Indenta"/>
      </w:pPr>
      <w:r>
        <w:tab/>
        <w:t>(a)</w:t>
      </w:r>
      <w:r>
        <w:tab/>
        <w:t>be made in the approved form; and</w:t>
      </w:r>
    </w:p>
    <w:p>
      <w:pPr>
        <w:pStyle w:val="Indenta"/>
      </w:pPr>
      <w:r>
        <w:tab/>
        <w:t>(b)</w:t>
      </w:r>
      <w:r>
        <w:tab/>
        <w:t>specify a sex or gender of a kind prescribed in the regulations; and</w:t>
      </w:r>
    </w:p>
    <w:p>
      <w:pPr>
        <w:pStyle w:val="Indenta"/>
      </w:pPr>
      <w:r>
        <w:tab/>
        <w:t>(c)</w:t>
      </w:r>
      <w:r>
        <w:tab/>
        <w:t xml:space="preserve">be accompanied by a statement by a doctor, or a psychologist, certifying that the child — </w:t>
      </w:r>
    </w:p>
    <w:p>
      <w:pPr>
        <w:pStyle w:val="Indenti"/>
      </w:pPr>
      <w:r>
        <w:tab/>
        <w:t>(i)</w:t>
      </w:r>
      <w:r>
        <w:tab/>
        <w:t>has received appropriate clinical treatment in relation to the child’s sex or gender; and</w:t>
      </w:r>
    </w:p>
    <w:p>
      <w:pPr>
        <w:pStyle w:val="Indenti"/>
      </w:pPr>
      <w:r>
        <w:tab/>
        <w:t>(ii)</w:t>
      </w:r>
      <w:r>
        <w:tab/>
        <w:t>understands the meaning and implications of the application;</w:t>
      </w:r>
    </w:p>
    <w:p>
      <w:pPr>
        <w:pStyle w:val="Indenta"/>
      </w:pPr>
      <w:r>
        <w:tab/>
      </w:r>
      <w:r>
        <w:tab/>
        <w:t>and</w:t>
      </w:r>
    </w:p>
    <w:p>
      <w:pPr>
        <w:pStyle w:val="Indenta"/>
      </w:pPr>
      <w:r>
        <w:tab/>
        <w:t>(d)</w:t>
      </w:r>
      <w:r>
        <w:tab/>
        <w:t xml:space="preserve">be accompanied by — </w:t>
      </w:r>
    </w:p>
    <w:p>
      <w:pPr>
        <w:pStyle w:val="Indenti"/>
      </w:pPr>
      <w:r>
        <w:tab/>
        <w:t>(i)</w:t>
      </w:r>
      <w:r>
        <w:tab/>
        <w:t>a statement by the child consenting to the issue of the document; and</w:t>
      </w:r>
    </w:p>
    <w:p>
      <w:pPr>
        <w:pStyle w:val="Indenti"/>
      </w:pPr>
      <w:r>
        <w:tab/>
        <w:t>(ii)</w:t>
      </w:r>
      <w:r>
        <w:tab/>
        <w:t>any other document or information prescribed by the regulations;</w:t>
      </w:r>
    </w:p>
    <w:p>
      <w:pPr>
        <w:pStyle w:val="Indenta"/>
      </w:pPr>
      <w:r>
        <w:tab/>
      </w:r>
      <w:r>
        <w:tab/>
        <w:t>and</w:t>
      </w:r>
    </w:p>
    <w:p>
      <w:pPr>
        <w:pStyle w:val="Indenta"/>
      </w:pPr>
      <w:r>
        <w:lastRenderedPageBreak/>
        <w:tab/>
        <w:t>(e)</w:t>
      </w:r>
      <w:r>
        <w:tab/>
        <w:t>contain a declaration by each applicant setting out whether the child is, at the time the application is made, a required declarant.</w:t>
      </w:r>
    </w:p>
    <w:p>
      <w:pPr>
        <w:pStyle w:val="Subsection"/>
      </w:pPr>
      <w:r>
        <w:tab/>
        <w:t>(3)</w:t>
      </w:r>
      <w:r>
        <w:tab/>
        <w:t>An application under subsection (1) may be made by 1 parent if, and only if —</w:t>
      </w:r>
    </w:p>
    <w:p>
      <w:pPr>
        <w:pStyle w:val="Indenta"/>
      </w:pPr>
      <w:r>
        <w:tab/>
        <w:t>(a)</w:t>
      </w:r>
      <w:r>
        <w:tab/>
        <w:t>the applicant is the sole parent named in the registration of the child’s birth; or</w:t>
      </w:r>
    </w:p>
    <w:p>
      <w:pPr>
        <w:pStyle w:val="Indenta"/>
      </w:pPr>
      <w:r>
        <w:tab/>
        <w:t>(b)</w:t>
      </w:r>
      <w:r>
        <w:tab/>
        <w:t>the child’s other parent is dead.</w:t>
      </w:r>
    </w:p>
    <w:p>
      <w:pPr>
        <w:pStyle w:val="Subsection"/>
      </w:pPr>
      <w:r>
        <w:tab/>
        <w:t>(4)</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(5)</w:t>
      </w:r>
      <w:r>
        <w:tab/>
        <w:t>Without limiting subsection (4), an application under subsection (1) may be made by joint guardians if, and only if, the joint guardians are unanimous in making the application.</w:t>
      </w:r>
    </w:p>
    <w:p>
      <w:pPr>
        <w:pStyle w:val="Footnotesection"/>
      </w:pPr>
      <w:bookmarkStart w:id="253" w:name="_Toc178258254"/>
      <w:r>
        <w:tab/>
        <w:t>[Section 36U inserted: No. 31 of 2024 s. 12.]</w:t>
      </w:r>
    </w:p>
    <w:p>
      <w:pPr>
        <w:pStyle w:val="Heading5"/>
      </w:pPr>
      <w:bookmarkStart w:id="254" w:name="_Toc216954932"/>
      <w:r>
        <w:rPr>
          <w:rStyle w:val="CharSectno"/>
        </w:rPr>
        <w:t>36V</w:t>
      </w:r>
      <w:r>
        <w:t>.</w:t>
      </w:r>
      <w:r>
        <w:tab/>
        <w:t>Application to Family Court by parent or guardian of child 12 years or more</w:t>
      </w:r>
      <w:bookmarkEnd w:id="253"/>
      <w:bookmarkEnd w:id="254"/>
    </w:p>
    <w:p>
      <w:pPr>
        <w:pStyle w:val="Subsection"/>
      </w:pPr>
      <w:r>
        <w:tab/>
        <w:t>(1)</w:t>
      </w:r>
      <w:r>
        <w:tab/>
        <w:t xml:space="preserve">A parent or guardian of a child may apply to the Family Court for an order approving the issue of an acknowledgment document for the child if — </w:t>
      </w:r>
    </w:p>
    <w:p>
      <w:pPr>
        <w:pStyle w:val="Indenta"/>
      </w:pPr>
      <w:r>
        <w:tab/>
        <w:t>(a)</w:t>
      </w:r>
      <w:r>
        <w:tab/>
        <w:t>the child is at least 12 years of age and under 18 years of age; and</w:t>
      </w:r>
    </w:p>
    <w:p>
      <w:pPr>
        <w:pStyle w:val="Indenta"/>
      </w:pPr>
      <w:r>
        <w:tab/>
        <w:t>(b)</w:t>
      </w:r>
      <w:r>
        <w:tab/>
        <w:t>the child was born outside of Australia; and</w:t>
      </w:r>
    </w:p>
    <w:p>
      <w:pPr>
        <w:pStyle w:val="Indenta"/>
      </w:pPr>
      <w:r>
        <w:tab/>
        <w:t>(c)</w:t>
      </w:r>
      <w:r>
        <w:tab/>
        <w:t>the child has lived in the State for at least 12 consecutive months immediately before the day the application is made.</w:t>
      </w:r>
    </w:p>
    <w:p>
      <w:pPr>
        <w:pStyle w:val="Subsection"/>
      </w:pPr>
      <w:r>
        <w:tab/>
        <w:t>(2)</w:t>
      </w:r>
      <w:r>
        <w:tab/>
        <w:t>The application must specify a sex or gender of a kind prescribed in the regulations</w:t>
      </w:r>
      <w:r>
        <w:rPr>
          <w:iCs/>
        </w:rPr>
        <w:t>.</w:t>
      </w:r>
    </w:p>
    <w:p>
      <w:pPr>
        <w:pStyle w:val="Subsection"/>
      </w:pPr>
      <w:r>
        <w:lastRenderedPageBreak/>
        <w:tab/>
        <w:t>(3)</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(4)</w:t>
      </w:r>
      <w:r>
        <w:tab/>
        <w:t>The Family Court may make the order if satisfied that it is in the child’s best interests.</w:t>
      </w:r>
    </w:p>
    <w:p>
      <w:pPr>
        <w:pStyle w:val="Subsection"/>
      </w:pPr>
      <w:r>
        <w:tab/>
        <w:t>(5)</w:t>
      </w:r>
      <w:r>
        <w:tab/>
        <w:t xml:space="preserve">In determining whether or not to make the order, the Family Court must consider — </w:t>
      </w:r>
    </w:p>
    <w:p>
      <w:pPr>
        <w:pStyle w:val="Indenta"/>
      </w:pPr>
      <w:r>
        <w:tab/>
        <w:t>(a)</w:t>
      </w:r>
      <w:r>
        <w:tab/>
        <w:t>any views expressed by the child and any factors (such as the child’s maturity or level of understanding) that the Family Court thinks are relevant to the weight it should give to the child’s views; and</w:t>
      </w:r>
    </w:p>
    <w:p>
      <w:pPr>
        <w:pStyle w:val="Indenta"/>
      </w:pPr>
      <w:r>
        <w:tab/>
        <w:t>(b)</w:t>
      </w:r>
      <w:r>
        <w:tab/>
        <w:t>any views expressed by a parent or guardian of the child; and</w:t>
      </w:r>
    </w:p>
    <w:p>
      <w:pPr>
        <w:pStyle w:val="Indenta"/>
      </w:pPr>
      <w:r>
        <w:tab/>
        <w:t>(c)</w:t>
      </w:r>
      <w:r>
        <w:tab/>
        <w:t>whether the child has received appropriate clinical treatment in relation to the child’s sex or gender.</w:t>
      </w:r>
    </w:p>
    <w:p>
      <w:pPr>
        <w:pStyle w:val="Footnotesection"/>
      </w:pPr>
      <w:bookmarkStart w:id="255" w:name="_Toc178258255"/>
      <w:r>
        <w:tab/>
        <w:t>[Section 36V inserted: No. 31 of 2024 s. 12.]</w:t>
      </w:r>
    </w:p>
    <w:p>
      <w:pPr>
        <w:pStyle w:val="Heading5"/>
      </w:pPr>
      <w:bookmarkStart w:id="256" w:name="_Toc216954933"/>
      <w:r>
        <w:rPr>
          <w:rStyle w:val="CharSectno"/>
        </w:rPr>
        <w:t>36W</w:t>
      </w:r>
      <w:r>
        <w:t>.</w:t>
      </w:r>
      <w:r>
        <w:tab/>
        <w:t>Application to Family Court by child 12 years or more</w:t>
      </w:r>
      <w:bookmarkEnd w:id="255"/>
      <w:bookmarkEnd w:id="256"/>
    </w:p>
    <w:p>
      <w:pPr>
        <w:pStyle w:val="Subsection"/>
      </w:pPr>
      <w:r>
        <w:tab/>
        <w:t>(1)</w:t>
      </w:r>
      <w:r>
        <w:tab/>
        <w:t xml:space="preserve">This section applies if — </w:t>
      </w:r>
    </w:p>
    <w:p>
      <w:pPr>
        <w:pStyle w:val="Indenta"/>
      </w:pPr>
      <w:r>
        <w:tab/>
        <w:t>(a)</w:t>
      </w:r>
      <w:r>
        <w:tab/>
        <w:t>each parent or guardian of a child who is at least 12 years of age and under 18 years of age does not support the issue of an acknowledgment document for the child; and</w:t>
      </w:r>
    </w:p>
    <w:p>
      <w:pPr>
        <w:pStyle w:val="Indenta"/>
      </w:pPr>
      <w:r>
        <w:tab/>
        <w:t>(b)</w:t>
      </w:r>
      <w:r>
        <w:tab/>
        <w:t>the child was born outside of Australia; and</w:t>
      </w:r>
    </w:p>
    <w:p>
      <w:pPr>
        <w:pStyle w:val="Indenta"/>
      </w:pPr>
      <w:r>
        <w:tab/>
        <w:t>(c)</w:t>
      </w:r>
      <w:r>
        <w:tab/>
        <w:t>the child has lived in the State for at least 12 consecutive months immediately before the day the application is made.</w:t>
      </w:r>
    </w:p>
    <w:p>
      <w:pPr>
        <w:pStyle w:val="Subsection"/>
      </w:pPr>
      <w:r>
        <w:tab/>
        <w:t>(2)</w:t>
      </w:r>
      <w:r>
        <w:tab/>
        <w:t>The child may apply to the Family Court for an order approving the issue of an acknowledgment document for the child.</w:t>
      </w:r>
    </w:p>
    <w:p>
      <w:pPr>
        <w:pStyle w:val="Subsection"/>
        <w:rPr>
          <w:iCs/>
        </w:rPr>
      </w:pPr>
      <w:r>
        <w:tab/>
        <w:t>(3)</w:t>
      </w:r>
      <w:r>
        <w:tab/>
        <w:t>The application must specify a sex or gender of a kind prescribed in the regulations</w:t>
      </w:r>
      <w:r>
        <w:rPr>
          <w:iCs/>
        </w:rPr>
        <w:t>.</w:t>
      </w:r>
    </w:p>
    <w:p>
      <w:pPr>
        <w:pStyle w:val="Subsection"/>
      </w:pPr>
      <w:r>
        <w:lastRenderedPageBreak/>
        <w:tab/>
        <w:t>(4)</w:t>
      </w:r>
      <w:r>
        <w:tab/>
        <w:t>The Family Court may make the order if satisfied that it is in the child’s best interests.</w:t>
      </w:r>
    </w:p>
    <w:p>
      <w:pPr>
        <w:pStyle w:val="Subsection"/>
      </w:pPr>
      <w:r>
        <w:tab/>
        <w:t>(5)</w:t>
      </w:r>
      <w:r>
        <w:tab/>
        <w:t xml:space="preserve">In determining whether or not to make the order, the Family Court must consider — </w:t>
      </w:r>
    </w:p>
    <w:p>
      <w:pPr>
        <w:pStyle w:val="Indenta"/>
      </w:pPr>
      <w:r>
        <w:tab/>
        <w:t>(a)</w:t>
      </w:r>
      <w:r>
        <w:tab/>
        <w:t>any views expressed by the child and any factors (such as the child’s maturity or level of understanding) that the Family Court thinks are relevant to the weight it should give to the child’s views; and</w:t>
      </w:r>
    </w:p>
    <w:p>
      <w:pPr>
        <w:pStyle w:val="Indenta"/>
      </w:pPr>
      <w:r>
        <w:tab/>
        <w:t>(b)</w:t>
      </w:r>
      <w:r>
        <w:tab/>
        <w:t>any views expressed by a parent or guardian of the child; and</w:t>
      </w:r>
    </w:p>
    <w:p>
      <w:pPr>
        <w:pStyle w:val="Indenta"/>
      </w:pPr>
      <w:r>
        <w:tab/>
        <w:t>(c)</w:t>
      </w:r>
      <w:r>
        <w:tab/>
        <w:t>whether the child has received appropriate clinical treatment in relation to the child’s sex or gender.</w:t>
      </w:r>
    </w:p>
    <w:p>
      <w:pPr>
        <w:pStyle w:val="Footnotesection"/>
      </w:pPr>
      <w:bookmarkStart w:id="257" w:name="_Toc178258256"/>
      <w:r>
        <w:tab/>
        <w:t>[Section 36W inserted: No. 31 of 2024 s. 12.]</w:t>
      </w:r>
    </w:p>
    <w:p>
      <w:pPr>
        <w:pStyle w:val="Heading5"/>
      </w:pPr>
      <w:bookmarkStart w:id="258" w:name="_Toc216954934"/>
      <w:r>
        <w:rPr>
          <w:rStyle w:val="CharSectno"/>
        </w:rPr>
        <w:t>36X</w:t>
      </w:r>
      <w:r>
        <w:t>.</w:t>
      </w:r>
      <w:r>
        <w:tab/>
        <w:t>Application to Family Court by parent or guardian of child under 12 years</w:t>
      </w:r>
      <w:bookmarkEnd w:id="257"/>
      <w:bookmarkEnd w:id="258"/>
    </w:p>
    <w:p>
      <w:pPr>
        <w:pStyle w:val="Subsection"/>
      </w:pPr>
      <w:r>
        <w:tab/>
        <w:t>(1)</w:t>
      </w:r>
      <w:r>
        <w:tab/>
        <w:t xml:space="preserve">A parent or guardian of a child under 12 years of age may apply to the Family Court for an order approving the issue of an acknowledgment document for the child if — </w:t>
      </w:r>
    </w:p>
    <w:p>
      <w:pPr>
        <w:pStyle w:val="Indenta"/>
      </w:pPr>
      <w:r>
        <w:tab/>
        <w:t>(a)</w:t>
      </w:r>
      <w:r>
        <w:tab/>
        <w:t>the child was born outside of Australia; and</w:t>
      </w:r>
    </w:p>
    <w:p>
      <w:pPr>
        <w:pStyle w:val="Indenta"/>
      </w:pPr>
      <w:r>
        <w:tab/>
        <w:t>(b)</w:t>
      </w:r>
      <w:r>
        <w:tab/>
        <w:t>the child has lived in the State for at least 12 consecutive months immediately before the day the application is made.</w:t>
      </w:r>
    </w:p>
    <w:p>
      <w:pPr>
        <w:pStyle w:val="Subsection"/>
      </w:pPr>
      <w:r>
        <w:tab/>
        <w:t>(2)</w:t>
      </w:r>
      <w:r>
        <w:tab/>
        <w:t>The application must specify a sex or gender of a kind prescribed in the regulations</w:t>
      </w:r>
      <w:r>
        <w:rPr>
          <w:iCs/>
        </w:rPr>
        <w:t>.</w:t>
      </w:r>
    </w:p>
    <w:p>
      <w:pPr>
        <w:pStyle w:val="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Subsection"/>
      </w:pPr>
      <w:r>
        <w:tab/>
        <w:t>(4)</w:t>
      </w:r>
      <w:r>
        <w:tab/>
        <w:t>The Family Court may make the order if satisfied that it is in the best interests of the child.</w:t>
      </w:r>
    </w:p>
    <w:p>
      <w:pPr>
        <w:pStyle w:val="Subsection"/>
      </w:pPr>
      <w:r>
        <w:lastRenderedPageBreak/>
        <w:tab/>
        <w:t>(5)</w:t>
      </w:r>
      <w:r>
        <w:tab/>
        <w:t xml:space="preserve">In determining whether or not to make the order, the Family Court must consider — </w:t>
      </w:r>
    </w:p>
    <w:p>
      <w:pPr>
        <w:pStyle w:val="Indenta"/>
      </w:pPr>
      <w:r>
        <w:tab/>
        <w:t>(a)</w:t>
      </w:r>
      <w:r>
        <w:tab/>
        <w:t>any views expressed by the child and any factors (such as the child’s maturity or level of understanding) that the Family Court thinks are relevant to the weight it should give to the child’s views; and</w:t>
      </w:r>
    </w:p>
    <w:p>
      <w:pPr>
        <w:pStyle w:val="Indenta"/>
      </w:pPr>
      <w:r>
        <w:tab/>
        <w:t>(b)</w:t>
      </w:r>
      <w:r>
        <w:tab/>
        <w:t>any views expressed by a parent or guardian of the child; and</w:t>
      </w:r>
    </w:p>
    <w:p>
      <w:pPr>
        <w:pStyle w:val="Indenta"/>
      </w:pPr>
      <w:r>
        <w:tab/>
        <w:t>(c)</w:t>
      </w:r>
      <w:r>
        <w:tab/>
        <w:t>whether the child has received appropriate clinical treatment in relation to the child’s sex or gender.</w:t>
      </w:r>
    </w:p>
    <w:p>
      <w:pPr>
        <w:pStyle w:val="Footnotesection"/>
      </w:pPr>
      <w:bookmarkStart w:id="259" w:name="_Toc178258257"/>
      <w:r>
        <w:tab/>
        <w:t>[Section 36X inserted: No. 31 of 2024 s. 12.]</w:t>
      </w:r>
    </w:p>
    <w:p>
      <w:pPr>
        <w:pStyle w:val="Heading5"/>
      </w:pPr>
      <w:bookmarkStart w:id="260" w:name="_Toc216954935"/>
      <w:r>
        <w:rPr>
          <w:rStyle w:val="CharSectno"/>
        </w:rPr>
        <w:t>36Y</w:t>
      </w:r>
      <w:r>
        <w:t>.</w:t>
      </w:r>
      <w:r>
        <w:tab/>
        <w:t>Application by CEO (Children and Community Services)</w:t>
      </w:r>
      <w:bookmarkEnd w:id="259"/>
      <w:bookmarkEnd w:id="260"/>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Children and Community Services Act 2004</w:t>
      </w:r>
      <w:r>
        <w:t xml:space="preserve"> section 3;</w:t>
      </w:r>
    </w:p>
    <w:p>
      <w:pPr>
        <w:pStyle w:val="Defstart"/>
      </w:pPr>
      <w:r>
        <w:tab/>
      </w:r>
      <w:r>
        <w:rPr>
          <w:rStyle w:val="CharDefText"/>
        </w:rPr>
        <w:t>parent</w:t>
      </w:r>
      <w:r>
        <w:t xml:space="preserve"> has the meaning given in the </w:t>
      </w:r>
      <w:r>
        <w:rPr>
          <w:i/>
        </w:rPr>
        <w:t>Children and Community Services Act 2004</w:t>
      </w:r>
      <w:r>
        <w:t xml:space="preserve"> section 3.</w:t>
      </w:r>
    </w:p>
    <w:p>
      <w:pPr>
        <w:pStyle w:val="Subsection"/>
      </w:pPr>
      <w:r>
        <w:tab/>
        <w:t>(2)</w:t>
      </w:r>
      <w:r>
        <w:tab/>
        <w:t>If a protection order (time</w:t>
      </w:r>
      <w:r>
        <w:noBreakHyphen/>
        <w:t xml:space="preserve">limited) or a protection order (until 18) is in force in respect of a child under the </w:t>
      </w:r>
      <w:r>
        <w:rPr>
          <w:i/>
        </w:rPr>
        <w:t xml:space="preserve">Children and Community Services Act 2004 — </w:t>
      </w:r>
    </w:p>
    <w:p>
      <w:pPr>
        <w:pStyle w:val="Indenta"/>
      </w:pPr>
      <w:r>
        <w:tab/>
        <w:t>(a)</w:t>
      </w:r>
      <w:r>
        <w:tab/>
      </w:r>
      <w:r>
        <w:rPr>
          <w:iCs/>
        </w:rPr>
        <w:t>th</w:t>
      </w:r>
      <w:r>
        <w:t>e CEO (Children and Community Services) may make an application under section 36U, 36V or 36X in respect of the child; and</w:t>
      </w:r>
    </w:p>
    <w:p>
      <w:pPr>
        <w:pStyle w:val="Indenta"/>
      </w:pPr>
      <w:r>
        <w:tab/>
        <w:t>(b)</w:t>
      </w:r>
      <w:r>
        <w:tab/>
        <w:t>no other person can make the application.</w:t>
      </w:r>
    </w:p>
    <w:p>
      <w:pPr>
        <w:pStyle w:val="Subsection"/>
      </w:pPr>
      <w:r>
        <w:tab/>
        <w:t>(3)</w:t>
      </w:r>
      <w:r>
        <w:tab/>
        <w:t>Before making an application under section 36U the CEO (Children and Community Services) must take reasonable steps to notify each parent of the child of the proposed application and give them a reasonable opportunity to provide their written views on the making of the application.</w:t>
      </w:r>
    </w:p>
    <w:p>
      <w:pPr>
        <w:pStyle w:val="Subsection"/>
      </w:pPr>
      <w:r>
        <w:lastRenderedPageBreak/>
        <w:tab/>
        <w:t>(4)</w:t>
      </w:r>
      <w:r>
        <w:tab/>
        <w:t>An application may be made under section 36U only if no parent notified under subsection (3) opposes the making of the application.</w:t>
      </w:r>
    </w:p>
    <w:p>
      <w:pPr>
        <w:pStyle w:val="Footnotesection"/>
      </w:pPr>
      <w:bookmarkStart w:id="261" w:name="_Toc178258258"/>
      <w:r>
        <w:tab/>
        <w:t>[Section 36Y inserted: No. 31 of 2024 s. 12.]</w:t>
      </w:r>
    </w:p>
    <w:p>
      <w:pPr>
        <w:pStyle w:val="Heading5"/>
      </w:pPr>
      <w:bookmarkStart w:id="262" w:name="_Toc216954936"/>
      <w:r>
        <w:rPr>
          <w:rStyle w:val="CharSectno"/>
        </w:rPr>
        <w:t>36Z</w:t>
      </w:r>
      <w:r>
        <w:t>.</w:t>
      </w:r>
      <w:r>
        <w:tab/>
        <w:t>Application to Registrar if Family Court order made</w:t>
      </w:r>
      <w:bookmarkEnd w:id="261"/>
      <w:bookmarkEnd w:id="262"/>
    </w:p>
    <w:p>
      <w:pPr>
        <w:pStyle w:val="Subsection"/>
      </w:pPr>
      <w:r>
        <w:tab/>
        <w:t>(1)</w:t>
      </w:r>
      <w:r>
        <w:tab/>
        <w:t>Any person may apply to the Registrar for an acknowledgment document for a child if the Family Court has made an order under section 36V, 36W or 36X approving the issue of the acknowledgment document.</w:t>
      </w:r>
    </w:p>
    <w:p>
      <w:pPr>
        <w:pStyle w:val="Subsection"/>
      </w:pPr>
      <w:r>
        <w:tab/>
        <w:t>(2)</w:t>
      </w:r>
      <w:r>
        <w:tab/>
        <w:t xml:space="preserve">The application to the Registrar must — </w:t>
      </w:r>
    </w:p>
    <w:p>
      <w:pPr>
        <w:pStyle w:val="Indenta"/>
      </w:pPr>
      <w:r>
        <w:tab/>
        <w:t>(a)</w:t>
      </w:r>
      <w:r>
        <w:tab/>
        <w:t>be made in the approved form; and</w:t>
      </w:r>
    </w:p>
    <w:p>
      <w:pPr>
        <w:pStyle w:val="Indenta"/>
      </w:pPr>
      <w:r>
        <w:tab/>
        <w:t>(b)</w:t>
      </w:r>
      <w:r>
        <w:tab/>
        <w:t xml:space="preserve">be accompanied by — </w:t>
      </w:r>
    </w:p>
    <w:p>
      <w:pPr>
        <w:pStyle w:val="Indenti"/>
      </w:pPr>
      <w:r>
        <w:tab/>
        <w:t>(i)</w:t>
      </w:r>
      <w:r>
        <w:tab/>
        <w:t>a copy of the order; and</w:t>
      </w:r>
    </w:p>
    <w:p>
      <w:pPr>
        <w:pStyle w:val="Indenti"/>
      </w:pPr>
      <w:r>
        <w:tab/>
        <w:t>(ii)</w:t>
      </w:r>
      <w:r>
        <w:tab/>
        <w:t>any other document or information prescribed by the regulations;</w:t>
      </w:r>
    </w:p>
    <w:p>
      <w:pPr>
        <w:pStyle w:val="Indenta"/>
      </w:pPr>
      <w:r>
        <w:tab/>
      </w:r>
      <w:r>
        <w:tab/>
        <w:t>and</w:t>
      </w:r>
    </w:p>
    <w:p>
      <w:pPr>
        <w:pStyle w:val="Indenta"/>
      </w:pPr>
      <w:r>
        <w:tab/>
        <w:t>(c)</w:t>
      </w:r>
      <w:r>
        <w:tab/>
        <w:t>contain a declaration by the applicant setting out whether the child is, at the time the application is made, a required declarant.</w:t>
      </w:r>
    </w:p>
    <w:p>
      <w:pPr>
        <w:pStyle w:val="Footnotesection"/>
      </w:pPr>
      <w:bookmarkStart w:id="263" w:name="_Toc178258259"/>
      <w:r>
        <w:tab/>
        <w:t>[Section 36Z inserted: No. 31 of 2024 s. 12.]</w:t>
      </w:r>
    </w:p>
    <w:p>
      <w:pPr>
        <w:pStyle w:val="Heading5"/>
      </w:pPr>
      <w:bookmarkStart w:id="264" w:name="_Toc216954937"/>
      <w:r>
        <w:rPr>
          <w:rStyle w:val="CharSectno"/>
        </w:rPr>
        <w:t>36ZA</w:t>
      </w:r>
      <w:r>
        <w:t>.</w:t>
      </w:r>
      <w:r>
        <w:tab/>
        <w:t>Issue of acknowledgment document</w:t>
      </w:r>
      <w:bookmarkEnd w:id="263"/>
      <w:bookmarkEnd w:id="264"/>
    </w:p>
    <w:p>
      <w:pPr>
        <w:pStyle w:val="Subsection"/>
      </w:pPr>
      <w:r>
        <w:tab/>
        <w:t>(1)</w:t>
      </w:r>
      <w:r>
        <w:tab/>
        <w:t xml:space="preserve">A document issued under subsection (2) or (3) is an </w:t>
      </w:r>
      <w:r>
        <w:rPr>
          <w:rStyle w:val="CharDefText"/>
        </w:rPr>
        <w:t>acknowledgment document</w:t>
      </w:r>
      <w:r>
        <w:t>.</w:t>
      </w:r>
    </w:p>
    <w:p>
      <w:pPr>
        <w:pStyle w:val="Subsection"/>
      </w:pPr>
      <w:r>
        <w:tab/>
        <w:t>(2)</w:t>
      </w:r>
      <w:r>
        <w:tab/>
        <w:t xml:space="preserve">On receipt of an application under section 36T or 36U, the Registrar must — </w:t>
      </w:r>
    </w:p>
    <w:p>
      <w:pPr>
        <w:pStyle w:val="Indenta"/>
      </w:pPr>
      <w:r>
        <w:tab/>
        <w:t>(a)</w:t>
      </w:r>
      <w:r>
        <w:tab/>
        <w:t>issue a document acknowledging the person’s sex or gender; or</w:t>
      </w:r>
    </w:p>
    <w:p>
      <w:pPr>
        <w:pStyle w:val="Indenta"/>
      </w:pPr>
      <w:r>
        <w:tab/>
        <w:t>(b)</w:t>
      </w:r>
      <w:r>
        <w:tab/>
        <w:t>refuse to issue the document.</w:t>
      </w:r>
    </w:p>
    <w:p>
      <w:pPr>
        <w:pStyle w:val="Subsection"/>
      </w:pPr>
      <w:r>
        <w:lastRenderedPageBreak/>
        <w:tab/>
        <w:t>(3)</w:t>
      </w:r>
      <w:r>
        <w:tab/>
        <w:t>On receipt of an application under section 36Z, the Registrar must issue a document acknowledging the person’s sex or gender in accordance with the order of the Family Court.</w:t>
      </w:r>
    </w:p>
    <w:p>
      <w:pPr>
        <w:pStyle w:val="Subsection"/>
      </w:pPr>
      <w:r>
        <w:tab/>
        <w:t>(4)</w:t>
      </w:r>
      <w:r>
        <w:tab/>
        <w:t>The acknowledgment document must not state the applicant’s former sex or gender unless the applicant has requested, in writing, that the information be included.</w:t>
      </w:r>
    </w:p>
    <w:p>
      <w:pPr>
        <w:pStyle w:val="Footnotesection"/>
      </w:pPr>
      <w:bookmarkStart w:id="265" w:name="_Toc178258260"/>
      <w:r>
        <w:tab/>
        <w:t>[Section 36ZA inserted: No. 31 of 2024 s. 12.]</w:t>
      </w:r>
    </w:p>
    <w:p>
      <w:pPr>
        <w:pStyle w:val="Heading5"/>
      </w:pPr>
      <w:bookmarkStart w:id="266" w:name="_Toc216954938"/>
      <w:r>
        <w:rPr>
          <w:rStyle w:val="CharSectno"/>
        </w:rPr>
        <w:t>36ZB</w:t>
      </w:r>
      <w:r>
        <w:t>.</w:t>
      </w:r>
      <w:r>
        <w:tab/>
        <w:t>Entitlement not affected by issue of acknowledgment document</w:t>
      </w:r>
      <w:bookmarkEnd w:id="265"/>
      <w:bookmarkEnd w:id="266"/>
    </w:p>
    <w:p>
      <w:pPr>
        <w:pStyle w:val="Subsection"/>
      </w:pPr>
      <w:r>
        <w:tab/>
        <w:t>(1)</w:t>
      </w:r>
      <w:r>
        <w:tab/>
        <w:t xml:space="preserve">Subsection (2) applies to a person who has an entitlement — </w:t>
      </w:r>
    </w:p>
    <w:p>
      <w:pPr>
        <w:pStyle w:val="Indenta"/>
      </w:pPr>
      <w:r>
        <w:tab/>
        <w:t>(a)</w:t>
      </w:r>
      <w:r>
        <w:tab/>
        <w:t>under a will; or</w:t>
      </w:r>
    </w:p>
    <w:p>
      <w:pPr>
        <w:pStyle w:val="Indenta"/>
      </w:pPr>
      <w:r>
        <w:tab/>
        <w:t>(b)</w:t>
      </w:r>
      <w:r>
        <w:tab/>
        <w:t>under a trust; or</w:t>
      </w:r>
    </w:p>
    <w:p>
      <w:pPr>
        <w:pStyle w:val="Indenta"/>
      </w:pPr>
      <w:r>
        <w:tab/>
        <w:t>(c)</w:t>
      </w:r>
      <w:r>
        <w:tab/>
        <w:t>otherwise by operation of law.</w:t>
      </w:r>
    </w:p>
    <w:p>
      <w:pPr>
        <w:pStyle w:val="Subsection"/>
      </w:pPr>
      <w:r>
        <w:tab/>
        <w:t>(2)</w:t>
      </w:r>
      <w:r>
        <w:tab/>
        <w:t>The person does not, except as otherwise provided under the will, the trust or by the law conferring the entitlement, lose the entitlement only because an acknowledgment document has been issued for the person.</w:t>
      </w:r>
    </w:p>
    <w:p>
      <w:pPr>
        <w:pStyle w:val="Footnotesection"/>
      </w:pPr>
      <w:bookmarkStart w:id="267" w:name="_Toc178258261"/>
      <w:r>
        <w:tab/>
        <w:t>[Section 36ZB inserted: No. 31 of 2024 s. 12.]</w:t>
      </w:r>
    </w:p>
    <w:p>
      <w:pPr>
        <w:pStyle w:val="Heading5"/>
      </w:pPr>
      <w:bookmarkStart w:id="268" w:name="_Toc216954939"/>
      <w:r>
        <w:rPr>
          <w:rStyle w:val="CharSectno"/>
        </w:rPr>
        <w:t>36ZC</w:t>
      </w:r>
      <w:r>
        <w:t>.</w:t>
      </w:r>
      <w:r>
        <w:tab/>
        <w:t>Interaction with other laws</w:t>
      </w:r>
      <w:bookmarkEnd w:id="267"/>
      <w:bookmarkEnd w:id="268"/>
    </w:p>
    <w:p>
      <w:pPr>
        <w:pStyle w:val="Subsection"/>
      </w:pPr>
      <w:r>
        <w:tab/>
      </w:r>
      <w:r>
        <w:tab/>
        <w:t>If an acknowledgment document or an interstate document (as defined in section 36ZF(1)) issued under a corresponding law prescribed for the purposes of this section is issued for a person, the person is a person of the sex or gender specified in the document for the purposes of, but subject to, a law of the State.</w:t>
      </w:r>
    </w:p>
    <w:p>
      <w:pPr>
        <w:pStyle w:val="Footnotesection"/>
      </w:pPr>
      <w:bookmarkStart w:id="269" w:name="_Toc178258158"/>
      <w:bookmarkStart w:id="270" w:name="_Toc178258262"/>
      <w:r>
        <w:tab/>
        <w:t>[Section 36ZC inserted: No. 31 of 2024 s. 12.]</w:t>
      </w:r>
    </w:p>
    <w:p>
      <w:pPr>
        <w:pStyle w:val="Heading3"/>
      </w:pPr>
      <w:bookmarkStart w:id="271" w:name="_Toc198908957"/>
      <w:bookmarkStart w:id="272" w:name="_Toc199153788"/>
      <w:bookmarkStart w:id="273" w:name="_Toc216795157"/>
      <w:bookmarkStart w:id="274" w:name="_Toc216795540"/>
      <w:bookmarkStart w:id="275" w:name="_Toc216795695"/>
      <w:bookmarkStart w:id="276" w:name="_Toc216942256"/>
      <w:bookmarkStart w:id="277" w:name="_Toc216942411"/>
      <w:bookmarkStart w:id="278" w:name="_Toc216954940"/>
      <w:r>
        <w:rPr>
          <w:rStyle w:val="CharDivNo"/>
        </w:rPr>
        <w:lastRenderedPageBreak/>
        <w:t>Division 4</w:t>
      </w:r>
      <w:r>
        <w:t> — </w:t>
      </w:r>
      <w:r>
        <w:rPr>
          <w:rStyle w:val="CharDivText"/>
        </w:rPr>
        <w:t>Restrictions on changes of registration and issue of acknowledgment documents</w:t>
      </w:r>
      <w:bookmarkEnd w:id="269"/>
      <w:bookmarkEnd w:id="270"/>
      <w:bookmarkEnd w:id="271"/>
      <w:bookmarkEnd w:id="272"/>
      <w:bookmarkEnd w:id="273"/>
      <w:bookmarkEnd w:id="274"/>
      <w:bookmarkEnd w:id="275"/>
      <w:bookmarkEnd w:id="276"/>
      <w:bookmarkEnd w:id="277"/>
      <w:bookmarkEnd w:id="278"/>
    </w:p>
    <w:p>
      <w:pPr>
        <w:pStyle w:val="Footnoteheading"/>
        <w:keepNext/>
      </w:pPr>
      <w:bookmarkStart w:id="279" w:name="_Toc178258263"/>
      <w:r>
        <w:tab/>
        <w:t>[Heading inserted: No. 31 of 2024 s. 12.]</w:t>
      </w:r>
    </w:p>
    <w:p>
      <w:pPr>
        <w:pStyle w:val="Heading5"/>
      </w:pPr>
      <w:bookmarkStart w:id="280" w:name="_Toc216954941"/>
      <w:r>
        <w:rPr>
          <w:rStyle w:val="CharSectno"/>
        </w:rPr>
        <w:t>36ZD</w:t>
      </w:r>
      <w:r>
        <w:t>.</w:t>
      </w:r>
      <w:r>
        <w:tab/>
        <w:t>Terms used</w:t>
      </w:r>
      <w:bookmarkEnd w:id="279"/>
      <w:bookmarkEnd w:id="280"/>
    </w:p>
    <w:p>
      <w:pPr>
        <w:pStyle w:val="Subsection"/>
      </w:pPr>
      <w:r>
        <w:tab/>
      </w:r>
      <w:r>
        <w:tab/>
        <w:t xml:space="preserve">In this Division — </w:t>
      </w:r>
    </w:p>
    <w:p>
      <w:pPr>
        <w:pStyle w:val="Defstart"/>
      </w:pPr>
      <w:r>
        <w:tab/>
      </w:r>
      <w:r>
        <w:rPr>
          <w:rStyle w:val="CharDefText"/>
        </w:rPr>
        <w:t>restricted person</w:t>
      </w:r>
      <w:r>
        <w:t xml:space="preserve"> has the meaning given in section 36A;</w:t>
      </w:r>
    </w:p>
    <w:p>
      <w:pPr>
        <w:pStyle w:val="Defstart"/>
      </w:pPr>
      <w:r>
        <w:tab/>
      </w:r>
      <w:r>
        <w:rPr>
          <w:rStyle w:val="CharDefText"/>
        </w:rPr>
        <w:t>supervisory authority</w:t>
      </w:r>
      <w:r>
        <w:t xml:space="preserve"> has the meaning given in section 36A.</w:t>
      </w:r>
    </w:p>
    <w:p>
      <w:pPr>
        <w:pStyle w:val="Footnotesection"/>
      </w:pPr>
      <w:bookmarkStart w:id="281" w:name="_Toc178258264"/>
      <w:r>
        <w:tab/>
        <w:t>[Section 36ZD inserted: No. 31 of 2024 s. 12.]</w:t>
      </w:r>
    </w:p>
    <w:p>
      <w:pPr>
        <w:pStyle w:val="Heading5"/>
      </w:pPr>
      <w:bookmarkStart w:id="282" w:name="_Toc216954942"/>
      <w:r>
        <w:rPr>
          <w:rStyle w:val="CharSectno"/>
        </w:rPr>
        <w:t>36ZE</w:t>
      </w:r>
      <w:r>
        <w:t>.</w:t>
      </w:r>
      <w:r>
        <w:tab/>
        <w:t>Restrictions on change of registration based on frequency of change</w:t>
      </w:r>
      <w:bookmarkEnd w:id="281"/>
      <w:bookmarkEnd w:id="282"/>
    </w:p>
    <w:p>
      <w:pPr>
        <w:pStyle w:val="Subsection"/>
      </w:pPr>
      <w:r>
        <w:tab/>
        <w:t>(1)</w:t>
      </w:r>
      <w:r>
        <w:tab/>
        <w:t xml:space="preserve">The Registrar must not change a person’s sex or gender in the registration of the person’s birth on an application under section 36J if the Registrar is aware that — </w:t>
      </w:r>
    </w:p>
    <w:p>
      <w:pPr>
        <w:pStyle w:val="Indenta"/>
      </w:pPr>
      <w:r>
        <w:tab/>
        <w:t>(a)</w:t>
      </w:r>
      <w:r>
        <w:tab/>
        <w:t xml:space="preserve">a change of the person’s sex or gender in the registration of the person’s birth has been made (whether in this State or another State) within the period of 12 months immediately before the day the application is made; or </w:t>
      </w:r>
    </w:p>
    <w:p>
      <w:pPr>
        <w:pStyle w:val="Indenta"/>
      </w:pPr>
      <w:r>
        <w:tab/>
        <w:t>(b)</w:t>
      </w:r>
      <w:r>
        <w:tab/>
        <w:t>3 or more changes of the person’s sex or gender in the registration of the person’s birth have been made (whether in this State or another State).</w:t>
      </w:r>
    </w:p>
    <w:p>
      <w:pPr>
        <w:pStyle w:val="Subsection"/>
      </w:pPr>
      <w:r>
        <w:tab/>
        <w:t>(2)</w:t>
      </w:r>
      <w:r>
        <w:tab/>
        <w:t>When counting the number of changes for the purposes of subsection (1)(b), a change of a person’s sex or gender in the registration of the person’s birth made before the person reached the age of 18 years must not be counted.</w:t>
      </w:r>
    </w:p>
    <w:p>
      <w:pPr>
        <w:pStyle w:val="Subsection"/>
      </w:pPr>
      <w:r>
        <w:tab/>
        <w:t>(3)</w:t>
      </w:r>
      <w:r>
        <w:tab/>
        <w:t>Despite subsection (1)(b), the Registrar may, on application, change a person’s sex or gender in the registration of the person’s birth if the Registrar is satisfied that the change is justified by exceptional circumstances.</w:t>
      </w:r>
    </w:p>
    <w:p>
      <w:pPr>
        <w:pStyle w:val="Subsection"/>
      </w:pPr>
      <w:r>
        <w:tab/>
        <w:t>(4)</w:t>
      </w:r>
      <w:r>
        <w:tab/>
        <w:t>The Registrar may require the person to provide evidence to enable the Registrar to be satisfied under subsection (3).</w:t>
      </w:r>
    </w:p>
    <w:p>
      <w:pPr>
        <w:pStyle w:val="Subsection"/>
      </w:pPr>
      <w:r>
        <w:lastRenderedPageBreak/>
        <w:tab/>
        <w:t>(5)</w:t>
      </w:r>
      <w:r>
        <w:tab/>
        <w:t>The Registrar must not change a child’s sex or gender in the registration of the child’s birth on an application under section 36K if the Registrar is aware that a change of the child’s sex or gender in the registration of the child’s birth has been registered (whether in this State or another State) within the period of 12 months immediately before the day the application is made.</w:t>
      </w:r>
    </w:p>
    <w:p>
      <w:pPr>
        <w:pStyle w:val="Footnotesection"/>
      </w:pPr>
      <w:bookmarkStart w:id="283" w:name="_Toc178258265"/>
      <w:r>
        <w:tab/>
        <w:t>[Section 36ZE inserted: No. 31 of 2024 s. 12.]</w:t>
      </w:r>
    </w:p>
    <w:p>
      <w:pPr>
        <w:pStyle w:val="Heading5"/>
      </w:pPr>
      <w:bookmarkStart w:id="284" w:name="_Toc216954943"/>
      <w:r>
        <w:rPr>
          <w:rStyle w:val="CharSectno"/>
        </w:rPr>
        <w:t>36ZF</w:t>
      </w:r>
      <w:r>
        <w:t>.</w:t>
      </w:r>
      <w:r>
        <w:tab/>
        <w:t>Restrictions on issue of acknowledgment document based on frequency of issue</w:t>
      </w:r>
      <w:bookmarkEnd w:id="283"/>
      <w:bookmarkEnd w:id="284"/>
    </w:p>
    <w:p>
      <w:pPr>
        <w:pStyle w:val="Subsection"/>
      </w:pPr>
      <w:r>
        <w:tab/>
        <w:t>(1)</w:t>
      </w:r>
      <w:r>
        <w:tab/>
        <w:t xml:space="preserve">In this section — </w:t>
      </w:r>
    </w:p>
    <w:p>
      <w:pPr>
        <w:pStyle w:val="Defstart"/>
      </w:pPr>
      <w:r>
        <w:tab/>
      </w:r>
      <w:r>
        <w:rPr>
          <w:rStyle w:val="CharDefText"/>
        </w:rPr>
        <w:t>interstate document</w:t>
      </w:r>
      <w:r>
        <w:t>, for a person, means a document issued by a registering authority that acknowledges the person’s sex or gender.</w:t>
      </w:r>
    </w:p>
    <w:p>
      <w:pPr>
        <w:pStyle w:val="Subsection"/>
      </w:pPr>
      <w:r>
        <w:tab/>
        <w:t>(2)</w:t>
      </w:r>
      <w:r>
        <w:tab/>
        <w:t xml:space="preserve">The Registrar must not issue an acknowledgment document for a person on an application under section 36T if the Registrar is aware that — </w:t>
      </w:r>
    </w:p>
    <w:p>
      <w:pPr>
        <w:pStyle w:val="Indenta"/>
      </w:pPr>
      <w:r>
        <w:tab/>
        <w:t>(a)</w:t>
      </w:r>
      <w:r>
        <w:tab/>
        <w:t xml:space="preserve">an acknowledgment document or interstate document for the person has been issued within the period of 12 months immediately before the day the application is made; or </w:t>
      </w:r>
    </w:p>
    <w:p>
      <w:pPr>
        <w:pStyle w:val="Indenta"/>
      </w:pPr>
      <w:r>
        <w:tab/>
        <w:t>(b)</w:t>
      </w:r>
      <w:r>
        <w:tab/>
        <w:t>3 or more acknowledgment documents or interstate documents for the person have been issued.</w:t>
      </w:r>
    </w:p>
    <w:p>
      <w:pPr>
        <w:pStyle w:val="Subsection"/>
      </w:pPr>
      <w:r>
        <w:tab/>
        <w:t>(3)</w:t>
      </w:r>
      <w:r>
        <w:tab/>
        <w:t>When counting the number of acknowledgment documents and interstate documents for the purposes of subsection (2)(b), a document issued before the person reached the age of 18 years must not be counted.</w:t>
      </w:r>
    </w:p>
    <w:p>
      <w:pPr>
        <w:pStyle w:val="Subsection"/>
      </w:pPr>
      <w:r>
        <w:tab/>
        <w:t>(4)</w:t>
      </w:r>
      <w:r>
        <w:tab/>
        <w:t>Despite subsection (2)(b), the Registrar may, on application, issue an acknowledgment document for a person if the Registrar is satisfied that the issue is justified by exceptional circumstances.</w:t>
      </w:r>
    </w:p>
    <w:p>
      <w:pPr>
        <w:pStyle w:val="Subsection"/>
      </w:pPr>
      <w:r>
        <w:lastRenderedPageBreak/>
        <w:tab/>
        <w:t>(5)</w:t>
      </w:r>
      <w:r>
        <w:tab/>
        <w:t>The Registrar may require the person to provide evidence to enable the Registrar to be satisfied under subsection (4).</w:t>
      </w:r>
    </w:p>
    <w:p>
      <w:pPr>
        <w:pStyle w:val="Subsection"/>
      </w:pPr>
      <w:r>
        <w:tab/>
        <w:t>(6)</w:t>
      </w:r>
      <w:r>
        <w:tab/>
        <w:t>The Registrar must not issue an acknowledgment document for a child on an application under section 36U if the Registrar is aware that an acknowledgment document or interstate document for the child has been issued within the period of 12 months immediately before the day the application is made.</w:t>
      </w:r>
    </w:p>
    <w:p>
      <w:pPr>
        <w:pStyle w:val="Footnotesection"/>
      </w:pPr>
      <w:bookmarkStart w:id="285" w:name="_Toc178258266"/>
      <w:r>
        <w:tab/>
        <w:t>[Section 36ZF inserted: No. 31 of 2024 s. 12.]</w:t>
      </w:r>
    </w:p>
    <w:p>
      <w:pPr>
        <w:pStyle w:val="Heading5"/>
      </w:pPr>
      <w:bookmarkStart w:id="286" w:name="_Toc216954944"/>
      <w:r>
        <w:rPr>
          <w:rStyle w:val="CharSectno"/>
        </w:rPr>
        <w:t>36ZG</w:t>
      </w:r>
      <w:r>
        <w:t>.</w:t>
      </w:r>
      <w:r>
        <w:tab/>
        <w:t>Supervisory authority approval required in relation to restricted person</w:t>
      </w:r>
      <w:bookmarkEnd w:id="285"/>
      <w:bookmarkEnd w:id="286"/>
    </w:p>
    <w:p>
      <w:pPr>
        <w:pStyle w:val="Subsection"/>
      </w:pPr>
      <w:r>
        <w:tab/>
        <w:t>(1)</w:t>
      </w:r>
      <w:r>
        <w:tab/>
        <w:t>The Registrar must not change a restricted person’s sex or gender in the registration of the person’s birth, or issue an acknowledgment document for a restricted person, on an application, unless the Registrar has been given a copy of the written approval for the application by the supervisory authority for the person.</w:t>
      </w:r>
    </w:p>
    <w:p>
      <w:pPr>
        <w:pStyle w:val="Subsection"/>
      </w:pPr>
      <w:r>
        <w:tab/>
        <w:t>(2)</w:t>
      </w:r>
      <w:r>
        <w:tab/>
        <w:t xml:space="preserve">Subsection (1) does not apply if the Registrar receives an application under section 36P or 36Z. </w:t>
      </w:r>
    </w:p>
    <w:p>
      <w:pPr>
        <w:pStyle w:val="Footnotesection"/>
      </w:pPr>
      <w:bookmarkStart w:id="287" w:name="_Toc178258267"/>
      <w:r>
        <w:tab/>
        <w:t>[Section 36ZG inserted: No. 31 of 2024 s. 12.]</w:t>
      </w:r>
    </w:p>
    <w:p>
      <w:pPr>
        <w:pStyle w:val="Heading5"/>
      </w:pPr>
      <w:bookmarkStart w:id="288" w:name="_Toc216954945"/>
      <w:r>
        <w:rPr>
          <w:rStyle w:val="CharSectno"/>
        </w:rPr>
        <w:t>36ZH</w:t>
      </w:r>
      <w:r>
        <w:t>.</w:t>
      </w:r>
      <w:r>
        <w:tab/>
        <w:t>Application by restricted person</w:t>
      </w:r>
      <w:bookmarkEnd w:id="287"/>
      <w:bookmarkEnd w:id="288"/>
    </w:p>
    <w:p>
      <w:pPr>
        <w:pStyle w:val="Subsection"/>
      </w:pPr>
      <w:r>
        <w:tab/>
        <w:t>(1)</w:t>
      </w:r>
      <w:r>
        <w:tab/>
        <w:t xml:space="preserve">A restricted person must not do either of the following unless the person has obtained the written approval of the supervisory authority for the restricted person — </w:t>
      </w:r>
    </w:p>
    <w:p>
      <w:pPr>
        <w:pStyle w:val="Indenta"/>
      </w:pPr>
      <w:r>
        <w:tab/>
        <w:t>(a)</w:t>
      </w:r>
      <w:r>
        <w:tab/>
        <w:t>apply, under this Act, to the Registrar to change the restricted person’s sex or gender in the registration of the person’s birth;</w:t>
      </w:r>
    </w:p>
    <w:p>
      <w:pPr>
        <w:pStyle w:val="Indenta"/>
      </w:pPr>
      <w:r>
        <w:tab/>
        <w:t>(b)</w:t>
      </w:r>
      <w:r>
        <w:tab/>
        <w:t>apply, under this Act, to the Registrar for the issue of an acknowledgment document for the person.</w:t>
      </w:r>
    </w:p>
    <w:p>
      <w:pPr>
        <w:pStyle w:val="Penstart"/>
      </w:pPr>
      <w:r>
        <w:tab/>
        <w:t>Penalty for this subsection: imprisonment for 2 years and a fine of $12 000.</w:t>
      </w:r>
    </w:p>
    <w:p>
      <w:pPr>
        <w:pStyle w:val="Subsection"/>
      </w:pPr>
      <w:r>
        <w:lastRenderedPageBreak/>
        <w:tab/>
        <w:t>(2)</w:t>
      </w:r>
      <w:r>
        <w:tab/>
        <w:t>Subsection (1) does not apply to an application made under section 36P or 36Z.</w:t>
      </w:r>
    </w:p>
    <w:p>
      <w:pPr>
        <w:pStyle w:val="Footnotesection"/>
      </w:pPr>
      <w:bookmarkStart w:id="289" w:name="_Toc178258268"/>
      <w:r>
        <w:tab/>
        <w:t>[Section 36ZH inserted: No. 31 of 2024 s. 12.]</w:t>
      </w:r>
    </w:p>
    <w:p>
      <w:pPr>
        <w:pStyle w:val="Heading5"/>
      </w:pPr>
      <w:bookmarkStart w:id="290" w:name="_Toc216954946"/>
      <w:r>
        <w:rPr>
          <w:rStyle w:val="CharSectno"/>
        </w:rPr>
        <w:t>36ZI</w:t>
      </w:r>
      <w:r>
        <w:t>.</w:t>
      </w:r>
      <w:r>
        <w:tab/>
        <w:t>Application on behalf of restricted person</w:t>
      </w:r>
      <w:bookmarkEnd w:id="289"/>
      <w:bookmarkEnd w:id="290"/>
    </w:p>
    <w:p>
      <w:pPr>
        <w:pStyle w:val="Subsection"/>
      </w:pPr>
      <w:r>
        <w:tab/>
        <w:t>(1)</w:t>
      </w:r>
      <w:r>
        <w:tab/>
        <w:t xml:space="preserve">A person (the </w:t>
      </w:r>
      <w:r>
        <w:rPr>
          <w:rStyle w:val="CharDefText"/>
        </w:rPr>
        <w:t>applicant</w:t>
      </w:r>
      <w:r>
        <w:t xml:space="preserve">) must not, in respect of a restricted person, do either of the following unless the applicant has obtained the written approval of the supervisory authority for the restricted person — </w:t>
      </w:r>
    </w:p>
    <w:p>
      <w:pPr>
        <w:pStyle w:val="Indenta"/>
      </w:pPr>
      <w:r>
        <w:tab/>
        <w:t>(a)</w:t>
      </w:r>
      <w:r>
        <w:tab/>
        <w:t>apply, under this Act, to the Registrar to change the restricted person’s sex or gender in the registration of the person’s birth;</w:t>
      </w:r>
    </w:p>
    <w:p>
      <w:pPr>
        <w:pStyle w:val="Indenta"/>
      </w:pPr>
      <w:r>
        <w:tab/>
        <w:t>(b)</w:t>
      </w:r>
      <w:r>
        <w:tab/>
        <w:t>apply, under this Act, to the Registrar for the issue of an acknowledgment document for the restricted person.</w:t>
      </w:r>
    </w:p>
    <w:p>
      <w:pPr>
        <w:pStyle w:val="Penstart"/>
      </w:pPr>
      <w:r>
        <w:tab/>
        <w:t>Penalty for this subsection: imprisonment for 2 years and a fine of $12 000.</w:t>
      </w:r>
    </w:p>
    <w:p>
      <w:pPr>
        <w:pStyle w:val="Subsection"/>
      </w:pPr>
      <w:r>
        <w:tab/>
        <w:t>(2)</w:t>
      </w:r>
      <w:r>
        <w:tab/>
        <w:t>Subsection (1) does not apply to an application made under section 36P or 36Z.</w:t>
      </w:r>
    </w:p>
    <w:p>
      <w:pPr>
        <w:pStyle w:val="Footnotesection"/>
      </w:pPr>
      <w:bookmarkStart w:id="291" w:name="_Toc178258269"/>
      <w:r>
        <w:tab/>
        <w:t>[Section 36ZI inserted: No. 31 of 2024 s. 12.]</w:t>
      </w:r>
    </w:p>
    <w:p>
      <w:pPr>
        <w:pStyle w:val="Heading5"/>
      </w:pPr>
      <w:bookmarkStart w:id="292" w:name="_Toc216954947"/>
      <w:r>
        <w:rPr>
          <w:rStyle w:val="CharSectno"/>
        </w:rPr>
        <w:t>36ZJ</w:t>
      </w:r>
      <w:r>
        <w:t>.</w:t>
      </w:r>
      <w:r>
        <w:tab/>
        <w:t>Approval by supervisory authority</w:t>
      </w:r>
      <w:bookmarkEnd w:id="291"/>
      <w:bookmarkEnd w:id="292"/>
    </w:p>
    <w:p>
      <w:pPr>
        <w:pStyle w:val="Subsection"/>
      </w:pPr>
      <w:r>
        <w:tab/>
        <w:t>(1)</w:t>
      </w:r>
      <w:r>
        <w:tab/>
        <w:t xml:space="preserve">In this section — </w:t>
      </w:r>
    </w:p>
    <w:p>
      <w:pPr>
        <w:pStyle w:val="Defstart"/>
      </w:pPr>
      <w:r>
        <w:tab/>
      </w:r>
      <w:r>
        <w:rPr>
          <w:rStyle w:val="CharDefText"/>
        </w:rPr>
        <w:t>change of sex or gender application</w:t>
      </w:r>
      <w:r>
        <w:t xml:space="preserve"> means an application proposed to be made by or in respect of a restricted person to change the restricted person’s sex or gender in the registration of the person’s birth.</w:t>
      </w:r>
    </w:p>
    <w:p>
      <w:pPr>
        <w:pStyle w:val="Subsection"/>
      </w:pPr>
      <w:r>
        <w:tab/>
        <w:t>(2)</w:t>
      </w:r>
      <w:r>
        <w:tab/>
        <w:t xml:space="preserve">A person may apply to a supervisory authority for — </w:t>
      </w:r>
    </w:p>
    <w:p>
      <w:pPr>
        <w:pStyle w:val="Indenta"/>
      </w:pPr>
      <w:r>
        <w:tab/>
        <w:t>(a)</w:t>
      </w:r>
      <w:r>
        <w:tab/>
        <w:t>approval to make a change of sex or gender application; or</w:t>
      </w:r>
    </w:p>
    <w:p>
      <w:pPr>
        <w:pStyle w:val="Indenta"/>
      </w:pPr>
      <w:r>
        <w:tab/>
        <w:t>(b)</w:t>
      </w:r>
      <w:r>
        <w:tab/>
        <w:t>approval to make an application for an acknowledgment document for a restricted person.</w:t>
      </w:r>
    </w:p>
    <w:p>
      <w:pPr>
        <w:pStyle w:val="Subsection"/>
      </w:pPr>
      <w:r>
        <w:lastRenderedPageBreak/>
        <w:tab/>
        <w:t>(3)</w:t>
      </w:r>
      <w:r>
        <w:tab/>
        <w:t>The application for approval must be made in a manner approved by the supervisory authority.</w:t>
      </w:r>
    </w:p>
    <w:p>
      <w:pPr>
        <w:pStyle w:val="Subsection"/>
      </w:pPr>
      <w:r>
        <w:tab/>
        <w:t>(4)</w:t>
      </w:r>
      <w:r>
        <w:tab/>
        <w:t>A supervisory authority must not approve the making of a change of sex or gender application, or the making of an application for an acknowledgment document, unless the authority is satisfied that the change of the restricted person’s sex or gender in the registration of the person’s birth or issue of an acknowledgment document is in all the circumstances necessary or reasonable.</w:t>
      </w:r>
    </w:p>
    <w:p>
      <w:pPr>
        <w:pStyle w:val="Subsection"/>
      </w:pPr>
      <w:r>
        <w:tab/>
        <w:t>(5)</w:t>
      </w:r>
      <w:r>
        <w:tab/>
        <w:t xml:space="preserve">A supervisory authority must not approve the making of a change of sex or gender application, or the making of an application for an acknowledgment document, if the authority is satisfied that the change of the restricted person’s sex or gender in the registration of the person’s birth or issue of an acknowledgment document is reasonably likely — </w:t>
      </w:r>
    </w:p>
    <w:p>
      <w:pPr>
        <w:pStyle w:val="Indenta"/>
      </w:pPr>
      <w:r>
        <w:tab/>
        <w:t>(a)</w:t>
      </w:r>
      <w:r>
        <w:tab/>
        <w:t>if the restricted person is detained — to have an adverse effect on the security, discipline or good order of the place in which the restricted person is detained; or</w:t>
      </w:r>
    </w:p>
    <w:p>
      <w:pPr>
        <w:pStyle w:val="Indenta"/>
      </w:pPr>
      <w:r>
        <w:tab/>
        <w:t>(b)</w:t>
      </w:r>
      <w:r>
        <w:tab/>
        <w:t>to be regarded as offensive by a victim of crime or a significant sector of the community; or</w:t>
      </w:r>
    </w:p>
    <w:p>
      <w:pPr>
        <w:pStyle w:val="Indenta"/>
      </w:pPr>
      <w:r>
        <w:tab/>
        <w:t>(c)</w:t>
      </w:r>
      <w:r>
        <w:tab/>
        <w:t xml:space="preserve">to frustrate the administration of any of the following Acts — </w:t>
      </w:r>
    </w:p>
    <w:p>
      <w:pPr>
        <w:pStyle w:val="Indenti"/>
      </w:pPr>
      <w:r>
        <w:tab/>
        <w:t>(i)</w:t>
      </w:r>
      <w:r>
        <w:tab/>
        <w:t xml:space="preserve">the </w:t>
      </w:r>
      <w:r>
        <w:rPr>
          <w:i/>
          <w:iCs/>
        </w:rPr>
        <w:t>High Risk Serious Offenders Act 2020</w:t>
      </w:r>
      <w:r>
        <w:t>;</w:t>
      </w:r>
    </w:p>
    <w:p>
      <w:pPr>
        <w:pStyle w:val="Indenti"/>
      </w:pPr>
      <w:r>
        <w:tab/>
        <w:t>(ii)</w:t>
      </w:r>
      <w:r>
        <w:tab/>
        <w:t xml:space="preserve">the </w:t>
      </w:r>
      <w:r>
        <w:rPr>
          <w:i/>
          <w:iCs/>
        </w:rPr>
        <w:t>Prisons Act 1981</w:t>
      </w:r>
      <w:r>
        <w:t>;</w:t>
      </w:r>
    </w:p>
    <w:p>
      <w:pPr>
        <w:pStyle w:val="Indenti"/>
      </w:pPr>
      <w:r>
        <w:tab/>
        <w:t>(iii)</w:t>
      </w:r>
      <w:r>
        <w:tab/>
        <w:t xml:space="preserve">the </w:t>
      </w:r>
      <w:r>
        <w:rPr>
          <w:i/>
          <w:iCs/>
        </w:rPr>
        <w:t>Sentence Administration Act 2003</w:t>
      </w:r>
      <w:r>
        <w:t>;</w:t>
      </w:r>
    </w:p>
    <w:p>
      <w:pPr>
        <w:pStyle w:val="Indenti"/>
      </w:pPr>
      <w:r>
        <w:tab/>
        <w:t>(iv)</w:t>
      </w:r>
      <w:r>
        <w:tab/>
        <w:t xml:space="preserve">the </w:t>
      </w:r>
      <w:r>
        <w:rPr>
          <w:i/>
          <w:iCs/>
        </w:rPr>
        <w:t>Sentencing Act 1995</w:t>
      </w:r>
      <w:r>
        <w:t>;</w:t>
      </w:r>
    </w:p>
    <w:p>
      <w:pPr>
        <w:pStyle w:val="Indenti"/>
      </w:pPr>
      <w:r>
        <w:tab/>
        <w:t>(v)</w:t>
      </w:r>
      <w:r>
        <w:tab/>
        <w:t xml:space="preserve">the </w:t>
      </w:r>
      <w:r>
        <w:rPr>
          <w:i/>
          <w:iCs/>
        </w:rPr>
        <w:t>Young Offenders Act 1994</w:t>
      </w:r>
      <w:r>
        <w:t>.</w:t>
      </w:r>
    </w:p>
    <w:p>
      <w:pPr>
        <w:pStyle w:val="Footnotesection"/>
      </w:pPr>
      <w:bookmarkStart w:id="293" w:name="_Toc178258270"/>
      <w:r>
        <w:tab/>
        <w:t>[Section 36ZJ inserted: No. 31 of 2024 s. 12.]</w:t>
      </w:r>
    </w:p>
    <w:p>
      <w:pPr>
        <w:pStyle w:val="Heading5"/>
      </w:pPr>
      <w:bookmarkStart w:id="294" w:name="_Toc216954948"/>
      <w:r>
        <w:t>36ZK.</w:t>
      </w:r>
      <w:r>
        <w:tab/>
        <w:t>Notice of decision by Registrar</w:t>
      </w:r>
      <w:bookmarkEnd w:id="293"/>
      <w:bookmarkEnd w:id="294"/>
    </w:p>
    <w:p>
      <w:pPr>
        <w:pStyle w:val="Subsection"/>
      </w:pPr>
      <w:r>
        <w:tab/>
        <w:t>(1)</w:t>
      </w:r>
      <w:r>
        <w:tab/>
        <w:t xml:space="preserve">The Registrar must notify the supervisory authority for a restricted person if the Registrar does any of the following — </w:t>
      </w:r>
    </w:p>
    <w:p>
      <w:pPr>
        <w:pStyle w:val="Indenta"/>
      </w:pPr>
      <w:r>
        <w:lastRenderedPageBreak/>
        <w:tab/>
        <w:t>(a)</w:t>
      </w:r>
      <w:r>
        <w:tab/>
        <w:t>changes the person’s sex or gender in the registration of the person’s birth;</w:t>
      </w:r>
    </w:p>
    <w:p>
      <w:pPr>
        <w:pStyle w:val="Indenta"/>
      </w:pPr>
      <w:r>
        <w:tab/>
        <w:t>(b)</w:t>
      </w:r>
      <w:r>
        <w:tab/>
        <w:t>refuses to change the person’s sex or gender in the registration of the person’s birth;</w:t>
      </w:r>
    </w:p>
    <w:p>
      <w:pPr>
        <w:pStyle w:val="Indenta"/>
      </w:pPr>
      <w:r>
        <w:tab/>
        <w:t>(c)</w:t>
      </w:r>
      <w:r>
        <w:tab/>
        <w:t>issues an acknowledgment document for the person;</w:t>
      </w:r>
    </w:p>
    <w:p>
      <w:pPr>
        <w:pStyle w:val="Indenta"/>
      </w:pPr>
      <w:r>
        <w:tab/>
        <w:t>(d)</w:t>
      </w:r>
      <w:r>
        <w:tab/>
        <w:t>refuses to issue an acknowledgment document for the person.</w:t>
      </w:r>
    </w:p>
    <w:p>
      <w:pPr>
        <w:pStyle w:val="Subsection"/>
      </w:pPr>
      <w:r>
        <w:tab/>
        <w:t>(2)</w:t>
      </w:r>
      <w:r>
        <w:tab/>
        <w:t>When notifying a supervisory authority under subsection (1), the Registrar must give the authority sufficient information to identify the restricted person.</w:t>
      </w:r>
    </w:p>
    <w:p>
      <w:pPr>
        <w:pStyle w:val="Footnotesection"/>
      </w:pPr>
      <w:bookmarkStart w:id="295" w:name="_Toc178258271"/>
      <w:r>
        <w:tab/>
        <w:t>[Section 36ZK inserted: No. 31 of 2024 s. 12.]</w:t>
      </w:r>
    </w:p>
    <w:p>
      <w:pPr>
        <w:pStyle w:val="Heading5"/>
      </w:pPr>
      <w:bookmarkStart w:id="296" w:name="_Toc216954949"/>
      <w:r>
        <w:rPr>
          <w:rStyle w:val="CharSectno"/>
        </w:rPr>
        <w:t>36ZL</w:t>
      </w:r>
      <w:r>
        <w:t>.</w:t>
      </w:r>
      <w:r>
        <w:tab/>
        <w:t>Supervisory authority to give documents and information</w:t>
      </w:r>
      <w:bookmarkEnd w:id="295"/>
      <w:bookmarkEnd w:id="296"/>
    </w:p>
    <w:p>
      <w:pPr>
        <w:pStyle w:val="Subsection"/>
      </w:pPr>
      <w:r>
        <w:tab/>
        <w:t>(1)</w:t>
      </w:r>
      <w:r>
        <w:tab/>
        <w:t xml:space="preserve">If a supervisory authority decides to approve the making of a change of sex or gender application, or the making of an application for an acknowledgment document, under section 36ZJ, the authority must, as soon as practicable — </w:t>
      </w:r>
    </w:p>
    <w:p>
      <w:pPr>
        <w:pStyle w:val="Indenta"/>
      </w:pPr>
      <w:r>
        <w:tab/>
        <w:t>(a)</w:t>
      </w:r>
      <w:r>
        <w:tab/>
        <w:t>give written approval to the person who wishes to make the application; and</w:t>
      </w:r>
    </w:p>
    <w:p>
      <w:pPr>
        <w:pStyle w:val="Indenta"/>
      </w:pPr>
      <w:r>
        <w:tab/>
        <w:t>(b)</w:t>
      </w:r>
      <w:r>
        <w:tab/>
        <w:t>notify the Registrar of the approval.</w:t>
      </w:r>
    </w:p>
    <w:p>
      <w:pPr>
        <w:pStyle w:val="Subsection"/>
      </w:pPr>
      <w:r>
        <w:tab/>
        <w:t>(2)</w:t>
      </w:r>
      <w:r>
        <w:tab/>
        <w:t xml:space="preserve">For the purposes of the Registrar verifying the details of an application to change a restricted person’s sex or gender in the registration of the person’s birth, or an application for an acknowledgment document for a restricted person, each supervisory authority must, if the Registrar requests, give the Registrar the following — </w:t>
      </w:r>
    </w:p>
    <w:p>
      <w:pPr>
        <w:pStyle w:val="Indenta"/>
      </w:pPr>
      <w:r>
        <w:tab/>
        <w:t>(a)</w:t>
      </w:r>
      <w:r>
        <w:tab/>
        <w:t>the name of each restricted person for whom they are the supervisory authority;</w:t>
      </w:r>
    </w:p>
    <w:p>
      <w:pPr>
        <w:pStyle w:val="Indenta"/>
      </w:pPr>
      <w:r>
        <w:tab/>
        <w:t>(b)</w:t>
      </w:r>
      <w:r>
        <w:tab/>
        <w:t>any other name by which the person is, or has previously been, known (of which the supervisory authority is aware);</w:t>
      </w:r>
    </w:p>
    <w:p>
      <w:pPr>
        <w:pStyle w:val="Indenta"/>
      </w:pPr>
      <w:r>
        <w:tab/>
        <w:t>(c)</w:t>
      </w:r>
      <w:r>
        <w:tab/>
        <w:t>the date of birth of the person;</w:t>
      </w:r>
    </w:p>
    <w:p>
      <w:pPr>
        <w:pStyle w:val="Indenta"/>
      </w:pPr>
      <w:r>
        <w:lastRenderedPageBreak/>
        <w:tab/>
        <w:t>(d)</w:t>
      </w:r>
      <w:r>
        <w:tab/>
        <w:t>any other information that may be used to identify the person.</w:t>
      </w:r>
    </w:p>
    <w:p>
      <w:pPr>
        <w:pStyle w:val="Footnotesection"/>
      </w:pPr>
      <w:bookmarkStart w:id="297" w:name="_Toc178258272"/>
      <w:r>
        <w:tab/>
        <w:t>[Section 36ZL inserted: No. 31 of 2024 s. 12.]</w:t>
      </w:r>
    </w:p>
    <w:p>
      <w:pPr>
        <w:pStyle w:val="Heading5"/>
      </w:pPr>
      <w:bookmarkStart w:id="298" w:name="_Toc216954950"/>
      <w:r>
        <w:rPr>
          <w:rStyle w:val="CharSectno"/>
        </w:rPr>
        <w:t>36ZM</w:t>
      </w:r>
      <w:r>
        <w:t>.</w:t>
      </w:r>
      <w:r>
        <w:tab/>
        <w:t>Delegation by chief executive officers</w:t>
      </w:r>
      <w:bookmarkEnd w:id="297"/>
      <w:bookmarkEnd w:id="298"/>
    </w:p>
    <w:p>
      <w:pPr>
        <w:pStyle w:val="Subsection"/>
      </w:pPr>
      <w:r>
        <w:tab/>
        <w:t>(1)</w:t>
      </w:r>
      <w:r>
        <w:tab/>
        <w:t xml:space="preserve">A chief executive officer referred to in the definition of </w:t>
      </w:r>
      <w:r>
        <w:rPr>
          <w:b/>
          <w:bCs/>
          <w:i/>
          <w:iCs/>
        </w:rPr>
        <w:t>supervisory authority</w:t>
      </w:r>
      <w:r>
        <w:t xml:space="preserve"> in section 36A may delegate to any person any power or duty of the chief executive officer under another provision of this Division.</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36ZM inserted: No. 31 of 2024 s. 12.]</w:t>
      </w:r>
    </w:p>
    <w:p>
      <w:pPr>
        <w:pStyle w:val="Heading2"/>
      </w:pPr>
      <w:bookmarkStart w:id="299" w:name="_Toc198827683"/>
      <w:bookmarkStart w:id="300" w:name="_Toc198908928"/>
      <w:bookmarkStart w:id="301" w:name="_Toc199153799"/>
      <w:bookmarkStart w:id="302" w:name="_Toc216795168"/>
      <w:bookmarkStart w:id="303" w:name="_Toc216795551"/>
      <w:bookmarkStart w:id="304" w:name="_Toc216795706"/>
      <w:bookmarkStart w:id="305" w:name="_Toc216942267"/>
      <w:bookmarkStart w:id="306" w:name="_Toc216942422"/>
      <w:bookmarkStart w:id="307" w:name="_Toc216954951"/>
      <w:r>
        <w:rPr>
          <w:rStyle w:val="CharPartNo"/>
        </w:rPr>
        <w:lastRenderedPageBreak/>
        <w:t>Part 6</w:t>
      </w:r>
      <w:r>
        <w:rPr>
          <w:rStyle w:val="CharDivNo"/>
        </w:rPr>
        <w:t> </w:t>
      </w:r>
      <w:r>
        <w:t>—</w:t>
      </w:r>
      <w:r>
        <w:rPr>
          <w:rStyle w:val="CharDivText"/>
        </w:rPr>
        <w:t> </w:t>
      </w:r>
      <w:r>
        <w:rPr>
          <w:rStyle w:val="CharPartText"/>
        </w:rPr>
        <w:t>Registration of marriages</w:t>
      </w:r>
      <w:bookmarkEnd w:id="299"/>
      <w:bookmarkEnd w:id="300"/>
      <w:bookmarkEnd w:id="301"/>
      <w:bookmarkEnd w:id="302"/>
      <w:bookmarkEnd w:id="303"/>
      <w:bookmarkEnd w:id="304"/>
      <w:bookmarkEnd w:id="305"/>
      <w:bookmarkEnd w:id="306"/>
      <w:bookmarkEnd w:id="307"/>
    </w:p>
    <w:p>
      <w:pPr>
        <w:pStyle w:val="Heading5"/>
      </w:pPr>
      <w:bookmarkStart w:id="308" w:name="_Toc216954952"/>
      <w:r>
        <w:rPr>
          <w:rStyle w:val="CharSectno"/>
        </w:rPr>
        <w:t>37</w:t>
      </w:r>
      <w:r>
        <w:t>.</w:t>
      </w:r>
      <w:r>
        <w:tab/>
        <w:t>Marriages in the State to be registered</w:t>
      </w:r>
      <w:bookmarkEnd w:id="308"/>
    </w:p>
    <w:p>
      <w:pPr>
        <w:pStyle w:val="Subsection"/>
      </w:pPr>
      <w:r>
        <w:tab/>
      </w:r>
      <w:r>
        <w:tab/>
        <w:t>If a marriage is solemnized in the State, the marriage must be registered under this Act.</w:t>
      </w:r>
    </w:p>
    <w:p>
      <w:pPr>
        <w:pStyle w:val="Heading5"/>
      </w:pPr>
      <w:bookmarkStart w:id="309" w:name="_Toc216954953"/>
      <w:r>
        <w:rPr>
          <w:rStyle w:val="CharSectno"/>
        </w:rPr>
        <w:t>38</w:t>
      </w:r>
      <w:r>
        <w:t>.</w:t>
      </w:r>
      <w:r>
        <w:tab/>
        <w:t>How to have marriage registered</w:t>
      </w:r>
      <w:bookmarkEnd w:id="309"/>
    </w:p>
    <w:p>
      <w:pPr>
        <w:pStyle w:val="Subsection"/>
      </w:pPr>
      <w:r>
        <w:tab/>
      </w:r>
      <w:r>
        <w:tab/>
        <w:t xml:space="preserve">A person may have a marriage registered by lodging with the Registrar a certificate of the marriage under the </w:t>
      </w:r>
      <w:r>
        <w:rPr>
          <w:i/>
        </w:rPr>
        <w:t>Marriage Act 1961</w:t>
      </w:r>
      <w:r>
        <w:t xml:space="preserve"> of the Commonwealth or, if the marriage was solemnized before the commencement of that Act, the evidence of the marriage required by the Registrar.</w:t>
      </w:r>
    </w:p>
    <w:p>
      <w:pPr>
        <w:pStyle w:val="PermNoteHeading"/>
      </w:pPr>
      <w:r>
        <w:tab/>
        <w:t>Note:</w:t>
      </w:r>
    </w:p>
    <w:p>
      <w:pPr>
        <w:pStyle w:val="PermNoteText"/>
      </w:pPr>
      <w:r>
        <w:tab/>
      </w:r>
      <w:r>
        <w:tab/>
        <w:t xml:space="preserve">Under section 50(4) of the </w:t>
      </w:r>
      <w:r>
        <w:rPr>
          <w:i/>
        </w:rPr>
        <w:t>Marriage Act 1961</w:t>
      </w:r>
      <w:r>
        <w:t xml:space="preserve"> of the Commonwealth the authorised celebrant is responsible for lodging the certificate of marriage with the Registrar.</w:t>
      </w:r>
    </w:p>
    <w:p>
      <w:pPr>
        <w:pStyle w:val="Heading5"/>
      </w:pPr>
      <w:bookmarkStart w:id="310" w:name="_Toc216954954"/>
      <w:r>
        <w:rPr>
          <w:rStyle w:val="CharSectno"/>
        </w:rPr>
        <w:t>39</w:t>
      </w:r>
      <w:r>
        <w:t>.</w:t>
      </w:r>
      <w:r>
        <w:tab/>
        <w:t>Registration of marriage</w:t>
      </w:r>
      <w:bookmarkEnd w:id="310"/>
    </w:p>
    <w:p>
      <w:pPr>
        <w:pStyle w:val="Subsection"/>
      </w:pPr>
      <w:r>
        <w:tab/>
      </w:r>
      <w:r>
        <w:tab/>
        <w:t xml:space="preserve">A marriage may be registered by — </w:t>
      </w:r>
    </w:p>
    <w:p>
      <w:pPr>
        <w:pStyle w:val="Indenta"/>
      </w:pPr>
      <w:r>
        <w:tab/>
        <w:t>(a)</w:t>
      </w:r>
      <w:r>
        <w:tab/>
        <w:t>including the marriage certificate as part of the Register; or</w:t>
      </w:r>
    </w:p>
    <w:p>
      <w:pPr>
        <w:pStyle w:val="Indenta"/>
      </w:pPr>
      <w:r>
        <w:tab/>
        <w:t>(b)</w:t>
      </w:r>
      <w:r>
        <w:tab/>
        <w:t>including particulars of the marriage in the Register.</w:t>
      </w:r>
    </w:p>
    <w:p>
      <w:pPr>
        <w:pStyle w:val="Heading2"/>
      </w:pPr>
      <w:bookmarkStart w:id="311" w:name="_Toc198827687"/>
      <w:bookmarkStart w:id="312" w:name="_Toc198908968"/>
      <w:bookmarkStart w:id="313" w:name="_Toc199153803"/>
      <w:bookmarkStart w:id="314" w:name="_Toc216795172"/>
      <w:bookmarkStart w:id="315" w:name="_Toc216795555"/>
      <w:bookmarkStart w:id="316" w:name="_Toc216795710"/>
      <w:bookmarkStart w:id="317" w:name="_Toc216942271"/>
      <w:bookmarkStart w:id="318" w:name="_Toc216942426"/>
      <w:bookmarkStart w:id="319" w:name="_Toc216954955"/>
      <w:r>
        <w:rPr>
          <w:rStyle w:val="CharPartNo"/>
        </w:rPr>
        <w:lastRenderedPageBreak/>
        <w:t>Part 7</w:t>
      </w:r>
      <w:r>
        <w:t> — </w:t>
      </w:r>
      <w:r>
        <w:rPr>
          <w:rStyle w:val="CharPartText"/>
        </w:rPr>
        <w:t>Registration of deaths</w:t>
      </w:r>
      <w:bookmarkEnd w:id="311"/>
      <w:bookmarkEnd w:id="312"/>
      <w:bookmarkEnd w:id="313"/>
      <w:bookmarkEnd w:id="314"/>
      <w:bookmarkEnd w:id="315"/>
      <w:bookmarkEnd w:id="316"/>
      <w:bookmarkEnd w:id="317"/>
      <w:bookmarkEnd w:id="318"/>
      <w:bookmarkEnd w:id="319"/>
    </w:p>
    <w:p>
      <w:pPr>
        <w:pStyle w:val="Heading3"/>
      </w:pPr>
      <w:bookmarkStart w:id="320" w:name="_Toc198827688"/>
      <w:bookmarkStart w:id="321" w:name="_Toc198908969"/>
      <w:bookmarkStart w:id="322" w:name="_Toc199153804"/>
      <w:bookmarkStart w:id="323" w:name="_Toc216795173"/>
      <w:bookmarkStart w:id="324" w:name="_Toc216795556"/>
      <w:bookmarkStart w:id="325" w:name="_Toc216795711"/>
      <w:bookmarkStart w:id="326" w:name="_Toc216942272"/>
      <w:bookmarkStart w:id="327" w:name="_Toc216942427"/>
      <w:bookmarkStart w:id="328" w:name="_Toc216954956"/>
      <w:r>
        <w:rPr>
          <w:rStyle w:val="CharDivNo"/>
        </w:rPr>
        <w:t>Division 1</w:t>
      </w:r>
      <w:r>
        <w:t> — </w:t>
      </w:r>
      <w:r>
        <w:rPr>
          <w:rStyle w:val="CharDivText"/>
        </w:rPr>
        <w:t>Cases where registration of death is required or authorised</w:t>
      </w:r>
      <w:bookmarkEnd w:id="320"/>
      <w:bookmarkEnd w:id="321"/>
      <w:bookmarkEnd w:id="322"/>
      <w:bookmarkEnd w:id="323"/>
      <w:bookmarkEnd w:id="324"/>
      <w:bookmarkEnd w:id="325"/>
      <w:bookmarkEnd w:id="326"/>
      <w:bookmarkEnd w:id="327"/>
      <w:bookmarkEnd w:id="328"/>
    </w:p>
    <w:p>
      <w:pPr>
        <w:pStyle w:val="Heading5"/>
      </w:pPr>
      <w:bookmarkStart w:id="329" w:name="_Toc216954957"/>
      <w:r>
        <w:rPr>
          <w:rStyle w:val="CharSectno"/>
        </w:rPr>
        <w:t>40</w:t>
      </w:r>
      <w:r>
        <w:t>.</w:t>
      </w:r>
      <w:r>
        <w:tab/>
        <w:t>Deaths to be registered under this Act</w:t>
      </w:r>
      <w:bookmarkEnd w:id="329"/>
    </w:p>
    <w:p>
      <w:pPr>
        <w:pStyle w:val="Subsection"/>
      </w:pPr>
      <w:r>
        <w:tab/>
        <w:t>(1)</w:t>
      </w:r>
      <w:r>
        <w:tab/>
        <w:t>If a person dies in the State, the death must be registered under this Act.</w:t>
      </w:r>
    </w:p>
    <w:p>
      <w:pPr>
        <w:pStyle w:val="Subsection"/>
      </w:pPr>
      <w:r>
        <w:tab/>
        <w:t>(2)</w:t>
      </w:r>
      <w:r>
        <w:tab/>
        <w:t>If a State court or a coroner in the State orders that a death be registered in this State, the death must be registered under this Act.</w:t>
      </w:r>
    </w:p>
    <w:p>
      <w:pPr>
        <w:pStyle w:val="Subsection"/>
      </w:pPr>
      <w:r>
        <w:tab/>
        <w:t>(3)</w:t>
      </w:r>
      <w:r>
        <w:tab/>
        <w:t>If a court or coroner of another State or of the Commonwealth makes a determination that a death should be registered in this State, the death may be registered under this Act if the Registrar considers that it is appropriate to do so.</w:t>
      </w:r>
    </w:p>
    <w:p>
      <w:pPr>
        <w:pStyle w:val="Subsection"/>
      </w:pPr>
      <w:r>
        <w:tab/>
        <w:t>(4)</w:t>
      </w:r>
      <w:r>
        <w:tab/>
        <w:t xml:space="preserve">If a person dies — </w:t>
      </w:r>
    </w:p>
    <w:p>
      <w:pPr>
        <w:pStyle w:val="Indenta"/>
      </w:pPr>
      <w:r>
        <w:tab/>
        <w:t>(a)</w:t>
      </w:r>
      <w:r>
        <w:tab/>
        <w:t xml:space="preserve">in an aircraft during a flight to an airport in the State; or </w:t>
      </w:r>
    </w:p>
    <w:p>
      <w:pPr>
        <w:pStyle w:val="Indenta"/>
      </w:pPr>
      <w:r>
        <w:tab/>
        <w:t>(b)</w:t>
      </w:r>
      <w:r>
        <w:tab/>
        <w:t xml:space="preserve">on a vessel during a voyage to a port in the State, </w:t>
      </w:r>
    </w:p>
    <w:p>
      <w:pPr>
        <w:pStyle w:val="Subsection"/>
      </w:pPr>
      <w:r>
        <w:tab/>
      </w:r>
      <w:r>
        <w:tab/>
        <w:t>the death may be registered under this Act.</w:t>
      </w:r>
    </w:p>
    <w:p>
      <w:pPr>
        <w:pStyle w:val="Subsection"/>
      </w:pPr>
      <w:r>
        <w:tab/>
        <w:t>(5)</w:t>
      </w:r>
      <w:r>
        <w:tab/>
        <w:t xml:space="preserve">If a person dies outside the Commonwealth and the person — </w:t>
      </w:r>
    </w:p>
    <w:p>
      <w:pPr>
        <w:pStyle w:val="Indenta"/>
      </w:pPr>
      <w:r>
        <w:tab/>
        <w:t>(a)</w:t>
      </w:r>
      <w:r>
        <w:tab/>
        <w:t xml:space="preserve">is domiciled or ordinarily resident in the State; or </w:t>
      </w:r>
    </w:p>
    <w:p>
      <w:pPr>
        <w:pStyle w:val="Indenta"/>
      </w:pPr>
      <w:r>
        <w:tab/>
        <w:t>(b)</w:t>
      </w:r>
      <w:r>
        <w:tab/>
        <w:t xml:space="preserve">leaves property in the State, </w:t>
      </w:r>
    </w:p>
    <w:p>
      <w:pPr>
        <w:pStyle w:val="Subsection"/>
      </w:pPr>
      <w:r>
        <w:tab/>
      </w:r>
      <w:r>
        <w:tab/>
        <w:t>the death may be registered under this Act.</w:t>
      </w:r>
    </w:p>
    <w:p>
      <w:pPr>
        <w:pStyle w:val="Subsection"/>
      </w:pPr>
      <w:r>
        <w:tab/>
        <w:t>(6)</w:t>
      </w:r>
      <w:r>
        <w:tab/>
        <w:t>The Registrar may refuse to register a death under subsection (4) or (5) if the death is registered under a corresponding law.</w:t>
      </w:r>
    </w:p>
    <w:p>
      <w:pPr>
        <w:pStyle w:val="Subsection"/>
      </w:pPr>
      <w:r>
        <w:tab/>
        <w:t>(7)</w:t>
      </w:r>
      <w:r>
        <w:tab/>
        <w:t>The death of a still</w:t>
      </w:r>
      <w:r>
        <w:noBreakHyphen/>
        <w:t>born child must be registered under this Act.</w:t>
      </w:r>
    </w:p>
    <w:p>
      <w:pPr>
        <w:pStyle w:val="Heading5"/>
      </w:pPr>
      <w:bookmarkStart w:id="330" w:name="_Toc216954958"/>
      <w:r>
        <w:rPr>
          <w:rStyle w:val="CharSectno"/>
        </w:rPr>
        <w:lastRenderedPageBreak/>
        <w:t>41</w:t>
      </w:r>
      <w:r>
        <w:t>.</w:t>
      </w:r>
      <w:r>
        <w:tab/>
        <w:t>Powers of State courts and coroners and registration of death etc. after court findings</w:t>
      </w:r>
      <w:bookmarkEnd w:id="330"/>
    </w:p>
    <w:p>
      <w:pPr>
        <w:pStyle w:val="Subsection"/>
      </w:pPr>
      <w:r>
        <w:tab/>
        <w:t>(1)</w:t>
      </w:r>
      <w:r>
        <w:tab/>
        <w:t xml:space="preserve">A State court or a coroner in the State may, on application by an interested person or on its own initiative, order the Registrar — </w:t>
      </w:r>
    </w:p>
    <w:p>
      <w:pPr>
        <w:pStyle w:val="Indenta"/>
      </w:pPr>
      <w:r>
        <w:tab/>
        <w:t>(a)</w:t>
      </w:r>
      <w:r>
        <w:tab/>
        <w:t>to register a death; or</w:t>
      </w:r>
    </w:p>
    <w:p>
      <w:pPr>
        <w:pStyle w:val="Indenta"/>
      </w:pPr>
      <w:r>
        <w:tab/>
        <w:t>(b)</w:t>
      </w:r>
      <w:r>
        <w:tab/>
        <w:t>to include registrable information about a death in the Register.</w:t>
      </w:r>
    </w:p>
    <w:p>
      <w:pPr>
        <w:pStyle w:val="Subsection"/>
      </w:pPr>
      <w:r>
        <w:tab/>
        <w:t>(2)</w:t>
      </w:r>
      <w:r>
        <w:tab/>
        <w:t xml:space="preserve">If a State court or coroner in the State finds that — </w:t>
      </w:r>
    </w:p>
    <w:p>
      <w:pPr>
        <w:pStyle w:val="Indenta"/>
      </w:pPr>
      <w:r>
        <w:tab/>
        <w:t>(a)</w:t>
      </w:r>
      <w:r>
        <w:tab/>
        <w:t>the death of a person is not registered as required under this Act or a corresponding law; or</w:t>
      </w:r>
    </w:p>
    <w:p>
      <w:pPr>
        <w:pStyle w:val="Indenta"/>
      </w:pPr>
      <w:r>
        <w:tab/>
        <w:t>(b)</w:t>
      </w:r>
      <w:r>
        <w:tab/>
        <w:t>the registrable information contained in an entry about a death in the Register under this Act or a corresponding law is incomplete or incorrect,</w:t>
      </w:r>
    </w:p>
    <w:p>
      <w:pPr>
        <w:pStyle w:val="Subsection"/>
      </w:pPr>
      <w:r>
        <w:tab/>
      </w:r>
      <w:r>
        <w:tab/>
        <w:t>the State court or coroner may order the registration of the death or order the inclusion or correction of registrable information in the Register or make a determination for the purposes of the corresponding law (as is applicable to the case).</w:t>
      </w:r>
    </w:p>
    <w:p>
      <w:pPr>
        <w:pStyle w:val="Subsection"/>
      </w:pPr>
      <w:r>
        <w:tab/>
        <w:t>(3)</w:t>
      </w:r>
      <w:r>
        <w:tab/>
        <w:t>The Registrar may register a death or amend the Register in accordance with a determination made by a court or coroner of another State or of the Commonwealth which has made a finding of a kind referred to in subsection (2) if the Registrar considers that it is appropriate to do so.</w:t>
      </w:r>
    </w:p>
    <w:p>
      <w:pPr>
        <w:pStyle w:val="Heading3"/>
      </w:pPr>
      <w:bookmarkStart w:id="331" w:name="_Toc198827691"/>
      <w:bookmarkStart w:id="332" w:name="_Toc198908972"/>
      <w:bookmarkStart w:id="333" w:name="_Toc199153807"/>
      <w:bookmarkStart w:id="334" w:name="_Toc216795176"/>
      <w:bookmarkStart w:id="335" w:name="_Toc216795559"/>
      <w:bookmarkStart w:id="336" w:name="_Toc216795714"/>
      <w:bookmarkStart w:id="337" w:name="_Toc216942275"/>
      <w:bookmarkStart w:id="338" w:name="_Toc216942430"/>
      <w:bookmarkStart w:id="339" w:name="_Toc216954959"/>
      <w:r>
        <w:rPr>
          <w:rStyle w:val="CharDivNo"/>
        </w:rPr>
        <w:t>Division 2</w:t>
      </w:r>
      <w:r>
        <w:t> — </w:t>
      </w:r>
      <w:r>
        <w:rPr>
          <w:rStyle w:val="CharDivText"/>
        </w:rPr>
        <w:t>Notification of death</w:t>
      </w:r>
      <w:bookmarkEnd w:id="331"/>
      <w:bookmarkEnd w:id="332"/>
      <w:bookmarkEnd w:id="333"/>
      <w:bookmarkEnd w:id="334"/>
      <w:bookmarkEnd w:id="335"/>
      <w:bookmarkEnd w:id="336"/>
      <w:bookmarkEnd w:id="337"/>
      <w:bookmarkEnd w:id="338"/>
      <w:bookmarkEnd w:id="339"/>
    </w:p>
    <w:p>
      <w:pPr>
        <w:pStyle w:val="Heading5"/>
      </w:pPr>
      <w:bookmarkStart w:id="340" w:name="_Toc216954960"/>
      <w:r>
        <w:rPr>
          <w:rStyle w:val="CharSectno"/>
        </w:rPr>
        <w:t>42</w:t>
      </w:r>
      <w:r>
        <w:t>.</w:t>
      </w:r>
      <w:r>
        <w:tab/>
        <w:t>Person responsible for notification of death</w:t>
      </w:r>
      <w:bookmarkEnd w:id="340"/>
    </w:p>
    <w:p>
      <w:pPr>
        <w:pStyle w:val="Subsection"/>
      </w:pPr>
      <w:r>
        <w:tab/>
      </w:r>
      <w:r>
        <w:tab/>
        <w:t xml:space="preserve">If a person dies in the State — </w:t>
      </w:r>
    </w:p>
    <w:p>
      <w:pPr>
        <w:pStyle w:val="Indenta"/>
      </w:pPr>
      <w:r>
        <w:tab/>
        <w:t>(a)</w:t>
      </w:r>
      <w:r>
        <w:tab/>
        <w:t>the funeral director or other person who arranges for the disposal of the person’s remains; or</w:t>
      </w:r>
    </w:p>
    <w:p>
      <w:pPr>
        <w:pStyle w:val="Indenta"/>
        <w:keepNext/>
      </w:pPr>
      <w:r>
        <w:lastRenderedPageBreak/>
        <w:tab/>
        <w:t>(b)</w:t>
      </w:r>
      <w:r>
        <w:tab/>
        <w:t>the person who is in charge of an educational or scientific institution where the person’s remains are placed for the purpose of medical education or research,</w:t>
      </w:r>
    </w:p>
    <w:p>
      <w:pPr>
        <w:pStyle w:val="Subsection"/>
      </w:pPr>
      <w:r>
        <w:tab/>
      </w:r>
      <w:r>
        <w:tab/>
        <w:t xml:space="preserve">must, within 14 days of the date of death, finding of the person’s body or placement of the person’s body, as is relevant to the case — </w:t>
      </w:r>
    </w:p>
    <w:p>
      <w:pPr>
        <w:pStyle w:val="Indenta"/>
      </w:pPr>
      <w:r>
        <w:tab/>
        <w:t>(c)</w:t>
      </w:r>
      <w:r>
        <w:tab/>
        <w:t>notify the Registrar of the person’s death by lodging a death registration statement in an approved form and manner; and</w:t>
      </w:r>
    </w:p>
    <w:p>
      <w:pPr>
        <w:pStyle w:val="Indenta"/>
      </w:pPr>
      <w:r>
        <w:tab/>
        <w:t>(d)</w:t>
      </w:r>
      <w:r>
        <w:tab/>
        <w:t>give the Registrar the certificate of cause of death provided under section 44 in relation to the person.</w:t>
      </w:r>
    </w:p>
    <w:p>
      <w:pPr>
        <w:pStyle w:val="Penstart"/>
      </w:pPr>
      <w:r>
        <w:tab/>
        <w:t>Penalty: $1 000.</w:t>
      </w:r>
    </w:p>
    <w:p>
      <w:pPr>
        <w:pStyle w:val="Heading5"/>
      </w:pPr>
      <w:bookmarkStart w:id="341" w:name="_Toc216954961"/>
      <w:r>
        <w:rPr>
          <w:rStyle w:val="CharSectno"/>
        </w:rPr>
        <w:t>43</w:t>
      </w:r>
      <w:r>
        <w:t>.</w:t>
      </w:r>
      <w:r>
        <w:tab/>
        <w:t>Notification of suspected death</w:t>
      </w:r>
      <w:bookmarkEnd w:id="341"/>
    </w:p>
    <w:p>
      <w:pPr>
        <w:pStyle w:val="Subsection"/>
      </w:pPr>
      <w:r>
        <w:tab/>
      </w:r>
      <w:r>
        <w:tab/>
        <w:t>If a coroner holds an inquest into the circumstances of a suspected death and finds that the death has been established, the coroner is to be treated as the notifying person for the purposes of this Act.</w:t>
      </w:r>
    </w:p>
    <w:p>
      <w:pPr>
        <w:pStyle w:val="Heading3"/>
      </w:pPr>
      <w:bookmarkStart w:id="342" w:name="_Toc198827694"/>
      <w:bookmarkStart w:id="343" w:name="_Toc198908975"/>
      <w:bookmarkStart w:id="344" w:name="_Toc199153810"/>
      <w:bookmarkStart w:id="345" w:name="_Toc216795179"/>
      <w:bookmarkStart w:id="346" w:name="_Toc216795562"/>
      <w:bookmarkStart w:id="347" w:name="_Toc216795717"/>
      <w:bookmarkStart w:id="348" w:name="_Toc216942278"/>
      <w:bookmarkStart w:id="349" w:name="_Toc216942433"/>
      <w:bookmarkStart w:id="350" w:name="_Toc216954962"/>
      <w:r>
        <w:rPr>
          <w:rStyle w:val="CharDivNo"/>
        </w:rPr>
        <w:t>Division 3</w:t>
      </w:r>
      <w:r>
        <w:t> — </w:t>
      </w:r>
      <w:r>
        <w:rPr>
          <w:rStyle w:val="CharDivText"/>
        </w:rPr>
        <w:t>Certificates of cause of death</w:t>
      </w:r>
      <w:bookmarkEnd w:id="342"/>
      <w:bookmarkEnd w:id="343"/>
      <w:bookmarkEnd w:id="344"/>
      <w:bookmarkEnd w:id="345"/>
      <w:bookmarkEnd w:id="346"/>
      <w:bookmarkEnd w:id="347"/>
      <w:bookmarkEnd w:id="348"/>
      <w:bookmarkEnd w:id="349"/>
      <w:bookmarkEnd w:id="350"/>
    </w:p>
    <w:p>
      <w:pPr>
        <w:pStyle w:val="Heading5"/>
      </w:pPr>
      <w:bookmarkStart w:id="351" w:name="_Toc216954963"/>
      <w:r>
        <w:rPr>
          <w:rStyle w:val="CharSectno"/>
        </w:rPr>
        <w:t>44</w:t>
      </w:r>
      <w:r>
        <w:t>.</w:t>
      </w:r>
      <w:r>
        <w:tab/>
        <w:t>Doctor to provide certificate of cause of death unless the death is reportable to a coroner</w:t>
      </w:r>
      <w:bookmarkEnd w:id="351"/>
    </w:p>
    <w:p>
      <w:pPr>
        <w:pStyle w:val="Subsection"/>
      </w:pPr>
      <w:r>
        <w:tab/>
        <w:t>(1)</w:t>
      </w:r>
      <w:r>
        <w:tab/>
        <w:t>In the case of a person’s death other than a still</w:t>
      </w:r>
      <w:r>
        <w:noBreakHyphen/>
        <w:t xml:space="preserve">birth or a neonatal death, the doctor who — </w:t>
      </w:r>
    </w:p>
    <w:p>
      <w:pPr>
        <w:pStyle w:val="Indenta"/>
      </w:pPr>
      <w:r>
        <w:tab/>
        <w:t>(a)</w:t>
      </w:r>
      <w:r>
        <w:tab/>
        <w:t xml:space="preserve">was responsible for the person’s medical care immediately before the death; or </w:t>
      </w:r>
    </w:p>
    <w:p>
      <w:pPr>
        <w:pStyle w:val="Indenta"/>
      </w:pPr>
      <w:r>
        <w:tab/>
        <w:t>(b)</w:t>
      </w:r>
      <w:r>
        <w:tab/>
        <w:t xml:space="preserve">examined the person’s deceased body, </w:t>
      </w:r>
    </w:p>
    <w:p>
      <w:pPr>
        <w:pStyle w:val="Subsection"/>
      </w:pPr>
      <w:r>
        <w:tab/>
      </w:r>
      <w:r>
        <w:tab/>
        <w:t xml:space="preserve">must, within 48 hours after the person’s death — </w:t>
      </w:r>
    </w:p>
    <w:p>
      <w:pPr>
        <w:pStyle w:val="Indenta"/>
      </w:pPr>
      <w:r>
        <w:tab/>
        <w:t>(c)</w:t>
      </w:r>
      <w:r>
        <w:tab/>
        <w:t>certify, in an approved form, the cause of the death; and</w:t>
      </w:r>
    </w:p>
    <w:p>
      <w:pPr>
        <w:pStyle w:val="Indenta"/>
      </w:pPr>
      <w:r>
        <w:tab/>
        <w:t>(d)</w:t>
      </w:r>
      <w:r>
        <w:tab/>
        <w:t>give the certificate to the person who is responsible under section 42 for notifying the Registrar of the death.</w:t>
      </w:r>
    </w:p>
    <w:p>
      <w:pPr>
        <w:pStyle w:val="Subsection"/>
        <w:keepNext/>
      </w:pPr>
      <w:r>
        <w:lastRenderedPageBreak/>
        <w:tab/>
        <w:t>(2)</w:t>
      </w:r>
      <w:r>
        <w:tab/>
        <w:t>If a child is still</w:t>
      </w:r>
      <w:r>
        <w:noBreakHyphen/>
        <w:t xml:space="preserve">born, the doctor who — </w:t>
      </w:r>
    </w:p>
    <w:p>
      <w:pPr>
        <w:pStyle w:val="Indenta"/>
      </w:pPr>
      <w:r>
        <w:tab/>
        <w:t>(a)</w:t>
      </w:r>
      <w:r>
        <w:tab/>
        <w:t xml:space="preserve">was responsible for the professional care of the mother at the birth; or </w:t>
      </w:r>
    </w:p>
    <w:p>
      <w:pPr>
        <w:pStyle w:val="Indenta"/>
      </w:pPr>
      <w:r>
        <w:tab/>
        <w:t>(b)</w:t>
      </w:r>
      <w:r>
        <w:tab/>
        <w:t>examined the body of the still</w:t>
      </w:r>
      <w:r>
        <w:noBreakHyphen/>
        <w:t>born child after the birth,</w:t>
      </w:r>
    </w:p>
    <w:p>
      <w:pPr>
        <w:pStyle w:val="Subsection"/>
      </w:pPr>
      <w:r>
        <w:tab/>
      </w:r>
      <w:r>
        <w:tab/>
        <w:t xml:space="preserve">must, within 48 hours after the child’s death — </w:t>
      </w:r>
    </w:p>
    <w:p>
      <w:pPr>
        <w:pStyle w:val="Indenta"/>
      </w:pPr>
      <w:r>
        <w:tab/>
        <w:t>(c)</w:t>
      </w:r>
      <w:r>
        <w:tab/>
        <w:t>certify, in an approved form, the cause of the death; and</w:t>
      </w:r>
    </w:p>
    <w:p>
      <w:pPr>
        <w:pStyle w:val="Indenta"/>
      </w:pPr>
      <w:r>
        <w:tab/>
        <w:t>(d)</w:t>
      </w:r>
      <w:r>
        <w:tab/>
        <w:t>give the certificate to the person who is responsible under section 42 for notifying the Registrar of the death.</w:t>
      </w:r>
    </w:p>
    <w:p>
      <w:pPr>
        <w:pStyle w:val="Subsection"/>
      </w:pPr>
      <w:r>
        <w:tab/>
        <w:t>(3)</w:t>
      </w:r>
      <w:r>
        <w:tab/>
        <w:t xml:space="preserve">If a child has a neonatal death, the doctor who — </w:t>
      </w:r>
    </w:p>
    <w:p>
      <w:pPr>
        <w:pStyle w:val="Indenta"/>
      </w:pPr>
      <w:r>
        <w:tab/>
        <w:t>(a)</w:t>
      </w:r>
      <w:r>
        <w:tab/>
        <w:t xml:space="preserve">was responsible for the child’s medical care immediately before the death; or </w:t>
      </w:r>
    </w:p>
    <w:p>
      <w:pPr>
        <w:pStyle w:val="Indenta"/>
      </w:pPr>
      <w:r>
        <w:tab/>
        <w:t>(b)</w:t>
      </w:r>
      <w:r>
        <w:tab/>
        <w:t xml:space="preserve">examined the child’s deceased body, </w:t>
      </w:r>
    </w:p>
    <w:p>
      <w:pPr>
        <w:pStyle w:val="Subsection"/>
      </w:pPr>
      <w:r>
        <w:tab/>
      </w:r>
      <w:r>
        <w:tab/>
        <w:t xml:space="preserve">must, within 48 hours after the child’s death — </w:t>
      </w:r>
    </w:p>
    <w:p>
      <w:pPr>
        <w:pStyle w:val="Indenta"/>
      </w:pPr>
      <w:r>
        <w:tab/>
        <w:t>(c)</w:t>
      </w:r>
      <w:r>
        <w:tab/>
        <w:t>certify, in an approved form the cause of the death; and</w:t>
      </w:r>
    </w:p>
    <w:p>
      <w:pPr>
        <w:pStyle w:val="Indenta"/>
      </w:pPr>
      <w:r>
        <w:tab/>
        <w:t>(d)</w:t>
      </w:r>
      <w:r>
        <w:tab/>
        <w:t>give the certificate to the person who is responsible under section 42 for notifying the Registrar of the death.</w:t>
      </w:r>
    </w:p>
    <w:p>
      <w:pPr>
        <w:pStyle w:val="Penstart"/>
      </w:pPr>
      <w:r>
        <w:tab/>
        <w:t>Penalty applicable to subsections (1), (2) and (3): $1 000.</w:t>
      </w:r>
    </w:p>
    <w:p>
      <w:pPr>
        <w:pStyle w:val="Subsection"/>
      </w:pPr>
      <w:r>
        <w:tab/>
        <w:t>(4)</w:t>
      </w:r>
      <w:r>
        <w:tab/>
        <w:t xml:space="preserve">A doctor does not commit an offence under subsection (1), (2) or (3) if — </w:t>
      </w:r>
    </w:p>
    <w:p>
      <w:pPr>
        <w:pStyle w:val="Indenta"/>
      </w:pPr>
      <w:r>
        <w:tab/>
        <w:t>(a)</w:t>
      </w:r>
      <w:r>
        <w:tab/>
        <w:t>a certificate required under the subsection is given by another doctor; or</w:t>
      </w:r>
    </w:p>
    <w:p>
      <w:pPr>
        <w:pStyle w:val="Indenta"/>
      </w:pPr>
      <w:r>
        <w:tab/>
        <w:t>(b)</w:t>
      </w:r>
      <w:r>
        <w:tab/>
        <w:t>the doctor had reasonable cause for not being able to comply.</w:t>
      </w:r>
    </w:p>
    <w:p>
      <w:pPr>
        <w:pStyle w:val="Subsection"/>
      </w:pPr>
      <w:r>
        <w:tab/>
        <w:t>(5)</w:t>
      </w:r>
      <w:r>
        <w:tab/>
        <w:t xml:space="preserve">This section does not require a doctor to give a certificate of the cause of a person’s death if the doctor is required under section 17(3) of the </w:t>
      </w:r>
      <w:r>
        <w:rPr>
          <w:i/>
        </w:rPr>
        <w:t>Coroners Act 1996</w:t>
      </w:r>
      <w:r>
        <w:t xml:space="preserve"> to report the person’s death to a coroner.</w:t>
      </w:r>
    </w:p>
    <w:p>
      <w:pPr>
        <w:pStyle w:val="Heading3"/>
      </w:pPr>
      <w:bookmarkStart w:id="352" w:name="_Toc198827696"/>
      <w:bookmarkStart w:id="353" w:name="_Toc198908977"/>
      <w:bookmarkStart w:id="354" w:name="_Toc199153812"/>
      <w:bookmarkStart w:id="355" w:name="_Toc216795181"/>
      <w:bookmarkStart w:id="356" w:name="_Toc216795564"/>
      <w:bookmarkStart w:id="357" w:name="_Toc216795719"/>
      <w:bookmarkStart w:id="358" w:name="_Toc216942280"/>
      <w:bookmarkStart w:id="359" w:name="_Toc216942435"/>
      <w:bookmarkStart w:id="360" w:name="_Toc216954964"/>
      <w:r>
        <w:rPr>
          <w:rStyle w:val="CharDivNo"/>
        </w:rPr>
        <w:lastRenderedPageBreak/>
        <w:t>Division 4</w:t>
      </w:r>
      <w:r>
        <w:t> — </w:t>
      </w:r>
      <w:r>
        <w:rPr>
          <w:rStyle w:val="CharDivText"/>
        </w:rPr>
        <w:t>Disposal of human remains</w:t>
      </w:r>
      <w:bookmarkEnd w:id="352"/>
      <w:bookmarkEnd w:id="353"/>
      <w:bookmarkEnd w:id="354"/>
      <w:bookmarkEnd w:id="355"/>
      <w:bookmarkEnd w:id="356"/>
      <w:bookmarkEnd w:id="357"/>
      <w:bookmarkEnd w:id="358"/>
      <w:bookmarkEnd w:id="359"/>
      <w:bookmarkEnd w:id="360"/>
    </w:p>
    <w:p>
      <w:pPr>
        <w:pStyle w:val="Heading5"/>
      </w:pPr>
      <w:bookmarkStart w:id="361" w:name="_Toc216954965"/>
      <w:r>
        <w:rPr>
          <w:rStyle w:val="CharSectno"/>
        </w:rPr>
        <w:t>45</w:t>
      </w:r>
      <w:r>
        <w:t>.</w:t>
      </w:r>
      <w:r>
        <w:tab/>
        <w:t>Notification of disposal of human remains in the State</w:t>
      </w:r>
      <w:bookmarkEnd w:id="361"/>
    </w:p>
    <w:p>
      <w:pPr>
        <w:pStyle w:val="Subsection"/>
      </w:pPr>
      <w:r>
        <w:tab/>
      </w:r>
      <w:r>
        <w:tab/>
        <w:t>A funeral director or other person who arranges for the disposal of human remains, other than by way of removal of the remains from the State, must within 7 days after the disposal of the remains, give the Registrar notice in an approved form.</w:t>
      </w:r>
    </w:p>
    <w:p>
      <w:pPr>
        <w:pStyle w:val="Penstart"/>
      </w:pPr>
      <w:r>
        <w:tab/>
        <w:t>Penalty: $1 000.</w:t>
      </w:r>
    </w:p>
    <w:p>
      <w:pPr>
        <w:pStyle w:val="Heading5"/>
      </w:pPr>
      <w:bookmarkStart w:id="362" w:name="_Toc216954966"/>
      <w:r>
        <w:rPr>
          <w:rStyle w:val="CharSectno"/>
        </w:rPr>
        <w:t>46</w:t>
      </w:r>
      <w:r>
        <w:t>.</w:t>
      </w:r>
      <w:r>
        <w:tab/>
        <w:t>Notification of disposal of human remains out of the State</w:t>
      </w:r>
      <w:bookmarkEnd w:id="362"/>
    </w:p>
    <w:p>
      <w:pPr>
        <w:pStyle w:val="Subsection"/>
      </w:pPr>
      <w:r>
        <w:tab/>
      </w:r>
      <w:r>
        <w:tab/>
        <w:t xml:space="preserve">If human remains (other than cremated remains) are removed from the State, the funeral director or other person who arranges for the removal of the remains from the State must— </w:t>
      </w:r>
    </w:p>
    <w:p>
      <w:pPr>
        <w:pStyle w:val="Indenta"/>
      </w:pPr>
      <w:r>
        <w:tab/>
        <w:t>(a)</w:t>
      </w:r>
      <w:r>
        <w:tab/>
        <w:t>within 7 days after the removal of the remains from the State give the Registrar notice in an approved form; and</w:t>
      </w:r>
    </w:p>
    <w:p>
      <w:pPr>
        <w:pStyle w:val="Indenta"/>
      </w:pPr>
      <w:r>
        <w:tab/>
        <w:t>(b)</w:t>
      </w:r>
      <w:r>
        <w:tab/>
        <w:t>within 28 days after the remains are disposed of outside the State give the Registrar notice in an approved form.</w:t>
      </w:r>
    </w:p>
    <w:p>
      <w:pPr>
        <w:pStyle w:val="Penstart"/>
      </w:pPr>
      <w:r>
        <w:tab/>
        <w:t>Penalty: $1 000.</w:t>
      </w:r>
    </w:p>
    <w:p>
      <w:pPr>
        <w:pStyle w:val="Heading5"/>
      </w:pPr>
      <w:bookmarkStart w:id="363" w:name="_Toc216954967"/>
      <w:r>
        <w:rPr>
          <w:rStyle w:val="CharSectno"/>
        </w:rPr>
        <w:t>47</w:t>
      </w:r>
      <w:r>
        <w:t>.</w:t>
      </w:r>
      <w:r>
        <w:tab/>
        <w:t>Notification if disposal has not occurred within 30 days</w:t>
      </w:r>
      <w:bookmarkEnd w:id="363"/>
    </w:p>
    <w:p>
      <w:pPr>
        <w:pStyle w:val="Subsection"/>
      </w:pPr>
      <w:r>
        <w:tab/>
      </w:r>
      <w:r>
        <w:tab/>
        <w:t>If human remains have not been disposed of within 30 days after the date of death, the funeral director or other person who has custody of the remains must give the Registrar notice in an approved form.</w:t>
      </w:r>
    </w:p>
    <w:p>
      <w:pPr>
        <w:pStyle w:val="Penstart"/>
      </w:pPr>
      <w:r>
        <w:tab/>
        <w:t>Penalty: $1 000.</w:t>
      </w:r>
    </w:p>
    <w:p>
      <w:pPr>
        <w:pStyle w:val="Heading3"/>
      </w:pPr>
      <w:bookmarkStart w:id="364" w:name="_Toc198827700"/>
      <w:bookmarkStart w:id="365" w:name="_Toc198908981"/>
      <w:bookmarkStart w:id="366" w:name="_Toc199153816"/>
      <w:bookmarkStart w:id="367" w:name="_Toc216795185"/>
      <w:bookmarkStart w:id="368" w:name="_Toc216795568"/>
      <w:bookmarkStart w:id="369" w:name="_Toc216795723"/>
      <w:bookmarkStart w:id="370" w:name="_Toc216942284"/>
      <w:bookmarkStart w:id="371" w:name="_Toc216942439"/>
      <w:bookmarkStart w:id="372" w:name="_Toc216954968"/>
      <w:r>
        <w:rPr>
          <w:rStyle w:val="CharDivNo"/>
        </w:rPr>
        <w:t>Division 5</w:t>
      </w:r>
      <w:r>
        <w:t> — </w:t>
      </w:r>
      <w:r>
        <w:rPr>
          <w:rStyle w:val="CharDivText"/>
        </w:rPr>
        <w:t>Registration of death</w:t>
      </w:r>
      <w:bookmarkEnd w:id="364"/>
      <w:bookmarkEnd w:id="365"/>
      <w:bookmarkEnd w:id="366"/>
      <w:bookmarkEnd w:id="367"/>
      <w:bookmarkEnd w:id="368"/>
      <w:bookmarkEnd w:id="369"/>
      <w:bookmarkEnd w:id="370"/>
      <w:bookmarkEnd w:id="371"/>
      <w:bookmarkEnd w:id="372"/>
    </w:p>
    <w:p>
      <w:pPr>
        <w:pStyle w:val="Heading5"/>
      </w:pPr>
      <w:bookmarkStart w:id="373" w:name="_Toc216954969"/>
      <w:r>
        <w:rPr>
          <w:rStyle w:val="CharSectno"/>
        </w:rPr>
        <w:t>48</w:t>
      </w:r>
      <w:r>
        <w:t>.</w:t>
      </w:r>
      <w:r>
        <w:tab/>
        <w:t>Registration of death</w:t>
      </w:r>
      <w:bookmarkEnd w:id="373"/>
    </w:p>
    <w:p>
      <w:pPr>
        <w:pStyle w:val="Subsection"/>
      </w:pPr>
      <w:r>
        <w:tab/>
        <w:t>(1)</w:t>
      </w:r>
      <w:r>
        <w:tab/>
        <w:t>The Registrar is to register a death by making an entry about the death in the Register including such particulars as the Registrar considers appropriate to register the death.</w:t>
      </w:r>
    </w:p>
    <w:p>
      <w:pPr>
        <w:pStyle w:val="Subsection"/>
      </w:pPr>
      <w:r>
        <w:lastRenderedPageBreak/>
        <w:tab/>
        <w:t>(2)</w:t>
      </w:r>
      <w:r>
        <w:tab/>
        <w:t>If the particulars available to the Registrar are incomplete the Registrar may register a death on the basis of incomplete particulars.</w:t>
      </w:r>
    </w:p>
    <w:p>
      <w:pPr>
        <w:pStyle w:val="Subsection"/>
      </w:pPr>
      <w:r>
        <w:tab/>
        <w:t>(3)</w:t>
      </w:r>
      <w:r>
        <w:tab/>
        <w:t>The Registrar may register a death even though the death is subject to an inquest or other coronial investigation and a finding has not been made about the cause of death.</w:t>
      </w:r>
    </w:p>
    <w:p>
      <w:pPr>
        <w:pStyle w:val="Subsection"/>
      </w:pPr>
      <w:r>
        <w:tab/>
        <w:t>(4)</w:t>
      </w:r>
      <w:r>
        <w:tab/>
        <w:t>A death certificate issued before the completion of an inquest or other coronial investigation into the cause of death must be endorsed in a manner that the Registrar considers appropriate to indicate that fact.</w:t>
      </w:r>
    </w:p>
    <w:p>
      <w:pPr>
        <w:pStyle w:val="Heading2"/>
      </w:pPr>
      <w:bookmarkStart w:id="374" w:name="_Toc198827702"/>
      <w:bookmarkStart w:id="375" w:name="_Toc198908983"/>
      <w:bookmarkStart w:id="376" w:name="_Toc199153818"/>
      <w:bookmarkStart w:id="377" w:name="_Toc216795187"/>
      <w:bookmarkStart w:id="378" w:name="_Toc216795570"/>
      <w:bookmarkStart w:id="379" w:name="_Toc216795725"/>
      <w:bookmarkStart w:id="380" w:name="_Toc216942286"/>
      <w:bookmarkStart w:id="381" w:name="_Toc216942441"/>
      <w:bookmarkStart w:id="382" w:name="_Toc216954970"/>
      <w:r>
        <w:rPr>
          <w:rStyle w:val="CharPartNo"/>
        </w:rPr>
        <w:lastRenderedPageBreak/>
        <w:t>Part 8</w:t>
      </w:r>
      <w:r>
        <w:t> — </w:t>
      </w:r>
      <w:r>
        <w:rPr>
          <w:rStyle w:val="CharPartText"/>
        </w:rPr>
        <w:t>The Register</w:t>
      </w:r>
      <w:bookmarkEnd w:id="374"/>
      <w:bookmarkEnd w:id="375"/>
      <w:bookmarkEnd w:id="376"/>
      <w:bookmarkEnd w:id="377"/>
      <w:bookmarkEnd w:id="378"/>
      <w:bookmarkEnd w:id="379"/>
      <w:bookmarkEnd w:id="380"/>
      <w:bookmarkEnd w:id="381"/>
      <w:bookmarkEnd w:id="382"/>
    </w:p>
    <w:p>
      <w:pPr>
        <w:pStyle w:val="Heading3"/>
      </w:pPr>
      <w:bookmarkStart w:id="383" w:name="_Toc198827703"/>
      <w:bookmarkStart w:id="384" w:name="_Toc198908984"/>
      <w:bookmarkStart w:id="385" w:name="_Toc199153819"/>
      <w:bookmarkStart w:id="386" w:name="_Toc216795188"/>
      <w:bookmarkStart w:id="387" w:name="_Toc216795571"/>
      <w:bookmarkStart w:id="388" w:name="_Toc216795726"/>
      <w:bookmarkStart w:id="389" w:name="_Toc216942287"/>
      <w:bookmarkStart w:id="390" w:name="_Toc216942442"/>
      <w:bookmarkStart w:id="391" w:name="_Toc216954971"/>
      <w:r>
        <w:rPr>
          <w:rStyle w:val="CharDivNo"/>
        </w:rPr>
        <w:t>Division 1</w:t>
      </w:r>
      <w:r>
        <w:t> — </w:t>
      </w:r>
      <w:r>
        <w:rPr>
          <w:rStyle w:val="CharDivText"/>
        </w:rPr>
        <w:t>Keeping the Register</w:t>
      </w:r>
      <w:bookmarkEnd w:id="383"/>
      <w:bookmarkEnd w:id="384"/>
      <w:bookmarkEnd w:id="385"/>
      <w:bookmarkEnd w:id="386"/>
      <w:bookmarkEnd w:id="387"/>
      <w:bookmarkEnd w:id="388"/>
      <w:bookmarkEnd w:id="389"/>
      <w:bookmarkEnd w:id="390"/>
      <w:bookmarkEnd w:id="391"/>
    </w:p>
    <w:p>
      <w:pPr>
        <w:pStyle w:val="Heading5"/>
      </w:pPr>
      <w:bookmarkStart w:id="392" w:name="_Toc216954972"/>
      <w:r>
        <w:rPr>
          <w:rStyle w:val="CharSectno"/>
        </w:rPr>
        <w:t>49</w:t>
      </w:r>
      <w:r>
        <w:t>.</w:t>
      </w:r>
      <w:r>
        <w:tab/>
        <w:t>The Register</w:t>
      </w:r>
      <w:bookmarkEnd w:id="392"/>
    </w:p>
    <w:p>
      <w:pPr>
        <w:pStyle w:val="Subsection"/>
      </w:pPr>
      <w:r>
        <w:tab/>
        <w:t>(1)</w:t>
      </w:r>
      <w:r>
        <w:tab/>
        <w:t xml:space="preserve">The Registrar must maintain a register or registers of registrable events (the </w:t>
      </w:r>
      <w:r>
        <w:rPr>
          <w:b/>
          <w:i/>
          <w:iCs/>
        </w:rPr>
        <w:t>Register</w:t>
      </w:r>
      <w:r>
        <w:t>).</w:t>
      </w:r>
    </w:p>
    <w:p>
      <w:pPr>
        <w:pStyle w:val="Subsection"/>
      </w:pPr>
      <w:r>
        <w:tab/>
        <w:t>(2)</w:t>
      </w:r>
      <w:r>
        <w:tab/>
        <w:t xml:space="preserve">The Register — </w:t>
      </w:r>
    </w:p>
    <w:p>
      <w:pPr>
        <w:pStyle w:val="Indenta"/>
      </w:pPr>
      <w:r>
        <w:tab/>
        <w:t>(a)</w:t>
      </w:r>
      <w:r>
        <w:tab/>
        <w:t>must contain the particulars of each registrable event required under this Act, or any other written law, to be included in the Register; and</w:t>
      </w:r>
    </w:p>
    <w:p>
      <w:pPr>
        <w:pStyle w:val="Indenta"/>
      </w:pPr>
      <w:r>
        <w:tab/>
        <w:t>(b)</w:t>
      </w:r>
      <w:r>
        <w:tab/>
        <w:t>may contain further information if its inclusion is considered appropriate by the Registrar.</w:t>
      </w:r>
    </w:p>
    <w:p>
      <w:pPr>
        <w:pStyle w:val="Subsection"/>
      </w:pPr>
      <w:r>
        <w:tab/>
        <w:t>(2A)</w:t>
      </w:r>
      <w:r>
        <w:tab/>
        <w:t>The Registrar may maintain on the Register records of information, in addition to registrable information relating to registrable events, if the inclusion is considered appropriate by the Registrar.</w:t>
      </w:r>
    </w:p>
    <w:p>
      <w:pPr>
        <w:pStyle w:val="Subsection"/>
      </w:pPr>
      <w:r>
        <w:tab/>
        <w:t>(3)</w:t>
      </w:r>
      <w:r>
        <w:tab/>
        <w:t>The Register may be wholly or partly in the form of a computer database, in documentary form, or in another form the Registrar considers appropriate.</w:t>
      </w:r>
    </w:p>
    <w:p>
      <w:pPr>
        <w:pStyle w:val="Subsection"/>
      </w:pPr>
      <w:r>
        <w:tab/>
        <w:t>(4)</w:t>
      </w:r>
      <w:r>
        <w:tab/>
        <w:t>The Registrar must maintain the indexes to the Register that are necessary to make the information contained in the Register reasonably accessible.</w:t>
      </w:r>
    </w:p>
    <w:p>
      <w:pPr>
        <w:pStyle w:val="Footnotesection"/>
      </w:pPr>
      <w:bookmarkStart w:id="393" w:name="_Toc198827705"/>
      <w:r>
        <w:tab/>
        <w:t>[Section 49 amended: No. 31 of 2024 s. 13.]</w:t>
      </w:r>
    </w:p>
    <w:p>
      <w:pPr>
        <w:pStyle w:val="Heading3"/>
      </w:pPr>
      <w:bookmarkStart w:id="394" w:name="_Toc198908986"/>
      <w:bookmarkStart w:id="395" w:name="_Toc199153821"/>
      <w:bookmarkStart w:id="396" w:name="_Toc216795190"/>
      <w:bookmarkStart w:id="397" w:name="_Toc216795573"/>
      <w:bookmarkStart w:id="398" w:name="_Toc216795728"/>
      <w:bookmarkStart w:id="399" w:name="_Toc216942289"/>
      <w:bookmarkStart w:id="400" w:name="_Toc216942444"/>
      <w:bookmarkStart w:id="401" w:name="_Toc216954973"/>
      <w:r>
        <w:rPr>
          <w:rStyle w:val="CharDivNo"/>
        </w:rPr>
        <w:t>Division 2</w:t>
      </w:r>
      <w:r>
        <w:t> — </w:t>
      </w:r>
      <w:r>
        <w:rPr>
          <w:rStyle w:val="CharDivText"/>
        </w:rPr>
        <w:t>Registrar’s powers of inquiry</w:t>
      </w:r>
      <w:bookmarkEnd w:id="393"/>
      <w:bookmarkEnd w:id="394"/>
      <w:bookmarkEnd w:id="395"/>
      <w:bookmarkEnd w:id="396"/>
      <w:bookmarkEnd w:id="397"/>
      <w:bookmarkEnd w:id="398"/>
      <w:bookmarkEnd w:id="399"/>
      <w:bookmarkEnd w:id="400"/>
      <w:bookmarkEnd w:id="401"/>
    </w:p>
    <w:p>
      <w:pPr>
        <w:pStyle w:val="Heading5"/>
      </w:pPr>
      <w:bookmarkStart w:id="402" w:name="_Toc216954974"/>
      <w:r>
        <w:rPr>
          <w:rStyle w:val="CharSectno"/>
        </w:rPr>
        <w:t>50</w:t>
      </w:r>
      <w:r>
        <w:t>.</w:t>
      </w:r>
      <w:r>
        <w:tab/>
        <w:t>Registrar’s powers of inquiry</w:t>
      </w:r>
      <w:bookmarkEnd w:id="402"/>
    </w:p>
    <w:p>
      <w:pPr>
        <w:pStyle w:val="Subsection"/>
      </w:pPr>
      <w:r>
        <w:tab/>
        <w:t>(1)</w:t>
      </w:r>
      <w:r>
        <w:tab/>
        <w:t xml:space="preserve">The Registrar may conduct an inquiry to find out — </w:t>
      </w:r>
    </w:p>
    <w:p>
      <w:pPr>
        <w:pStyle w:val="Indenta"/>
      </w:pPr>
      <w:r>
        <w:tab/>
        <w:t>(a)</w:t>
      </w:r>
      <w:r>
        <w:tab/>
        <w:t xml:space="preserve">whether a registrable event has happened; </w:t>
      </w:r>
    </w:p>
    <w:p>
      <w:pPr>
        <w:pStyle w:val="Indenta"/>
      </w:pPr>
      <w:r>
        <w:tab/>
        <w:t>(b)</w:t>
      </w:r>
      <w:r>
        <w:tab/>
        <w:t xml:space="preserve">particulars of a registrable event; </w:t>
      </w:r>
    </w:p>
    <w:p>
      <w:pPr>
        <w:pStyle w:val="Indenta"/>
      </w:pPr>
      <w:r>
        <w:lastRenderedPageBreak/>
        <w:tab/>
        <w:t>(c)</w:t>
      </w:r>
      <w:r>
        <w:tab/>
        <w:t>whether particulars of a particular registrable event have been recorded, or correctly recorded, in the Register; or</w:t>
      </w:r>
    </w:p>
    <w:p>
      <w:pPr>
        <w:pStyle w:val="Indenta"/>
      </w:pPr>
      <w:r>
        <w:tab/>
        <w:t>(d)</w:t>
      </w:r>
      <w:r>
        <w:tab/>
        <w:t>details of any other registrable information.</w:t>
      </w:r>
    </w:p>
    <w:p>
      <w:pPr>
        <w:pStyle w:val="Subsection"/>
      </w:pPr>
      <w:r>
        <w:tab/>
        <w:t>(2)</w:t>
      </w:r>
      <w:r>
        <w:tab/>
        <w:t>The Registrar may, by notice given to a person who may be able to provide information relevant to an inquiry under this section, require the person to answer specified questions or to provide other information within a time and in a way specified in the notice.</w:t>
      </w:r>
    </w:p>
    <w:p>
      <w:pPr>
        <w:pStyle w:val="Subsection"/>
      </w:pPr>
      <w:r>
        <w:tab/>
        <w:t>(3)</w:t>
      </w:r>
      <w:r>
        <w:tab/>
        <w:t>A person must comply with a notice under subsection (2) unless the person has a reasonable excuse to not so comply.</w:t>
      </w:r>
    </w:p>
    <w:p>
      <w:pPr>
        <w:pStyle w:val="Penstart"/>
      </w:pPr>
      <w:r>
        <w:tab/>
        <w:t>Penalty: $1 000.</w:t>
      </w:r>
    </w:p>
    <w:p>
      <w:pPr>
        <w:pStyle w:val="Heading3"/>
      </w:pPr>
      <w:bookmarkStart w:id="403" w:name="_Toc198827707"/>
      <w:bookmarkStart w:id="404" w:name="_Toc198908988"/>
      <w:bookmarkStart w:id="405" w:name="_Toc199153823"/>
      <w:bookmarkStart w:id="406" w:name="_Toc216795192"/>
      <w:bookmarkStart w:id="407" w:name="_Toc216795575"/>
      <w:bookmarkStart w:id="408" w:name="_Toc216795730"/>
      <w:bookmarkStart w:id="409" w:name="_Toc216942291"/>
      <w:bookmarkStart w:id="410" w:name="_Toc216942446"/>
      <w:bookmarkStart w:id="411" w:name="_Toc216954975"/>
      <w:r>
        <w:rPr>
          <w:rStyle w:val="CharDivNo"/>
        </w:rPr>
        <w:t>Division 3</w:t>
      </w:r>
      <w:r>
        <w:t> — </w:t>
      </w:r>
      <w:r>
        <w:rPr>
          <w:rStyle w:val="CharDivText"/>
        </w:rPr>
        <w:t>Correction and amendment of Register</w:t>
      </w:r>
      <w:bookmarkEnd w:id="403"/>
      <w:bookmarkEnd w:id="404"/>
      <w:bookmarkEnd w:id="405"/>
      <w:bookmarkEnd w:id="406"/>
      <w:bookmarkEnd w:id="407"/>
      <w:bookmarkEnd w:id="408"/>
      <w:bookmarkEnd w:id="409"/>
      <w:bookmarkEnd w:id="410"/>
      <w:bookmarkEnd w:id="411"/>
    </w:p>
    <w:p>
      <w:pPr>
        <w:pStyle w:val="Heading5"/>
      </w:pPr>
      <w:bookmarkStart w:id="412" w:name="_Toc216954976"/>
      <w:r>
        <w:rPr>
          <w:rStyle w:val="CharSectno"/>
        </w:rPr>
        <w:t>51</w:t>
      </w:r>
      <w:r>
        <w:t>.</w:t>
      </w:r>
      <w:r>
        <w:tab/>
        <w:t>Correction of Register</w:t>
      </w:r>
      <w:bookmarkEnd w:id="412"/>
    </w:p>
    <w:p>
      <w:pPr>
        <w:pStyle w:val="Subsection"/>
      </w:pPr>
      <w:r>
        <w:tab/>
        <w:t>(1)</w:t>
      </w:r>
      <w:r>
        <w:tab/>
        <w:t xml:space="preserve">The Registrar may correct the Register — </w:t>
      </w:r>
    </w:p>
    <w:p>
      <w:pPr>
        <w:pStyle w:val="Indenta"/>
      </w:pPr>
      <w:r>
        <w:tab/>
        <w:t>(a)</w:t>
      </w:r>
      <w:r>
        <w:tab/>
        <w:t>to reflect a finding made on inquiry under Division 2; or</w:t>
      </w:r>
    </w:p>
    <w:p>
      <w:pPr>
        <w:pStyle w:val="Indenta"/>
      </w:pPr>
      <w:r>
        <w:tab/>
        <w:t>(b)</w:t>
      </w:r>
      <w:r>
        <w:tab/>
        <w:t>to bring the particulars contained in an entry about a registrable event into conformity with the most reliable information available to the Registrar of the registrable event.</w:t>
      </w:r>
    </w:p>
    <w:p>
      <w:pPr>
        <w:pStyle w:val="Subsection"/>
      </w:pPr>
      <w:r>
        <w:tab/>
        <w:t>(2)</w:t>
      </w:r>
      <w:r>
        <w:tab/>
        <w:t>The Registrar must correct the Register if ordered by a State court to do so.</w:t>
      </w:r>
    </w:p>
    <w:p>
      <w:pPr>
        <w:pStyle w:val="Subsection"/>
      </w:pPr>
      <w:r>
        <w:tab/>
        <w:t>(3)</w:t>
      </w:r>
      <w:r>
        <w:tab/>
        <w:t>The Registrar may correct the Register in accordance with a determination made by a court of another State or of the Commonwealth if the Registrar considers that it is appropriate to do so.</w:t>
      </w:r>
    </w:p>
    <w:p>
      <w:pPr>
        <w:pStyle w:val="Subsection"/>
      </w:pPr>
      <w:r>
        <w:tab/>
        <w:t>(4)</w:t>
      </w:r>
      <w:r>
        <w:tab/>
        <w:t>The Registrar is to correct the Register by adding or cancelling an entry in the Register or by adding, altering or deleting particulars contained in an entry.</w:t>
      </w:r>
    </w:p>
    <w:p>
      <w:pPr>
        <w:pStyle w:val="Heading5"/>
      </w:pPr>
      <w:bookmarkStart w:id="413" w:name="_Toc216954977"/>
      <w:r>
        <w:rPr>
          <w:rStyle w:val="CharSectno"/>
        </w:rPr>
        <w:lastRenderedPageBreak/>
        <w:t>52</w:t>
      </w:r>
      <w:r>
        <w:t>.</w:t>
      </w:r>
      <w:r>
        <w:tab/>
        <w:t>Amendment of Register</w:t>
      </w:r>
      <w:bookmarkEnd w:id="413"/>
    </w:p>
    <w:p>
      <w:pPr>
        <w:pStyle w:val="Subsection"/>
      </w:pPr>
      <w:r>
        <w:tab/>
      </w:r>
      <w:r>
        <w:tab/>
        <w:t>The Registrar, whether or not on the application of another person, may, subject to sections 18 and 19, add additional registrable information to an entry in the Register or add an entry in the Register if there is sufficient evidence of the matters to be recorded.</w:t>
      </w:r>
    </w:p>
    <w:p>
      <w:pPr>
        <w:pStyle w:val="Heading5"/>
      </w:pPr>
      <w:bookmarkStart w:id="414" w:name="_Toc216954978"/>
      <w:r>
        <w:rPr>
          <w:rStyle w:val="CharSectno"/>
        </w:rPr>
        <w:t>53</w:t>
      </w:r>
      <w:r>
        <w:t>.</w:t>
      </w:r>
      <w:r>
        <w:tab/>
        <w:t>Registrar’s functions under other Acts</w:t>
      </w:r>
      <w:bookmarkEnd w:id="414"/>
    </w:p>
    <w:p>
      <w:pPr>
        <w:pStyle w:val="Subsection"/>
      </w:pPr>
      <w:r>
        <w:tab/>
      </w:r>
      <w:r>
        <w:tab/>
        <w:t>Nothing in this Division affects a requirement in another written law for the Registrar to correct or amend the Register for the purposes of that law.</w:t>
      </w:r>
    </w:p>
    <w:p>
      <w:pPr>
        <w:pStyle w:val="Heading3"/>
      </w:pPr>
      <w:bookmarkStart w:id="415" w:name="_Toc198827711"/>
      <w:bookmarkStart w:id="416" w:name="_Toc198908992"/>
      <w:bookmarkStart w:id="417" w:name="_Toc199153827"/>
      <w:bookmarkStart w:id="418" w:name="_Toc216795196"/>
      <w:bookmarkStart w:id="419" w:name="_Toc216795579"/>
      <w:bookmarkStart w:id="420" w:name="_Toc216795734"/>
      <w:bookmarkStart w:id="421" w:name="_Toc216942295"/>
      <w:bookmarkStart w:id="422" w:name="_Toc216942450"/>
      <w:bookmarkStart w:id="423" w:name="_Toc216954979"/>
      <w:r>
        <w:rPr>
          <w:rStyle w:val="CharDivNo"/>
        </w:rPr>
        <w:t>Division 4</w:t>
      </w:r>
      <w:r>
        <w:t> — </w:t>
      </w:r>
      <w:r>
        <w:rPr>
          <w:rStyle w:val="CharDivText"/>
        </w:rPr>
        <w:t>Access to, and certification of, Register entries</w:t>
      </w:r>
      <w:bookmarkEnd w:id="415"/>
      <w:bookmarkEnd w:id="416"/>
      <w:bookmarkEnd w:id="417"/>
      <w:bookmarkEnd w:id="418"/>
      <w:bookmarkEnd w:id="419"/>
      <w:bookmarkEnd w:id="420"/>
      <w:bookmarkEnd w:id="421"/>
      <w:bookmarkEnd w:id="422"/>
      <w:bookmarkEnd w:id="423"/>
    </w:p>
    <w:p>
      <w:pPr>
        <w:pStyle w:val="Heading5"/>
      </w:pPr>
      <w:bookmarkStart w:id="424" w:name="_Toc216954980"/>
      <w:r>
        <w:rPr>
          <w:rStyle w:val="CharSectno"/>
        </w:rPr>
        <w:t>54</w:t>
      </w:r>
      <w:r>
        <w:t>.</w:t>
      </w:r>
      <w:r>
        <w:tab/>
        <w:t>Access to and verification of Register</w:t>
      </w:r>
      <w:bookmarkEnd w:id="424"/>
    </w:p>
    <w:p>
      <w:pPr>
        <w:pStyle w:val="Subsection"/>
      </w:pPr>
      <w:r>
        <w:tab/>
        <w:t>(1)</w:t>
      </w:r>
      <w:r>
        <w:tab/>
        <w:t xml:space="preserve">The Registrar may, on conditions the Registrar considers appropriate — </w:t>
      </w:r>
    </w:p>
    <w:p>
      <w:pPr>
        <w:pStyle w:val="Indenta"/>
      </w:pPr>
      <w:r>
        <w:tab/>
        <w:t>(a)</w:t>
      </w:r>
      <w:r>
        <w:tab/>
        <w:t>allow a person having an adequate reason for wanting access to the Register, access to the Register; or</w:t>
      </w:r>
    </w:p>
    <w:p>
      <w:pPr>
        <w:pStyle w:val="Indenta"/>
      </w:pPr>
      <w:r>
        <w:tab/>
        <w:t>(b)</w:t>
      </w:r>
      <w:r>
        <w:tab/>
        <w:t>provide a person having an adequate reason for wanting information from the Register, with information extracted from the Register; or</w:t>
      </w:r>
    </w:p>
    <w:p>
      <w:pPr>
        <w:pStyle w:val="Indenta"/>
      </w:pPr>
      <w:r>
        <w:tab/>
        <w:t>(c)</w:t>
      </w:r>
      <w:r>
        <w:tab/>
        <w:t>verify that information held by a person is the same as the information contained in the Register.</w:t>
      </w:r>
    </w:p>
    <w:p>
      <w:pPr>
        <w:pStyle w:val="Subsection"/>
      </w:pPr>
      <w:r>
        <w:tab/>
        <w:t>(2)</w:t>
      </w:r>
      <w:r>
        <w:tab/>
        <w:t xml:space="preserve">For the purposes of section 54(1)(a) or (b), in deciding whether an applicant has an adequate reason for wanting access to the Register, or information extracted from the Register, the Registrar must have regard to — </w:t>
      </w:r>
    </w:p>
    <w:p>
      <w:pPr>
        <w:pStyle w:val="Indenta"/>
      </w:pPr>
      <w:r>
        <w:tab/>
        <w:t>(a)</w:t>
      </w:r>
      <w:r>
        <w:tab/>
        <w:t xml:space="preserve">the nature of the applicant’s interest; </w:t>
      </w:r>
    </w:p>
    <w:p>
      <w:pPr>
        <w:pStyle w:val="Indenta"/>
      </w:pPr>
      <w:r>
        <w:tab/>
        <w:t>(b)</w:t>
      </w:r>
      <w:r>
        <w:tab/>
        <w:t xml:space="preserve">the sensitivity of the information; </w:t>
      </w:r>
    </w:p>
    <w:p>
      <w:pPr>
        <w:pStyle w:val="Indenta"/>
      </w:pPr>
      <w:r>
        <w:tab/>
        <w:t>(c)</w:t>
      </w:r>
      <w:r>
        <w:tab/>
        <w:t>the use to be made of the information; and</w:t>
      </w:r>
    </w:p>
    <w:p>
      <w:pPr>
        <w:pStyle w:val="Indenta"/>
      </w:pPr>
      <w:r>
        <w:tab/>
        <w:t>(d)</w:t>
      </w:r>
      <w:r>
        <w:tab/>
        <w:t>other relevant factors.</w:t>
      </w:r>
    </w:p>
    <w:p>
      <w:pPr>
        <w:pStyle w:val="Subsection"/>
      </w:pPr>
      <w:r>
        <w:lastRenderedPageBreak/>
        <w:tab/>
        <w:t>(3)</w:t>
      </w:r>
      <w:r>
        <w:tab/>
        <w:t>In deciding the conditions under subsection (1) the Registrar must, as far as practicable, protect the persons to whom the entries in the Register relate from unjustified intrusion on their privacy.</w:t>
      </w:r>
    </w:p>
    <w:p>
      <w:pPr>
        <w:pStyle w:val="Subsection"/>
      </w:pPr>
      <w:r>
        <w:tab/>
        <w:t>(4)</w:t>
      </w:r>
      <w:r>
        <w:tab/>
        <w:t>The operation of this section is affected by section 36Q(3)(b)(i).</w:t>
      </w:r>
    </w:p>
    <w:p>
      <w:pPr>
        <w:pStyle w:val="Footnotesection"/>
      </w:pPr>
      <w:r>
        <w:tab/>
        <w:t>[Section 54 amended: No. 46 of 2020 s. 14; No. 31 of 2024 s. 14.]</w:t>
      </w:r>
    </w:p>
    <w:p>
      <w:pPr>
        <w:pStyle w:val="Heading5"/>
      </w:pPr>
      <w:bookmarkStart w:id="425" w:name="_Toc216954981"/>
      <w:r>
        <w:rPr>
          <w:rStyle w:val="CharSectno"/>
        </w:rPr>
        <w:t>55</w:t>
      </w:r>
      <w:r>
        <w:t>.</w:t>
      </w:r>
      <w:r>
        <w:tab/>
        <w:t>Search of Register</w:t>
      </w:r>
      <w:bookmarkEnd w:id="425"/>
    </w:p>
    <w:p>
      <w:pPr>
        <w:pStyle w:val="Subsection"/>
      </w:pPr>
      <w:r>
        <w:tab/>
        <w:t>(1)</w:t>
      </w:r>
      <w:r>
        <w:tab/>
        <w:t>The Registrar may, on application, search the Register for an entry about a particular registrable event or other information contained in the Register.</w:t>
      </w:r>
    </w:p>
    <w:p>
      <w:pPr>
        <w:pStyle w:val="Subsection"/>
      </w:pPr>
      <w:r>
        <w:tab/>
        <w:t>(2)</w:t>
      </w:r>
      <w:r>
        <w:tab/>
        <w:t>The applicant must state the reason for the applicant’s interest in the subject matter of the search.</w:t>
      </w:r>
    </w:p>
    <w:p>
      <w:pPr>
        <w:pStyle w:val="Subsection"/>
      </w:pPr>
      <w:r>
        <w:tab/>
        <w:t>(3)</w:t>
      </w:r>
      <w:r>
        <w:tab/>
        <w:t>The Registrar may reject the application if the applicant does not show an adequate reason for wanting the information to which the application relates.</w:t>
      </w:r>
    </w:p>
    <w:p>
      <w:pPr>
        <w:pStyle w:val="Subsection"/>
      </w:pPr>
      <w:r>
        <w:tab/>
        <w:t>(4)</w:t>
      </w:r>
      <w:r>
        <w:tab/>
        <w:t xml:space="preserve">In deciding whether an applicant has an adequate reason for wanting information, the Registrar must have regard to — </w:t>
      </w:r>
    </w:p>
    <w:p>
      <w:pPr>
        <w:pStyle w:val="Indenta"/>
      </w:pPr>
      <w:r>
        <w:tab/>
        <w:t>(a)</w:t>
      </w:r>
      <w:r>
        <w:tab/>
        <w:t xml:space="preserve">the relationship (if any) between the applicant and the person to whom the information relates; </w:t>
      </w:r>
    </w:p>
    <w:p>
      <w:pPr>
        <w:pStyle w:val="Indenta"/>
      </w:pPr>
      <w:r>
        <w:tab/>
        <w:t>(b)</w:t>
      </w:r>
      <w:r>
        <w:tab/>
        <w:t xml:space="preserve">the age of the entry; </w:t>
      </w:r>
    </w:p>
    <w:p>
      <w:pPr>
        <w:pStyle w:val="Indenta"/>
      </w:pPr>
      <w:r>
        <w:tab/>
        <w:t>(c)</w:t>
      </w:r>
      <w:r>
        <w:tab/>
        <w:t>the contents of the entry; and</w:t>
      </w:r>
    </w:p>
    <w:p>
      <w:pPr>
        <w:pStyle w:val="Indenta"/>
      </w:pPr>
      <w:r>
        <w:tab/>
        <w:t>(d)</w:t>
      </w:r>
      <w:r>
        <w:tab/>
        <w:t>other relevant factors.</w:t>
      </w:r>
    </w:p>
    <w:p>
      <w:pPr>
        <w:pStyle w:val="Subsection"/>
      </w:pPr>
      <w:r>
        <w:tab/>
        <w:t>(5)</w:t>
      </w:r>
      <w:r>
        <w:tab/>
        <w:t xml:space="preserve">Nothing in this Act prevents the Registrar from providing a person, subject to such conditions as the Registrar thinks fit, with information contained in the Register for — </w:t>
      </w:r>
    </w:p>
    <w:p>
      <w:pPr>
        <w:pStyle w:val="Indenta"/>
      </w:pPr>
      <w:r>
        <w:tab/>
        <w:t>(a)</w:t>
      </w:r>
      <w:r>
        <w:tab/>
        <w:t>the keeping of statistics;</w:t>
      </w:r>
    </w:p>
    <w:p>
      <w:pPr>
        <w:pStyle w:val="Indenta"/>
      </w:pPr>
      <w:r>
        <w:tab/>
        <w:t>(b)</w:t>
      </w:r>
      <w:r>
        <w:tab/>
        <w:t>medical or epidemiological research;</w:t>
      </w:r>
    </w:p>
    <w:p>
      <w:pPr>
        <w:pStyle w:val="Indenta"/>
      </w:pPr>
      <w:r>
        <w:tab/>
        <w:t>(c)</w:t>
      </w:r>
      <w:r>
        <w:tab/>
        <w:t xml:space="preserve">the identification of persons; </w:t>
      </w:r>
    </w:p>
    <w:p>
      <w:pPr>
        <w:pStyle w:val="Indenta"/>
      </w:pPr>
      <w:r>
        <w:tab/>
        <w:t>(d)</w:t>
      </w:r>
      <w:r>
        <w:tab/>
        <w:t>the prevention of fraud; or</w:t>
      </w:r>
    </w:p>
    <w:p>
      <w:pPr>
        <w:pStyle w:val="Indenta"/>
      </w:pPr>
      <w:r>
        <w:lastRenderedPageBreak/>
        <w:tab/>
        <w:t>(e)</w:t>
      </w:r>
      <w:r>
        <w:tab/>
        <w:t>any other purpose.</w:t>
      </w:r>
    </w:p>
    <w:p>
      <w:pPr>
        <w:pStyle w:val="Heading5"/>
      </w:pPr>
      <w:bookmarkStart w:id="426" w:name="_Toc216954982"/>
      <w:r>
        <w:rPr>
          <w:rStyle w:val="CharSectno"/>
        </w:rPr>
        <w:t>56</w:t>
      </w:r>
      <w:r>
        <w:t>.</w:t>
      </w:r>
      <w:r>
        <w:tab/>
        <w:t>Protection of privacy</w:t>
      </w:r>
      <w:bookmarkEnd w:id="426"/>
    </w:p>
    <w:p>
      <w:pPr>
        <w:pStyle w:val="Subsection"/>
      </w:pPr>
      <w:r>
        <w:tab/>
      </w:r>
      <w:r>
        <w:tab/>
        <w:t>In providing information extracted from the Register, the Registrar must, as far as practicable, protect the persons to whom the entries in the Register relate from unjustified intrusion on their privacy.</w:t>
      </w:r>
    </w:p>
    <w:p>
      <w:pPr>
        <w:pStyle w:val="Heading5"/>
      </w:pPr>
      <w:bookmarkStart w:id="427" w:name="_Toc216954983"/>
      <w:r>
        <w:rPr>
          <w:rStyle w:val="CharSectno"/>
        </w:rPr>
        <w:t>57</w:t>
      </w:r>
      <w:r>
        <w:t>.</w:t>
      </w:r>
      <w:r>
        <w:tab/>
        <w:t>Issue of certificate</w:t>
      </w:r>
      <w:bookmarkEnd w:id="427"/>
    </w:p>
    <w:p>
      <w:pPr>
        <w:pStyle w:val="Subsection"/>
      </w:pPr>
      <w:r>
        <w:tab/>
        <w:t>(1)</w:t>
      </w:r>
      <w:r>
        <w:tab/>
        <w:t xml:space="preserve">On completing a search of the Register the Registrar may issue a certificate — </w:t>
      </w:r>
    </w:p>
    <w:p>
      <w:pPr>
        <w:pStyle w:val="Indenta"/>
      </w:pPr>
      <w:r>
        <w:tab/>
        <w:t>(a)</w:t>
      </w:r>
      <w:r>
        <w:tab/>
        <w:t>certifying particulars contained in an entry; or</w:t>
      </w:r>
    </w:p>
    <w:p>
      <w:pPr>
        <w:pStyle w:val="Indenta"/>
      </w:pPr>
      <w:r>
        <w:tab/>
        <w:t>(b)</w:t>
      </w:r>
      <w:r>
        <w:tab/>
        <w:t>certifying that no entry was located in the Register about the relevant registrable event.</w:t>
      </w:r>
    </w:p>
    <w:p>
      <w:pPr>
        <w:pStyle w:val="Subsection"/>
      </w:pPr>
      <w:r>
        <w:tab/>
        <w:t>(2)</w:t>
      </w:r>
      <w:r>
        <w:tab/>
        <w:t>If, in the Registrar’s opinion, a word or expression appearing on an entry in the Register is, or may be regarded as, offensive, the Registrar may issue a certificate under subsection (1)(a) without including the word or expression.</w:t>
      </w:r>
    </w:p>
    <w:p>
      <w:pPr>
        <w:pStyle w:val="Subsection"/>
      </w:pPr>
      <w:r>
        <w:tab/>
        <w:t>(3)</w:t>
      </w:r>
      <w:r>
        <w:tab/>
        <w:t xml:space="preserve">A certificate under subsection (1)(a) is admissible in legal proceedings as evidence of — </w:t>
      </w:r>
    </w:p>
    <w:p>
      <w:pPr>
        <w:pStyle w:val="Indenta"/>
      </w:pPr>
      <w:r>
        <w:tab/>
        <w:t>(a)</w:t>
      </w:r>
      <w:r>
        <w:tab/>
        <w:t>the entry to which the certificate relates; and</w:t>
      </w:r>
    </w:p>
    <w:p>
      <w:pPr>
        <w:pStyle w:val="Indenta"/>
      </w:pPr>
      <w:r>
        <w:tab/>
        <w:t>(b)</w:t>
      </w:r>
      <w:r>
        <w:tab/>
        <w:t>the facts recorded in the entry.</w:t>
      </w:r>
    </w:p>
    <w:p>
      <w:pPr>
        <w:pStyle w:val="Heading5"/>
      </w:pPr>
      <w:bookmarkStart w:id="428" w:name="_Toc216954984"/>
      <w:r>
        <w:rPr>
          <w:rStyle w:val="CharSectno"/>
        </w:rPr>
        <w:t>58</w:t>
      </w:r>
      <w:r>
        <w:t>.</w:t>
      </w:r>
      <w:r>
        <w:tab/>
        <w:t>Access policies</w:t>
      </w:r>
      <w:bookmarkEnd w:id="428"/>
    </w:p>
    <w:p>
      <w:pPr>
        <w:pStyle w:val="Subsection"/>
      </w:pPr>
      <w:r>
        <w:tab/>
        <w:t>(1)</w:t>
      </w:r>
      <w:r>
        <w:tab/>
        <w:t>The Registrar must maintain a written statement of the policies on which access to information contained in the Register is to be given or denied under this Division.</w:t>
      </w:r>
    </w:p>
    <w:p>
      <w:pPr>
        <w:pStyle w:val="Subsection"/>
      </w:pPr>
      <w:r>
        <w:tab/>
        <w:t>(2)</w:t>
      </w:r>
      <w:r>
        <w:tab/>
        <w:t>The Registrar must give a copy of the statement, on request, to any person.</w:t>
      </w:r>
    </w:p>
    <w:p>
      <w:pPr>
        <w:pStyle w:val="Heading2"/>
      </w:pPr>
      <w:bookmarkStart w:id="429" w:name="_Toc198827717"/>
      <w:bookmarkStart w:id="430" w:name="_Toc198908998"/>
      <w:bookmarkStart w:id="431" w:name="_Toc199153833"/>
      <w:bookmarkStart w:id="432" w:name="_Toc216795202"/>
      <w:bookmarkStart w:id="433" w:name="_Toc216795585"/>
      <w:bookmarkStart w:id="434" w:name="_Toc216795740"/>
      <w:bookmarkStart w:id="435" w:name="_Toc216942301"/>
      <w:bookmarkStart w:id="436" w:name="_Toc216942456"/>
      <w:bookmarkStart w:id="437" w:name="_Toc216954985"/>
      <w:r>
        <w:rPr>
          <w:rStyle w:val="CharPartNo"/>
        </w:rPr>
        <w:lastRenderedPageBreak/>
        <w:t>Part 9</w:t>
      </w:r>
      <w:r>
        <w:rPr>
          <w:rStyle w:val="CharDivNo"/>
        </w:rPr>
        <w:t> </w:t>
      </w:r>
      <w:r>
        <w:t>—</w:t>
      </w:r>
      <w:r>
        <w:rPr>
          <w:rStyle w:val="CharDivText"/>
        </w:rPr>
        <w:t> </w:t>
      </w:r>
      <w:r>
        <w:rPr>
          <w:rStyle w:val="CharPartText"/>
        </w:rPr>
        <w:t>Miscellaneous</w:t>
      </w:r>
      <w:bookmarkEnd w:id="429"/>
      <w:bookmarkEnd w:id="430"/>
      <w:bookmarkEnd w:id="431"/>
      <w:bookmarkEnd w:id="432"/>
      <w:bookmarkEnd w:id="433"/>
      <w:bookmarkEnd w:id="434"/>
      <w:bookmarkEnd w:id="435"/>
      <w:bookmarkEnd w:id="436"/>
      <w:bookmarkEnd w:id="437"/>
    </w:p>
    <w:p>
      <w:pPr>
        <w:pStyle w:val="Heading5"/>
      </w:pPr>
      <w:bookmarkStart w:id="438" w:name="_Toc216954986"/>
      <w:r>
        <w:rPr>
          <w:rStyle w:val="CharSectno"/>
        </w:rPr>
        <w:t>59</w:t>
      </w:r>
      <w:r>
        <w:t>.</w:t>
      </w:r>
      <w:r>
        <w:tab/>
        <w:t>False representation</w:t>
      </w:r>
      <w:bookmarkEnd w:id="438"/>
    </w:p>
    <w:p>
      <w:pPr>
        <w:pStyle w:val="Subsection"/>
      </w:pPr>
      <w:r>
        <w:tab/>
      </w:r>
      <w:r>
        <w:tab/>
        <w:t>A person must not make a false or misleading representation in an application or document under this Act, knowing it to be false or misleading.</w:t>
      </w:r>
    </w:p>
    <w:p>
      <w:pPr>
        <w:pStyle w:val="Penstart"/>
      </w:pPr>
      <w:r>
        <w:tab/>
        <w:t>Penalty: $10 000.</w:t>
      </w:r>
    </w:p>
    <w:p>
      <w:pPr>
        <w:pStyle w:val="Heading5"/>
      </w:pPr>
      <w:bookmarkStart w:id="439" w:name="_Toc216954987"/>
      <w:r>
        <w:rPr>
          <w:rStyle w:val="CharSectno"/>
        </w:rPr>
        <w:t>60</w:t>
      </w:r>
      <w:r>
        <w:t>.</w:t>
      </w:r>
      <w:r>
        <w:tab/>
        <w:t>Unauthorised access to or interference with Register</w:t>
      </w:r>
      <w:bookmarkEnd w:id="439"/>
    </w:p>
    <w:p>
      <w:pPr>
        <w:pStyle w:val="Subsection"/>
      </w:pPr>
      <w:r>
        <w:tab/>
      </w:r>
      <w:r>
        <w:tab/>
        <w:t xml:space="preserve">A person must not, without the authority of the Registrar or other lawful authority — </w:t>
      </w:r>
    </w:p>
    <w:p>
      <w:pPr>
        <w:pStyle w:val="Indenta"/>
      </w:pPr>
      <w:r>
        <w:tab/>
        <w:t>(a)</w:t>
      </w:r>
      <w:r>
        <w:tab/>
        <w:t xml:space="preserve">obtain access to the Register or information contained in the Register; </w:t>
      </w:r>
    </w:p>
    <w:p>
      <w:pPr>
        <w:pStyle w:val="Indenta"/>
      </w:pPr>
      <w:r>
        <w:tab/>
        <w:t>(b)</w:t>
      </w:r>
      <w:r>
        <w:tab/>
        <w:t>make, alter or delete an entry in the Register; or</w:t>
      </w:r>
    </w:p>
    <w:p>
      <w:pPr>
        <w:pStyle w:val="Indenta"/>
      </w:pPr>
      <w:r>
        <w:tab/>
        <w:t>(c)</w:t>
      </w:r>
      <w:r>
        <w:tab/>
        <w:t>interfere with the Register in any other way.</w:t>
      </w:r>
    </w:p>
    <w:p>
      <w:pPr>
        <w:pStyle w:val="Penstart"/>
      </w:pPr>
      <w:r>
        <w:tab/>
        <w:t>Penalty: $10 000 or imprisonment for 2 years.</w:t>
      </w:r>
    </w:p>
    <w:p>
      <w:pPr>
        <w:pStyle w:val="Heading5"/>
      </w:pPr>
      <w:bookmarkStart w:id="440" w:name="_Toc216954988"/>
      <w:r>
        <w:rPr>
          <w:rStyle w:val="CharSectno"/>
        </w:rPr>
        <w:t>61</w:t>
      </w:r>
      <w:r>
        <w:t>.</w:t>
      </w:r>
      <w:r>
        <w:tab/>
        <w:t>Falsification of certificate etc.</w:t>
      </w:r>
      <w:bookmarkEnd w:id="440"/>
    </w:p>
    <w:p>
      <w:pPr>
        <w:pStyle w:val="Subsection"/>
      </w:pPr>
      <w:r>
        <w:tab/>
        <w:t>(1)</w:t>
      </w:r>
      <w:r>
        <w:tab/>
        <w:t>A person must not forge the Registrar’s signature or seal.</w:t>
      </w:r>
    </w:p>
    <w:p>
      <w:pPr>
        <w:pStyle w:val="Penstart"/>
      </w:pPr>
      <w:r>
        <w:tab/>
        <w:t>Penalty: $10 000 or imprisonment for 2 years.</w:t>
      </w:r>
    </w:p>
    <w:p>
      <w:pPr>
        <w:pStyle w:val="Subsection"/>
      </w:pPr>
      <w:r>
        <w:tab/>
        <w:t>(2)</w:t>
      </w:r>
      <w:r>
        <w:tab/>
        <w:t>A person must not forge or falsify a certificate or other document under this Act.</w:t>
      </w:r>
    </w:p>
    <w:p>
      <w:pPr>
        <w:pStyle w:val="Penstart"/>
      </w:pPr>
      <w:r>
        <w:tab/>
        <w:t>Penalty: $10 000 or imprisonment for 2 years.</w:t>
      </w:r>
    </w:p>
    <w:p>
      <w:pPr>
        <w:pStyle w:val="Subsection"/>
      </w:pPr>
      <w:r>
        <w:tab/>
        <w:t>(3)</w:t>
      </w:r>
      <w:r>
        <w:tab/>
        <w:t xml:space="preserve">The Registrar may impound or require the return of — </w:t>
      </w:r>
    </w:p>
    <w:p>
      <w:pPr>
        <w:pStyle w:val="Indenta"/>
      </w:pPr>
      <w:r>
        <w:tab/>
        <w:t>(a)</w:t>
      </w:r>
      <w:r>
        <w:tab/>
        <w:t xml:space="preserve">a document which the Registrar has reason to believe bears a forged impression of the Registrar’s signature or seal; </w:t>
      </w:r>
    </w:p>
    <w:p>
      <w:pPr>
        <w:pStyle w:val="Indenta"/>
      </w:pPr>
      <w:r>
        <w:tab/>
        <w:t>(b)</w:t>
      </w:r>
      <w:r>
        <w:tab/>
        <w:t xml:space="preserve">a certificate or other document purporting to be a certificate or other document under this Act which the Registrar has reason to believe has been forged or falsified; </w:t>
      </w:r>
    </w:p>
    <w:p>
      <w:pPr>
        <w:pStyle w:val="Indenta"/>
      </w:pPr>
      <w:r>
        <w:lastRenderedPageBreak/>
        <w:tab/>
        <w:t>(c)</w:t>
      </w:r>
      <w:r>
        <w:tab/>
        <w:t>a certificate under this Act about a registrable event if the entry in the Register about the event, or other registrable information, has been cancelled or corrected since the issue of the certificate; or</w:t>
      </w:r>
    </w:p>
    <w:p>
      <w:pPr>
        <w:pStyle w:val="Indenta"/>
      </w:pPr>
      <w:r>
        <w:tab/>
        <w:t>(d)</w:t>
      </w:r>
      <w:r>
        <w:tab/>
        <w:t>a certificate or document issued by the Registrar in error or as a result of fraud.</w:t>
      </w:r>
    </w:p>
    <w:p>
      <w:pPr>
        <w:pStyle w:val="Subsection"/>
      </w:pPr>
      <w:r>
        <w:tab/>
        <w:t>(4)</w:t>
      </w:r>
      <w:r>
        <w:tab/>
        <w:t>A person must comply with a requirement under subsection (3) to return a document or certificate unless the person has a reasonable excuse to not so comply.</w:t>
      </w:r>
    </w:p>
    <w:p>
      <w:pPr>
        <w:pStyle w:val="Penstart"/>
      </w:pPr>
      <w:r>
        <w:tab/>
        <w:t>Penalty: $1 000.</w:t>
      </w:r>
    </w:p>
    <w:p>
      <w:pPr>
        <w:pStyle w:val="Footnotesection"/>
      </w:pPr>
      <w:r>
        <w:tab/>
        <w:t>[Section 61 amended: No. 31 of 2024 s. 15.]</w:t>
      </w:r>
    </w:p>
    <w:p>
      <w:pPr>
        <w:pStyle w:val="Heading5"/>
      </w:pPr>
      <w:bookmarkStart w:id="441" w:name="_Toc216954989"/>
      <w:r>
        <w:rPr>
          <w:rStyle w:val="CharSectno"/>
        </w:rPr>
        <w:t>62</w:t>
      </w:r>
      <w:r>
        <w:t>.</w:t>
      </w:r>
      <w:r>
        <w:tab/>
        <w:t>Revocation of registration or Part 5A change obtained by fraud</w:t>
      </w:r>
      <w:bookmarkEnd w:id="441"/>
    </w:p>
    <w:p>
      <w:pPr>
        <w:pStyle w:val="Subsection"/>
      </w:pPr>
      <w:r>
        <w:tab/>
        <w:t>(1)</w:t>
      </w:r>
      <w:r>
        <w:tab/>
        <w:t>The Registrar may revoke the registration of a registrable event if it appears that the registration was obtained by fraud or other improper means.</w:t>
      </w:r>
    </w:p>
    <w:p>
      <w:pPr>
        <w:pStyle w:val="Subsection"/>
      </w:pPr>
      <w:r>
        <w:tab/>
        <w:t>(1A)</w:t>
      </w:r>
      <w:r>
        <w:tab/>
        <w:t>The Registrar may revoke a change made under Part 5A to a birth registration if it appears that the change was obtained by fraud or other improper means.</w:t>
      </w:r>
    </w:p>
    <w:p>
      <w:pPr>
        <w:pStyle w:val="Subsection"/>
      </w:pPr>
      <w:r>
        <w:tab/>
        <w:t>(2)</w:t>
      </w:r>
      <w:r>
        <w:tab/>
        <w:t>If the Registrar revokes a registration of a registrable event, or revokes a change made under Part 5A to a birth registration, the Supreme Court may make orders consequential to the revocation that are necessary or desirable in the circumstances of the case.</w:t>
      </w:r>
    </w:p>
    <w:p>
      <w:pPr>
        <w:pStyle w:val="Footnotesection"/>
      </w:pPr>
      <w:r>
        <w:tab/>
        <w:t>[Section 62 amended: No. 31 of 2024 s. 16.]</w:t>
      </w:r>
    </w:p>
    <w:p>
      <w:pPr>
        <w:pStyle w:val="Heading5"/>
      </w:pPr>
      <w:bookmarkStart w:id="442" w:name="_Toc216954990"/>
      <w:r>
        <w:rPr>
          <w:rStyle w:val="CharSectno"/>
        </w:rPr>
        <w:t>63</w:t>
      </w:r>
      <w:r>
        <w:t>.</w:t>
      </w:r>
      <w:r>
        <w:tab/>
        <w:t>Unauthorised disclosure of information</w:t>
      </w:r>
      <w:bookmarkEnd w:id="442"/>
    </w:p>
    <w:p>
      <w:pPr>
        <w:pStyle w:val="Subsection"/>
      </w:pPr>
      <w:r>
        <w:tab/>
      </w:r>
      <w:r>
        <w:tab/>
        <w:t xml:space="preserve">A person who has access to the Register — </w:t>
      </w:r>
    </w:p>
    <w:p>
      <w:pPr>
        <w:pStyle w:val="Indenta"/>
      </w:pPr>
      <w:r>
        <w:tab/>
        <w:t>(a)</w:t>
      </w:r>
      <w:r>
        <w:tab/>
        <w:t>in the course of their employment; or</w:t>
      </w:r>
    </w:p>
    <w:p>
      <w:pPr>
        <w:pStyle w:val="Indenta"/>
      </w:pPr>
      <w:r>
        <w:tab/>
        <w:t>(b)</w:t>
      </w:r>
      <w:r>
        <w:tab/>
        <w:t>because the Registrar has allowed the person access to the Register under section 54,</w:t>
      </w:r>
    </w:p>
    <w:p>
      <w:pPr>
        <w:pStyle w:val="Subsection"/>
      </w:pPr>
      <w:r>
        <w:lastRenderedPageBreak/>
        <w:tab/>
      </w:r>
      <w:r>
        <w:tab/>
        <w:t xml:space="preserve">must not disclose any information in the Register unless the disclosure is — </w:t>
      </w:r>
    </w:p>
    <w:p>
      <w:pPr>
        <w:pStyle w:val="Indenta"/>
      </w:pPr>
      <w:r>
        <w:tab/>
        <w:t>(c)</w:t>
      </w:r>
      <w:r>
        <w:tab/>
        <w:t>in connection with the administration or execution of this Act;</w:t>
      </w:r>
    </w:p>
    <w:p>
      <w:pPr>
        <w:pStyle w:val="Indenta"/>
      </w:pPr>
      <w:r>
        <w:tab/>
        <w:t>(d)</w:t>
      </w:r>
      <w:r>
        <w:tab/>
        <w:t>authorised or required by law; or</w:t>
      </w:r>
    </w:p>
    <w:p>
      <w:pPr>
        <w:pStyle w:val="Indenta"/>
        <w:keepNext/>
        <w:keepLines/>
      </w:pPr>
      <w:r>
        <w:tab/>
        <w:t>(e)</w:t>
      </w:r>
      <w:r>
        <w:tab/>
        <w:t>authorised by the Registrar.</w:t>
      </w:r>
    </w:p>
    <w:p>
      <w:pPr>
        <w:pStyle w:val="Penstart"/>
      </w:pPr>
      <w:r>
        <w:tab/>
        <w:t>Penalty: $5 000 or imprisonment for one year.</w:t>
      </w:r>
    </w:p>
    <w:p>
      <w:pPr>
        <w:pStyle w:val="Footnotesection"/>
      </w:pPr>
      <w:r>
        <w:tab/>
        <w:t>[Section 63 amended: No. 31 of 2024 s. 17.]</w:t>
      </w:r>
    </w:p>
    <w:p>
      <w:pPr>
        <w:pStyle w:val="Heading5"/>
      </w:pPr>
      <w:bookmarkStart w:id="443" w:name="_Toc216954991"/>
      <w:r>
        <w:rPr>
          <w:rStyle w:val="CharSectno"/>
        </w:rPr>
        <w:t>64</w:t>
      </w:r>
      <w:r>
        <w:t>.</w:t>
      </w:r>
      <w:r>
        <w:tab/>
        <w:t>Power to require and take statutory declarations</w:t>
      </w:r>
      <w:bookmarkEnd w:id="443"/>
    </w:p>
    <w:p>
      <w:pPr>
        <w:pStyle w:val="Subsection"/>
      </w:pPr>
      <w:r>
        <w:tab/>
      </w:r>
      <w:r>
        <w:tab/>
        <w:t xml:space="preserve">The Registrar — </w:t>
      </w:r>
    </w:p>
    <w:p>
      <w:pPr>
        <w:pStyle w:val="Indenta"/>
      </w:pPr>
      <w:r>
        <w:tab/>
        <w:t>(a)</w:t>
      </w:r>
      <w:r>
        <w:tab/>
        <w:t>may require that information be given by statutory declaration; and</w:t>
      </w:r>
    </w:p>
    <w:p>
      <w:pPr>
        <w:pStyle w:val="Indenta"/>
      </w:pPr>
      <w:r>
        <w:tab/>
        <w:t>(b)</w:t>
      </w:r>
      <w:r>
        <w:tab/>
        <w:t>is authorised to take any statutory declarations required for the purposes of this Act.</w:t>
      </w:r>
    </w:p>
    <w:p>
      <w:pPr>
        <w:pStyle w:val="Heading5"/>
      </w:pPr>
      <w:bookmarkStart w:id="444" w:name="_Toc216954992"/>
      <w:r>
        <w:rPr>
          <w:rStyle w:val="CharSectno"/>
        </w:rPr>
        <w:t>65</w:t>
      </w:r>
      <w:r>
        <w:t>.</w:t>
      </w:r>
      <w:r>
        <w:tab/>
        <w:t>Evidentiary</w:t>
      </w:r>
      <w:bookmarkEnd w:id="444"/>
    </w:p>
    <w:p>
      <w:pPr>
        <w:pStyle w:val="Subsection"/>
      </w:pPr>
      <w:r>
        <w:tab/>
      </w:r>
      <w:r>
        <w:tab/>
        <w:t>In a proceeding in which it is necessary or expedient to prove the approved form or manner in which notice or a certificate was to be given or lodged under this Act at a particular time, the approved form or manner in which the notice or certificate was to be given or lodged at that time may be sufficiently proved by the production of a certificate of the Registrar setting out the approved form or manner.</w:t>
      </w:r>
    </w:p>
    <w:p>
      <w:pPr>
        <w:pStyle w:val="Heading5"/>
      </w:pPr>
      <w:bookmarkStart w:id="445" w:name="_Toc216954993"/>
      <w:r>
        <w:rPr>
          <w:rStyle w:val="CharSectno"/>
        </w:rPr>
        <w:t>66</w:t>
      </w:r>
      <w:r>
        <w:t>.</w:t>
      </w:r>
      <w:r>
        <w:tab/>
        <w:t>Protection from liability</w:t>
      </w:r>
      <w:bookmarkEnd w:id="445"/>
    </w:p>
    <w:p>
      <w:pPr>
        <w:pStyle w:val="Subsection"/>
      </w:pPr>
      <w:r>
        <w:tab/>
        <w:t>(1)</w:t>
      </w:r>
      <w:r>
        <w:tab/>
        <w:t xml:space="preserve">A person who is or was — </w:t>
      </w:r>
    </w:p>
    <w:p>
      <w:pPr>
        <w:pStyle w:val="Indenta"/>
      </w:pPr>
      <w:r>
        <w:tab/>
        <w:t>(a)</w:t>
      </w:r>
      <w:r>
        <w:tab/>
        <w:t>the Registrar;</w:t>
      </w:r>
    </w:p>
    <w:p>
      <w:pPr>
        <w:pStyle w:val="Indenta"/>
      </w:pPr>
      <w:r>
        <w:tab/>
        <w:t>(b)</w:t>
      </w:r>
      <w:r>
        <w:tab/>
        <w:t xml:space="preserve">a Deputy Registrar of Births, Deaths and Marriages; or </w:t>
      </w:r>
    </w:p>
    <w:p>
      <w:pPr>
        <w:pStyle w:val="Indenta"/>
      </w:pPr>
      <w:r>
        <w:tab/>
        <w:t>(c)</w:t>
      </w:r>
      <w:r>
        <w:tab/>
        <w:t xml:space="preserve">a public service officer in the Registrar’s office, </w:t>
      </w:r>
    </w:p>
    <w:p>
      <w:pPr>
        <w:pStyle w:val="Subsection"/>
      </w:pPr>
      <w:r>
        <w:tab/>
      </w:r>
      <w:r>
        <w:tab/>
        <w:t>is a protected person for the purposes of this section.</w:t>
      </w:r>
    </w:p>
    <w:p>
      <w:pPr>
        <w:pStyle w:val="Subsection"/>
      </w:pPr>
      <w:r>
        <w:lastRenderedPageBreak/>
        <w:tab/>
        <w:t>(2)</w:t>
      </w:r>
      <w:r>
        <w:tab/>
        <w:t>An action in tort does not lie against a protected person for anything that the person has, in good faith, done in the performance or purported performance of a function under this Act.</w:t>
      </w:r>
    </w:p>
    <w:p>
      <w:pPr>
        <w:pStyle w:val="Subsection"/>
        <w:keepLines/>
      </w:pPr>
      <w:r>
        <w:tab/>
        <w:t>(3)</w:t>
      </w:r>
      <w:r>
        <w:tab/>
        <w:t>The protection given by this section applies even though the thing done in the performance or purported performance of a function under this Act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46" w:name="_Toc216954994"/>
      <w:r>
        <w:rPr>
          <w:rStyle w:val="CharSectno"/>
        </w:rPr>
        <w:t>67</w:t>
      </w:r>
      <w:r>
        <w:t>.</w:t>
      </w:r>
      <w:r>
        <w:tab/>
        <w:t>Review</w:t>
      </w:r>
      <w:bookmarkEnd w:id="446"/>
    </w:p>
    <w:p>
      <w:pPr>
        <w:pStyle w:val="Subsection"/>
      </w:pPr>
      <w:r>
        <w:tab/>
        <w:t>(1)</w:t>
      </w:r>
      <w:r>
        <w:tab/>
        <w:t xml:space="preserve">A person who is dissatisfied with a decision of the Registrar made in the performance or purported performance of a function under this Act may apply to the </w:t>
      </w:r>
      <w:r>
        <w:rPr>
          <w:snapToGrid w:val="0"/>
        </w:rPr>
        <w:t>State</w:t>
      </w:r>
      <w:r>
        <w:t xml:space="preserve"> Administrative Tribunal for a review of the decision.</w:t>
      </w:r>
    </w:p>
    <w:p>
      <w:pPr>
        <w:pStyle w:val="Ednotesubsection"/>
      </w:pPr>
      <w:r>
        <w:tab/>
        <w:t>[(2)</w:t>
      </w:r>
      <w:r>
        <w:tab/>
        <w:t>deleted]</w:t>
      </w:r>
    </w:p>
    <w:p>
      <w:pPr>
        <w:pStyle w:val="Footnotesection"/>
      </w:pPr>
      <w:r>
        <w:tab/>
        <w:t>[Section 67 amended: No. 55 of 2004 s. 68.]</w:t>
      </w:r>
    </w:p>
    <w:p>
      <w:pPr>
        <w:pStyle w:val="Heading5"/>
      </w:pPr>
      <w:bookmarkStart w:id="447" w:name="_Toc216954995"/>
      <w:r>
        <w:rPr>
          <w:rStyle w:val="CharSectno"/>
        </w:rPr>
        <w:t>68</w:t>
      </w:r>
      <w:r>
        <w:t>.</w:t>
      </w:r>
      <w:r>
        <w:tab/>
      </w:r>
      <w:r>
        <w:rPr>
          <w:iCs/>
        </w:rPr>
        <w:t xml:space="preserve">Some effects of </w:t>
      </w:r>
      <w:r>
        <w:rPr>
          <w:i/>
        </w:rPr>
        <w:t>Adoption Act 1994</w:t>
      </w:r>
      <w:r>
        <w:rPr>
          <w:iCs/>
        </w:rPr>
        <w:t xml:space="preserve"> and </w:t>
      </w:r>
      <w:r>
        <w:rPr>
          <w:i/>
        </w:rPr>
        <w:t>Surrogacy Act 2008</w:t>
      </w:r>
      <w:bookmarkEnd w:id="447"/>
    </w:p>
    <w:p>
      <w:pPr>
        <w:pStyle w:val="Subsection"/>
      </w:pPr>
      <w:r>
        <w:tab/>
        <w:t>(1)</w:t>
      </w:r>
      <w:r>
        <w:tab/>
        <w:t>Nothing in this Act prevents a birth parent of an adoptee from applying under section 19 or 52 (other than with a request under section 19(2)(c)) to add additional registrable information about the adoptee’s birth registration if, but for the adoption, the information could have been included in the Register.</w:t>
      </w: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keepNext/>
      </w:pPr>
      <w:r>
        <w:lastRenderedPageBreak/>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keepNext/>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Footnotesection"/>
      </w:pPr>
      <w:r>
        <w:tab/>
        <w:t>[Section 68 amended: No. 47 of 2008 s. 55.]</w:t>
      </w:r>
    </w:p>
    <w:p>
      <w:pPr>
        <w:pStyle w:val="Heading5"/>
      </w:pPr>
      <w:bookmarkStart w:id="448" w:name="_Toc178258279"/>
      <w:bookmarkStart w:id="449" w:name="_Toc216954996"/>
      <w:r>
        <w:rPr>
          <w:rStyle w:val="CharSectno"/>
        </w:rPr>
        <w:t>68A</w:t>
      </w:r>
      <w:r>
        <w:t>.</w:t>
      </w:r>
      <w:r>
        <w:tab/>
        <w:t xml:space="preserve">Review of amendments made by </w:t>
      </w:r>
      <w:r>
        <w:rPr>
          <w:i/>
        </w:rPr>
        <w:t>Births, Deaths and Marriages Registration Amendment (Sex or Gender Changes) Act 2024</w:t>
      </w:r>
      <w:bookmarkEnd w:id="448"/>
      <w:bookmarkEnd w:id="449"/>
    </w:p>
    <w:p>
      <w:pPr>
        <w:pStyle w:val="Subsection"/>
      </w:pPr>
      <w:r>
        <w:tab/>
        <w:t>(1)</w:t>
      </w:r>
      <w:r>
        <w:tab/>
        <w:t xml:space="preserve">The Minister must review the operation and effectiveness of the amendments made to this Act by the </w:t>
      </w:r>
      <w:r>
        <w:rPr>
          <w:i/>
        </w:rPr>
        <w:t>Births, Deaths and Marriages Registration Amendment (Sex or Gender Changes) Act 2024</w:t>
      </w:r>
      <w:r>
        <w:t>, and prepare a report based on the review, as soon as practicable after the 3</w:t>
      </w:r>
      <w:r>
        <w:rPr>
          <w:vertAlign w:val="superscript"/>
        </w:rPr>
        <w:t>rd</w:t>
      </w:r>
      <w:r>
        <w:t> anniversary of the day on which section 12 of that Act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68A inserted: No. 31 of 2024 s. 18.]</w:t>
      </w:r>
    </w:p>
    <w:p>
      <w:pPr>
        <w:pStyle w:val="Heading5"/>
      </w:pPr>
      <w:bookmarkStart w:id="450" w:name="_Toc216954997"/>
      <w:r>
        <w:rPr>
          <w:rStyle w:val="CharSectno"/>
        </w:rPr>
        <w:t>69</w:t>
      </w:r>
      <w:r>
        <w:t>.</w:t>
      </w:r>
      <w:r>
        <w:tab/>
        <w:t>Regulations</w:t>
      </w:r>
      <w:bookmarkEnd w:id="4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for the purposes of this Act — </w:t>
      </w:r>
    </w:p>
    <w:p>
      <w:pPr>
        <w:pStyle w:val="Indenta"/>
      </w:pPr>
      <w:r>
        <w:tab/>
        <w:t>(a)</w:t>
      </w:r>
      <w:r>
        <w:tab/>
        <w:t>prescribe fees; or</w:t>
      </w:r>
    </w:p>
    <w:p>
      <w:pPr>
        <w:pStyle w:val="Indenta"/>
      </w:pPr>
      <w:r>
        <w:tab/>
        <w:t>(b)</w:t>
      </w:r>
      <w:r>
        <w:tab/>
        <w:t>prescribe a basis for calculating fees.</w:t>
      </w:r>
    </w:p>
    <w:p>
      <w:pPr>
        <w:pStyle w:val="Subsection"/>
      </w:pPr>
      <w:r>
        <w:lastRenderedPageBreak/>
        <w:tab/>
        <w:t>(3)</w:t>
      </w:r>
      <w:r>
        <w:tab/>
        <w:t>A regulation may impose a penalty not exceeding a fine of $1 000 for contravention of a provision of the regulations.</w:t>
      </w:r>
    </w:p>
    <w:p>
      <w:pPr>
        <w:pStyle w:val="Heading5"/>
      </w:pPr>
      <w:bookmarkStart w:id="451" w:name="_Toc216954998"/>
      <w:r>
        <w:rPr>
          <w:rStyle w:val="CharSectno"/>
        </w:rPr>
        <w:t>70</w:t>
      </w:r>
      <w:r>
        <w:t>.</w:t>
      </w:r>
      <w:r>
        <w:tab/>
        <w:t>Power to remit fees</w:t>
      </w:r>
      <w:bookmarkEnd w:id="451"/>
    </w:p>
    <w:p>
      <w:pPr>
        <w:pStyle w:val="Subsection"/>
      </w:pPr>
      <w:r>
        <w:tab/>
      </w:r>
      <w:r>
        <w:tab/>
        <w:t>The Registrar may remit the whole or part of a fee under this Act if the Registrar considers that in the circumstances it is appropriate to do so.</w:t>
      </w:r>
    </w:p>
    <w:p>
      <w:pPr>
        <w:pStyle w:val="Heading5"/>
      </w:pPr>
      <w:bookmarkStart w:id="452" w:name="_Toc178258281"/>
      <w:bookmarkStart w:id="453" w:name="_Toc216954999"/>
      <w:r>
        <w:rPr>
          <w:rStyle w:val="CharSectno"/>
        </w:rPr>
        <w:t>70A</w:t>
      </w:r>
      <w:r>
        <w:t>.</w:t>
      </w:r>
      <w:r>
        <w:tab/>
        <w:t xml:space="preserve">Savings provisions for recognition certificates issued under </w:t>
      </w:r>
      <w:r>
        <w:rPr>
          <w:i/>
          <w:iCs/>
        </w:rPr>
        <w:t>Gender Reassignment Act 2000</w:t>
      </w:r>
      <w:bookmarkEnd w:id="452"/>
      <w:bookmarkEnd w:id="453"/>
    </w:p>
    <w:p>
      <w:pPr>
        <w:pStyle w:val="Subsection"/>
      </w:pPr>
      <w:r>
        <w:tab/>
      </w:r>
      <w:r>
        <w:tab/>
        <w:t xml:space="preserve">Despite the repeal of the </w:t>
      </w:r>
      <w:r>
        <w:rPr>
          <w:i/>
        </w:rPr>
        <w:t>Gender Reassignment Act 2000</w:t>
      </w:r>
      <w:r>
        <w:t xml:space="preserve"> — </w:t>
      </w:r>
    </w:p>
    <w:p>
      <w:pPr>
        <w:pStyle w:val="Indenta"/>
      </w:pPr>
      <w:r>
        <w:tab/>
        <w:t>(a)</w:t>
      </w:r>
      <w:r>
        <w:tab/>
        <w:t>a recognition certificate issued under that Act continues in force; and</w:t>
      </w:r>
    </w:p>
    <w:p>
      <w:pPr>
        <w:pStyle w:val="Indenta"/>
      </w:pPr>
      <w:r>
        <w:tab/>
        <w:t>(b)</w:t>
      </w:r>
      <w:r>
        <w:tab/>
        <w:t>the Registrar may act under sections 17 and 18 of that Act as if the sections had not been repealed.</w:t>
      </w:r>
    </w:p>
    <w:p>
      <w:pPr>
        <w:pStyle w:val="Footnotesection"/>
      </w:pPr>
      <w:r>
        <w:tab/>
        <w:t>[Section 70A inserted: No. 31 of 2024 s. 19.]</w:t>
      </w:r>
    </w:p>
    <w:p>
      <w:pPr>
        <w:pStyle w:val="Ednotesection"/>
        <w:spacing w:before="400"/>
        <w:ind w:left="890" w:hanging="890"/>
      </w:pPr>
      <w:r>
        <w:t>[</w:t>
      </w:r>
      <w:r>
        <w:rPr>
          <w:b/>
        </w:rPr>
        <w:t>71.</w:t>
      </w:r>
      <w:r>
        <w:rPr>
          <w:b/>
        </w:rPr>
        <w:tab/>
      </w:r>
      <w:r>
        <w:t>Omitted under the Reprints Act 1984 s. 7(4)(f) and (g).]</w:t>
      </w:r>
    </w:p>
    <w:p>
      <w:pPr>
        <w:pStyle w:val="Ednotesection"/>
        <w:spacing w:before="400"/>
        <w:ind w:left="890" w:hanging="890"/>
      </w:pPr>
      <w:r>
        <w:t>[</w:t>
      </w:r>
      <w:r>
        <w:rPr>
          <w:b/>
        </w:rPr>
        <w:t>72.</w:t>
      </w:r>
      <w:r>
        <w:rPr>
          <w:b/>
        </w:rPr>
        <w:tab/>
      </w:r>
      <w:r>
        <w:t>Omitted under the Reprints Act 1984 s. 7(4)(e).]</w:t>
      </w:r>
    </w:p>
    <w:p>
      <w:pPr>
        <w:pStyle w:val="yEdnoteschedule"/>
        <w:spacing w:before="480"/>
      </w:pPr>
      <w:r>
        <w:t>[Schedule 1 omitted under the Reprints Act 1984 s. 7(4)(g).]</w:t>
      </w:r>
    </w:p>
    <w:p>
      <w:pPr>
        <w:pStyle w:val="CentredBaseLine"/>
        <w:jc w:val="center"/>
      </w:pPr>
      <w:r>
        <w:rPr>
          <w:noProof/>
        </w:rPr>
        <w:drawing>
          <wp:inline distT="0" distB="0" distL="0" distR="0">
            <wp:extent cx="932180" cy="172085"/>
            <wp:effectExtent l="0" t="0" r="127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54" w:name="_Toc198827730"/>
      <w:bookmarkStart w:id="455" w:name="_Toc198909013"/>
      <w:bookmarkStart w:id="456" w:name="_Toc199153848"/>
      <w:bookmarkStart w:id="457" w:name="_Toc216795217"/>
      <w:bookmarkStart w:id="458" w:name="_Toc216795600"/>
      <w:bookmarkStart w:id="459" w:name="_Toc216795755"/>
      <w:bookmarkStart w:id="460" w:name="_Toc216942316"/>
      <w:bookmarkStart w:id="461" w:name="_Toc216942471"/>
      <w:bookmarkStart w:id="462" w:name="_Toc216955000"/>
      <w:r>
        <w:lastRenderedPageBreak/>
        <w:t>Notes</w:t>
      </w:r>
      <w:bookmarkEnd w:id="454"/>
      <w:bookmarkEnd w:id="455"/>
      <w:bookmarkEnd w:id="456"/>
      <w:bookmarkEnd w:id="457"/>
      <w:bookmarkEnd w:id="458"/>
      <w:bookmarkEnd w:id="459"/>
      <w:bookmarkEnd w:id="460"/>
      <w:bookmarkEnd w:id="461"/>
      <w:bookmarkEnd w:id="462"/>
    </w:p>
    <w:p>
      <w:pPr>
        <w:pStyle w:val="nStatement"/>
      </w:pPr>
      <w:r>
        <w:t xml:space="preserve">This is a compilation of the </w:t>
      </w:r>
      <w:r>
        <w:rPr>
          <w:i/>
          <w:noProof/>
        </w:rPr>
        <w:t>Births, Deaths and Marriages Registration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3" w:name="_Toc216955001"/>
      <w:r>
        <w:t>Compilation table</w:t>
      </w:r>
      <w:bookmarkEnd w:id="46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Births, Deaths and Marriages Registration Act 1998</w:t>
            </w:r>
          </w:p>
        </w:tc>
        <w:tc>
          <w:tcPr>
            <w:tcW w:w="1134" w:type="dxa"/>
            <w:tcBorders>
              <w:top w:val="single" w:sz="8" w:space="0" w:color="auto"/>
            </w:tcBorders>
          </w:tcPr>
          <w:p>
            <w:pPr>
              <w:pStyle w:val="nTable"/>
              <w:spacing w:after="40"/>
            </w:pPr>
            <w:r>
              <w:t>39 of 1998</w:t>
            </w:r>
          </w:p>
        </w:tc>
        <w:tc>
          <w:tcPr>
            <w:tcW w:w="1134" w:type="dxa"/>
            <w:tcBorders>
              <w:top w:val="single" w:sz="8" w:space="0" w:color="auto"/>
            </w:tcBorders>
          </w:tcPr>
          <w:p>
            <w:pPr>
              <w:pStyle w:val="nTable"/>
              <w:spacing w:after="40"/>
            </w:pPr>
            <w:r>
              <w:t>30 Oct 1998</w:t>
            </w:r>
          </w:p>
        </w:tc>
        <w:tc>
          <w:tcPr>
            <w:tcW w:w="2552" w:type="dxa"/>
            <w:tcBorders>
              <w:top w:val="single" w:sz="8" w:space="0" w:color="auto"/>
            </w:tcBorders>
          </w:tcPr>
          <w:p>
            <w:pPr>
              <w:pStyle w:val="nTable"/>
              <w:spacing w:after="40"/>
            </w:pPr>
            <w:r>
              <w:t xml:space="preserve">s. 1 and 2: 30 Oct 1998; </w:t>
            </w:r>
            <w:r>
              <w:br/>
              <w:t xml:space="preserve">Act other than s. 1 and 2: 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Acts Amendment (Lesbian and Gay Law Reform) Act 2002 </w:t>
            </w:r>
            <w:r>
              <w:t>Pt. 5</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1: The </w:t>
            </w:r>
            <w:r>
              <w:rPr>
                <w:b/>
                <w:i/>
              </w:rPr>
              <w:t>Births, Deaths and Marriages Registration Act 1998</w:t>
            </w:r>
            <w:r>
              <w:rPr>
                <w:b/>
              </w:rPr>
              <w:t xml:space="preserve"> as at 11 Jun 2004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State Administrative Tribunal (Conferral of Jurisdiction) Amendment and Repeal Act 2004</w:t>
            </w:r>
            <w:r>
              <w:t xml:space="preserve"> Pt. 2 Div. 12</w:t>
            </w:r>
            <w:r>
              <w:rPr>
                <w:vertAlign w:val="superscript"/>
              </w:rPr>
              <w:t> 1</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c>
          <w:tcPr>
            <w:tcW w:w="2268" w:type="dxa"/>
            <w:tcBorders>
              <w:top w:val="nil"/>
              <w:bottom w:val="nil"/>
            </w:tcBorders>
          </w:tcPr>
          <w:p>
            <w:pPr>
              <w:pStyle w:val="nTable"/>
              <w:spacing w:after="40"/>
            </w:pPr>
            <w:r>
              <w:rPr>
                <w:i/>
                <w:snapToGrid w:val="0"/>
              </w:rPr>
              <w:t>Medical Practitioners Act 2008</w:t>
            </w:r>
            <w:r>
              <w:t xml:space="preserve"> Sch. 3 cl. 5</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1</w:t>
            </w:r>
          </w:p>
        </w:tc>
        <w:tc>
          <w:tcPr>
            <w:tcW w:w="1134" w:type="dxa"/>
            <w:tcBorders>
              <w:top w:val="nil"/>
              <w:bottom w:val="nil"/>
            </w:tcBorders>
          </w:tcPr>
          <w:p>
            <w:pPr>
              <w:pStyle w:val="nTable"/>
              <w:spacing w:after="40"/>
            </w:pPr>
            <w:r>
              <w:t>47 of 2008</w:t>
            </w:r>
          </w:p>
        </w:tc>
        <w:tc>
          <w:tcPr>
            <w:tcW w:w="1134" w:type="dxa"/>
            <w:tcBorders>
              <w:top w:val="nil"/>
              <w:bottom w:val="nil"/>
            </w:tcBorders>
          </w:tcPr>
          <w:p>
            <w:pPr>
              <w:pStyle w:val="nTable"/>
              <w:spacing w:after="40"/>
            </w:pPr>
            <w:r>
              <w:t>10 Dec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512)</w:t>
            </w:r>
          </w:p>
        </w:tc>
      </w:tr>
      <w:tr>
        <w:trPr>
          <w:cantSplit/>
        </w:trPr>
        <w:tc>
          <w:tcPr>
            <w:tcW w:w="7088" w:type="dxa"/>
            <w:gridSpan w:val="4"/>
            <w:tcBorders>
              <w:top w:val="nil"/>
              <w:bottom w:val="nil"/>
            </w:tcBorders>
          </w:tcPr>
          <w:p>
            <w:pPr>
              <w:pStyle w:val="nTable"/>
              <w:spacing w:after="40"/>
              <w:rPr>
                <w:snapToGrid w:val="0"/>
                <w:spacing w:val="-2"/>
              </w:rPr>
            </w:pPr>
            <w:r>
              <w:rPr>
                <w:b/>
                <w:bCs/>
                <w:snapToGrid w:val="0"/>
                <w:spacing w:val="-2"/>
              </w:rPr>
              <w:t xml:space="preserve">Reprint 2:  The </w:t>
            </w:r>
            <w:r>
              <w:rPr>
                <w:b/>
                <w:bCs/>
                <w:i/>
              </w:rPr>
              <w:t xml:space="preserve">Births, Deaths and Marriages Registration Act 1998 </w:t>
            </w:r>
            <w:r>
              <w:rPr>
                <w:b/>
                <w:bCs/>
                <w:snapToGrid w:val="0"/>
                <w:spacing w:val="-2"/>
              </w:rPr>
              <w:t xml:space="preserve">as at 24 Jul 2009 </w:t>
            </w:r>
            <w:r>
              <w:rPr>
                <w:snapToGrid w:val="0"/>
                <w:spacing w:val="-2"/>
              </w:rPr>
              <w:t>(includes amendments listed above)</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6</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snapToGrid w:val="0"/>
              </w:rPr>
            </w:pPr>
            <w:r>
              <w:rPr>
                <w:i/>
                <w:snapToGrid w:val="0"/>
              </w:rPr>
              <w:t>Health Services Act 2016</w:t>
            </w:r>
            <w:r>
              <w:rPr>
                <w:snapToGrid w:val="0"/>
              </w:rPr>
              <w:t xml:space="preserve"> s. 284</w:t>
            </w:r>
          </w:p>
        </w:tc>
        <w:tc>
          <w:tcPr>
            <w:tcW w:w="1134" w:type="dxa"/>
            <w:tcBorders>
              <w:top w:val="nil"/>
              <w:bottom w:val="nil"/>
            </w:tcBorders>
          </w:tcPr>
          <w:p>
            <w:pPr>
              <w:pStyle w:val="nTable"/>
              <w:spacing w:after="40"/>
              <w:rPr>
                <w:snapToGrid w:val="0"/>
              </w:rPr>
            </w:pPr>
            <w:r>
              <w:rPr>
                <w:snapToGrid w:val="0"/>
              </w:rPr>
              <w:t>11 of 2016</w:t>
            </w:r>
          </w:p>
        </w:tc>
        <w:tc>
          <w:tcPr>
            <w:tcW w:w="1134" w:type="dxa"/>
            <w:tcBorders>
              <w:top w:val="nil"/>
              <w:bottom w:val="nil"/>
            </w:tcBorders>
          </w:tcPr>
          <w:p>
            <w:pPr>
              <w:pStyle w:val="nTable"/>
              <w:spacing w:after="40"/>
              <w:rPr>
                <w:snapToGrid w:val="0"/>
              </w:rPr>
            </w:pPr>
            <w:r>
              <w:rPr>
                <w:snapToGrid w:val="0"/>
              </w:rP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c>
          <w:tcPr>
            <w:tcW w:w="2268" w:type="dxa"/>
            <w:tcBorders>
              <w:top w:val="nil"/>
              <w:bottom w:val="nil"/>
            </w:tcBorders>
          </w:tcPr>
          <w:p>
            <w:pPr>
              <w:pStyle w:val="nTable"/>
              <w:keepLines/>
              <w:spacing w:after="40"/>
              <w:rPr>
                <w:snapToGrid w:val="0"/>
              </w:rPr>
            </w:pPr>
            <w:r>
              <w:rPr>
                <w:i/>
              </w:rPr>
              <w:t>Births, Deaths and Marriages Registration Amendment (Change of Name) Act 2020</w:t>
            </w:r>
            <w:r>
              <w:t xml:space="preserve"> </w:t>
            </w:r>
          </w:p>
        </w:tc>
        <w:tc>
          <w:tcPr>
            <w:tcW w:w="1134" w:type="dxa"/>
            <w:tcBorders>
              <w:top w:val="nil"/>
              <w:bottom w:val="nil"/>
            </w:tcBorders>
          </w:tcPr>
          <w:p>
            <w:pPr>
              <w:pStyle w:val="nTable"/>
              <w:keepNext/>
              <w:keepLines/>
              <w:spacing w:after="40"/>
              <w:rPr>
                <w:snapToGrid w:val="0"/>
              </w:rPr>
            </w:pPr>
            <w:r>
              <w:t>46 of 2020</w:t>
            </w:r>
          </w:p>
        </w:tc>
        <w:tc>
          <w:tcPr>
            <w:tcW w:w="1134" w:type="dxa"/>
            <w:tcBorders>
              <w:top w:val="nil"/>
              <w:bottom w:val="nil"/>
            </w:tcBorders>
          </w:tcPr>
          <w:p>
            <w:pPr>
              <w:pStyle w:val="nTable"/>
              <w:keepNext/>
              <w:keepLines/>
              <w:spacing w:after="40"/>
              <w:rPr>
                <w:snapToGrid w:val="0"/>
              </w:rPr>
            </w:pPr>
            <w:r>
              <w:t>9 Dec 2020</w:t>
            </w:r>
          </w:p>
        </w:tc>
        <w:tc>
          <w:tcPr>
            <w:tcW w:w="2552" w:type="dxa"/>
            <w:tcBorders>
              <w:top w:val="nil"/>
              <w:bottom w:val="nil"/>
            </w:tcBorders>
          </w:tcPr>
          <w:p>
            <w:pPr>
              <w:pStyle w:val="nTable"/>
              <w:keepNext/>
              <w:keepLines/>
              <w:spacing w:after="40"/>
              <w:rPr>
                <w:snapToGrid w:val="0"/>
              </w:rPr>
            </w:pPr>
            <w:r>
              <w:t>s. 1-3: 9 Dec 2020 (see s. 2(1)(a));</w:t>
            </w:r>
            <w:r>
              <w:br/>
              <w:t>Act other than s. 1</w:t>
            </w:r>
            <w:r>
              <w:noBreakHyphen/>
              <w:t>3: 1 Oct 2022 (see s. 2(1)(b) and SL 2022/155 cl. 2)</w:t>
            </w:r>
          </w:p>
        </w:tc>
      </w:tr>
      <w:tr>
        <w:tc>
          <w:tcPr>
            <w:tcW w:w="2268" w:type="dxa"/>
            <w:tcBorders>
              <w:top w:val="nil"/>
              <w:bottom w:val="single" w:sz="4" w:space="0" w:color="auto"/>
            </w:tcBorders>
          </w:tcPr>
          <w:p>
            <w:pPr>
              <w:pStyle w:val="nTable"/>
              <w:keepLines/>
              <w:spacing w:after="40"/>
              <w:rPr>
                <w:i/>
              </w:rPr>
            </w:pPr>
            <w:r>
              <w:rPr>
                <w:i/>
              </w:rPr>
              <w:lastRenderedPageBreak/>
              <w:t xml:space="preserve">Births, Deaths and Marriages Registration Amendment (Sex or Gender Changes) Act 2024 </w:t>
            </w:r>
            <w:r>
              <w:rPr>
                <w:iCs/>
              </w:rPr>
              <w:t>Pt. 2</w:t>
            </w:r>
          </w:p>
        </w:tc>
        <w:tc>
          <w:tcPr>
            <w:tcW w:w="1134" w:type="dxa"/>
            <w:tcBorders>
              <w:top w:val="nil"/>
              <w:bottom w:val="single" w:sz="4" w:space="0" w:color="auto"/>
            </w:tcBorders>
          </w:tcPr>
          <w:p>
            <w:pPr>
              <w:pStyle w:val="nTable"/>
              <w:keepNext/>
              <w:keepLines/>
              <w:spacing w:after="40"/>
            </w:pPr>
            <w:r>
              <w:t>31 of 2024</w:t>
            </w:r>
          </w:p>
        </w:tc>
        <w:tc>
          <w:tcPr>
            <w:tcW w:w="1134" w:type="dxa"/>
            <w:tcBorders>
              <w:top w:val="nil"/>
              <w:bottom w:val="single" w:sz="4" w:space="0" w:color="auto"/>
            </w:tcBorders>
          </w:tcPr>
          <w:p>
            <w:pPr>
              <w:pStyle w:val="nTable"/>
              <w:keepNext/>
              <w:keepLines/>
              <w:spacing w:after="40"/>
            </w:pPr>
            <w:r>
              <w:t>26 Sep 2024</w:t>
            </w:r>
          </w:p>
        </w:tc>
        <w:tc>
          <w:tcPr>
            <w:tcW w:w="2552" w:type="dxa"/>
            <w:tcBorders>
              <w:top w:val="nil"/>
              <w:bottom w:val="single" w:sz="4" w:space="0" w:color="auto"/>
            </w:tcBorders>
          </w:tcPr>
          <w:p>
            <w:pPr>
              <w:pStyle w:val="nTable"/>
              <w:keepNext/>
              <w:keepLines/>
              <w:spacing w:after="40"/>
            </w:pPr>
            <w:r>
              <w:t>30 May 2025 (see s. 2(b) and SL 2025/80 cl. 2)</w:t>
            </w:r>
          </w:p>
        </w:tc>
      </w:tr>
    </w:tbl>
    <w:p>
      <w:pPr>
        <w:pStyle w:val="nHeading3"/>
      </w:pPr>
      <w:bookmarkStart w:id="464" w:name="_Toc216955002"/>
      <w:r>
        <w:t>Uncommenced provisions table</w:t>
      </w:r>
      <w:bookmarkEnd w:id="4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 xml:space="preserve">Pt. 15 </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465" w:name="_Toc216955003"/>
      <w:r>
        <w:t>Other notes</w:t>
      </w:r>
      <w:bookmarkEnd w:id="465"/>
    </w:p>
    <w:p>
      <w:pPr>
        <w:pStyle w:val="nNote"/>
        <w:spacing w:before="160"/>
      </w:pPr>
      <w:r>
        <w:rPr>
          <w:vertAlign w:val="superscript"/>
        </w:rPr>
        <w:t>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467" w:name="_Toc199153851"/>
      <w:bookmarkStart w:id="468" w:name="_Toc216795220"/>
      <w:bookmarkStart w:id="469" w:name="_Toc216795604"/>
      <w:bookmarkStart w:id="470" w:name="_Toc216795759"/>
      <w:bookmarkStart w:id="471" w:name="_Toc216942320"/>
      <w:bookmarkStart w:id="472" w:name="_Toc216942475"/>
      <w:bookmarkStart w:id="473" w:name="_Toc216955004"/>
      <w:r>
        <w:rPr>
          <w:sz w:val="28"/>
        </w:rPr>
        <w:lastRenderedPageBreak/>
        <w:t>Defined terms</w:t>
      </w:r>
      <w:bookmarkEnd w:id="467"/>
      <w:bookmarkEnd w:id="468"/>
      <w:bookmarkEnd w:id="469"/>
      <w:bookmarkEnd w:id="470"/>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acknowledgment document</w:t>
      </w:r>
      <w:r>
        <w:tab/>
        <w:t>36I(1), 36ZA(1)</w:t>
      </w:r>
    </w:p>
    <w:p>
      <w:pPr>
        <w:pStyle w:val="DefinedTerms"/>
      </w:pPr>
      <w:r>
        <w:t>adult</w:t>
      </w:r>
      <w:r>
        <w:tab/>
        <w:t>4</w:t>
      </w:r>
    </w:p>
    <w:p>
      <w:pPr>
        <w:pStyle w:val="DefinedTerms"/>
      </w:pPr>
      <w:r>
        <w:t>applicant</w:t>
      </w:r>
      <w:r>
        <w:tab/>
        <w:t>36D(1), 36ZI(2)</w:t>
      </w:r>
    </w:p>
    <w:p>
      <w:pPr>
        <w:pStyle w:val="DefinedTerms"/>
      </w:pPr>
      <w:r>
        <w:t>approved</w:t>
      </w:r>
      <w:r>
        <w:tab/>
        <w:t>4</w:t>
      </w:r>
    </w:p>
    <w:p>
      <w:pPr>
        <w:pStyle w:val="DefinedTerms"/>
      </w:pPr>
      <w:r>
        <w:t>Australian citizen</w:t>
      </w:r>
      <w:r>
        <w:tab/>
        <w:t>28A</w:t>
      </w:r>
    </w:p>
    <w:p>
      <w:pPr>
        <w:pStyle w:val="DefinedTerms"/>
      </w:pPr>
      <w:r>
        <w:t>birth</w:t>
      </w:r>
      <w:r>
        <w:tab/>
        <w:t>4</w:t>
      </w:r>
    </w:p>
    <w:p>
      <w:pPr>
        <w:pStyle w:val="DefinedTerms"/>
      </w:pPr>
      <w:r>
        <w:t>birth registration statement</w:t>
      </w:r>
      <w:r>
        <w:tab/>
        <w:t>4</w:t>
      </w:r>
    </w:p>
    <w:p>
      <w:pPr>
        <w:pStyle w:val="DefinedTerms"/>
      </w:pPr>
      <w:r>
        <w:t>CEO (Children and Community Services)</w:t>
      </w:r>
      <w:r>
        <w:tab/>
        <w:t>36O(1), 36Y(1)</w:t>
      </w:r>
    </w:p>
    <w:p>
      <w:pPr>
        <w:pStyle w:val="DefinedTerms"/>
      </w:pPr>
      <w:r>
        <w:t>change</w:t>
      </w:r>
      <w:r>
        <w:tab/>
        <w:t>4</w:t>
      </w:r>
    </w:p>
    <w:p>
      <w:pPr>
        <w:pStyle w:val="DefinedTerms"/>
      </w:pPr>
      <w:r>
        <w:t>change of name application</w:t>
      </w:r>
      <w:r>
        <w:tab/>
        <w:t>36E(1)</w:t>
      </w:r>
    </w:p>
    <w:p>
      <w:pPr>
        <w:pStyle w:val="DefinedTerms"/>
      </w:pPr>
      <w:r>
        <w:t>change of sex or gender application</w:t>
      </w:r>
      <w:r>
        <w:tab/>
        <w:t>36ZJ(1)</w:t>
      </w:r>
    </w:p>
    <w:p>
      <w:pPr>
        <w:pStyle w:val="DefinedTerms"/>
      </w:pPr>
      <w:r>
        <w:t>child</w:t>
      </w:r>
      <w:r>
        <w:tab/>
        <w:t>4</w:t>
      </w:r>
    </w:p>
    <w:p>
      <w:pPr>
        <w:pStyle w:val="DefinedTerms"/>
      </w:pPr>
      <w:r>
        <w:t>corresponding law</w:t>
      </w:r>
      <w:r>
        <w:tab/>
        <w:t>4</w:t>
      </w:r>
    </w:p>
    <w:p>
      <w:pPr>
        <w:pStyle w:val="DefinedTerms"/>
      </w:pPr>
      <w:r>
        <w:t>death</w:t>
      </w:r>
      <w:r>
        <w:tab/>
        <w:t>4</w:t>
      </w:r>
    </w:p>
    <w:p>
      <w:pPr>
        <w:pStyle w:val="DefinedTerms"/>
      </w:pPr>
      <w:r>
        <w:t>detainee</w:t>
      </w:r>
      <w:r>
        <w:tab/>
        <w:t>28A</w:t>
      </w:r>
    </w:p>
    <w:p>
      <w:pPr>
        <w:pStyle w:val="DefinedTerms"/>
      </w:pPr>
      <w:r>
        <w:t>disposal</w:t>
      </w:r>
      <w:r>
        <w:tab/>
        <w:t>4</w:t>
      </w:r>
    </w:p>
    <w:p>
      <w:pPr>
        <w:pStyle w:val="DefinedTerms"/>
      </w:pPr>
      <w:r>
        <w:t>doctor</w:t>
      </w:r>
      <w:r>
        <w:tab/>
        <w:t>4</w:t>
      </w:r>
    </w:p>
    <w:p>
      <w:pPr>
        <w:pStyle w:val="DefinedTerms"/>
      </w:pPr>
      <w:r>
        <w:t>early release order</w:t>
      </w:r>
      <w:r>
        <w:tab/>
        <w:t>28A</w:t>
      </w:r>
    </w:p>
    <w:p>
      <w:pPr>
        <w:pStyle w:val="DefinedTerms"/>
      </w:pPr>
      <w:r>
        <w:t>funeral director</w:t>
      </w:r>
      <w:r>
        <w:tab/>
        <w:t>4</w:t>
      </w:r>
    </w:p>
    <w:p>
      <w:pPr>
        <w:pStyle w:val="DefinedTerms"/>
      </w:pPr>
      <w:r>
        <w:t>high risk serious offender</w:t>
      </w:r>
      <w:r>
        <w:tab/>
        <w:t>28A</w:t>
      </w:r>
    </w:p>
    <w:p>
      <w:pPr>
        <w:pStyle w:val="DefinedTerms"/>
      </w:pPr>
      <w:r>
        <w:t>human remains</w:t>
      </w:r>
      <w:r>
        <w:tab/>
        <w:t>4</w:t>
      </w:r>
    </w:p>
    <w:p>
      <w:pPr>
        <w:pStyle w:val="DefinedTerms"/>
      </w:pPr>
      <w:r>
        <w:t>interstate document</w:t>
      </w:r>
      <w:r>
        <w:tab/>
        <w:t>36ZF(1)</w:t>
      </w:r>
    </w:p>
    <w:p>
      <w:pPr>
        <w:pStyle w:val="DefinedTerms"/>
      </w:pPr>
      <w:r>
        <w:t>neonatal death</w:t>
      </w:r>
      <w:r>
        <w:tab/>
        <w:t>4</w:t>
      </w:r>
    </w:p>
    <w:p>
      <w:pPr>
        <w:pStyle w:val="DefinedTerms"/>
      </w:pPr>
      <w:r>
        <w:t>parent</w:t>
      </w:r>
      <w:r>
        <w:tab/>
        <w:t>36O(1), 36Y(1)</w:t>
      </w:r>
    </w:p>
    <w:p>
      <w:pPr>
        <w:pStyle w:val="DefinedTerms"/>
      </w:pPr>
      <w:r>
        <w:t>parentage order</w:t>
      </w:r>
      <w:r>
        <w:tab/>
        <w:t>26(2)</w:t>
      </w:r>
    </w:p>
    <w:p>
      <w:pPr>
        <w:pStyle w:val="DefinedTerms"/>
      </w:pPr>
      <w:r>
        <w:t>permanent resident</w:t>
      </w:r>
      <w:r>
        <w:tab/>
        <w:t>28A</w:t>
      </w:r>
    </w:p>
    <w:p>
      <w:pPr>
        <w:pStyle w:val="DefinedTerms"/>
      </w:pPr>
      <w:r>
        <w:t>prisoner</w:t>
      </w:r>
      <w:r>
        <w:tab/>
        <w:t>28A</w:t>
      </w:r>
    </w:p>
    <w:p>
      <w:pPr>
        <w:pStyle w:val="DefinedTerms"/>
      </w:pPr>
      <w:r>
        <w:t>prohibited name</w:t>
      </w:r>
      <w:r>
        <w:tab/>
        <w:t>4</w:t>
      </w:r>
    </w:p>
    <w:p>
      <w:pPr>
        <w:pStyle w:val="DefinedTerms"/>
      </w:pPr>
      <w:r>
        <w:t>proposed surname</w:t>
      </w:r>
      <w:r>
        <w:tab/>
        <w:t>19(2)</w:t>
      </w:r>
    </w:p>
    <w:p>
      <w:pPr>
        <w:pStyle w:val="DefinedTerms"/>
      </w:pPr>
      <w:r>
        <w:t>psychologist</w:t>
      </w:r>
      <w:r>
        <w:tab/>
        <w:t>36I(1)</w:t>
      </w:r>
    </w:p>
    <w:p>
      <w:pPr>
        <w:pStyle w:val="DefinedTerms"/>
      </w:pPr>
      <w:r>
        <w:t>public authority</w:t>
      </w:r>
      <w:r>
        <w:tab/>
        <w:t>35B(1)</w:t>
      </w:r>
    </w:p>
    <w:p>
      <w:pPr>
        <w:pStyle w:val="DefinedTerms"/>
      </w:pPr>
      <w:r>
        <w:t>Register</w:t>
      </w:r>
      <w:r>
        <w:tab/>
        <w:t>4</w:t>
      </w:r>
    </w:p>
    <w:p>
      <w:pPr>
        <w:pStyle w:val="DefinedTerms"/>
      </w:pPr>
      <w:r>
        <w:t>registering authority</w:t>
      </w:r>
      <w:r>
        <w:tab/>
        <w:t>4</w:t>
      </w:r>
    </w:p>
    <w:p>
      <w:pPr>
        <w:pStyle w:val="DefinedTerms"/>
      </w:pPr>
      <w:r>
        <w:t>registrable event</w:t>
      </w:r>
      <w:r>
        <w:tab/>
        <w:t>4</w:t>
      </w:r>
    </w:p>
    <w:p>
      <w:pPr>
        <w:pStyle w:val="DefinedTerms"/>
      </w:pPr>
      <w:r>
        <w:t>registrable information</w:t>
      </w:r>
      <w:r>
        <w:tab/>
        <w:t>4</w:t>
      </w:r>
    </w:p>
    <w:p>
      <w:pPr>
        <w:pStyle w:val="DefinedTerms"/>
      </w:pPr>
      <w:r>
        <w:t>Registrar</w:t>
      </w:r>
      <w:r>
        <w:tab/>
        <w:t>4</w:t>
      </w:r>
    </w:p>
    <w:p>
      <w:pPr>
        <w:pStyle w:val="DefinedTerms"/>
      </w:pPr>
      <w:r>
        <w:t>reportable offender</w:t>
      </w:r>
      <w:r>
        <w:tab/>
        <w:t>28A</w:t>
      </w:r>
    </w:p>
    <w:p>
      <w:pPr>
        <w:pStyle w:val="DefinedTerms"/>
      </w:pPr>
      <w:r>
        <w:t>required declarant</w:t>
      </w:r>
      <w:r>
        <w:tab/>
        <w:t>28A</w:t>
      </w:r>
    </w:p>
    <w:p>
      <w:pPr>
        <w:pStyle w:val="DefinedTerms"/>
      </w:pPr>
      <w:r>
        <w:t>responsible person</w:t>
      </w:r>
      <w:r>
        <w:tab/>
        <w:t>12(1)</w:t>
      </w:r>
    </w:p>
    <w:p>
      <w:pPr>
        <w:pStyle w:val="DefinedTerms"/>
      </w:pPr>
      <w:r>
        <w:lastRenderedPageBreak/>
        <w:t>restricted person</w:t>
      </w:r>
      <w:r>
        <w:tab/>
        <w:t>36A, 36ZD</w:t>
      </w:r>
    </w:p>
    <w:p>
      <w:pPr>
        <w:pStyle w:val="DefinedTerms"/>
      </w:pPr>
      <w:r>
        <w:t>State</w:t>
      </w:r>
      <w:r>
        <w:tab/>
        <w:t>4</w:t>
      </w:r>
    </w:p>
    <w:p>
      <w:pPr>
        <w:pStyle w:val="DefinedTerms"/>
      </w:pPr>
      <w:r>
        <w:t>State court</w:t>
      </w:r>
      <w:r>
        <w:tab/>
        <w:t>4</w:t>
      </w:r>
    </w:p>
    <w:p>
      <w:pPr>
        <w:pStyle w:val="DefinedTerms"/>
      </w:pPr>
      <w:r>
        <w:t>still-birth</w:t>
      </w:r>
      <w:r>
        <w:tab/>
        <w:t>3</w:t>
      </w:r>
    </w:p>
    <w:p>
      <w:pPr>
        <w:pStyle w:val="DefinedTerms"/>
      </w:pPr>
      <w:r>
        <w:t>still-born child</w:t>
      </w:r>
      <w:r>
        <w:tab/>
        <w:t>4</w:t>
      </w:r>
    </w:p>
    <w:p>
      <w:pPr>
        <w:pStyle w:val="DefinedTerms"/>
      </w:pPr>
      <w:r>
        <w:t>supervised offender</w:t>
      </w:r>
      <w:r>
        <w:tab/>
        <w:t>28A</w:t>
      </w:r>
    </w:p>
    <w:p>
      <w:pPr>
        <w:pStyle w:val="DefinedTerms"/>
      </w:pPr>
      <w:r>
        <w:t>supervised young offender</w:t>
      </w:r>
      <w:r>
        <w:tab/>
        <w:t>28A</w:t>
      </w:r>
    </w:p>
    <w:p>
      <w:pPr>
        <w:pStyle w:val="DefinedTerms"/>
      </w:pPr>
      <w:r>
        <w:t>supervisory authority</w:t>
      </w:r>
      <w:r>
        <w:tab/>
        <w:t>36A, 36ZD</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7489769</wp:posOffset>
                </wp:positionV>
                <wp:extent cx="127000" cy="666000"/>
                <wp:effectExtent l="0" t="0" r="1905"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9F8470" id="_x0000_t202" coordsize="21600,21600" o:spt="202" path="m,l,21600r21600,l21600,xe">
                <v:stroke joinstyle="miter"/>
                <v:path gradientshapeok="t" o:connecttype="rect"/>
              </v:shapetype>
              <v:shape id="Authority" o:spid="_x0000_s1026" type="#_x0000_t202" style="position:absolute;margin-left:0;margin-top:589.7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" stroked="f" strokeweight=".5pt">
                <v:textbox>
                  <w:txbxContent>
                    <w:p w14:paraId="69E77CEA" w14:textId="6B0AFD47" w:rsidR="00B12025" w:rsidRDefault="00112A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5CDB">
                        <w:rPr>
                          <w:sz w:val="16"/>
                        </w:rPr>
                        <w:t>2025</w:t>
                      </w:r>
                      <w:r>
                        <w:rPr>
                          <w:sz w:val="16"/>
                        </w:rPr>
                        <w:fldChar w:fldCharType="end"/>
                      </w:r>
                      <w:r>
                        <w:rPr>
                          <w:sz w:val="16"/>
                        </w:rPr>
                        <w:t>.</w:t>
                      </w:r>
                    </w:p>
                    <w:p w14:paraId="70B0054E" w14:textId="77777777" w:rsidR="00B12025" w:rsidRDefault="00112A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C87B8C" w14:textId="5EAFF80A" w:rsidR="00B12025" w:rsidRDefault="00112A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5CDB">
                        <w:rPr>
                          <w:sz w:val="16"/>
                        </w:rPr>
                        <w:t>2025</w:t>
                      </w:r>
                      <w:r>
                        <w:rPr>
                          <w:sz w:val="16"/>
                        </w:rPr>
                        <w:fldChar w:fldCharType="end"/>
                      </w:r>
                      <w:r>
                        <w:rPr>
                          <w:sz w:val="16"/>
                        </w:rPr>
                        <w:t>.</w:t>
                      </w:r>
                    </w:p>
                    <w:p w14:paraId="4538673A" w14:textId="1C885C24" w:rsidR="00B12025" w:rsidRDefault="00112AFC">
                      <w:pPr>
                        <w:ind w:left="2438" w:right="2098"/>
                        <w:jc w:val="center"/>
                        <w:rPr>
                          <w:rFonts w:ascii="Arial" w:hAnsi="Arial" w:cs="Arial"/>
                          <w:sz w:val="12"/>
                        </w:rPr>
                      </w:pPr>
                      <w:r>
                        <w:rPr>
                          <w:rFonts w:ascii="Arial" w:hAnsi="Arial" w:cs="Arial"/>
                          <w:sz w:val="12"/>
                        </w:rPr>
                        <w:t xml:space="preserve">By Authority: </w:t>
                      </w:r>
                      <w:r w:rsidR="00B87119" w:rsidRPr="00B87119">
                        <w:rPr>
                          <w:rFonts w:ascii="Arial" w:hAnsi="Arial" w:cs="Arial"/>
                          <w:sz w:val="12"/>
                        </w:rPr>
                        <w:t>ROGER JACOBS, Acting</w:t>
                      </w:r>
                      <w:r w:rsidR="00B87119" w:rsidRPr="00B87119" w:rsidDel="00B87119">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pgMar w:top="1134" w:right="2407" w:bottom="3798" w:left="255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Births, Deaths and Marriages Registration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Births, Deaths and Marriages Registration Act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4" w:name="DefinedTerms"/>
    <w:bookmarkEnd w:id="4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73041"/>
    <w:docVar w:name="WAFER_20140121093024" w:val="RemoveTocBookmarks,RemoveUnusedBookmarks,RemoveLanguageTags,UsedStyles,ResetPageSize,UpdateArrangement"/>
    <w:docVar w:name="WAFER_20140121093024_GUID" w:val="dd93a62a-c0aa-4d48-9d55-1edeea2183ee"/>
    <w:docVar w:name="WAFER_20140121101717" w:val="RemoveTocBookmarks,RunningHeaders"/>
    <w:docVar w:name="WAFER_20140121101717_GUID" w:val="661099c4-b674-47bd-b935-3f5b76e91924"/>
    <w:docVar w:name="WAFER_20150325123045" w:val="ResetPageSize,UpdateArrangement,UpdateNTable"/>
    <w:docVar w:name="WAFER_20150325123045_GUID" w:val="43adae51-5efd-4517-92c1-99b367f2bd58"/>
    <w:docVar w:name="WAFER_20151102113634" w:val="UpdateStyles"/>
    <w:docVar w:name="WAFER_20151102113634_GUID" w:val="a14020dc-58ad-44b0-a37d-12ccacd7a7b3"/>
    <w:docVar w:name="WAFER_20151102115212" w:val="UsedStyles"/>
    <w:docVar w:name="WAFER_20151102115212_GUID" w:val="98911cf2-a276-4c91-8936-a9bd7af7d447"/>
    <w:docVar w:name="WAFER_20151130160819" w:val="RemoveTrackChanges"/>
    <w:docVar w:name="WAFER_20151130160819_GUID" w:val="4c36626f-7ef1-48ef-95b9-6336dee82f64"/>
    <w:docVar w:name="WAFER_20201210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1702_GUID" w:val="a22f748e-9fc5-4232-b4a9-3449b58774ce"/>
    <w:docVar w:name="WAFER_20220906141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6141034_GUID" w:val="d6b26592-8fec-4d94-b44d-d3c4ef5edc2e"/>
    <w:docVar w:name="WAFER_2024091909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919091409_GUID" w:val="7a11c742-9585-4879-8d9b-40e2d8992977"/>
    <w:docVar w:name="WAFER_20250522173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73041_GUID" w:val="03f63576-28e8-400b-afcb-ac51d5d590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08A69C27-F048-4082-A752-21C299F9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19665</Words>
  <Characters>94393</Characters>
  <Application>Microsoft Office Word</Application>
  <DocSecurity>0</DocSecurity>
  <Lines>2622</Lines>
  <Paragraphs>1629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112429</CharactersWithSpaces>
  <SharedDoc>false</SharedDoc>
  <HLinks>
    <vt:vector size="12" baseType="variant">
      <vt:variant>
        <vt:i4>5439608</vt:i4>
      </vt:variant>
      <vt:variant>
        <vt:i4>56222</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Births, Deaths and Marriages Registration Act 1998 - 02-k0-00</dc:title>
  <dc:subject/>
  <dc:creator/>
  <cp:keywords/>
  <dc:description/>
  <cp:lastModifiedBy>Master Repository Process</cp:lastModifiedBy>
  <cp:revision>4</cp:revision>
  <cp:lastPrinted>2015-11-02T03:22:00Z</cp:lastPrinted>
  <dcterms:created xsi:type="dcterms:W3CDTF">2025-12-19T00:04:00Z</dcterms:created>
  <dcterms:modified xsi:type="dcterms:W3CDTF">2025-12-19T00:04:00Z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1998</vt:lpwstr>
  </property>
  <property fmtid="{D5CDD505-2E9C-101B-9397-08002B2CF9AE}" pid="3" name="DocumentType">
    <vt:lpwstr>Act</vt:lpwstr>
  </property>
  <property fmtid="{D5CDD505-2E9C-101B-9397-08002B2CF9AE}" pid="4" name="OwlsUID">
    <vt:i4>1897</vt:i4>
  </property>
  <property fmtid="{D5CDD505-2E9C-101B-9397-08002B2CF9AE}" pid="5" name="ReprintedAsAt">
    <vt:filetime>2009-07-23T16:00:00Z</vt:filetime>
  </property>
  <property fmtid="{D5CDD505-2E9C-101B-9397-08002B2CF9AE}" pid="6" name="ReprintNo">
    <vt:lpwstr>2</vt:lpwstr>
  </property>
  <property fmtid="{D5CDD505-2E9C-101B-9397-08002B2CF9AE}" pid="7" name="AsAtDate">
    <vt:lpwstr>18 Dec 2025</vt:lpwstr>
  </property>
  <property fmtid="{D5CDD505-2E9C-101B-9397-08002B2CF9AE}" pid="8" name="Suffix">
    <vt:lpwstr>02-k0-00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