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_Toc216963586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_Toc216963587 \h </w:instrText>
      </w:r>
      <w:r>
        <w:fldChar w:fldCharType="separate"/>
      </w:r>
      <w:r>
        <w:t>2</w:t>
      </w:r>
      <w:r>
        <w:fldChar w:fldCharType="end"/>
      </w:r>
    </w:p>
    <w:p>
      <w:pPr>
        <w:pStyle w:val="TOC8"/>
        <w:rPr>
          <w:rFonts w:asciiTheme="minorHAnsi" w:eastAsiaTheme="minorEastAsia" w:hAnsiTheme="minorHAnsi" w:cstheme="minorBidi"/>
          <w:szCs w:val="22"/>
        </w:rPr>
      </w:pPr>
      <w:r>
        <w:t>3.</w:t>
      </w:r>
      <w:r>
        <w:tab/>
        <w:t>Objects</w:t>
      </w:r>
      <w:r>
        <w:tab/>
      </w:r>
      <w:r>
        <w:fldChar w:fldCharType="begin"/>
      </w:r>
      <w:r>
        <w:instrText xml:space="preserve"> PAGEREF _Toc216963588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_Toc216963589 \h </w:instrText>
      </w:r>
      <w:r>
        <w:fldChar w:fldCharType="separate"/>
      </w:r>
      <w:r>
        <w:t>3</w:t>
      </w:r>
      <w:r>
        <w:fldChar w:fldCharType="end"/>
      </w:r>
    </w:p>
    <w:p>
      <w:pPr>
        <w:pStyle w:val="TOC8"/>
        <w:rPr>
          <w:rFonts w:asciiTheme="minorHAnsi" w:eastAsiaTheme="minorEastAsia" w:hAnsiTheme="minorHAnsi" w:cstheme="minorBidi"/>
          <w:szCs w:val="22"/>
        </w:rPr>
      </w:pPr>
      <w:r>
        <w:t>5.</w:t>
      </w:r>
      <w:r>
        <w:tab/>
        <w:t>References to information privacy principles</w:t>
      </w:r>
      <w:r>
        <w:tab/>
      </w:r>
      <w:r>
        <w:fldChar w:fldCharType="begin"/>
      </w:r>
      <w:r>
        <w:instrText xml:space="preserve"> PAGEREF _Toc216963590 \h </w:instrText>
      </w:r>
      <w:r>
        <w:fldChar w:fldCharType="separate"/>
      </w:r>
      <w:r>
        <w:t>17</w:t>
      </w:r>
      <w:r>
        <w:fldChar w:fldCharType="end"/>
      </w:r>
    </w:p>
    <w:p>
      <w:pPr>
        <w:pStyle w:val="TOC8"/>
        <w:rPr>
          <w:rFonts w:asciiTheme="minorHAnsi" w:eastAsiaTheme="minorEastAsia" w:hAnsiTheme="minorHAnsi" w:cstheme="minorBidi"/>
          <w:szCs w:val="22"/>
        </w:rPr>
      </w:pPr>
      <w:r>
        <w:t>6.</w:t>
      </w:r>
      <w:r>
        <w:tab/>
        <w:t>Public entities</w:t>
      </w:r>
      <w:r>
        <w:tab/>
      </w:r>
      <w:r>
        <w:fldChar w:fldCharType="begin"/>
      </w:r>
      <w:r>
        <w:instrText xml:space="preserve"> PAGEREF _Toc216963591 \h </w:instrText>
      </w:r>
      <w:r>
        <w:fldChar w:fldCharType="separate"/>
      </w:r>
      <w:r>
        <w:t>17</w:t>
      </w:r>
      <w:r>
        <w:fldChar w:fldCharType="end"/>
      </w:r>
    </w:p>
    <w:p>
      <w:pPr>
        <w:pStyle w:val="TOC8"/>
        <w:rPr>
          <w:rFonts w:asciiTheme="minorHAnsi" w:eastAsiaTheme="minorEastAsia" w:hAnsiTheme="minorHAnsi" w:cstheme="minorBidi"/>
          <w:szCs w:val="22"/>
        </w:rPr>
      </w:pPr>
      <w:r>
        <w:t>7.</w:t>
      </w:r>
      <w:r>
        <w:tab/>
        <w:t>Judicial bodies</w:t>
      </w:r>
      <w:r>
        <w:tab/>
      </w:r>
      <w:r>
        <w:fldChar w:fldCharType="begin"/>
      </w:r>
      <w:r>
        <w:instrText xml:space="preserve"> PAGEREF _Toc216963592 \h </w:instrText>
      </w:r>
      <w:r>
        <w:fldChar w:fldCharType="separate"/>
      </w:r>
      <w:r>
        <w:t>19</w:t>
      </w:r>
      <w:r>
        <w:fldChar w:fldCharType="end"/>
      </w:r>
    </w:p>
    <w:p>
      <w:pPr>
        <w:pStyle w:val="TOC8"/>
        <w:rPr>
          <w:rFonts w:asciiTheme="minorHAnsi" w:eastAsiaTheme="minorEastAsia" w:hAnsiTheme="minorHAnsi" w:cstheme="minorBidi"/>
          <w:szCs w:val="22"/>
        </w:rPr>
      </w:pPr>
      <w:r>
        <w:t>8.</w:t>
      </w:r>
      <w:r>
        <w:tab/>
        <w:t>State services contracts and contracted service providers</w:t>
      </w:r>
      <w:r>
        <w:tab/>
      </w:r>
      <w:r>
        <w:fldChar w:fldCharType="begin"/>
      </w:r>
      <w:r>
        <w:instrText xml:space="preserve"> PAGEREF _Toc216963593 \h </w:instrText>
      </w:r>
      <w:r>
        <w:fldChar w:fldCharType="separate"/>
      </w:r>
      <w:r>
        <w:t>19</w:t>
      </w:r>
      <w:r>
        <w:fldChar w:fldCharType="end"/>
      </w:r>
    </w:p>
    <w:p>
      <w:pPr>
        <w:pStyle w:val="TOC8"/>
        <w:rPr>
          <w:rFonts w:asciiTheme="minorHAnsi" w:eastAsiaTheme="minorEastAsia" w:hAnsiTheme="minorHAnsi" w:cstheme="minorBidi"/>
          <w:szCs w:val="22"/>
        </w:rPr>
      </w:pPr>
      <w:r>
        <w:t>9.</w:t>
      </w:r>
      <w:r>
        <w:tab/>
        <w:t>Principal officers</w:t>
      </w:r>
      <w:r>
        <w:tab/>
      </w:r>
      <w:r>
        <w:fldChar w:fldCharType="begin"/>
      </w:r>
      <w:r>
        <w:instrText xml:space="preserve"> PAGEREF _Toc216963594 \h </w:instrText>
      </w:r>
      <w:r>
        <w:fldChar w:fldCharType="separate"/>
      </w:r>
      <w:r>
        <w:t>20</w:t>
      </w:r>
      <w:r>
        <w:fldChar w:fldCharType="end"/>
      </w:r>
    </w:p>
    <w:p>
      <w:pPr>
        <w:pStyle w:val="TOC8"/>
        <w:rPr>
          <w:rFonts w:asciiTheme="minorHAnsi" w:eastAsiaTheme="minorEastAsia" w:hAnsiTheme="minorHAnsi" w:cstheme="minorBidi"/>
          <w:szCs w:val="22"/>
        </w:rPr>
      </w:pPr>
      <w:r>
        <w:t>10.</w:t>
      </w:r>
      <w:r>
        <w:tab/>
        <w:t>Disclosure by public entities and other IPP entities</w:t>
      </w:r>
      <w:r>
        <w:tab/>
      </w:r>
      <w:r>
        <w:fldChar w:fldCharType="begin"/>
      </w:r>
      <w:r>
        <w:instrText xml:space="preserve"> PAGEREF _Toc216963595 \h </w:instrText>
      </w:r>
      <w:r>
        <w:fldChar w:fldCharType="separate"/>
      </w:r>
      <w:r>
        <w:t>21</w:t>
      </w:r>
      <w:r>
        <w:fldChar w:fldCharType="end"/>
      </w:r>
    </w:p>
    <w:p>
      <w:pPr>
        <w:pStyle w:val="TOC8"/>
        <w:rPr>
          <w:rFonts w:asciiTheme="minorHAnsi" w:eastAsiaTheme="minorEastAsia" w:hAnsiTheme="minorHAnsi" w:cstheme="minorBidi"/>
          <w:szCs w:val="22"/>
        </w:rPr>
      </w:pPr>
      <w:r>
        <w:t>11.</w:t>
      </w:r>
      <w:r>
        <w:tab/>
        <w:t>De</w:t>
      </w:r>
      <w:r>
        <w:noBreakHyphen/>
        <w:t>identification and re</w:t>
      </w:r>
      <w:r>
        <w:noBreakHyphen/>
        <w:t>identification of information</w:t>
      </w:r>
      <w:r>
        <w:tab/>
      </w:r>
      <w:r>
        <w:fldChar w:fldCharType="begin"/>
      </w:r>
      <w:r>
        <w:instrText xml:space="preserve"> PAGEREF _Toc216963596 \h </w:instrText>
      </w:r>
      <w:r>
        <w:fldChar w:fldCharType="separate"/>
      </w:r>
      <w:r>
        <w:t>21</w:t>
      </w:r>
      <w:r>
        <w:fldChar w:fldCharType="end"/>
      </w:r>
    </w:p>
    <w:p>
      <w:pPr>
        <w:pStyle w:val="TOC8"/>
        <w:rPr>
          <w:rFonts w:asciiTheme="minorHAnsi" w:eastAsiaTheme="minorEastAsia" w:hAnsiTheme="minorHAnsi" w:cstheme="minorBidi"/>
          <w:szCs w:val="22"/>
        </w:rPr>
      </w:pPr>
      <w:r>
        <w:t>12.</w:t>
      </w:r>
      <w:r>
        <w:tab/>
        <w:t>Data sets, data analytics work, data linkage and data integration</w:t>
      </w:r>
      <w:r>
        <w:tab/>
      </w:r>
      <w:r>
        <w:fldChar w:fldCharType="begin"/>
      </w:r>
      <w:r>
        <w:instrText xml:space="preserve"> PAGEREF _Toc216963597 \h </w:instrText>
      </w:r>
      <w:r>
        <w:fldChar w:fldCharType="separate"/>
      </w:r>
      <w:r>
        <w:t>22</w:t>
      </w:r>
      <w:r>
        <w:fldChar w:fldCharType="end"/>
      </w:r>
    </w:p>
    <w:p>
      <w:pPr>
        <w:pStyle w:val="TOC8"/>
        <w:rPr>
          <w:rFonts w:asciiTheme="minorHAnsi" w:eastAsiaTheme="minorEastAsia" w:hAnsiTheme="minorHAnsi" w:cstheme="minorBidi"/>
          <w:szCs w:val="22"/>
        </w:rPr>
      </w:pPr>
      <w:r>
        <w:t>13.</w:t>
      </w:r>
      <w:r>
        <w:tab/>
        <w:t>Act binds Crown</w:t>
      </w:r>
      <w:r>
        <w:tab/>
      </w:r>
      <w:r>
        <w:fldChar w:fldCharType="begin"/>
      </w:r>
      <w:r>
        <w:instrText xml:space="preserve"> PAGEREF _Toc216963598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2 — Privacy</w:t>
      </w:r>
    </w:p>
    <w:p>
      <w:pPr>
        <w:pStyle w:val="TOC4"/>
        <w:tabs>
          <w:tab w:val="right" w:leader="dot" w:pos="7077"/>
        </w:tabs>
        <w:rPr>
          <w:rFonts w:asciiTheme="minorHAnsi" w:eastAsiaTheme="minorEastAsia" w:hAnsiTheme="minorHAnsi" w:cstheme="minorBidi"/>
          <w:b w:val="0"/>
          <w:szCs w:val="22"/>
        </w:rPr>
      </w:pPr>
      <w:r>
        <w:t>Division 12 — Administration</w:t>
      </w:r>
    </w:p>
    <w:p>
      <w:pPr>
        <w:pStyle w:val="TOC6"/>
        <w:tabs>
          <w:tab w:val="right" w:leader="dot" w:pos="7077"/>
        </w:tabs>
        <w:rPr>
          <w:rFonts w:asciiTheme="minorHAnsi" w:eastAsiaTheme="minorEastAsia" w:hAnsiTheme="minorHAnsi" w:cstheme="minorBidi"/>
          <w:b w:val="0"/>
          <w:sz w:val="22"/>
          <w:szCs w:val="22"/>
        </w:rPr>
      </w:pPr>
      <w:r>
        <w:t>Subdivision 1 — Functions under this Act of Information Commissioner and Privacy Deputy Commissioner</w:t>
      </w:r>
    </w:p>
    <w:p>
      <w:pPr>
        <w:pStyle w:val="TOC8"/>
        <w:rPr>
          <w:rFonts w:asciiTheme="minorHAnsi" w:eastAsiaTheme="minorEastAsia" w:hAnsiTheme="minorHAnsi" w:cstheme="minorBidi"/>
          <w:szCs w:val="22"/>
        </w:rPr>
      </w:pPr>
      <w:r>
        <w:t>141.</w:t>
      </w:r>
      <w:r>
        <w:tab/>
        <w:t>Functions of Information Commissioner and Privacy Deputy Commissioner under this Act</w:t>
      </w:r>
      <w:r>
        <w:tab/>
      </w:r>
      <w:r>
        <w:fldChar w:fldCharType="begin"/>
      </w:r>
      <w:r>
        <w:instrText xml:space="preserve"> PAGEREF _Toc216963602 \h </w:instrText>
      </w:r>
      <w:r>
        <w:fldChar w:fldCharType="separate"/>
      </w:r>
      <w:r>
        <w:t>23</w:t>
      </w:r>
      <w:r>
        <w:fldChar w:fldCharType="end"/>
      </w:r>
    </w:p>
    <w:p>
      <w:pPr>
        <w:pStyle w:val="TOC8"/>
        <w:rPr>
          <w:rFonts w:asciiTheme="minorHAnsi" w:eastAsiaTheme="minorEastAsia" w:hAnsiTheme="minorHAnsi" w:cstheme="minorBidi"/>
          <w:szCs w:val="22"/>
        </w:rPr>
      </w:pPr>
      <w:r>
        <w:t>142.</w:t>
      </w:r>
      <w:r>
        <w:tab/>
        <w:t>Performance of privacy functions</w:t>
      </w:r>
      <w:r>
        <w:tab/>
      </w:r>
      <w:r>
        <w:fldChar w:fldCharType="begin"/>
      </w:r>
      <w:r>
        <w:instrText xml:space="preserve"> PAGEREF _Toc216963603 \h </w:instrText>
      </w:r>
      <w:r>
        <w:fldChar w:fldCharType="separate"/>
      </w:r>
      <w:r>
        <w:t>24</w:t>
      </w:r>
      <w:r>
        <w:fldChar w:fldCharType="end"/>
      </w:r>
    </w:p>
    <w:p>
      <w:pPr>
        <w:pStyle w:val="TOC8"/>
        <w:rPr>
          <w:rFonts w:asciiTheme="minorHAnsi" w:eastAsiaTheme="minorEastAsia" w:hAnsiTheme="minorHAnsi" w:cstheme="minorBidi"/>
          <w:szCs w:val="22"/>
        </w:rPr>
      </w:pPr>
      <w:r>
        <w:lastRenderedPageBreak/>
        <w:t>143.</w:t>
      </w:r>
      <w:r>
        <w:tab/>
        <w:t>Certain functions cannot be delegated</w:t>
      </w:r>
      <w:r>
        <w:tab/>
      </w:r>
      <w:r>
        <w:fldChar w:fldCharType="begin"/>
      </w:r>
      <w:r>
        <w:instrText xml:space="preserve"> PAGEREF _Toc216963604 \h </w:instrText>
      </w:r>
      <w:r>
        <w:fldChar w:fldCharType="separate"/>
      </w:r>
      <w:r>
        <w:t>26</w:t>
      </w:r>
      <w:r>
        <w:fldChar w:fldCharType="end"/>
      </w:r>
    </w:p>
    <w:p>
      <w:pPr>
        <w:pStyle w:val="TOC8"/>
        <w:rPr>
          <w:rFonts w:asciiTheme="minorHAnsi" w:eastAsiaTheme="minorEastAsia" w:hAnsiTheme="minorHAnsi" w:cstheme="minorBidi"/>
          <w:szCs w:val="22"/>
        </w:rPr>
      </w:pPr>
      <w:r>
        <w:t>144.</w:t>
      </w:r>
      <w:r>
        <w:tab/>
        <w:t>Information Commissioner and Privacy Deputy Commissioner must have regard to objects of Act in performing functions</w:t>
      </w:r>
      <w:r>
        <w:tab/>
      </w:r>
      <w:r>
        <w:fldChar w:fldCharType="begin"/>
      </w:r>
      <w:r>
        <w:instrText xml:space="preserve"> PAGEREF _Toc216963605 \h </w:instrText>
      </w:r>
      <w:r>
        <w:fldChar w:fldCharType="separate"/>
      </w:r>
      <w:r>
        <w:t>27</w:t>
      </w:r>
      <w:r>
        <w:fldChar w:fldCharType="end"/>
      </w:r>
    </w:p>
    <w:p>
      <w:pPr>
        <w:pStyle w:val="TOC8"/>
        <w:rPr>
          <w:rFonts w:asciiTheme="minorHAnsi" w:eastAsiaTheme="minorEastAsia" w:hAnsiTheme="minorHAnsi" w:cstheme="minorBidi"/>
          <w:szCs w:val="22"/>
        </w:rPr>
      </w:pPr>
      <w:r>
        <w:t>145.</w:t>
      </w:r>
      <w:r>
        <w:tab/>
        <w:t>Information Commissioner and Privacy Deputy Commissioner may request IPP entity to provide assistance</w:t>
      </w:r>
      <w:r>
        <w:tab/>
      </w:r>
      <w:r>
        <w:fldChar w:fldCharType="begin"/>
      </w:r>
      <w:r>
        <w:instrText xml:space="preserve"> PAGEREF _Toc216963606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Reporting</w:t>
      </w:r>
    </w:p>
    <w:p>
      <w:pPr>
        <w:pStyle w:val="TOC8"/>
        <w:rPr>
          <w:rFonts w:asciiTheme="minorHAnsi" w:eastAsiaTheme="minorEastAsia" w:hAnsiTheme="minorHAnsi" w:cstheme="minorBidi"/>
          <w:szCs w:val="22"/>
        </w:rPr>
      </w:pPr>
      <w:r>
        <w:t>146.</w:t>
      </w:r>
      <w:r>
        <w:tab/>
        <w:t>Matters to be included in annual report to Parliament</w:t>
      </w:r>
      <w:r>
        <w:tab/>
      </w:r>
      <w:r>
        <w:fldChar w:fldCharType="begin"/>
      </w:r>
      <w:r>
        <w:instrText xml:space="preserve"> PAGEREF _Toc216963608 \h </w:instrText>
      </w:r>
      <w:r>
        <w:fldChar w:fldCharType="separate"/>
      </w:r>
      <w:r>
        <w:t>27</w:t>
      </w:r>
      <w:r>
        <w:fldChar w:fldCharType="end"/>
      </w:r>
    </w:p>
    <w:p>
      <w:pPr>
        <w:pStyle w:val="TOC8"/>
        <w:rPr>
          <w:rFonts w:asciiTheme="minorHAnsi" w:eastAsiaTheme="minorEastAsia" w:hAnsiTheme="minorHAnsi" w:cstheme="minorBidi"/>
          <w:szCs w:val="22"/>
        </w:rPr>
      </w:pPr>
      <w:r>
        <w:t>147.</w:t>
      </w:r>
      <w:r>
        <w:tab/>
        <w:t>Special reports to Parliament</w:t>
      </w:r>
      <w:r>
        <w:tab/>
      </w:r>
      <w:r>
        <w:fldChar w:fldCharType="begin"/>
      </w:r>
      <w:r>
        <w:instrText xml:space="preserve"> PAGEREF _Toc216963609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Guidelines, documents and notices</w:t>
      </w:r>
    </w:p>
    <w:p>
      <w:pPr>
        <w:pStyle w:val="TOC8"/>
        <w:rPr>
          <w:rFonts w:asciiTheme="minorHAnsi" w:eastAsiaTheme="minorEastAsia" w:hAnsiTheme="minorHAnsi" w:cstheme="minorBidi"/>
          <w:szCs w:val="22"/>
        </w:rPr>
      </w:pPr>
      <w:r>
        <w:t>148.</w:t>
      </w:r>
      <w:r>
        <w:tab/>
        <w:t>Privacy guidelines</w:t>
      </w:r>
      <w:r>
        <w:tab/>
      </w:r>
      <w:r>
        <w:fldChar w:fldCharType="begin"/>
      </w:r>
      <w:r>
        <w:instrText xml:space="preserve"> PAGEREF _Toc216963611 \h </w:instrText>
      </w:r>
      <w:r>
        <w:fldChar w:fldCharType="separate"/>
      </w:r>
      <w:r>
        <w:t>29</w:t>
      </w:r>
      <w:r>
        <w:fldChar w:fldCharType="end"/>
      </w:r>
    </w:p>
    <w:p>
      <w:pPr>
        <w:pStyle w:val="TOC8"/>
        <w:rPr>
          <w:rFonts w:asciiTheme="minorHAnsi" w:eastAsiaTheme="minorEastAsia" w:hAnsiTheme="minorHAnsi" w:cstheme="minorBidi"/>
          <w:szCs w:val="22"/>
        </w:rPr>
      </w:pPr>
      <w:r>
        <w:t>149.</w:t>
      </w:r>
      <w:r>
        <w:tab/>
        <w:t>Making documents publicly available</w:t>
      </w:r>
      <w:r>
        <w:tab/>
      </w:r>
      <w:r>
        <w:fldChar w:fldCharType="begin"/>
      </w:r>
      <w:r>
        <w:instrText xml:space="preserve"> PAGEREF _Toc216963612 \h </w:instrText>
      </w:r>
      <w:r>
        <w:fldChar w:fldCharType="separate"/>
      </w:r>
      <w:r>
        <w:t>30</w:t>
      </w:r>
      <w:r>
        <w:fldChar w:fldCharType="end"/>
      </w:r>
    </w:p>
    <w:p>
      <w:pPr>
        <w:pStyle w:val="TOC8"/>
        <w:rPr>
          <w:rFonts w:asciiTheme="minorHAnsi" w:eastAsiaTheme="minorEastAsia" w:hAnsiTheme="minorHAnsi" w:cstheme="minorBidi"/>
          <w:szCs w:val="22"/>
        </w:rPr>
      </w:pPr>
      <w:r>
        <w:t>150.</w:t>
      </w:r>
      <w:r>
        <w:tab/>
        <w:t>Notices of decisions or determinations</w:t>
      </w:r>
      <w:r>
        <w:tab/>
      </w:r>
      <w:r>
        <w:fldChar w:fldCharType="begin"/>
      </w:r>
      <w:r>
        <w:instrText xml:space="preserve"> PAGEREF _Toc216963613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Responsible information sharing</w:t>
      </w:r>
    </w:p>
    <w:p>
      <w:pPr>
        <w:pStyle w:val="TOC4"/>
        <w:tabs>
          <w:tab w:val="right" w:leader="dot" w:pos="7077"/>
        </w:tabs>
        <w:rPr>
          <w:rFonts w:asciiTheme="minorHAnsi" w:eastAsiaTheme="minorEastAsia" w:hAnsiTheme="minorHAnsi" w:cstheme="minorBidi"/>
          <w:b w:val="0"/>
          <w:szCs w:val="22"/>
        </w:rPr>
      </w:pPr>
      <w:r>
        <w:t>Division 8 — Administration</w:t>
      </w:r>
    </w:p>
    <w:p>
      <w:pPr>
        <w:pStyle w:val="TOC6"/>
        <w:tabs>
          <w:tab w:val="right" w:leader="dot" w:pos="7077"/>
        </w:tabs>
        <w:rPr>
          <w:rFonts w:asciiTheme="minorHAnsi" w:eastAsiaTheme="minorEastAsia" w:hAnsiTheme="minorHAnsi" w:cstheme="minorBidi"/>
          <w:b w:val="0"/>
          <w:sz w:val="22"/>
          <w:szCs w:val="22"/>
        </w:rPr>
      </w:pPr>
      <w:r>
        <w:t>Subdivision 1 — Chief Data Officer</w:t>
      </w:r>
    </w:p>
    <w:p>
      <w:pPr>
        <w:pStyle w:val="TOC8"/>
        <w:rPr>
          <w:rFonts w:asciiTheme="minorHAnsi" w:eastAsiaTheme="minorEastAsia" w:hAnsiTheme="minorHAnsi" w:cstheme="minorBidi"/>
          <w:szCs w:val="22"/>
        </w:rPr>
      </w:pPr>
      <w:r>
        <w:t>198.</w:t>
      </w:r>
      <w:r>
        <w:tab/>
        <w:t>Chief Data Officer</w:t>
      </w:r>
      <w:r>
        <w:tab/>
      </w:r>
      <w:r>
        <w:fldChar w:fldCharType="begin"/>
      </w:r>
      <w:r>
        <w:instrText xml:space="preserve"> PAGEREF _Toc216963617 \h </w:instrText>
      </w:r>
      <w:r>
        <w:fldChar w:fldCharType="separate"/>
      </w:r>
      <w:r>
        <w:t>31</w:t>
      </w:r>
      <w:r>
        <w:fldChar w:fldCharType="end"/>
      </w:r>
    </w:p>
    <w:p>
      <w:pPr>
        <w:pStyle w:val="TOC8"/>
        <w:rPr>
          <w:rFonts w:asciiTheme="minorHAnsi" w:eastAsiaTheme="minorEastAsia" w:hAnsiTheme="minorHAnsi" w:cstheme="minorBidi"/>
          <w:szCs w:val="22"/>
        </w:rPr>
      </w:pPr>
      <w:r>
        <w:t>199.</w:t>
      </w:r>
      <w:r>
        <w:tab/>
        <w:t>Chief Data Officer is separate public entity for information sharing purposes</w:t>
      </w:r>
      <w:r>
        <w:tab/>
      </w:r>
      <w:r>
        <w:fldChar w:fldCharType="begin"/>
      </w:r>
      <w:r>
        <w:instrText xml:space="preserve"> PAGEREF _Toc216963618 \h </w:instrText>
      </w:r>
      <w:r>
        <w:fldChar w:fldCharType="separate"/>
      </w:r>
      <w:r>
        <w:t>31</w:t>
      </w:r>
      <w:r>
        <w:fldChar w:fldCharType="end"/>
      </w:r>
    </w:p>
    <w:p>
      <w:pPr>
        <w:pStyle w:val="TOC8"/>
        <w:rPr>
          <w:rFonts w:asciiTheme="minorHAnsi" w:eastAsiaTheme="minorEastAsia" w:hAnsiTheme="minorHAnsi" w:cstheme="minorBidi"/>
          <w:szCs w:val="22"/>
        </w:rPr>
      </w:pPr>
      <w:r>
        <w:t>200.</w:t>
      </w:r>
      <w:r>
        <w:tab/>
        <w:t>Functions of Chief Data Officer</w:t>
      </w:r>
      <w:r>
        <w:tab/>
      </w:r>
      <w:r>
        <w:fldChar w:fldCharType="begin"/>
      </w:r>
      <w:r>
        <w:instrText xml:space="preserve"> PAGEREF _Toc216963619 \h </w:instrText>
      </w:r>
      <w:r>
        <w:fldChar w:fldCharType="separate"/>
      </w:r>
      <w:r>
        <w:t>32</w:t>
      </w:r>
      <w:r>
        <w:fldChar w:fldCharType="end"/>
      </w:r>
    </w:p>
    <w:p>
      <w:pPr>
        <w:pStyle w:val="TOC8"/>
        <w:rPr>
          <w:rFonts w:asciiTheme="minorHAnsi" w:eastAsiaTheme="minorEastAsia" w:hAnsiTheme="minorHAnsi" w:cstheme="minorBidi"/>
          <w:szCs w:val="22"/>
        </w:rPr>
      </w:pPr>
      <w:r>
        <w:t>201.</w:t>
      </w:r>
      <w:r>
        <w:tab/>
        <w:t>Power to issue guidelines</w:t>
      </w:r>
      <w:r>
        <w:tab/>
      </w:r>
      <w:r>
        <w:fldChar w:fldCharType="begin"/>
      </w:r>
      <w:r>
        <w:instrText xml:space="preserve"> PAGEREF _Toc216963620 \h </w:instrText>
      </w:r>
      <w:r>
        <w:fldChar w:fldCharType="separate"/>
      </w:r>
      <w:r>
        <w:t>33</w:t>
      </w:r>
      <w:r>
        <w:fldChar w:fldCharType="end"/>
      </w:r>
    </w:p>
    <w:p>
      <w:pPr>
        <w:pStyle w:val="TOC8"/>
        <w:rPr>
          <w:rFonts w:asciiTheme="minorHAnsi" w:eastAsiaTheme="minorEastAsia" w:hAnsiTheme="minorHAnsi" w:cstheme="minorBidi"/>
          <w:szCs w:val="22"/>
        </w:rPr>
      </w:pPr>
      <w:r>
        <w:t>202.</w:t>
      </w:r>
      <w:r>
        <w:tab/>
        <w:t>Consultation on guidelines</w:t>
      </w:r>
      <w:r>
        <w:tab/>
      </w:r>
      <w:r>
        <w:fldChar w:fldCharType="begin"/>
      </w:r>
      <w:r>
        <w:instrText xml:space="preserve"> PAGEREF _Toc216963621 \h </w:instrText>
      </w:r>
      <w:r>
        <w:fldChar w:fldCharType="separate"/>
      </w:r>
      <w:r>
        <w:t>34</w:t>
      </w:r>
      <w:r>
        <w:fldChar w:fldCharType="end"/>
      </w:r>
    </w:p>
    <w:p>
      <w:pPr>
        <w:pStyle w:val="TOC8"/>
        <w:rPr>
          <w:rFonts w:asciiTheme="minorHAnsi" w:eastAsiaTheme="minorEastAsia" w:hAnsiTheme="minorHAnsi" w:cstheme="minorBidi"/>
          <w:szCs w:val="22"/>
        </w:rPr>
      </w:pPr>
      <w:r>
        <w:t>203.</w:t>
      </w:r>
      <w:r>
        <w:tab/>
        <w:t>Chief Data Officer must have regard to objects of Act</w:t>
      </w:r>
      <w:r>
        <w:tab/>
      </w:r>
      <w:r>
        <w:fldChar w:fldCharType="begin"/>
      </w:r>
      <w:r>
        <w:instrText xml:space="preserve"> PAGEREF _Toc216963622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Privacy and Responsible Information Sharing Advisory Committee</w:t>
      </w:r>
    </w:p>
    <w:p>
      <w:pPr>
        <w:pStyle w:val="TOC8"/>
        <w:rPr>
          <w:rFonts w:asciiTheme="minorHAnsi" w:eastAsiaTheme="minorEastAsia" w:hAnsiTheme="minorHAnsi" w:cstheme="minorBidi"/>
          <w:szCs w:val="22"/>
        </w:rPr>
      </w:pPr>
      <w:r>
        <w:t>204.</w:t>
      </w:r>
      <w:r>
        <w:tab/>
        <w:t>Privacy and Responsible Information Sharing Advisory Committee</w:t>
      </w:r>
      <w:r>
        <w:tab/>
      </w:r>
      <w:r>
        <w:fldChar w:fldCharType="begin"/>
      </w:r>
      <w:r>
        <w:instrText xml:space="preserve"> PAGEREF _Toc216963624 \h </w:instrText>
      </w:r>
      <w:r>
        <w:fldChar w:fldCharType="separate"/>
      </w:r>
      <w:r>
        <w:t>35</w:t>
      </w:r>
      <w:r>
        <w:fldChar w:fldCharType="end"/>
      </w:r>
    </w:p>
    <w:p>
      <w:pPr>
        <w:pStyle w:val="TOC8"/>
        <w:rPr>
          <w:rFonts w:asciiTheme="minorHAnsi" w:eastAsiaTheme="minorEastAsia" w:hAnsiTheme="minorHAnsi" w:cstheme="minorBidi"/>
          <w:szCs w:val="22"/>
        </w:rPr>
      </w:pPr>
      <w:r>
        <w:t>205.</w:t>
      </w:r>
      <w:r>
        <w:tab/>
        <w:t>Functions of Privacy and Responsible Information Sharing Advisory Committee</w:t>
      </w:r>
      <w:r>
        <w:tab/>
      </w:r>
      <w:r>
        <w:fldChar w:fldCharType="begin"/>
      </w:r>
      <w:r>
        <w:instrText xml:space="preserve"> PAGEREF _Toc216963625 \h </w:instrText>
      </w:r>
      <w:r>
        <w:fldChar w:fldCharType="separate"/>
      </w:r>
      <w:r>
        <w:t>35</w:t>
      </w:r>
      <w:r>
        <w:fldChar w:fldCharType="end"/>
      </w:r>
    </w:p>
    <w:p>
      <w:pPr>
        <w:pStyle w:val="TOC8"/>
        <w:rPr>
          <w:rFonts w:asciiTheme="minorHAnsi" w:eastAsiaTheme="minorEastAsia" w:hAnsiTheme="minorHAnsi" w:cstheme="minorBidi"/>
          <w:szCs w:val="22"/>
        </w:rPr>
      </w:pPr>
      <w:r>
        <w:t>206.</w:t>
      </w:r>
      <w:r>
        <w:tab/>
        <w:t>Regulations about Privacy and Responsible Information Sharing Advisory Committee</w:t>
      </w:r>
      <w:r>
        <w:tab/>
      </w:r>
      <w:r>
        <w:fldChar w:fldCharType="begin"/>
      </w:r>
      <w:r>
        <w:instrText xml:space="preserve"> PAGEREF _Toc216963626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Delegation and secrecy</w:t>
      </w:r>
    </w:p>
    <w:p>
      <w:pPr>
        <w:pStyle w:val="TOC8"/>
        <w:rPr>
          <w:rFonts w:asciiTheme="minorHAnsi" w:eastAsiaTheme="minorEastAsia" w:hAnsiTheme="minorHAnsi" w:cstheme="minorBidi"/>
          <w:szCs w:val="22"/>
        </w:rPr>
      </w:pPr>
      <w:r>
        <w:t>207.</w:t>
      </w:r>
      <w:r>
        <w:tab/>
        <w:t>Delegation by Chief Data Officer</w:t>
      </w:r>
      <w:r>
        <w:tab/>
      </w:r>
      <w:r>
        <w:fldChar w:fldCharType="begin"/>
      </w:r>
      <w:r>
        <w:instrText xml:space="preserve"> PAGEREF _Toc216963628 \h </w:instrText>
      </w:r>
      <w:r>
        <w:fldChar w:fldCharType="separate"/>
      </w:r>
      <w:r>
        <w:t>37</w:t>
      </w:r>
      <w:r>
        <w:fldChar w:fldCharType="end"/>
      </w:r>
    </w:p>
    <w:p>
      <w:pPr>
        <w:pStyle w:val="TOC8"/>
        <w:rPr>
          <w:rFonts w:asciiTheme="minorHAnsi" w:eastAsiaTheme="minorEastAsia" w:hAnsiTheme="minorHAnsi" w:cstheme="minorBidi"/>
          <w:szCs w:val="22"/>
        </w:rPr>
      </w:pPr>
      <w:r>
        <w:lastRenderedPageBreak/>
        <w:t>208.</w:t>
      </w:r>
      <w:r>
        <w:tab/>
        <w:t>Secrecy and authorised disclosure and use of information</w:t>
      </w:r>
      <w:r>
        <w:tab/>
      </w:r>
      <w:r>
        <w:fldChar w:fldCharType="begin"/>
      </w:r>
      <w:r>
        <w:instrText xml:space="preserve"> PAGEREF _Toc216963629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Making documents publicly available</w:t>
      </w:r>
    </w:p>
    <w:p>
      <w:pPr>
        <w:pStyle w:val="TOC8"/>
        <w:rPr>
          <w:rFonts w:asciiTheme="minorHAnsi" w:eastAsiaTheme="minorEastAsia" w:hAnsiTheme="minorHAnsi" w:cstheme="minorBidi"/>
          <w:szCs w:val="22"/>
        </w:rPr>
      </w:pPr>
      <w:r>
        <w:t>209.</w:t>
      </w:r>
      <w:r>
        <w:tab/>
        <w:t>Making documents publicly available</w:t>
      </w:r>
      <w:r>
        <w:tab/>
      </w:r>
      <w:r>
        <w:fldChar w:fldCharType="begin"/>
      </w:r>
      <w:r>
        <w:instrText xml:space="preserve"> PAGEREF _Toc216963631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215.</w:t>
      </w:r>
      <w:r>
        <w:tab/>
        <w:t>False or misleading information</w:t>
      </w:r>
      <w:r>
        <w:tab/>
      </w:r>
      <w:r>
        <w:fldChar w:fldCharType="begin"/>
      </w:r>
      <w:r>
        <w:instrText xml:space="preserve"> PAGEREF _Toc216963633 \h </w:instrText>
      </w:r>
      <w:r>
        <w:fldChar w:fldCharType="separate"/>
      </w:r>
      <w:r>
        <w:t>40</w:t>
      </w:r>
      <w:r>
        <w:fldChar w:fldCharType="end"/>
      </w:r>
    </w:p>
    <w:p>
      <w:pPr>
        <w:pStyle w:val="TOC8"/>
        <w:rPr>
          <w:rFonts w:asciiTheme="minorHAnsi" w:eastAsiaTheme="minorEastAsia" w:hAnsiTheme="minorHAnsi" w:cstheme="minorBidi"/>
          <w:szCs w:val="22"/>
        </w:rPr>
      </w:pPr>
      <w:r>
        <w:t>216.</w:t>
      </w:r>
      <w:r>
        <w:tab/>
        <w:t>Acts and practices of public entities and other IPP entities</w:t>
      </w:r>
      <w:r>
        <w:tab/>
      </w:r>
      <w:r>
        <w:fldChar w:fldCharType="begin"/>
      </w:r>
      <w:r>
        <w:instrText xml:space="preserve"> PAGEREF _Toc216963634 \h </w:instrText>
      </w:r>
      <w:r>
        <w:fldChar w:fldCharType="separate"/>
      </w:r>
      <w:r>
        <w:t>40</w:t>
      </w:r>
      <w:r>
        <w:fldChar w:fldCharType="end"/>
      </w:r>
    </w:p>
    <w:p>
      <w:pPr>
        <w:pStyle w:val="TOC8"/>
        <w:rPr>
          <w:rFonts w:asciiTheme="minorHAnsi" w:eastAsiaTheme="minorEastAsia" w:hAnsiTheme="minorHAnsi" w:cstheme="minorBidi"/>
          <w:szCs w:val="22"/>
        </w:rPr>
      </w:pPr>
      <w:r>
        <w:t>217.</w:t>
      </w:r>
      <w:r>
        <w:tab/>
        <w:t>States of mind of public entities and other IPP entities</w:t>
      </w:r>
      <w:r>
        <w:tab/>
      </w:r>
      <w:r>
        <w:fldChar w:fldCharType="begin"/>
      </w:r>
      <w:r>
        <w:instrText xml:space="preserve"> PAGEREF _Toc216963635 \h </w:instrText>
      </w:r>
      <w:r>
        <w:fldChar w:fldCharType="separate"/>
      </w:r>
      <w:r>
        <w:t>41</w:t>
      </w:r>
      <w:r>
        <w:fldChar w:fldCharType="end"/>
      </w:r>
    </w:p>
    <w:p>
      <w:pPr>
        <w:pStyle w:val="TOC8"/>
        <w:rPr>
          <w:rFonts w:asciiTheme="minorHAnsi" w:eastAsiaTheme="minorEastAsia" w:hAnsiTheme="minorHAnsi" w:cstheme="minorBidi"/>
          <w:szCs w:val="22"/>
        </w:rPr>
      </w:pPr>
      <w:r>
        <w:t>218.</w:t>
      </w:r>
      <w:r>
        <w:tab/>
        <w:t>Protection from personal liability</w:t>
      </w:r>
      <w:r>
        <w:tab/>
      </w:r>
      <w:r>
        <w:fldChar w:fldCharType="begin"/>
      </w:r>
      <w:r>
        <w:instrText xml:space="preserve"> PAGEREF _Toc216963636 \h </w:instrText>
      </w:r>
      <w:r>
        <w:fldChar w:fldCharType="separate"/>
      </w:r>
      <w:r>
        <w:t>41</w:t>
      </w:r>
      <w:r>
        <w:fldChar w:fldCharType="end"/>
      </w:r>
    </w:p>
    <w:p>
      <w:pPr>
        <w:pStyle w:val="TOC8"/>
        <w:rPr>
          <w:rFonts w:asciiTheme="minorHAnsi" w:eastAsiaTheme="minorEastAsia" w:hAnsiTheme="minorHAnsi" w:cstheme="minorBidi"/>
          <w:szCs w:val="22"/>
        </w:rPr>
      </w:pPr>
      <w:r>
        <w:t>219.</w:t>
      </w:r>
      <w:r>
        <w:tab/>
        <w:t>Giving documents</w:t>
      </w:r>
      <w:r>
        <w:tab/>
      </w:r>
      <w:r>
        <w:fldChar w:fldCharType="begin"/>
      </w:r>
      <w:r>
        <w:instrText xml:space="preserve"> PAGEREF _Toc216963637 \h </w:instrText>
      </w:r>
      <w:r>
        <w:fldChar w:fldCharType="separate"/>
      </w:r>
      <w:r>
        <w:t>42</w:t>
      </w:r>
      <w:r>
        <w:fldChar w:fldCharType="end"/>
      </w:r>
    </w:p>
    <w:p>
      <w:pPr>
        <w:pStyle w:val="TOC8"/>
        <w:rPr>
          <w:rFonts w:asciiTheme="minorHAnsi" w:eastAsiaTheme="minorEastAsia" w:hAnsiTheme="minorHAnsi" w:cstheme="minorBidi"/>
          <w:szCs w:val="22"/>
        </w:rPr>
      </w:pPr>
      <w:r>
        <w:t>220.</w:t>
      </w:r>
      <w:r>
        <w:tab/>
        <w:t>Laying documents before House of Parliament not sitting</w:t>
      </w:r>
      <w:r>
        <w:tab/>
      </w:r>
      <w:r>
        <w:fldChar w:fldCharType="begin"/>
      </w:r>
      <w:r>
        <w:instrText xml:space="preserve"> PAGEREF _Toc216963638 \h </w:instrText>
      </w:r>
      <w:r>
        <w:fldChar w:fldCharType="separate"/>
      </w:r>
      <w:r>
        <w:t>42</w:t>
      </w:r>
      <w:r>
        <w:fldChar w:fldCharType="end"/>
      </w:r>
    </w:p>
    <w:p>
      <w:pPr>
        <w:pStyle w:val="TOC8"/>
        <w:rPr>
          <w:rFonts w:asciiTheme="minorHAnsi" w:eastAsiaTheme="minorEastAsia" w:hAnsiTheme="minorHAnsi" w:cstheme="minorBidi"/>
          <w:szCs w:val="22"/>
        </w:rPr>
      </w:pPr>
      <w:r>
        <w:t>221.</w:t>
      </w:r>
      <w:r>
        <w:tab/>
        <w:t>General provisions about guidelines</w:t>
      </w:r>
      <w:r>
        <w:tab/>
      </w:r>
      <w:r>
        <w:fldChar w:fldCharType="begin"/>
      </w:r>
      <w:r>
        <w:instrText xml:space="preserve"> PAGEREF _Toc216963639 \h </w:instrText>
      </w:r>
      <w:r>
        <w:fldChar w:fldCharType="separate"/>
      </w:r>
      <w:r>
        <w:t>43</w:t>
      </w:r>
      <w:r>
        <w:fldChar w:fldCharType="end"/>
      </w:r>
    </w:p>
    <w:p>
      <w:pPr>
        <w:pStyle w:val="TOC8"/>
        <w:rPr>
          <w:rFonts w:asciiTheme="minorHAnsi" w:eastAsiaTheme="minorEastAsia" w:hAnsiTheme="minorHAnsi" w:cstheme="minorBidi"/>
          <w:szCs w:val="22"/>
        </w:rPr>
      </w:pPr>
      <w:r>
        <w:t>222.</w:t>
      </w:r>
      <w:r>
        <w:tab/>
        <w:t>Regulations</w:t>
      </w:r>
      <w:r>
        <w:tab/>
      </w:r>
      <w:r>
        <w:fldChar w:fldCharType="begin"/>
      </w:r>
      <w:r>
        <w:instrText xml:space="preserve"> PAGEREF _Toc216963640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223.</w:t>
      </w:r>
      <w:r>
        <w:tab/>
        <w:t>Application of information privacy principles</w:t>
      </w:r>
      <w:r>
        <w:tab/>
      </w:r>
      <w:r>
        <w:fldChar w:fldCharType="begin"/>
      </w:r>
      <w:r>
        <w:instrText xml:space="preserve"> PAGEREF _Toc216963642 \h </w:instrText>
      </w:r>
      <w:r>
        <w:fldChar w:fldCharType="separate"/>
      </w:r>
      <w:r>
        <w:t>45</w:t>
      </w:r>
      <w:r>
        <w:fldChar w:fldCharType="end"/>
      </w:r>
    </w:p>
    <w:p>
      <w:pPr>
        <w:pStyle w:val="TOC8"/>
        <w:rPr>
          <w:rFonts w:asciiTheme="minorHAnsi" w:eastAsiaTheme="minorEastAsia" w:hAnsiTheme="minorHAnsi" w:cstheme="minorBidi"/>
          <w:szCs w:val="22"/>
        </w:rPr>
      </w:pPr>
      <w:r>
        <w:t>224.</w:t>
      </w:r>
      <w:r>
        <w:tab/>
        <w:t>Application of approved privacy codes of practice</w:t>
      </w:r>
      <w:r>
        <w:tab/>
      </w:r>
      <w:r>
        <w:fldChar w:fldCharType="begin"/>
      </w:r>
      <w:r>
        <w:instrText xml:space="preserve"> PAGEREF _Toc216963643 \h </w:instrText>
      </w:r>
      <w:r>
        <w:fldChar w:fldCharType="separate"/>
      </w:r>
      <w:r>
        <w:t>46</w:t>
      </w:r>
      <w:r>
        <w:fldChar w:fldCharType="end"/>
      </w:r>
    </w:p>
    <w:p>
      <w:pPr>
        <w:pStyle w:val="TOC8"/>
        <w:rPr>
          <w:rFonts w:asciiTheme="minorHAnsi" w:eastAsiaTheme="minorEastAsia" w:hAnsiTheme="minorHAnsi" w:cstheme="minorBidi"/>
          <w:szCs w:val="22"/>
        </w:rPr>
      </w:pPr>
      <w:r>
        <w:t>225.</w:t>
      </w:r>
      <w:r>
        <w:tab/>
        <w:t>Notifiable information breach may involve personal information collected before commencement day</w:t>
      </w:r>
      <w:r>
        <w:tab/>
      </w:r>
      <w:r>
        <w:fldChar w:fldCharType="begin"/>
      </w:r>
      <w:r>
        <w:instrText xml:space="preserve"> PAGEREF _Toc216963644 \h </w:instrText>
      </w:r>
      <w:r>
        <w:fldChar w:fldCharType="separate"/>
      </w:r>
      <w:r>
        <w:t>46</w:t>
      </w:r>
      <w:r>
        <w:fldChar w:fldCharType="end"/>
      </w:r>
    </w:p>
    <w:p>
      <w:pPr>
        <w:pStyle w:val="TOC8"/>
        <w:rPr>
          <w:rFonts w:asciiTheme="minorHAnsi" w:eastAsiaTheme="minorEastAsia" w:hAnsiTheme="minorHAnsi" w:cstheme="minorBidi"/>
          <w:szCs w:val="22"/>
        </w:rPr>
      </w:pPr>
      <w:r>
        <w:t>226.</w:t>
      </w:r>
      <w:r>
        <w:tab/>
        <w:t>Public register obligations apply to personal information collected before commencement day</w:t>
      </w:r>
      <w:r>
        <w:tab/>
      </w:r>
      <w:r>
        <w:fldChar w:fldCharType="begin"/>
      </w:r>
      <w:r>
        <w:instrText xml:space="preserve"> PAGEREF _Toc216963645 \h </w:instrText>
      </w:r>
      <w:r>
        <w:fldChar w:fldCharType="separate"/>
      </w:r>
      <w:r>
        <w:t>47</w:t>
      </w:r>
      <w:r>
        <w:fldChar w:fldCharType="end"/>
      </w:r>
    </w:p>
    <w:p>
      <w:pPr>
        <w:pStyle w:val="TOC8"/>
        <w:rPr>
          <w:rFonts w:asciiTheme="minorHAnsi" w:eastAsiaTheme="minorEastAsia" w:hAnsiTheme="minorHAnsi" w:cstheme="minorBidi"/>
          <w:szCs w:val="22"/>
        </w:rPr>
      </w:pPr>
      <w:r>
        <w:t>227.</w:t>
      </w:r>
      <w:r>
        <w:tab/>
        <w:t>Privacy impact assessments not required for functions or activities performed before commencement day</w:t>
      </w:r>
      <w:r>
        <w:tab/>
      </w:r>
      <w:r>
        <w:fldChar w:fldCharType="begin"/>
      </w:r>
      <w:r>
        <w:instrText xml:space="preserve"> PAGEREF _Toc216963646 \h </w:instrText>
      </w:r>
      <w:r>
        <w:fldChar w:fldCharType="separate"/>
      </w:r>
      <w:r>
        <w:t>47</w:t>
      </w:r>
      <w:r>
        <w:fldChar w:fldCharType="end"/>
      </w:r>
    </w:p>
    <w:p>
      <w:pPr>
        <w:pStyle w:val="TOC8"/>
        <w:rPr>
          <w:rFonts w:asciiTheme="minorHAnsi" w:eastAsiaTheme="minorEastAsia" w:hAnsiTheme="minorHAnsi" w:cstheme="minorBidi"/>
          <w:szCs w:val="22"/>
        </w:rPr>
      </w:pPr>
      <w:r>
        <w:t>228.</w:t>
      </w:r>
      <w:r>
        <w:tab/>
        <w:t>State services contracts entered into before commencement day</w:t>
      </w:r>
      <w:r>
        <w:tab/>
      </w:r>
      <w:r>
        <w:fldChar w:fldCharType="begin"/>
      </w:r>
      <w:r>
        <w:instrText xml:space="preserve"> PAGEREF _Toc216963647 \h </w:instrText>
      </w:r>
      <w:r>
        <w:fldChar w:fldCharType="separate"/>
      </w:r>
      <w:r>
        <w:t>48</w:t>
      </w:r>
      <w:r>
        <w:fldChar w:fldCharType="end"/>
      </w:r>
    </w:p>
    <w:p>
      <w:pPr>
        <w:pStyle w:val="TOC8"/>
        <w:rPr>
          <w:rFonts w:asciiTheme="minorHAnsi" w:eastAsiaTheme="minorEastAsia" w:hAnsiTheme="minorHAnsi" w:cstheme="minorBidi"/>
          <w:szCs w:val="22"/>
        </w:rPr>
      </w:pPr>
      <w:r>
        <w:t>229.</w:t>
      </w:r>
      <w:r>
        <w:tab/>
        <w:t>Transitional regulations</w:t>
      </w:r>
      <w:r>
        <w:tab/>
      </w:r>
      <w:r>
        <w:fldChar w:fldCharType="begin"/>
      </w:r>
      <w:r>
        <w:instrText xml:space="preserve"> PAGEREF _Toc216963648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7 — Amendment to this Act linked to commencement of </w:t>
      </w:r>
      <w:r>
        <w:rPr>
          <w:i/>
          <w:iCs/>
        </w:rPr>
        <w:t>Criminal Law (Mental Impairment) Act 2023</w:t>
      </w:r>
    </w:p>
    <w:p>
      <w:pPr>
        <w:pStyle w:val="TOC8"/>
        <w:rPr>
          <w:rFonts w:asciiTheme="minorHAnsi" w:eastAsiaTheme="minorEastAsia" w:hAnsiTheme="minorHAnsi" w:cstheme="minorBidi"/>
          <w:szCs w:val="22"/>
        </w:rPr>
      </w:pPr>
      <w:r>
        <w:t>246.</w:t>
      </w:r>
      <w:r>
        <w:tab/>
        <w:t>Act amended</w:t>
      </w:r>
      <w:r>
        <w:tab/>
      </w:r>
      <w:r>
        <w:fldChar w:fldCharType="begin"/>
      </w:r>
      <w:r>
        <w:instrText xml:space="preserve"> PAGEREF _Toc216963650 \h </w:instrText>
      </w:r>
      <w:r>
        <w:fldChar w:fldCharType="separate"/>
      </w:r>
      <w:r>
        <w:t>50</w:t>
      </w:r>
      <w:r>
        <w:fldChar w:fldCharType="end"/>
      </w:r>
    </w:p>
    <w:p>
      <w:pPr>
        <w:pStyle w:val="TOC8"/>
        <w:rPr>
          <w:rFonts w:asciiTheme="minorHAnsi" w:eastAsiaTheme="minorEastAsia" w:hAnsiTheme="minorHAnsi" w:cstheme="minorBidi"/>
          <w:szCs w:val="22"/>
        </w:rPr>
      </w:pPr>
      <w:r>
        <w:lastRenderedPageBreak/>
        <w:t>247.</w:t>
      </w:r>
      <w:r>
        <w:tab/>
        <w:t>Section 4 amended</w:t>
      </w:r>
      <w:r>
        <w:tab/>
      </w:r>
      <w:r>
        <w:fldChar w:fldCharType="begin"/>
      </w:r>
      <w:r>
        <w:instrText xml:space="preserve"> PAGEREF _Toc216963651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_Toc216963653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_Toc216963654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360"/>
      </w:pPr>
      <w:r>
        <w:t>Privacy and Responsible Information Sharing Act 2024</w:t>
      </w:r>
    </w:p>
    <w:p>
      <w:pPr>
        <w:pStyle w:val="LongTitle"/>
      </w:pPr>
      <w:bookmarkStart w:id="2" w:name="BillCited"/>
      <w:bookmarkEnd w:id="2"/>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201653067"/>
      <w:bookmarkStart w:id="4" w:name="_Toc201654915"/>
      <w:bookmarkStart w:id="5" w:name="_Toc201655909"/>
      <w:bookmarkStart w:id="6" w:name="_Toc201662076"/>
      <w:bookmarkStart w:id="7" w:name="_Toc210126593"/>
      <w:bookmarkStart w:id="8" w:name="_Toc210132570"/>
      <w:bookmarkStart w:id="9" w:name="_Toc216861858"/>
      <w:bookmarkStart w:id="10" w:name="_Toc216862035"/>
      <w:bookmarkStart w:id="11" w:name="_Toc216946235"/>
      <w:bookmarkStart w:id="12" w:name="_Toc216946306"/>
      <w:bookmarkStart w:id="13" w:name="_Toc21696358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p>
    <w:p>
      <w:pPr>
        <w:pStyle w:val="Heading5"/>
      </w:pPr>
      <w:bookmarkStart w:id="14" w:name="_Toc216963586"/>
      <w:r>
        <w:rPr>
          <w:rStyle w:val="CharSectno"/>
        </w:rPr>
        <w:t>1</w:t>
      </w:r>
      <w:r>
        <w:t>.</w:t>
      </w:r>
      <w:r>
        <w:tab/>
        <w:t>Short title</w:t>
      </w:r>
      <w:bookmarkEnd w:id="14"/>
    </w:p>
    <w:p>
      <w:pPr>
        <w:pStyle w:val="Subsection"/>
      </w:pPr>
      <w:r>
        <w:tab/>
      </w:r>
      <w:r>
        <w:tab/>
        <w:t>This is the</w:t>
      </w:r>
      <w:r>
        <w:rPr>
          <w:i/>
        </w:rPr>
        <w:t xml:space="preserve"> Privacy and Responsible Information Sharing Act 2024</w:t>
      </w:r>
      <w:r>
        <w:t>.</w:t>
      </w:r>
    </w:p>
    <w:p>
      <w:pPr>
        <w:pStyle w:val="Heading5"/>
      </w:pPr>
      <w:bookmarkStart w:id="15" w:name="_Toc216963587"/>
      <w:r>
        <w:rPr>
          <w:rStyle w:val="CharSectno"/>
        </w:rPr>
        <w:t>2</w:t>
      </w:r>
      <w:r>
        <w:t>.</w:t>
      </w:r>
      <w:r>
        <w:tab/>
        <w:t>Commencement</w:t>
      </w:r>
      <w:bookmarkEnd w:id="1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16" w:name="_Toc216963588"/>
      <w:r>
        <w:rPr>
          <w:rStyle w:val="CharSectno"/>
        </w:rPr>
        <w:t>3</w:t>
      </w:r>
      <w:r>
        <w:t>.</w:t>
      </w:r>
      <w:r>
        <w:tab/>
        <w:t>Objects</w:t>
      </w:r>
      <w:bookmarkEnd w:id="16"/>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17" w:name="_Toc216963589"/>
      <w:r>
        <w:rPr>
          <w:rStyle w:val="CharSectno"/>
        </w:rPr>
        <w:t>4</w:t>
      </w:r>
      <w:r>
        <w:t>.</w:t>
      </w:r>
      <w:r>
        <w:tab/>
        <w:t>Terms used</w:t>
      </w:r>
      <w:bookmarkEnd w:id="17"/>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lastRenderedPageBreak/>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lastRenderedPageBreak/>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lastRenderedPageBreak/>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w:t>
      </w:r>
      <w:r>
        <w:lastRenderedPageBreak/>
        <w:t>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lastRenderedPageBreak/>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lastRenderedPageBreak/>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lastRenderedPageBreak/>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lastRenderedPageBreak/>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lastRenderedPageBreak/>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lastRenderedPageBreak/>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lastRenderedPageBreak/>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lastRenderedPageBreak/>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lastRenderedPageBreak/>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lastRenderedPageBreak/>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18" w:name="_Toc216963590"/>
      <w:r>
        <w:rPr>
          <w:rStyle w:val="CharSectno"/>
        </w:rPr>
        <w:t>5</w:t>
      </w:r>
      <w:r>
        <w:t>.</w:t>
      </w:r>
      <w:r>
        <w:tab/>
        <w:t>References to information privacy principles</w:t>
      </w:r>
      <w:bookmarkEnd w:id="18"/>
    </w:p>
    <w:p>
      <w:pPr>
        <w:pStyle w:val="Subsection"/>
      </w:pPr>
      <w:r>
        <w:tab/>
      </w:r>
      <w:r>
        <w:tab/>
        <w:t>A reference in this Act to an IPP followed by a designation is a reference to the provision with that designation in Schedule 1.</w:t>
      </w:r>
    </w:p>
    <w:p>
      <w:pPr>
        <w:pStyle w:val="Heading5"/>
      </w:pPr>
      <w:bookmarkStart w:id="19" w:name="_Toc216963591"/>
      <w:r>
        <w:rPr>
          <w:rStyle w:val="CharSectno"/>
        </w:rPr>
        <w:t>6</w:t>
      </w:r>
      <w:r>
        <w:t>.</w:t>
      </w:r>
      <w:r>
        <w:tab/>
        <w:t>Public entities</w:t>
      </w:r>
      <w:bookmarkEnd w:id="19"/>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lastRenderedPageBreak/>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lastRenderedPageBreak/>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20" w:name="_Toc216963592"/>
      <w:r>
        <w:rPr>
          <w:rStyle w:val="CharSectno"/>
        </w:rPr>
        <w:t>7</w:t>
      </w:r>
      <w:r>
        <w:t>.</w:t>
      </w:r>
      <w:r>
        <w:tab/>
        <w:t>Judicial bodies</w:t>
      </w:r>
      <w:bookmarkEnd w:id="20"/>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21" w:name="_Toc216963593"/>
      <w:r>
        <w:rPr>
          <w:rStyle w:val="CharSectno"/>
        </w:rPr>
        <w:t>8</w:t>
      </w:r>
      <w:r>
        <w:t>.</w:t>
      </w:r>
      <w:r>
        <w:tab/>
        <w:t>State services contracts and contracted service providers</w:t>
      </w:r>
      <w:bookmarkEnd w:id="21"/>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lastRenderedPageBreak/>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22" w:name="_Toc216963594"/>
      <w:r>
        <w:rPr>
          <w:rStyle w:val="CharSectno"/>
        </w:rPr>
        <w:t>9</w:t>
      </w:r>
      <w:r>
        <w:t>.</w:t>
      </w:r>
      <w:r>
        <w:tab/>
        <w:t>Principal officers</w:t>
      </w:r>
      <w:bookmarkEnd w:id="22"/>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lastRenderedPageBreak/>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23" w:name="_Toc216963595"/>
      <w:r>
        <w:rPr>
          <w:rStyle w:val="CharSectno"/>
        </w:rPr>
        <w:t>10</w:t>
      </w:r>
      <w:r>
        <w:t>.</w:t>
      </w:r>
      <w:r>
        <w:tab/>
        <w:t>Disclosure by public entities and other IPP entities</w:t>
      </w:r>
      <w:bookmarkEnd w:id="23"/>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24" w:name="_Toc216963596"/>
      <w:r>
        <w:rPr>
          <w:rStyle w:val="CharSectno"/>
        </w:rPr>
        <w:t>11</w:t>
      </w:r>
      <w:r>
        <w:t>.</w:t>
      </w:r>
      <w:r>
        <w:tab/>
        <w:t>De</w:t>
      </w:r>
      <w:r>
        <w:noBreakHyphen/>
        <w:t>identification and re</w:t>
      </w:r>
      <w:r>
        <w:noBreakHyphen/>
        <w:t>identification of information</w:t>
      </w:r>
      <w:bookmarkEnd w:id="24"/>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lastRenderedPageBreak/>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25" w:name="_Toc216963597"/>
      <w:r>
        <w:rPr>
          <w:rStyle w:val="CharSectno"/>
        </w:rPr>
        <w:t>12</w:t>
      </w:r>
      <w:r>
        <w:t>.</w:t>
      </w:r>
      <w:r>
        <w:tab/>
        <w:t>Data sets, data analytics work, data linkage and data integration</w:t>
      </w:r>
      <w:bookmarkEnd w:id="25"/>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26" w:name="_Toc216963598"/>
      <w:r>
        <w:rPr>
          <w:rStyle w:val="CharSectno"/>
        </w:rPr>
        <w:t>13</w:t>
      </w:r>
      <w:r>
        <w:t>.</w:t>
      </w:r>
      <w:r>
        <w:tab/>
        <w:t>Act binds Crown</w:t>
      </w:r>
      <w:bookmarkEnd w:id="26"/>
    </w:p>
    <w:p>
      <w:pPr>
        <w:pStyle w:val="Subsection"/>
      </w:pPr>
      <w:r>
        <w:tab/>
      </w:r>
      <w:r>
        <w:tab/>
        <w:t>This Act binds the Crown in right of Western Australia and, so far as the legislative power of the Parliament permits, the Crown in all its other capacities.</w:t>
      </w:r>
    </w:p>
    <w:p>
      <w:pPr>
        <w:pStyle w:val="Heading2"/>
      </w:pPr>
      <w:bookmarkStart w:id="27" w:name="_Toc184390291"/>
      <w:bookmarkStart w:id="28" w:name="_Toc184390623"/>
      <w:bookmarkStart w:id="29" w:name="_Toc184390955"/>
      <w:bookmarkStart w:id="30" w:name="_Toc201654929"/>
      <w:bookmarkStart w:id="31" w:name="_Toc201655923"/>
      <w:bookmarkStart w:id="32" w:name="_Toc201662090"/>
      <w:bookmarkStart w:id="33" w:name="_Toc210126607"/>
      <w:bookmarkStart w:id="34" w:name="_Toc210132584"/>
      <w:bookmarkStart w:id="35" w:name="_Toc216861872"/>
      <w:bookmarkStart w:id="36" w:name="_Toc216862049"/>
      <w:bookmarkStart w:id="37" w:name="_Toc216946249"/>
      <w:bookmarkStart w:id="38" w:name="_Toc216946320"/>
      <w:bookmarkStart w:id="39" w:name="_Toc216963599"/>
      <w:bookmarkStart w:id="40" w:name="_Toc184390449"/>
      <w:bookmarkStart w:id="41" w:name="_Toc184390781"/>
      <w:bookmarkStart w:id="42" w:name="_Toc184391113"/>
      <w:r>
        <w:rPr>
          <w:rStyle w:val="CharPartNo"/>
        </w:rPr>
        <w:lastRenderedPageBreak/>
        <w:t>Part 2</w:t>
      </w:r>
      <w:r>
        <w:t> — </w:t>
      </w:r>
      <w:r>
        <w:rPr>
          <w:rStyle w:val="CharPartText"/>
        </w:rPr>
        <w:t>Privacy</w:t>
      </w:r>
      <w:bookmarkEnd w:id="27"/>
      <w:bookmarkEnd w:id="28"/>
      <w:bookmarkEnd w:id="29"/>
      <w:bookmarkEnd w:id="30"/>
      <w:bookmarkEnd w:id="31"/>
      <w:bookmarkEnd w:id="32"/>
      <w:bookmarkEnd w:id="33"/>
      <w:bookmarkEnd w:id="34"/>
      <w:bookmarkEnd w:id="35"/>
      <w:bookmarkEnd w:id="36"/>
      <w:bookmarkEnd w:id="37"/>
      <w:bookmarkEnd w:id="38"/>
      <w:bookmarkEnd w:id="39"/>
    </w:p>
    <w:p>
      <w:pPr>
        <w:pStyle w:val="Ednotedivision"/>
      </w:pPr>
      <w:r>
        <w:t>[Divisions 1-11 have not come into operation.]</w:t>
      </w:r>
    </w:p>
    <w:p>
      <w:pPr>
        <w:pStyle w:val="Heading3"/>
      </w:pPr>
      <w:bookmarkStart w:id="43" w:name="_Toc201654930"/>
      <w:bookmarkStart w:id="44" w:name="_Toc201655924"/>
      <w:bookmarkStart w:id="45" w:name="_Toc201662091"/>
      <w:bookmarkStart w:id="46" w:name="_Toc210126608"/>
      <w:bookmarkStart w:id="47" w:name="_Toc210132585"/>
      <w:bookmarkStart w:id="48" w:name="_Toc216861873"/>
      <w:bookmarkStart w:id="49" w:name="_Toc216862050"/>
      <w:bookmarkStart w:id="50" w:name="_Toc216946250"/>
      <w:bookmarkStart w:id="51" w:name="_Toc216946321"/>
      <w:bookmarkStart w:id="52" w:name="_Toc216963600"/>
      <w:r>
        <w:rPr>
          <w:rStyle w:val="CharDivNo"/>
        </w:rPr>
        <w:t>Division 12</w:t>
      </w:r>
      <w:r>
        <w:t> — </w:t>
      </w:r>
      <w:r>
        <w:rPr>
          <w:rStyle w:val="CharDivText"/>
        </w:rPr>
        <w:t>Administration</w:t>
      </w:r>
      <w:bookmarkEnd w:id="40"/>
      <w:bookmarkEnd w:id="41"/>
      <w:bookmarkEnd w:id="42"/>
      <w:bookmarkEnd w:id="43"/>
      <w:bookmarkEnd w:id="44"/>
      <w:bookmarkEnd w:id="45"/>
      <w:bookmarkEnd w:id="46"/>
      <w:bookmarkEnd w:id="47"/>
      <w:bookmarkEnd w:id="48"/>
      <w:bookmarkEnd w:id="49"/>
      <w:bookmarkEnd w:id="50"/>
      <w:bookmarkEnd w:id="51"/>
      <w:bookmarkEnd w:id="52"/>
    </w:p>
    <w:p>
      <w:pPr>
        <w:pStyle w:val="Heading4"/>
      </w:pPr>
      <w:bookmarkStart w:id="53" w:name="_Toc184390450"/>
      <w:bookmarkStart w:id="54" w:name="_Toc184390782"/>
      <w:bookmarkStart w:id="55" w:name="_Toc184391114"/>
      <w:bookmarkStart w:id="56" w:name="_Toc201654931"/>
      <w:bookmarkStart w:id="57" w:name="_Toc201655925"/>
      <w:bookmarkStart w:id="58" w:name="_Toc201662092"/>
      <w:bookmarkStart w:id="59" w:name="_Toc210126609"/>
      <w:bookmarkStart w:id="60" w:name="_Toc210132586"/>
      <w:bookmarkStart w:id="61" w:name="_Toc216861874"/>
      <w:bookmarkStart w:id="62" w:name="_Toc216862051"/>
      <w:bookmarkStart w:id="63" w:name="_Toc216946251"/>
      <w:bookmarkStart w:id="64" w:name="_Toc216946322"/>
      <w:bookmarkStart w:id="65" w:name="_Toc216963601"/>
      <w:r>
        <w:t>Subdivision 1 — Functions under this Act of Information Commissioner and Privacy Deputy Commissioner</w:t>
      </w:r>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184391115"/>
      <w:bookmarkStart w:id="67" w:name="_Toc216963602"/>
      <w:r>
        <w:rPr>
          <w:rStyle w:val="CharSectno"/>
        </w:rPr>
        <w:t>141</w:t>
      </w:r>
      <w:r>
        <w:t>.</w:t>
      </w:r>
      <w:r>
        <w:tab/>
        <w:t>Functions of Information Commissioner and Privacy Deputy Commissioner under this Act</w:t>
      </w:r>
      <w:bookmarkEnd w:id="66"/>
      <w:bookmarkEnd w:id="67"/>
    </w:p>
    <w:p>
      <w:pPr>
        <w:pStyle w:val="Subsection"/>
        <w:keepNext/>
      </w:pPr>
      <w:r>
        <w:tab/>
        <w:t>(1)</w:t>
      </w:r>
      <w:r>
        <w:tab/>
        <w:t xml:space="preserve">The Information Commissioner has the following functions under this Act — </w:t>
      </w:r>
    </w:p>
    <w:p>
      <w:pPr>
        <w:pStyle w:val="Indenta"/>
      </w:pPr>
      <w:r>
        <w:tab/>
        <w:t>(a)</w:t>
      </w:r>
      <w:r>
        <w:tab/>
        <w:t>to promote the understanding of matters relating to the information privacy principles and this Part;</w:t>
      </w:r>
    </w:p>
    <w:p>
      <w:pPr>
        <w:pStyle w:val="Indenta"/>
      </w:pPr>
      <w:r>
        <w:tab/>
        <w:t>(b)</w:t>
      </w:r>
      <w:r>
        <w:tab/>
        <w:t>to promote the objects of this Act set out in section 3(a) to (e);</w:t>
      </w:r>
    </w:p>
    <w:p>
      <w:pPr>
        <w:pStyle w:val="Indenta"/>
      </w:pPr>
      <w:r>
        <w:tab/>
        <w:t>(c)</w:t>
      </w:r>
      <w:r>
        <w:tab/>
        <w:t>to promote compliance with the information privacy principles and this Part;</w:t>
      </w:r>
    </w:p>
    <w:p>
      <w:pPr>
        <w:pStyle w:val="Indenta"/>
      </w:pPr>
      <w:r>
        <w:tab/>
        <w:t>(d)</w:t>
      </w:r>
      <w:r>
        <w:tab/>
        <w:t>to prepare and make available information and material in relation to protecting the privacy of personal information;</w:t>
      </w:r>
    </w:p>
    <w:p>
      <w:pPr>
        <w:pStyle w:val="Indenta"/>
      </w:pPr>
      <w:r>
        <w:tab/>
        <w:t>(e)</w:t>
      </w:r>
      <w:r>
        <w:tab/>
        <w:t>to provide assistance to members of the public and IPP entities in relation to any matter relevant to the operation of this Part;</w:t>
      </w:r>
    </w:p>
    <w:p>
      <w:pPr>
        <w:pStyle w:val="Indenta"/>
      </w:pPr>
      <w:r>
        <w:tab/>
        <w:t>(f)</w:t>
      </w:r>
      <w:r>
        <w:tab/>
        <w:t>to undertake reviews of any matter relating to the privacy of personal information, on request by the Privacy Minister or on the Commissioner’s own initiative;</w:t>
      </w:r>
    </w:p>
    <w:p>
      <w:pPr>
        <w:pStyle w:val="Indenta"/>
      </w:pPr>
      <w:r>
        <w:tab/>
        <w:t>(g)</w:t>
      </w:r>
      <w:r>
        <w:tab/>
        <w:t>to report and make recommendations on any matter relating to the privacy of personal information;</w:t>
      </w:r>
    </w:p>
    <w:p>
      <w:pPr>
        <w:pStyle w:val="Indenta"/>
      </w:pPr>
      <w:r>
        <w:tab/>
        <w:t>(h)</w:t>
      </w:r>
      <w:r>
        <w:tab/>
        <w:t>to undertake, participate in or promote research in relation to any matter relating to the privacy of personal information;</w:t>
      </w:r>
    </w:p>
    <w:p>
      <w:pPr>
        <w:pStyle w:val="Indenta"/>
      </w:pPr>
      <w:r>
        <w:lastRenderedPageBreak/>
        <w:tab/>
        <w:t>(i)</w:t>
      </w:r>
      <w:r>
        <w:tab/>
        <w:t>any other function given to the Information Commissioner under this Act.</w:t>
      </w:r>
    </w:p>
    <w:p>
      <w:pPr>
        <w:pStyle w:val="Subsection"/>
        <w:keepNext/>
      </w:pPr>
      <w:r>
        <w:tab/>
        <w:t>(2)</w:t>
      </w:r>
      <w:r>
        <w:tab/>
        <w:t xml:space="preserve">The Privacy Deputy Commissioner also has all the functions of the Information Commissioner under this Act, other than the following — </w:t>
      </w:r>
    </w:p>
    <w:p>
      <w:pPr>
        <w:pStyle w:val="Indenta"/>
      </w:pPr>
      <w:r>
        <w:tab/>
        <w:t>(a)</w:t>
      </w:r>
      <w:r>
        <w:tab/>
        <w:t>giving approvals under section 142(3) and directions under section 142(4);</w:t>
      </w:r>
    </w:p>
    <w:p>
      <w:pPr>
        <w:pStyle w:val="Indenta"/>
      </w:pPr>
      <w:r>
        <w:tab/>
        <w:t>(b)</w:t>
      </w:r>
      <w:r>
        <w:tab/>
        <w:t>any function in relation to a report under Subdivision 2;</w:t>
      </w:r>
    </w:p>
    <w:p>
      <w:pPr>
        <w:pStyle w:val="Indenta"/>
        <w:keepNext/>
      </w:pPr>
      <w:r>
        <w:tab/>
        <w:t>(c)</w:t>
      </w:r>
      <w:r>
        <w:tab/>
        <w:t>any function in relation to consultation under section 202(2) or serving as a member of the Privacy and Responsible Information Sharing Advisory Committee.</w:t>
      </w:r>
    </w:p>
    <w:p>
      <w:pPr>
        <w:pStyle w:val="PermNoteHeading"/>
      </w:pPr>
      <w:r>
        <w:tab/>
        <w:t>Note for this section:</w:t>
      </w:r>
    </w:p>
    <w:p>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pPr>
        <w:pStyle w:val="Heading5"/>
      </w:pPr>
      <w:bookmarkStart w:id="68" w:name="_Toc184391116"/>
      <w:bookmarkStart w:id="69" w:name="_Toc216963603"/>
      <w:r>
        <w:rPr>
          <w:rStyle w:val="CharSectno"/>
        </w:rPr>
        <w:t>142</w:t>
      </w:r>
      <w:r>
        <w:t>.</w:t>
      </w:r>
      <w:r>
        <w:tab/>
        <w:t>Performance of privacy functions</w:t>
      </w:r>
      <w:bookmarkEnd w:id="68"/>
      <w:bookmarkEnd w:id="69"/>
    </w:p>
    <w:p>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pPr>
        <w:pStyle w:val="Subsection"/>
      </w:pPr>
      <w:r>
        <w:tab/>
        <w:t>(2)</w:t>
      </w:r>
      <w:r>
        <w:tab/>
        <w:t xml:space="preserve">A privacy function may be performed — </w:t>
      </w:r>
    </w:p>
    <w:p>
      <w:pPr>
        <w:pStyle w:val="Indenta"/>
      </w:pPr>
      <w:r>
        <w:tab/>
        <w:t>(a)</w:t>
      </w:r>
      <w:r>
        <w:tab/>
        <w:t>by the Information Commissioner; or</w:t>
      </w:r>
    </w:p>
    <w:p>
      <w:pPr>
        <w:pStyle w:val="Indenta"/>
      </w:pPr>
      <w:r>
        <w:tab/>
        <w:t>(b)</w:t>
      </w:r>
      <w:r>
        <w:tab/>
        <w:t>by the Privacy Deputy Commissioner, subject to subsection (3) and any direction given under subsection (4).</w:t>
      </w:r>
    </w:p>
    <w:p>
      <w:pPr>
        <w:pStyle w:val="Subsection"/>
      </w:pPr>
      <w:r>
        <w:tab/>
        <w:t>(3)</w:t>
      </w:r>
      <w:r>
        <w:tab/>
        <w:t xml:space="preserve">The Privacy Deputy Commissioner must obtain the approval of the Information Commissioner before performing any of the following privacy functions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lastRenderedPageBreak/>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issuing privacy guidelines under section 148(1);</w:t>
      </w:r>
    </w:p>
    <w:p>
      <w:pPr>
        <w:pStyle w:val="Indenta"/>
      </w:pPr>
      <w:r>
        <w:tab/>
        <w:t>(h)</w:t>
      </w:r>
      <w:r>
        <w:tab/>
        <w:t>amending or revoking privacy guidelines under section 148(2).</w:t>
      </w:r>
    </w:p>
    <w:p>
      <w:pPr>
        <w:pStyle w:val="Subsection"/>
      </w:pPr>
      <w:r>
        <w:tab/>
        <w:t>(4)</w:t>
      </w:r>
      <w:r>
        <w:tab/>
        <w:t xml:space="preserve">The Information Commissioner may direct the Privacy Deputy Commissioner as to — </w:t>
      </w:r>
    </w:p>
    <w:p>
      <w:pPr>
        <w:pStyle w:val="Indenta"/>
      </w:pPr>
      <w:r>
        <w:tab/>
        <w:t>(a)</w:t>
      </w:r>
      <w:r>
        <w:tab/>
        <w:t>which of the privacy functions the Privacy Deputy Commissioner is to perform; and</w:t>
      </w:r>
    </w:p>
    <w:p>
      <w:pPr>
        <w:pStyle w:val="Indenta"/>
      </w:pPr>
      <w:r>
        <w:tab/>
        <w:t>(b)</w:t>
      </w:r>
      <w:r>
        <w:tab/>
        <w:t>the manner in which the Privacy Deputy Commissioner must perform any privacy function.</w:t>
      </w:r>
    </w:p>
    <w:p>
      <w:pPr>
        <w:pStyle w:val="Subsection"/>
      </w:pPr>
      <w:r>
        <w:tab/>
        <w:t>(5)</w:t>
      </w:r>
      <w:r>
        <w:tab/>
        <w:t xml:space="preserve">If the Privacy Deputy Commissioner performs a privacy function — </w:t>
      </w:r>
    </w:p>
    <w:p>
      <w:pPr>
        <w:pStyle w:val="Indenta"/>
      </w:pPr>
      <w:r>
        <w:tab/>
        <w:t>(a)</w:t>
      </w:r>
      <w:r>
        <w:tab/>
        <w:t>the Privacy Deputy Commissioner performs the function in the Privacy Deputy Commissioner’s own right and not on behalf of the Information Commissioner; and</w:t>
      </w:r>
    </w:p>
    <w:p>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pPr>
        <w:pStyle w:val="Indenta"/>
      </w:pPr>
      <w:r>
        <w:tab/>
        <w:t>(c)</w:t>
      </w:r>
      <w:r>
        <w:tab/>
        <w:t>the performance of the function is as effectual for all purposes as if it were performed by the Information Commissioner; and</w:t>
      </w:r>
    </w:p>
    <w:p>
      <w:pPr>
        <w:pStyle w:val="Indenta"/>
      </w:pPr>
      <w:r>
        <w:tab/>
        <w:t>(d)</w:t>
      </w:r>
      <w:r>
        <w:tab/>
        <w:t xml:space="preserve">a reference in this Act or another written law to anything done by, to, or in relation to, the Information </w:t>
      </w:r>
      <w:r>
        <w:lastRenderedPageBreak/>
        <w:t>Commissioner in connection with the function includes a reference to the thing as done by, to, or in relation to, the Privacy Deputy Commissioner; and</w:t>
      </w:r>
    </w:p>
    <w:p>
      <w:pPr>
        <w:pStyle w:val="Indenta"/>
      </w:pPr>
      <w:r>
        <w:tab/>
        <w:t>(e)</w:t>
      </w:r>
      <w:r>
        <w:tab/>
        <w:t>the Information Commissioner is not prevented from performing the same function on another occasion (in relation to a different matter).</w:t>
      </w:r>
    </w:p>
    <w:p>
      <w:pPr>
        <w:pStyle w:val="Heading5"/>
      </w:pPr>
      <w:bookmarkStart w:id="70" w:name="_Toc184391117"/>
      <w:bookmarkStart w:id="71" w:name="_Toc216963604"/>
      <w:r>
        <w:rPr>
          <w:rStyle w:val="CharSectno"/>
        </w:rPr>
        <w:t>143</w:t>
      </w:r>
      <w:r>
        <w:t>.</w:t>
      </w:r>
      <w:r>
        <w:tab/>
        <w:t>Certain functions cannot be delegated</w:t>
      </w:r>
      <w:bookmarkEnd w:id="70"/>
      <w:bookmarkEnd w:id="71"/>
    </w:p>
    <w:p>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making an order to give effect to a conciliation agreement under section 98(3);</w:t>
      </w:r>
    </w:p>
    <w:p>
      <w:pPr>
        <w:pStyle w:val="Indenta"/>
      </w:pPr>
      <w:r>
        <w:tab/>
        <w:t>(h)</w:t>
      </w:r>
      <w:r>
        <w:tab/>
        <w:t>determining a privacy complaint under section 104(1);</w:t>
      </w:r>
    </w:p>
    <w:p>
      <w:pPr>
        <w:pStyle w:val="Indenta"/>
      </w:pPr>
      <w:r>
        <w:tab/>
        <w:t>(i)</w:t>
      </w:r>
      <w:r>
        <w:tab/>
        <w:t>making a determination following an investigation under section 107(1);</w:t>
      </w:r>
    </w:p>
    <w:p>
      <w:pPr>
        <w:pStyle w:val="Indenta"/>
      </w:pPr>
      <w:r>
        <w:tab/>
        <w:t>(j)</w:t>
      </w:r>
      <w:r>
        <w:tab/>
        <w:t>issuing a compliance notice under section 122(1);</w:t>
      </w:r>
    </w:p>
    <w:p>
      <w:pPr>
        <w:pStyle w:val="Indenta"/>
      </w:pPr>
      <w:r>
        <w:tab/>
        <w:t>(k)</w:t>
      </w:r>
      <w:r>
        <w:tab/>
        <w:t>issuing privacy guidelines under section 148(1);</w:t>
      </w:r>
    </w:p>
    <w:p>
      <w:pPr>
        <w:pStyle w:val="Indenta"/>
      </w:pPr>
      <w:r>
        <w:lastRenderedPageBreak/>
        <w:tab/>
        <w:t>(l)</w:t>
      </w:r>
      <w:r>
        <w:tab/>
        <w:t>amending or revoking privacy guidelines under section 148(2).</w:t>
      </w:r>
    </w:p>
    <w:p>
      <w:pPr>
        <w:pStyle w:val="Heading5"/>
      </w:pPr>
      <w:bookmarkStart w:id="72" w:name="_Toc184391118"/>
      <w:bookmarkStart w:id="73" w:name="_Toc216963605"/>
      <w:r>
        <w:rPr>
          <w:rStyle w:val="CharSectno"/>
        </w:rPr>
        <w:t>144</w:t>
      </w:r>
      <w:r>
        <w:t>.</w:t>
      </w:r>
      <w:r>
        <w:tab/>
        <w:t>Information Commissioner and Privacy Deputy Commissioner must have regard to objects of Act in performing functions</w:t>
      </w:r>
      <w:bookmarkEnd w:id="72"/>
      <w:bookmarkEnd w:id="73"/>
    </w:p>
    <w:p>
      <w:pPr>
        <w:pStyle w:val="Subsection"/>
      </w:pPr>
      <w:r>
        <w:tab/>
      </w:r>
      <w:r>
        <w:tab/>
        <w:t>In performing their functions under this Act, the Information Commissioner and Privacy Deputy Commissioner must have regard to the objects of this Act.</w:t>
      </w:r>
    </w:p>
    <w:p>
      <w:pPr>
        <w:pStyle w:val="Heading5"/>
      </w:pPr>
      <w:bookmarkStart w:id="74" w:name="_Toc184391119"/>
      <w:bookmarkStart w:id="75" w:name="_Toc216963606"/>
      <w:r>
        <w:rPr>
          <w:rStyle w:val="CharSectno"/>
        </w:rPr>
        <w:t>145</w:t>
      </w:r>
      <w:r>
        <w:t>.</w:t>
      </w:r>
      <w:r>
        <w:tab/>
        <w:t>Information Commissioner and Privacy Deputy Commissioner may request IPP entity to provide assistance</w:t>
      </w:r>
      <w:bookmarkEnd w:id="74"/>
      <w:bookmarkEnd w:id="75"/>
    </w:p>
    <w:p>
      <w:pPr>
        <w:pStyle w:val="Subsection"/>
      </w:pPr>
      <w:r>
        <w:tab/>
      </w:r>
      <w:r>
        <w:tab/>
        <w:t>The Information Commissioner or Privacy Deputy Commissioner may request an IPP entity to provide any assistance that that Commissioner reasonably considers appropriate to perform their functions under this Act.</w:t>
      </w:r>
    </w:p>
    <w:p>
      <w:pPr>
        <w:pStyle w:val="Heading4"/>
      </w:pPr>
      <w:bookmarkStart w:id="76" w:name="_Toc184390456"/>
      <w:bookmarkStart w:id="77" w:name="_Toc184390788"/>
      <w:bookmarkStart w:id="78" w:name="_Toc184391120"/>
      <w:bookmarkStart w:id="79" w:name="_Toc201654937"/>
      <w:bookmarkStart w:id="80" w:name="_Toc201655931"/>
      <w:bookmarkStart w:id="81" w:name="_Toc201662098"/>
      <w:bookmarkStart w:id="82" w:name="_Toc210126615"/>
      <w:bookmarkStart w:id="83" w:name="_Toc210132592"/>
      <w:bookmarkStart w:id="84" w:name="_Toc216861880"/>
      <w:bookmarkStart w:id="85" w:name="_Toc216862057"/>
      <w:bookmarkStart w:id="86" w:name="_Toc216946257"/>
      <w:bookmarkStart w:id="87" w:name="_Toc216946328"/>
      <w:bookmarkStart w:id="88" w:name="_Toc216963607"/>
      <w:r>
        <w:t>Subdivision 2 — Reporting</w:t>
      </w:r>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pPr>
      <w:bookmarkStart w:id="89" w:name="_Toc184391121"/>
      <w:bookmarkStart w:id="90" w:name="_Toc216963608"/>
      <w:r>
        <w:rPr>
          <w:rStyle w:val="CharSectno"/>
        </w:rPr>
        <w:t>146</w:t>
      </w:r>
      <w:r>
        <w:t>.</w:t>
      </w:r>
      <w:r>
        <w:tab/>
        <w:t>Matters to be included in annual report to Parliament</w:t>
      </w:r>
      <w:bookmarkEnd w:id="89"/>
      <w:bookmarkEnd w:id="90"/>
    </w:p>
    <w:p>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pPr>
        <w:pStyle w:val="Indenta"/>
      </w:pPr>
      <w:r>
        <w:tab/>
        <w:t>(a)</w:t>
      </w:r>
      <w:r>
        <w:tab/>
        <w:t>the number of applications for public interest determinations made under section 46 and the outcome of those applications;</w:t>
      </w:r>
    </w:p>
    <w:p>
      <w:pPr>
        <w:pStyle w:val="Indenta"/>
      </w:pPr>
      <w:r>
        <w:tab/>
        <w:t>(b)</w:t>
      </w:r>
      <w:r>
        <w:tab/>
        <w:t>the number of applications for temporary public interest determinations made under section 50 and the outcome of those applications;</w:t>
      </w:r>
    </w:p>
    <w:p>
      <w:pPr>
        <w:pStyle w:val="Indenta"/>
      </w:pPr>
      <w:r>
        <w:tab/>
        <w:t>(c)</w:t>
      </w:r>
      <w:r>
        <w:tab/>
        <w:t>the number of applications for extensions of temporary public interest determinations made under section 52(1) and the outcome of those applications;</w:t>
      </w:r>
    </w:p>
    <w:p>
      <w:pPr>
        <w:pStyle w:val="Indenta"/>
      </w:pPr>
      <w:r>
        <w:lastRenderedPageBreak/>
        <w:tab/>
        <w:t>(d)</w:t>
      </w:r>
      <w:r>
        <w:tab/>
        <w:t>the number of privacy complaints made and the outcome of those complaints;</w:t>
      </w:r>
    </w:p>
    <w:p>
      <w:pPr>
        <w:pStyle w:val="Indenta"/>
      </w:pPr>
      <w:r>
        <w:tab/>
        <w:t>(e)</w:t>
      </w:r>
      <w:r>
        <w:tab/>
        <w:t>the number of applications for review made to the State Administrative Tribunal under sections 70(5), 90(5), 91(3), 105, 108 and 124 and the outcome of those applications;</w:t>
      </w:r>
    </w:p>
    <w:p>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pPr>
        <w:pStyle w:val="Indenta"/>
      </w:pPr>
      <w:r>
        <w:tab/>
        <w:t>(g)</w:t>
      </w:r>
      <w:r>
        <w:tab/>
        <w:t>the number of notifiable information breaches notified under section 62;</w:t>
      </w:r>
    </w:p>
    <w:p>
      <w:pPr>
        <w:pStyle w:val="Indenta"/>
      </w:pPr>
      <w:r>
        <w:tab/>
        <w:t>(h)</w:t>
      </w:r>
      <w:r>
        <w:tab/>
        <w:t>the number, or an estimate of the number, of affected individuals in relation to notifiable information breaches notified under section 62;</w:t>
      </w:r>
    </w:p>
    <w:p>
      <w:pPr>
        <w:pStyle w:val="Indenta"/>
      </w:pPr>
      <w:r>
        <w:tab/>
        <w:t>(i)</w:t>
      </w:r>
      <w:r>
        <w:tab/>
        <w:t>the number of compliance notices issued under section 122;</w:t>
      </w:r>
    </w:p>
    <w:p>
      <w:pPr>
        <w:pStyle w:val="Indenta"/>
      </w:pPr>
      <w:r>
        <w:tab/>
        <w:t>(j)</w:t>
      </w:r>
      <w:r>
        <w:tab/>
        <w:t>any other information prescribed by the regulations.</w:t>
      </w:r>
    </w:p>
    <w:p>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pPr>
        <w:pStyle w:val="Heading5"/>
      </w:pPr>
      <w:bookmarkStart w:id="91" w:name="_Toc184391122"/>
      <w:bookmarkStart w:id="92" w:name="_Toc216963609"/>
      <w:r>
        <w:rPr>
          <w:rStyle w:val="CharSectno"/>
        </w:rPr>
        <w:t>147</w:t>
      </w:r>
      <w:r>
        <w:t>.</w:t>
      </w:r>
      <w:r>
        <w:tab/>
        <w:t>Special reports to Parliament</w:t>
      </w:r>
      <w:bookmarkEnd w:id="91"/>
      <w:bookmarkEnd w:id="92"/>
    </w:p>
    <w:p>
      <w:pPr>
        <w:pStyle w:val="Subsection"/>
      </w:pPr>
      <w:r>
        <w:tab/>
        <w:t>(1)</w:t>
      </w:r>
      <w:r>
        <w:tab/>
        <w:t xml:space="preserve">The Information Commissioner may, if the Information Commissioner considers it to be in the public interest to do so — </w:t>
      </w:r>
    </w:p>
    <w:p>
      <w:pPr>
        <w:pStyle w:val="Indenta"/>
      </w:pPr>
      <w:r>
        <w:tab/>
        <w:t>(a)</w:t>
      </w:r>
      <w:r>
        <w:tab/>
        <w:t xml:space="preserve">prepare a report on — </w:t>
      </w:r>
    </w:p>
    <w:p>
      <w:pPr>
        <w:pStyle w:val="Indenti"/>
      </w:pPr>
      <w:r>
        <w:tab/>
        <w:t>(i)</w:t>
      </w:r>
      <w:r>
        <w:tab/>
        <w:t>any matter arising in connection with the performance of the privacy functions; or</w:t>
      </w:r>
    </w:p>
    <w:p>
      <w:pPr>
        <w:pStyle w:val="Indenti"/>
        <w:keepNext/>
      </w:pPr>
      <w:r>
        <w:lastRenderedPageBreak/>
        <w:tab/>
        <w:t>(ii)</w:t>
      </w:r>
      <w:r>
        <w:tab/>
        <w:t xml:space="preserve">any act or practice of an IPP entity that the Information Commissioner considers to be an interference with the privacy of an individual; </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A report under subsection (1) may include recommendations.</w:t>
      </w:r>
    </w:p>
    <w:p>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Heading4"/>
      </w:pPr>
      <w:bookmarkStart w:id="93" w:name="_Toc184390459"/>
      <w:bookmarkStart w:id="94" w:name="_Toc184390791"/>
      <w:bookmarkStart w:id="95" w:name="_Toc184391123"/>
      <w:bookmarkStart w:id="96" w:name="_Toc201654940"/>
      <w:bookmarkStart w:id="97" w:name="_Toc201655934"/>
      <w:bookmarkStart w:id="98" w:name="_Toc201662101"/>
      <w:bookmarkStart w:id="99" w:name="_Toc210126618"/>
      <w:bookmarkStart w:id="100" w:name="_Toc210132595"/>
      <w:bookmarkStart w:id="101" w:name="_Toc216861883"/>
      <w:bookmarkStart w:id="102" w:name="_Toc216862060"/>
      <w:bookmarkStart w:id="103" w:name="_Toc216946260"/>
      <w:bookmarkStart w:id="104" w:name="_Toc216946331"/>
      <w:bookmarkStart w:id="105" w:name="_Toc216963610"/>
      <w:r>
        <w:t>Subdivision 3 — Guidelines, documents and notices</w:t>
      </w:r>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pPr>
      <w:bookmarkStart w:id="106" w:name="_Toc184391124"/>
      <w:bookmarkStart w:id="107" w:name="_Toc216963611"/>
      <w:r>
        <w:rPr>
          <w:rStyle w:val="CharSectno"/>
        </w:rPr>
        <w:t>148</w:t>
      </w:r>
      <w:r>
        <w:t>.</w:t>
      </w:r>
      <w:r>
        <w:tab/>
        <w:t>Privacy guidelines</w:t>
      </w:r>
      <w:bookmarkEnd w:id="106"/>
      <w:bookmarkEnd w:id="107"/>
    </w:p>
    <w:p>
      <w:pPr>
        <w:pStyle w:val="Subsection"/>
      </w:pPr>
      <w:r>
        <w:tab/>
        <w:t>(1)</w:t>
      </w:r>
      <w:r>
        <w:tab/>
        <w:t xml:space="preserve">The Information Commissioner may issue guidelines — </w:t>
      </w:r>
    </w:p>
    <w:p>
      <w:pPr>
        <w:pStyle w:val="Indenta"/>
      </w:pPr>
      <w:r>
        <w:tab/>
        <w:t>(a)</w:t>
      </w:r>
      <w:r>
        <w:tab/>
        <w:t>in relation to any matter required or permitted by this Part or section 176 to be the subject of privacy guidelines; or</w:t>
      </w:r>
    </w:p>
    <w:p>
      <w:pPr>
        <w:pStyle w:val="Indenta"/>
      </w:pPr>
      <w:r>
        <w:tab/>
        <w:t>(b)</w:t>
      </w:r>
      <w:r>
        <w:tab/>
        <w:t>to provide information and guidance in relation to the application and administration of the information privacy principles and this Part.</w:t>
      </w:r>
    </w:p>
    <w:p>
      <w:pPr>
        <w:pStyle w:val="Subsection"/>
      </w:pPr>
      <w:r>
        <w:tab/>
        <w:t>(2)</w:t>
      </w:r>
      <w:r>
        <w:tab/>
        <w:t>The Information Commissioner may amend or revoke privacy guidelines.</w:t>
      </w:r>
    </w:p>
    <w:p>
      <w:pPr>
        <w:pStyle w:val="Subsection"/>
      </w:pPr>
      <w:r>
        <w:tab/>
        <w:t>(3)</w:t>
      </w:r>
      <w:r>
        <w:tab/>
        <w:t>The Information Commissioner may consult with any person or body the Commissioner considers appropriate before issuing, amending or revoking any privacy guidelines.</w:t>
      </w:r>
    </w:p>
    <w:p>
      <w:pPr>
        <w:pStyle w:val="Subsection"/>
        <w:keepNext/>
      </w:pPr>
      <w:r>
        <w:lastRenderedPageBreak/>
        <w:tab/>
        <w:t>(4)</w:t>
      </w:r>
      <w:r>
        <w:tab/>
        <w:t>The Information Commissioner must ensure that privacy guidelines are made publicly available.</w:t>
      </w:r>
    </w:p>
    <w:p>
      <w:pPr>
        <w:pStyle w:val="PermNoteHeading"/>
      </w:pPr>
      <w:r>
        <w:tab/>
        <w:t>Note for this section:</w:t>
      </w:r>
    </w:p>
    <w:p>
      <w:pPr>
        <w:pStyle w:val="PermNoteText"/>
      </w:pPr>
      <w:r>
        <w:tab/>
      </w:r>
      <w:r>
        <w:tab/>
        <w:t>Section 221 makes provision for the status and effect of privacy guidelines.</w:t>
      </w:r>
    </w:p>
    <w:p>
      <w:pPr>
        <w:pStyle w:val="Heading5"/>
      </w:pPr>
      <w:bookmarkStart w:id="108" w:name="_Toc184391125"/>
      <w:bookmarkStart w:id="109" w:name="_Toc216963612"/>
      <w:r>
        <w:rPr>
          <w:rStyle w:val="CharSectno"/>
        </w:rPr>
        <w:t>149</w:t>
      </w:r>
      <w:r>
        <w:t>.</w:t>
      </w:r>
      <w:r>
        <w:tab/>
        <w:t>Making documents publicly available</w:t>
      </w:r>
      <w:bookmarkEnd w:id="108"/>
      <w:bookmarkEnd w:id="109"/>
    </w:p>
    <w:p>
      <w:pPr>
        <w:pStyle w:val="Subsection"/>
      </w:pPr>
      <w:r>
        <w:tab/>
        <w:t>(1)</w:t>
      </w:r>
      <w:r>
        <w:tab/>
        <w:t>The regulations may make provision for how documents are to be made publicly available by the Information Commissioner or an entity for the purposes of any provision of this Part.</w:t>
      </w:r>
    </w:p>
    <w:p>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Commissioner considers appropriate.</w:t>
      </w:r>
    </w:p>
    <w:p>
      <w:pPr>
        <w:pStyle w:val="Heading5"/>
      </w:pPr>
      <w:bookmarkStart w:id="110" w:name="_Toc184391126"/>
      <w:bookmarkStart w:id="111" w:name="_Toc216963613"/>
      <w:r>
        <w:rPr>
          <w:rStyle w:val="CharSectno"/>
        </w:rPr>
        <w:t>150</w:t>
      </w:r>
      <w:r>
        <w:t>.</w:t>
      </w:r>
      <w:r>
        <w:tab/>
        <w:t>Notices of decisions or determinations</w:t>
      </w:r>
      <w:bookmarkEnd w:id="110"/>
      <w:bookmarkEnd w:id="111"/>
    </w:p>
    <w:p>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pPr>
        <w:pStyle w:val="Indenta"/>
      </w:pPr>
      <w:r>
        <w:tab/>
        <w:t>(a)</w:t>
      </w:r>
      <w:r>
        <w:tab/>
        <w:t>the day on which the decision or determination was made;</w:t>
      </w:r>
    </w:p>
    <w:p>
      <w:pPr>
        <w:pStyle w:val="Indenta"/>
      </w:pPr>
      <w:r>
        <w:tab/>
        <w:t>(b)</w:t>
      </w:r>
      <w:r>
        <w:tab/>
        <w:t>the name and designation of the person who made the decision or determination;</w:t>
      </w:r>
    </w:p>
    <w:p>
      <w:pPr>
        <w:pStyle w:val="Indenta"/>
      </w:pPr>
      <w:r>
        <w:tab/>
        <w:t>(c)</w:t>
      </w:r>
      <w:r>
        <w:tab/>
        <w:t>the reasons for the decision or determination;</w:t>
      </w:r>
    </w:p>
    <w:p>
      <w:pPr>
        <w:pStyle w:val="Indenta"/>
      </w:pPr>
      <w:r>
        <w:tab/>
        <w:t>(d)</w:t>
      </w:r>
      <w:r>
        <w:tab/>
        <w:t>any right under this Act to apply for a review of the decision or determination.</w:t>
      </w:r>
    </w:p>
    <w:p>
      <w:pPr>
        <w:pStyle w:val="Ednotedivision"/>
      </w:pPr>
      <w:bookmarkStart w:id="112" w:name="_Toc184390522"/>
      <w:bookmarkStart w:id="113" w:name="_Toc184390854"/>
      <w:bookmarkStart w:id="114" w:name="_Toc184391186"/>
      <w:r>
        <w:t>[Division 13 has not come into operation.]</w:t>
      </w:r>
    </w:p>
    <w:p>
      <w:pPr>
        <w:pStyle w:val="Heading2"/>
      </w:pPr>
      <w:bookmarkStart w:id="115" w:name="_Toc184390469"/>
      <w:bookmarkStart w:id="116" w:name="_Toc184390801"/>
      <w:bookmarkStart w:id="117" w:name="_Toc184391133"/>
      <w:bookmarkStart w:id="118" w:name="_Toc201654944"/>
      <w:bookmarkStart w:id="119" w:name="_Toc201655938"/>
      <w:bookmarkStart w:id="120" w:name="_Toc201662105"/>
      <w:bookmarkStart w:id="121" w:name="_Toc210126622"/>
      <w:bookmarkStart w:id="122" w:name="_Toc210132599"/>
      <w:bookmarkStart w:id="123" w:name="_Toc216861887"/>
      <w:bookmarkStart w:id="124" w:name="_Toc216862064"/>
      <w:bookmarkStart w:id="125" w:name="_Toc216946264"/>
      <w:bookmarkStart w:id="126" w:name="_Toc216946335"/>
      <w:bookmarkStart w:id="127" w:name="_Toc216963614"/>
      <w:r>
        <w:rPr>
          <w:rStyle w:val="CharPartNo"/>
        </w:rPr>
        <w:lastRenderedPageBreak/>
        <w:t>Part 3</w:t>
      </w:r>
      <w:r>
        <w:t> — </w:t>
      </w:r>
      <w:r>
        <w:rPr>
          <w:rStyle w:val="CharPartText"/>
        </w:rPr>
        <w:t>Responsible information sharing</w:t>
      </w:r>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Ednotedivision"/>
      </w:pPr>
      <w:r>
        <w:t>[Divisions 1-7 have not come into operation.]</w:t>
      </w:r>
    </w:p>
    <w:p>
      <w:pPr>
        <w:pStyle w:val="Heading3"/>
      </w:pPr>
      <w:bookmarkStart w:id="128" w:name="_Toc201654945"/>
      <w:bookmarkStart w:id="129" w:name="_Toc201655939"/>
      <w:bookmarkStart w:id="130" w:name="_Toc201662106"/>
      <w:bookmarkStart w:id="131" w:name="_Toc210126623"/>
      <w:bookmarkStart w:id="132" w:name="_Toc210132600"/>
      <w:bookmarkStart w:id="133" w:name="_Toc216861888"/>
      <w:bookmarkStart w:id="134" w:name="_Toc216862065"/>
      <w:bookmarkStart w:id="135" w:name="_Toc216946265"/>
      <w:bookmarkStart w:id="136" w:name="_Toc216946336"/>
      <w:bookmarkStart w:id="137" w:name="_Toc216963615"/>
      <w:r>
        <w:rPr>
          <w:rStyle w:val="CharDivNo"/>
        </w:rPr>
        <w:t>Division 8</w:t>
      </w:r>
      <w:r>
        <w:t> — </w:t>
      </w:r>
      <w:r>
        <w:rPr>
          <w:rStyle w:val="CharDivText"/>
        </w:rPr>
        <w:t>Administration</w:t>
      </w:r>
      <w:bookmarkEnd w:id="112"/>
      <w:bookmarkEnd w:id="113"/>
      <w:bookmarkEnd w:id="114"/>
      <w:bookmarkEnd w:id="128"/>
      <w:bookmarkEnd w:id="129"/>
      <w:bookmarkEnd w:id="130"/>
      <w:bookmarkEnd w:id="131"/>
      <w:bookmarkEnd w:id="132"/>
      <w:bookmarkEnd w:id="133"/>
      <w:bookmarkEnd w:id="134"/>
      <w:bookmarkEnd w:id="135"/>
      <w:bookmarkEnd w:id="136"/>
      <w:bookmarkEnd w:id="137"/>
    </w:p>
    <w:p>
      <w:pPr>
        <w:pStyle w:val="Heading4"/>
      </w:pPr>
      <w:bookmarkStart w:id="138" w:name="_Toc184390523"/>
      <w:bookmarkStart w:id="139" w:name="_Toc184390855"/>
      <w:bookmarkStart w:id="140" w:name="_Toc184391187"/>
      <w:bookmarkStart w:id="141" w:name="_Toc201654946"/>
      <w:bookmarkStart w:id="142" w:name="_Toc201655940"/>
      <w:bookmarkStart w:id="143" w:name="_Toc201662107"/>
      <w:bookmarkStart w:id="144" w:name="_Toc210126624"/>
      <w:bookmarkStart w:id="145" w:name="_Toc210132601"/>
      <w:bookmarkStart w:id="146" w:name="_Toc216861889"/>
      <w:bookmarkStart w:id="147" w:name="_Toc216862066"/>
      <w:bookmarkStart w:id="148" w:name="_Toc216946266"/>
      <w:bookmarkStart w:id="149" w:name="_Toc216946337"/>
      <w:bookmarkStart w:id="150" w:name="_Toc216963616"/>
      <w:r>
        <w:t>Subdivision 1 — Chief Data Officer</w:t>
      </w:r>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pPr>
      <w:bookmarkStart w:id="151" w:name="_Toc184391188"/>
      <w:bookmarkStart w:id="152" w:name="_Toc216963617"/>
      <w:r>
        <w:rPr>
          <w:rStyle w:val="CharSectno"/>
        </w:rPr>
        <w:t>198</w:t>
      </w:r>
      <w:r>
        <w:t>.</w:t>
      </w:r>
      <w:r>
        <w:tab/>
        <w:t>Chief Data Officer</w:t>
      </w:r>
      <w:bookmarkEnd w:id="151"/>
      <w:bookmarkEnd w:id="152"/>
    </w:p>
    <w:p>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pPr>
        <w:pStyle w:val="Heading5"/>
      </w:pPr>
      <w:bookmarkStart w:id="153" w:name="_Toc184391189"/>
      <w:bookmarkStart w:id="154" w:name="_Toc216963618"/>
      <w:r>
        <w:rPr>
          <w:rStyle w:val="CharSectno"/>
        </w:rPr>
        <w:t>199</w:t>
      </w:r>
      <w:r>
        <w:t>.</w:t>
      </w:r>
      <w:r>
        <w:tab/>
        <w:t>Chief Data Officer is separate public entity for information sharing purposes</w:t>
      </w:r>
      <w:bookmarkEnd w:id="153"/>
      <w:bookmarkEnd w:id="154"/>
    </w:p>
    <w:p>
      <w:pPr>
        <w:pStyle w:val="Subsection"/>
      </w:pPr>
      <w:r>
        <w:tab/>
        <w:t>(1)</w:t>
      </w:r>
      <w:r>
        <w:tab/>
        <w:t xml:space="preserve">For the purposes of a reference to a public entity in this Part — </w:t>
      </w:r>
    </w:p>
    <w:p>
      <w:pPr>
        <w:pStyle w:val="Indenta"/>
      </w:pPr>
      <w:r>
        <w:tab/>
        <w:t>(a)</w:t>
      </w:r>
      <w:r>
        <w:tab/>
        <w:t>the Chief Data Officer is to be treated as a separate public entity and not as part of the information sharing Department; and</w:t>
      </w:r>
    </w:p>
    <w:p>
      <w:pPr>
        <w:pStyle w:val="Indenta"/>
      </w:pPr>
      <w:r>
        <w:tab/>
        <w:t>(b)</w:t>
      </w:r>
      <w:r>
        <w:tab/>
        <w:t>the Chief Data Officer is to be treated as the principal officer of that public entity.</w:t>
      </w:r>
    </w:p>
    <w:p>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pPr>
        <w:pStyle w:val="Subsection"/>
        <w:keepNext/>
      </w:pPr>
      <w:r>
        <w:tab/>
        <w:t>(3)</w:t>
      </w:r>
      <w:r>
        <w:tab/>
        <w:t xml:space="preserve">Subsection (1) does not affect — </w:t>
      </w:r>
    </w:p>
    <w:p>
      <w:pPr>
        <w:pStyle w:val="Indenta"/>
      </w:pPr>
      <w:r>
        <w:tab/>
        <w:t>(a)</w:t>
      </w:r>
      <w:r>
        <w:tab/>
        <w:t>the power under section 207 for the Chief Data Officer to delegate to an officer of the information sharing Department; or</w:t>
      </w:r>
    </w:p>
    <w:p>
      <w:pPr>
        <w:pStyle w:val="Indenta"/>
        <w:keepNext/>
        <w:keepLines/>
      </w:pPr>
      <w:r>
        <w:lastRenderedPageBreak/>
        <w:tab/>
        <w:t>(b)</w:t>
      </w:r>
      <w:r>
        <w:tab/>
        <w:t>the requirement under section 211 for matters relating to the Chief Data Officer to be included in the annual report in respect of the information sharing Department referred to in that section.</w:t>
      </w:r>
    </w:p>
    <w:p>
      <w:pPr>
        <w:pStyle w:val="Heading5"/>
      </w:pPr>
      <w:bookmarkStart w:id="155" w:name="_Toc184391190"/>
      <w:bookmarkStart w:id="156" w:name="_Toc216963619"/>
      <w:r>
        <w:rPr>
          <w:rStyle w:val="CharSectno"/>
        </w:rPr>
        <w:t>200</w:t>
      </w:r>
      <w:r>
        <w:t>.</w:t>
      </w:r>
      <w:r>
        <w:tab/>
        <w:t>Functions of Chief Data Officer</w:t>
      </w:r>
      <w:bookmarkEnd w:id="155"/>
      <w:bookmarkEnd w:id="156"/>
    </w:p>
    <w:p>
      <w:pPr>
        <w:pStyle w:val="Subsection"/>
      </w:pPr>
      <w:r>
        <w:tab/>
        <w:t>(1)</w:t>
      </w:r>
      <w:r>
        <w:tab/>
        <w:t xml:space="preserve">The Chief Data Officer has the following functions — </w:t>
      </w:r>
    </w:p>
    <w:p>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pPr>
        <w:pStyle w:val="Indenta"/>
      </w:pPr>
      <w:r>
        <w:tab/>
        <w:t>(b)</w:t>
      </w:r>
      <w:r>
        <w:tab/>
        <w:t>to disclose or make publicly available information generated from undertaking data analytics work, data integration or data linkage if the Chief Data Officer considers it appropriate to do so;</w:t>
      </w:r>
    </w:p>
    <w:p>
      <w:pPr>
        <w:pStyle w:val="Indenta"/>
      </w:pPr>
      <w:r>
        <w:tab/>
        <w:t>(c)</w:t>
      </w:r>
      <w:r>
        <w:tab/>
        <w:t>to do anything the Chief Data Officer may do as a public entity under this Part (including as referred to in section 199(2));</w:t>
      </w:r>
    </w:p>
    <w:p>
      <w:pPr>
        <w:pStyle w:val="Indenta"/>
      </w:pPr>
      <w:r>
        <w:tab/>
        <w:t>(d)</w:t>
      </w:r>
      <w:r>
        <w:tab/>
        <w:t>to promote the objects of this Act;</w:t>
      </w:r>
    </w:p>
    <w:p>
      <w:pPr>
        <w:pStyle w:val="Indenta"/>
      </w:pPr>
      <w:r>
        <w:tab/>
        <w:t>(e)</w:t>
      </w:r>
      <w:r>
        <w:tab/>
        <w:t>to build the capability of public entities to share information in accordance with this Part;</w:t>
      </w:r>
    </w:p>
    <w:p>
      <w:pPr>
        <w:pStyle w:val="Indenta"/>
      </w:pPr>
      <w:r>
        <w:tab/>
        <w:t>(f)</w:t>
      </w:r>
      <w:r>
        <w:tab/>
        <w:t>to prepare and make available information and material in relation to the sharing of information in accordance with this Part;</w:t>
      </w:r>
    </w:p>
    <w:p>
      <w:pPr>
        <w:pStyle w:val="Indenta"/>
      </w:pPr>
      <w:r>
        <w:tab/>
        <w:t>(g)</w:t>
      </w:r>
      <w:r>
        <w:tab/>
        <w:t>to provide assistance to public entities and external entities in relation to the sharing of information in accordance with this Part;</w:t>
      </w:r>
    </w:p>
    <w:p>
      <w:pPr>
        <w:pStyle w:val="Indenta"/>
      </w:pPr>
      <w:r>
        <w:tab/>
        <w:t>(h)</w:t>
      </w:r>
      <w:r>
        <w:tab/>
        <w:t>to provide advice to the Information Sharing Minister or to any other person or body about any matters relating to the sharing of information held by public entities;</w:t>
      </w:r>
    </w:p>
    <w:p>
      <w:pPr>
        <w:pStyle w:val="Indenta"/>
      </w:pPr>
      <w:r>
        <w:tab/>
        <w:t>(i)</w:t>
      </w:r>
      <w:r>
        <w:tab/>
        <w:t>to oversee and monitor the use of information sharing agreements;</w:t>
      </w:r>
    </w:p>
    <w:p>
      <w:pPr>
        <w:pStyle w:val="Indenta"/>
      </w:pPr>
      <w:r>
        <w:lastRenderedPageBreak/>
        <w:tab/>
        <w:t>(j)</w:t>
      </w:r>
      <w:r>
        <w:tab/>
        <w:t>to promote and support the responsible sharing of information between public entities in the State and agencies and instrumentalities in other jurisdictions;</w:t>
      </w:r>
    </w:p>
    <w:p>
      <w:pPr>
        <w:pStyle w:val="Indenta"/>
      </w:pPr>
      <w:r>
        <w:tab/>
        <w:t>(k)</w:t>
      </w:r>
      <w:r>
        <w:tab/>
        <w:t>any other functions given to the Chief Data Officer under this Act or another written law.</w:t>
      </w:r>
    </w:p>
    <w:p>
      <w:pPr>
        <w:pStyle w:val="Subsection"/>
      </w:pPr>
      <w:r>
        <w:tab/>
        <w:t>(2)</w:t>
      </w:r>
      <w:r>
        <w:tab/>
        <w:t>The Chief Data Officer has all the powers that are needed for the performance of the Chief Data Officer’s functions.</w:t>
      </w:r>
    </w:p>
    <w:p>
      <w:pPr>
        <w:pStyle w:val="Heading5"/>
      </w:pPr>
      <w:bookmarkStart w:id="157" w:name="_Toc184391191"/>
      <w:bookmarkStart w:id="158" w:name="_Toc216963620"/>
      <w:r>
        <w:rPr>
          <w:rStyle w:val="CharSectno"/>
        </w:rPr>
        <w:t>201</w:t>
      </w:r>
      <w:r>
        <w:t>.</w:t>
      </w:r>
      <w:r>
        <w:tab/>
        <w:t>Power to issue guidelines</w:t>
      </w:r>
      <w:bookmarkEnd w:id="157"/>
      <w:bookmarkEnd w:id="158"/>
    </w:p>
    <w:p>
      <w:pPr>
        <w:pStyle w:val="Subsection"/>
      </w:pPr>
      <w:r>
        <w:tab/>
        <w:t>(1)</w:t>
      </w:r>
      <w:r>
        <w:tab/>
        <w:t xml:space="preserve">The Chief Data Officer may issue guidelines — </w:t>
      </w:r>
    </w:p>
    <w:p>
      <w:pPr>
        <w:pStyle w:val="Indenta"/>
      </w:pPr>
      <w:r>
        <w:tab/>
        <w:t>(a)</w:t>
      </w:r>
      <w:r>
        <w:tab/>
        <w:t>in relation to any matter required or permitted by this Part to be the subject of Chief Data Officer guidelines; or</w:t>
      </w:r>
    </w:p>
    <w:p>
      <w:pPr>
        <w:pStyle w:val="Indenta"/>
      </w:pPr>
      <w:r>
        <w:tab/>
        <w:t>(b)</w:t>
      </w:r>
      <w:r>
        <w:tab/>
        <w:t>to provide information and guidance in relation to matters relating to this Part and the responsible sharing principles.</w:t>
      </w:r>
    </w:p>
    <w:p>
      <w:pPr>
        <w:pStyle w:val="Subsection"/>
      </w:pPr>
      <w:r>
        <w:tab/>
        <w:t>(2)</w:t>
      </w:r>
      <w:r>
        <w:tab/>
        <w:t xml:space="preserve">Without limiting subsection (1)(b), guidelines may be issued in relation to any of the following — </w:t>
      </w:r>
    </w:p>
    <w:p>
      <w:pPr>
        <w:pStyle w:val="Indenta"/>
      </w:pPr>
      <w:r>
        <w:tab/>
        <w:t>(a)</w:t>
      </w:r>
      <w:r>
        <w:tab/>
        <w:t>the form and contents of information sharing agreements, including template provisions for inclusion in information sharing agreements;</w:t>
      </w:r>
    </w:p>
    <w:p>
      <w:pPr>
        <w:pStyle w:val="Indenta"/>
      </w:pPr>
      <w:r>
        <w:tab/>
        <w:t>(b)</w:t>
      </w:r>
      <w:r>
        <w:tab/>
        <w:t>processes to be followed before entering into information sharing agreements;</w:t>
      </w:r>
    </w:p>
    <w:p>
      <w:pPr>
        <w:pStyle w:val="Indenta"/>
      </w:pPr>
      <w:r>
        <w:tab/>
        <w:t>(c)</w:t>
      </w:r>
      <w:r>
        <w:tab/>
        <w:t xml:space="preserve">processes and safeguards relating to the handling of information shared under this Part, including for the purposes of protecting — </w:t>
      </w:r>
    </w:p>
    <w:p>
      <w:pPr>
        <w:pStyle w:val="Indenti"/>
      </w:pPr>
      <w:r>
        <w:tab/>
        <w:t>(i)</w:t>
      </w:r>
      <w:r>
        <w:tab/>
        <w:t>the privacy of individuals; and</w:t>
      </w:r>
    </w:p>
    <w:p>
      <w:pPr>
        <w:pStyle w:val="Indenti"/>
      </w:pPr>
      <w:r>
        <w:tab/>
        <w:t>(ii)</w:t>
      </w:r>
      <w:r>
        <w:tab/>
        <w:t>the confidentiality and security of information;</w:t>
      </w:r>
    </w:p>
    <w:p>
      <w:pPr>
        <w:pStyle w:val="Indenta"/>
      </w:pPr>
      <w:r>
        <w:tab/>
        <w:t>(d)</w:t>
      </w:r>
      <w:r>
        <w:tab/>
        <w:t>the management of risks relating to the sharing of information under this Part;</w:t>
      </w:r>
    </w:p>
    <w:p>
      <w:pPr>
        <w:pStyle w:val="Indenta"/>
        <w:keepNext/>
        <w:keepLines/>
      </w:pPr>
      <w:r>
        <w:lastRenderedPageBreak/>
        <w:tab/>
        <w:t>(e)</w:t>
      </w:r>
      <w:r>
        <w:tab/>
        <w:t>the use of information shared under this Part for activities involving data analytics work, data integration or data linkage, including in relation to the design and governance of those activities.</w:t>
      </w:r>
    </w:p>
    <w:p>
      <w:pPr>
        <w:pStyle w:val="Subsection"/>
      </w:pPr>
      <w:r>
        <w:tab/>
        <w:t>(3)</w:t>
      </w:r>
      <w:r>
        <w:tab/>
        <w:t>The Chief Data Officer may amend or revoke Chief Data Officer guidelines.</w:t>
      </w:r>
    </w:p>
    <w:p>
      <w:pPr>
        <w:pStyle w:val="Subsection"/>
      </w:pPr>
      <w:r>
        <w:tab/>
        <w:t>(4)</w:t>
      </w:r>
      <w:r>
        <w:tab/>
        <w:t>The Chief Data Officer must ensure that Chief Data Officer guidelines are made publicly available.</w:t>
      </w:r>
    </w:p>
    <w:p>
      <w:pPr>
        <w:pStyle w:val="PermNoteHeading"/>
      </w:pPr>
      <w:r>
        <w:tab/>
        <w:t>Note for this section:</w:t>
      </w:r>
    </w:p>
    <w:p>
      <w:pPr>
        <w:pStyle w:val="PermNoteText"/>
      </w:pPr>
      <w:r>
        <w:tab/>
      </w:r>
      <w:r>
        <w:tab/>
        <w:t>Section 221 makes provision for the status and effect of Chief Data Officer guidelines.</w:t>
      </w:r>
    </w:p>
    <w:p>
      <w:pPr>
        <w:pStyle w:val="Heading5"/>
      </w:pPr>
      <w:bookmarkStart w:id="159" w:name="_Toc184391192"/>
      <w:bookmarkStart w:id="160" w:name="_Toc216963621"/>
      <w:r>
        <w:rPr>
          <w:rStyle w:val="CharSectno"/>
        </w:rPr>
        <w:t>202</w:t>
      </w:r>
      <w:r>
        <w:t>.</w:t>
      </w:r>
      <w:r>
        <w:tab/>
        <w:t>Consultation on guidelines</w:t>
      </w:r>
      <w:bookmarkEnd w:id="159"/>
      <w:bookmarkEnd w:id="160"/>
    </w:p>
    <w:p>
      <w:pPr>
        <w:pStyle w:val="Subsection"/>
      </w:pPr>
      <w:r>
        <w:tab/>
        <w:t>(1)</w:t>
      </w:r>
      <w:r>
        <w:tab/>
        <w:t>The Chief Data Officer may consult with any person or body the Chief Data Officer considers appropriate before issuing, amending or revoking any guidelines under section 201.</w:t>
      </w:r>
    </w:p>
    <w:p>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pPr>
        <w:pStyle w:val="Heading5"/>
      </w:pPr>
      <w:bookmarkStart w:id="161" w:name="_Toc184391193"/>
      <w:bookmarkStart w:id="162" w:name="_Toc216963622"/>
      <w:r>
        <w:rPr>
          <w:rStyle w:val="CharSectno"/>
        </w:rPr>
        <w:t>203</w:t>
      </w:r>
      <w:r>
        <w:t>.</w:t>
      </w:r>
      <w:r>
        <w:tab/>
        <w:t>Chief Data Officer must have regard to objects of Act</w:t>
      </w:r>
      <w:bookmarkEnd w:id="161"/>
      <w:bookmarkEnd w:id="162"/>
    </w:p>
    <w:p>
      <w:pPr>
        <w:pStyle w:val="Subsection"/>
      </w:pPr>
      <w:r>
        <w:tab/>
      </w:r>
      <w:r>
        <w:tab/>
        <w:t>In performing functions under this Act, the Chief Data Officer must have regard to the objects of this Act.</w:t>
      </w:r>
    </w:p>
    <w:p>
      <w:pPr>
        <w:pStyle w:val="Heading4"/>
      </w:pPr>
      <w:bookmarkStart w:id="163" w:name="_Toc184390530"/>
      <w:bookmarkStart w:id="164" w:name="_Toc184390862"/>
      <w:bookmarkStart w:id="165" w:name="_Toc184391194"/>
      <w:bookmarkStart w:id="166" w:name="_Toc201654953"/>
      <w:bookmarkStart w:id="167" w:name="_Toc201655947"/>
      <w:bookmarkStart w:id="168" w:name="_Toc201662114"/>
      <w:bookmarkStart w:id="169" w:name="_Toc210126631"/>
      <w:bookmarkStart w:id="170" w:name="_Toc210132608"/>
      <w:bookmarkStart w:id="171" w:name="_Toc216861896"/>
      <w:bookmarkStart w:id="172" w:name="_Toc216862073"/>
      <w:bookmarkStart w:id="173" w:name="_Toc216946273"/>
      <w:bookmarkStart w:id="174" w:name="_Toc216946344"/>
      <w:bookmarkStart w:id="175" w:name="_Toc216963623"/>
      <w:r>
        <w:lastRenderedPageBreak/>
        <w:t>Subdivision 2 — Privacy and Responsible Information Sharing Advisory Committee</w:t>
      </w:r>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5"/>
      </w:pPr>
      <w:bookmarkStart w:id="176" w:name="_Toc184391195"/>
      <w:bookmarkStart w:id="177" w:name="_Toc216963624"/>
      <w:r>
        <w:rPr>
          <w:rStyle w:val="CharSectno"/>
        </w:rPr>
        <w:t>204</w:t>
      </w:r>
      <w:r>
        <w:t>.</w:t>
      </w:r>
      <w:r>
        <w:tab/>
        <w:t>Privacy and Responsible Information Sharing Advisory Committee</w:t>
      </w:r>
      <w:bookmarkEnd w:id="176"/>
      <w:bookmarkEnd w:id="177"/>
    </w:p>
    <w:p>
      <w:pPr>
        <w:pStyle w:val="Subsection"/>
      </w:pPr>
      <w:r>
        <w:tab/>
        <w:t>(1)</w:t>
      </w:r>
      <w:r>
        <w:tab/>
        <w:t>A committee called the Privacy and Responsible Information Sharing Advisory Committee is established.</w:t>
      </w:r>
    </w:p>
    <w:p>
      <w:pPr>
        <w:pStyle w:val="Subsection"/>
        <w:keepNext/>
      </w:pPr>
      <w:r>
        <w:tab/>
        <w:t>(2)</w:t>
      </w:r>
      <w:r>
        <w:tab/>
        <w:t xml:space="preserve">The committee consists of the following members — </w:t>
      </w:r>
    </w:p>
    <w:p>
      <w:pPr>
        <w:pStyle w:val="Indenta"/>
      </w:pPr>
      <w:r>
        <w:tab/>
        <w:t>(a)</w:t>
      </w:r>
      <w:r>
        <w:tab/>
        <w:t>the Chief Data Officer;</w:t>
      </w:r>
    </w:p>
    <w:p>
      <w:pPr>
        <w:pStyle w:val="Indenta"/>
      </w:pPr>
      <w:r>
        <w:tab/>
        <w:t>(b)</w:t>
      </w:r>
      <w:r>
        <w:tab/>
        <w:t>the Information Commissioner;</w:t>
      </w:r>
    </w:p>
    <w:p>
      <w:pPr>
        <w:pStyle w:val="Indenta"/>
      </w:pPr>
      <w:r>
        <w:tab/>
        <w:t>(c)</w:t>
      </w:r>
      <w:r>
        <w:tab/>
        <w:t>at least 2, and no more than 5, other members appointed by the Information Sharing Minister.</w:t>
      </w:r>
    </w:p>
    <w:p>
      <w:pPr>
        <w:pStyle w:val="Subsection"/>
      </w:pPr>
      <w:r>
        <w:tab/>
        <w:t>(3)</w:t>
      </w:r>
      <w:r>
        <w:tab/>
        <w:t>The Information Sharing Minister must ensure that each person appointed under subsection (2)(c) has appropriate qualifications, skills or experience relevant to the functions of the committee.</w:t>
      </w:r>
    </w:p>
    <w:p>
      <w:pPr>
        <w:pStyle w:val="Subsection"/>
      </w:pPr>
      <w:r>
        <w:tab/>
        <w:t>(4)</w:t>
      </w:r>
      <w:r>
        <w:tab/>
        <w:t>Before appointing a person under subsection (2)(c), the Information Sharing Minister must consult with the Privacy Minister.</w:t>
      </w:r>
    </w:p>
    <w:p>
      <w:pPr>
        <w:pStyle w:val="Subsection"/>
      </w:pPr>
      <w:r>
        <w:tab/>
        <w:t>(5)</w:t>
      </w:r>
      <w:r>
        <w:tab/>
        <w:t xml:space="preserve">A person may be appointed under subsection (2)(c) — </w:t>
      </w:r>
    </w:p>
    <w:p>
      <w:pPr>
        <w:pStyle w:val="Indenta"/>
      </w:pPr>
      <w:r>
        <w:tab/>
        <w:t>(a)</w:t>
      </w:r>
      <w:r>
        <w:tab/>
        <w:t>for a period not exceeding 3 years; and</w:t>
      </w:r>
    </w:p>
    <w:p>
      <w:pPr>
        <w:pStyle w:val="Indenta"/>
      </w:pPr>
      <w:r>
        <w:tab/>
        <w:t>(b)</w:t>
      </w:r>
      <w:r>
        <w:tab/>
        <w:t>on a full</w:t>
      </w:r>
      <w:r>
        <w:noBreakHyphen/>
        <w:t>time basis or part</w:t>
      </w:r>
      <w:r>
        <w:noBreakHyphen/>
        <w:t>time basis.</w:t>
      </w:r>
    </w:p>
    <w:p>
      <w:pPr>
        <w:pStyle w:val="Subsection"/>
      </w:pPr>
      <w:r>
        <w:tab/>
        <w:t>(6)</w:t>
      </w:r>
      <w:r>
        <w:tab/>
        <w:t>A person who has been appointed under subsection (2)(c) is eligible for reappointment.</w:t>
      </w:r>
    </w:p>
    <w:p>
      <w:pPr>
        <w:pStyle w:val="Heading5"/>
      </w:pPr>
      <w:bookmarkStart w:id="178" w:name="_Toc184391196"/>
      <w:bookmarkStart w:id="179" w:name="_Toc216963625"/>
      <w:r>
        <w:rPr>
          <w:rStyle w:val="CharSectno"/>
        </w:rPr>
        <w:t>205</w:t>
      </w:r>
      <w:r>
        <w:t>.</w:t>
      </w:r>
      <w:r>
        <w:tab/>
        <w:t>Functions of Privacy and Responsible Information Sharing Advisory Committee</w:t>
      </w:r>
      <w:bookmarkEnd w:id="178"/>
      <w:bookmarkEnd w:id="179"/>
    </w:p>
    <w:p>
      <w:pPr>
        <w:pStyle w:val="Subsection"/>
      </w:pPr>
      <w:r>
        <w:tab/>
        <w:t>(1)</w:t>
      </w:r>
      <w:r>
        <w:tab/>
        <w:t>The Privacy and Responsible Information Sharing Advisory Committee has the function of advising the Chief Data Officer in relation to the performance of the Chief Data Officer’s functions.</w:t>
      </w:r>
    </w:p>
    <w:p>
      <w:pPr>
        <w:pStyle w:val="Subsection"/>
      </w:pPr>
      <w:r>
        <w:lastRenderedPageBreak/>
        <w:tab/>
        <w:t>(2)</w:t>
      </w:r>
      <w:r>
        <w:tab/>
        <w:t xml:space="preserve">Without limiting subsection (1), the Privacy and Responsible Information Sharing Advisory Committee may give the Chief Data Officer advice in relation to the following — </w:t>
      </w:r>
    </w:p>
    <w:p>
      <w:pPr>
        <w:pStyle w:val="Indenta"/>
      </w:pPr>
      <w:r>
        <w:tab/>
        <w:t>(a)</w:t>
      </w:r>
      <w:r>
        <w:tab/>
        <w:t>balancing the public interest in the protection of privacy with the public interest in the free flow of information;</w:t>
      </w:r>
    </w:p>
    <w:p>
      <w:pPr>
        <w:pStyle w:val="Indenta"/>
      </w:pPr>
      <w:r>
        <w:tab/>
        <w:t>(b)</w:t>
      </w:r>
      <w:r>
        <w:tab/>
        <w:t>community expectations in relation to the matters referred to in section 177(6)(a) to (e);</w:t>
      </w:r>
    </w:p>
    <w:p>
      <w:pPr>
        <w:pStyle w:val="Indenta"/>
      </w:pPr>
      <w:r>
        <w:tab/>
        <w:t>(c)</w:t>
      </w:r>
      <w:r>
        <w:tab/>
        <w:t>technical best practices in relation to the handling of information;</w:t>
      </w:r>
    </w:p>
    <w:p>
      <w:pPr>
        <w:pStyle w:val="Indenta"/>
      </w:pPr>
      <w:r>
        <w:tab/>
        <w:t>(d)</w:t>
      </w:r>
      <w:r>
        <w:tab/>
        <w:t>developments in industry or other jurisdictions relevant to the handling of information.</w:t>
      </w:r>
    </w:p>
    <w:p>
      <w:pPr>
        <w:pStyle w:val="Subsection"/>
      </w:pPr>
      <w:r>
        <w:tab/>
        <w:t>(3)</w:t>
      </w:r>
      <w:r>
        <w:tab/>
        <w:t>The Privacy and Responsible Information Sharing Advisory Committee may consult with any person or body for the purposes of providing advice to the Chief Data Officer.</w:t>
      </w:r>
    </w:p>
    <w:p>
      <w:pPr>
        <w:pStyle w:val="Heading5"/>
      </w:pPr>
      <w:bookmarkStart w:id="180" w:name="_Toc184391197"/>
      <w:bookmarkStart w:id="181" w:name="_Toc216963626"/>
      <w:r>
        <w:rPr>
          <w:rStyle w:val="CharSectno"/>
        </w:rPr>
        <w:t>206</w:t>
      </w:r>
      <w:r>
        <w:t>.</w:t>
      </w:r>
      <w:r>
        <w:tab/>
        <w:t>Regulations about Privacy and Responsible Information Sharing Advisory Committee</w:t>
      </w:r>
      <w:bookmarkEnd w:id="180"/>
      <w:bookmarkEnd w:id="181"/>
    </w:p>
    <w:p>
      <w:pPr>
        <w:pStyle w:val="Subsection"/>
      </w:pPr>
      <w:r>
        <w:tab/>
        <w:t>(1)</w:t>
      </w:r>
      <w:r>
        <w:tab/>
        <w:t>The regulations may make provision for or in relation to the Privacy and Responsible Information Sharing Advisory Committee.</w:t>
      </w:r>
    </w:p>
    <w:p>
      <w:pPr>
        <w:pStyle w:val="Subsection"/>
      </w:pPr>
      <w:r>
        <w:tab/>
        <w:t>(2)</w:t>
      </w:r>
      <w:r>
        <w:tab/>
        <w:t xml:space="preserve">Without limiting subsection (1), regulations made under that subsection may make provision for or in relation to any of the following — </w:t>
      </w:r>
    </w:p>
    <w:p>
      <w:pPr>
        <w:pStyle w:val="Indenta"/>
      </w:pPr>
      <w:r>
        <w:tab/>
        <w:t>(a)</w:t>
      </w:r>
      <w:r>
        <w:tab/>
        <w:t>the appointment of a chairperson and deputy chairperson of the committee;</w:t>
      </w:r>
    </w:p>
    <w:p>
      <w:pPr>
        <w:pStyle w:val="Indenta"/>
      </w:pPr>
      <w:r>
        <w:tab/>
        <w:t>(b)</w:t>
      </w:r>
      <w:r>
        <w:tab/>
        <w:t>the conditions of appointment of members of the committee appointed under section 204(2)(c), including remuneration, allowances and leave;</w:t>
      </w:r>
    </w:p>
    <w:p>
      <w:pPr>
        <w:pStyle w:val="Indenta"/>
      </w:pPr>
      <w:r>
        <w:tab/>
        <w:t>(c)</w:t>
      </w:r>
      <w:r>
        <w:tab/>
        <w:t>the resignation or removal of members of the committee appointed under section 204(2)(c);</w:t>
      </w:r>
    </w:p>
    <w:p>
      <w:pPr>
        <w:pStyle w:val="Indenta"/>
      </w:pPr>
      <w:r>
        <w:tab/>
        <w:t>(d)</w:t>
      </w:r>
      <w:r>
        <w:tab/>
        <w:t>meetings and procedures of the committee, including the management of any conflicts of interest relating to the committee.</w:t>
      </w:r>
    </w:p>
    <w:p>
      <w:pPr>
        <w:pStyle w:val="Subsection"/>
      </w:pPr>
      <w:r>
        <w:lastRenderedPageBreak/>
        <w:tab/>
        <w:t>(3)</w:t>
      </w:r>
      <w:r>
        <w:tab/>
        <w:t>Subject to any regulations made under subsection (1), the committee may determine its own procedures.</w:t>
      </w:r>
    </w:p>
    <w:p>
      <w:pPr>
        <w:pStyle w:val="Heading4"/>
      </w:pPr>
      <w:bookmarkStart w:id="182" w:name="_Toc184390534"/>
      <w:bookmarkStart w:id="183" w:name="_Toc184390866"/>
      <w:bookmarkStart w:id="184" w:name="_Toc184391198"/>
      <w:bookmarkStart w:id="185" w:name="_Toc201654957"/>
      <w:bookmarkStart w:id="186" w:name="_Toc201655951"/>
      <w:bookmarkStart w:id="187" w:name="_Toc201662118"/>
      <w:bookmarkStart w:id="188" w:name="_Toc210126635"/>
      <w:bookmarkStart w:id="189" w:name="_Toc210132612"/>
      <w:bookmarkStart w:id="190" w:name="_Toc216861900"/>
      <w:bookmarkStart w:id="191" w:name="_Toc216862077"/>
      <w:bookmarkStart w:id="192" w:name="_Toc216946277"/>
      <w:bookmarkStart w:id="193" w:name="_Toc216946348"/>
      <w:bookmarkStart w:id="194" w:name="_Toc216963627"/>
      <w:r>
        <w:t>Subdivision 3 — Delegation and secrecy</w:t>
      </w:r>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pPr>
      <w:bookmarkStart w:id="195" w:name="_Toc184391199"/>
      <w:bookmarkStart w:id="196" w:name="_Toc216963628"/>
      <w:r>
        <w:rPr>
          <w:rStyle w:val="CharSectno"/>
        </w:rPr>
        <w:t>207</w:t>
      </w:r>
      <w:r>
        <w:t>.</w:t>
      </w:r>
      <w:r>
        <w:tab/>
        <w:t>Delegation by Chief Data Officer</w:t>
      </w:r>
      <w:bookmarkEnd w:id="195"/>
      <w:bookmarkEnd w:id="196"/>
    </w:p>
    <w:p>
      <w:pPr>
        <w:pStyle w:val="Subsection"/>
      </w:pPr>
      <w:r>
        <w:tab/>
        <w:t>(1)</w:t>
      </w:r>
      <w:r>
        <w:tab/>
        <w:t>The Chief Data Officer may delegate to a person employed or engaged in the information sharing Department any power or duty of the Chief Data Officer under another provision of this Act.</w:t>
      </w:r>
    </w:p>
    <w:p>
      <w:pPr>
        <w:pStyle w:val="Subsection"/>
      </w:pPr>
      <w:r>
        <w:tab/>
        <w:t>(2)</w:t>
      </w:r>
      <w:r>
        <w:tab/>
        <w:t>The delegation must be in writing signed by the Chief Data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Chief Data Officer to perform a function through an officer or agent.</w:t>
      </w:r>
    </w:p>
    <w:p>
      <w:pPr>
        <w:pStyle w:val="Heading5"/>
      </w:pPr>
      <w:bookmarkStart w:id="197" w:name="_Toc184391200"/>
      <w:bookmarkStart w:id="198" w:name="_Toc216963629"/>
      <w:r>
        <w:rPr>
          <w:rStyle w:val="CharSectno"/>
        </w:rPr>
        <w:t>208</w:t>
      </w:r>
      <w:r>
        <w:t>.</w:t>
      </w:r>
      <w:r>
        <w:tab/>
        <w:t>Secrecy and authorised disclosure and use of information</w:t>
      </w:r>
      <w:bookmarkEnd w:id="197"/>
      <w:bookmarkEnd w:id="198"/>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Chief Data Officer; or</w:t>
      </w:r>
    </w:p>
    <w:p>
      <w:pPr>
        <w:pStyle w:val="Defpara"/>
      </w:pPr>
      <w:r>
        <w:tab/>
        <w:t>(b)</w:t>
      </w:r>
      <w:r>
        <w:tab/>
        <w:t>a member of the Privacy and Responsible Information Sharing Advisory Committee; or</w:t>
      </w:r>
    </w:p>
    <w:p>
      <w:pPr>
        <w:pStyle w:val="Defpara"/>
      </w:pPr>
      <w:r>
        <w:tab/>
        <w:t>(c)</w:t>
      </w:r>
      <w:r>
        <w:tab/>
        <w:t>a person employed or engaged in the information sharing Department.</w:t>
      </w:r>
    </w:p>
    <w:p>
      <w:pPr>
        <w:pStyle w:val="Subsection"/>
        <w:keepNext/>
      </w:pPr>
      <w:r>
        <w:lastRenderedPageBreak/>
        <w:tab/>
        <w:t>(2)</w:t>
      </w:r>
      <w:r>
        <w:tab/>
        <w:t>A relevant official must not, directly or indirectly, record, disclose or use information obtained in the administration of this Act.</w:t>
      </w:r>
    </w:p>
    <w:p>
      <w:pPr>
        <w:pStyle w:val="Penstart"/>
      </w:pPr>
      <w:r>
        <w:tab/>
        <w:t>Penalty for this subsection: a fine of $6 000.</w:t>
      </w:r>
    </w:p>
    <w:p>
      <w:pPr>
        <w:pStyle w:val="Subsection"/>
      </w:pPr>
      <w:r>
        <w:tab/>
        <w:t>(3)</w:t>
      </w:r>
      <w:r>
        <w:tab/>
        <w:t>Subsection (2) does not apply to the recording, disclosure or use of statistical or other information that is not personal information.</w:t>
      </w:r>
    </w:p>
    <w:p>
      <w:pPr>
        <w:pStyle w:val="Subsection"/>
      </w:pPr>
      <w:r>
        <w:tab/>
        <w:t>(4)</w:t>
      </w:r>
      <w:r>
        <w:tab/>
        <w:t>A relevant official does not commit an offence under subsection (2) if the recording, disclosure or use of the information is authorised under subsection (5).</w:t>
      </w:r>
    </w:p>
    <w:p>
      <w:pPr>
        <w:pStyle w:val="Subsection"/>
      </w:pPr>
      <w:r>
        <w:tab/>
        <w:t>(5)</w:t>
      </w:r>
      <w:r>
        <w:tab/>
        <w:t xml:space="preserve">The recording, disclosure or use of information to which subsection (2) applies is authorised if the information is recorded, disclosed or used — </w:t>
      </w:r>
    </w:p>
    <w:p>
      <w:pPr>
        <w:pStyle w:val="Indenta"/>
      </w:pPr>
      <w:r>
        <w:tab/>
        <w:t>(a)</w:t>
      </w:r>
      <w:r>
        <w:tab/>
        <w:t>for the purpose of, or in connection with, performing a function under this Act; or</w:t>
      </w:r>
    </w:p>
    <w:p>
      <w:pPr>
        <w:pStyle w:val="Indenta"/>
      </w:pPr>
      <w:r>
        <w:tab/>
        <w:t>(b)</w:t>
      </w:r>
      <w:r>
        <w:tab/>
        <w:t>as permitted or required by this Act or another written law; or</w:t>
      </w:r>
    </w:p>
    <w:p>
      <w:pPr>
        <w:pStyle w:val="Indenta"/>
      </w:pPr>
      <w:r>
        <w:tab/>
        <w:t>(c)</w:t>
      </w:r>
      <w:r>
        <w:tab/>
        <w:t>for the purposes of legal proceedings arising out of the administration of this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Heading4"/>
      </w:pPr>
      <w:bookmarkStart w:id="199" w:name="_Toc184390537"/>
      <w:bookmarkStart w:id="200" w:name="_Toc184390869"/>
      <w:bookmarkStart w:id="201" w:name="_Toc184391201"/>
      <w:bookmarkStart w:id="202" w:name="_Toc201654960"/>
      <w:bookmarkStart w:id="203" w:name="_Toc201655954"/>
      <w:bookmarkStart w:id="204" w:name="_Toc201662121"/>
      <w:bookmarkStart w:id="205" w:name="_Toc210126638"/>
      <w:bookmarkStart w:id="206" w:name="_Toc210132615"/>
      <w:bookmarkStart w:id="207" w:name="_Toc216861903"/>
      <w:bookmarkStart w:id="208" w:name="_Toc216862080"/>
      <w:bookmarkStart w:id="209" w:name="_Toc216946280"/>
      <w:bookmarkStart w:id="210" w:name="_Toc216946351"/>
      <w:bookmarkStart w:id="211" w:name="_Toc216963630"/>
      <w:r>
        <w:t>Subdivision 4 — Making documents publicly available</w:t>
      </w:r>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184391202"/>
      <w:bookmarkStart w:id="213" w:name="_Toc216963631"/>
      <w:r>
        <w:rPr>
          <w:rStyle w:val="CharSectno"/>
        </w:rPr>
        <w:t>209</w:t>
      </w:r>
      <w:r>
        <w:t>.</w:t>
      </w:r>
      <w:r>
        <w:tab/>
        <w:t>Making documents publicly available</w:t>
      </w:r>
      <w:bookmarkEnd w:id="212"/>
      <w:bookmarkEnd w:id="213"/>
    </w:p>
    <w:p>
      <w:pPr>
        <w:pStyle w:val="Subsection"/>
      </w:pPr>
      <w:r>
        <w:tab/>
        <w:t>(1)</w:t>
      </w:r>
      <w:r>
        <w:tab/>
        <w:t>The regulations may make provision for how documents are to be made publicly available by the Chief Data Officer or an entity for the purposes of any provision of this Part.</w:t>
      </w:r>
    </w:p>
    <w:p>
      <w:pPr>
        <w:pStyle w:val="Subsection"/>
      </w:pPr>
      <w:r>
        <w:tab/>
        <w:t>(2)</w:t>
      </w:r>
      <w:r>
        <w:tab/>
        <w:t xml:space="preserve">If a provision of this Part requires or permits the Chief Data Officer to make a document publicly available, the Chief Data </w:t>
      </w:r>
      <w:r>
        <w:lastRenderedPageBreak/>
        <w:t xml:space="preserve">Officer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Chief Data Officer considers appropriate.</w:t>
      </w:r>
    </w:p>
    <w:p>
      <w:pPr>
        <w:pStyle w:val="Ednotedivision"/>
      </w:pPr>
      <w:r>
        <w:t>[Division 9 has not come into operation.]</w:t>
      </w:r>
    </w:p>
    <w:p>
      <w:pPr>
        <w:pStyle w:val="Heading2"/>
      </w:pPr>
      <w:bookmarkStart w:id="214" w:name="_Toc184390545"/>
      <w:bookmarkStart w:id="215" w:name="_Toc184390877"/>
      <w:bookmarkStart w:id="216" w:name="_Toc184391209"/>
      <w:bookmarkStart w:id="217" w:name="_Toc201654962"/>
      <w:bookmarkStart w:id="218" w:name="_Toc201655956"/>
      <w:bookmarkStart w:id="219" w:name="_Toc201662123"/>
      <w:bookmarkStart w:id="220" w:name="_Toc210126640"/>
      <w:bookmarkStart w:id="221" w:name="_Toc210132617"/>
      <w:bookmarkStart w:id="222" w:name="_Toc216861905"/>
      <w:bookmarkStart w:id="223" w:name="_Toc216862082"/>
      <w:bookmarkStart w:id="224" w:name="_Toc216946282"/>
      <w:bookmarkStart w:id="225" w:name="_Toc216946353"/>
      <w:bookmarkStart w:id="226" w:name="_Toc216963632"/>
      <w:r>
        <w:rPr>
          <w:rStyle w:val="CharPartNo"/>
        </w:rPr>
        <w:lastRenderedPageBreak/>
        <w:t>Part 4</w:t>
      </w:r>
      <w:r>
        <w:rPr>
          <w:rStyle w:val="CharDivNo"/>
        </w:rPr>
        <w:t> </w:t>
      </w:r>
      <w:r>
        <w:t>—</w:t>
      </w:r>
      <w:r>
        <w:rPr>
          <w:rStyle w:val="CharDivText"/>
        </w:rPr>
        <w:t> </w:t>
      </w:r>
      <w:r>
        <w:rPr>
          <w:rStyle w:val="CharPartText"/>
        </w:rPr>
        <w:t>Miscellaneous</w:t>
      </w:r>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Heading5"/>
      </w:pPr>
      <w:bookmarkStart w:id="227" w:name="_Toc184391210"/>
      <w:bookmarkStart w:id="228" w:name="_Toc216963633"/>
      <w:r>
        <w:rPr>
          <w:rStyle w:val="CharSectno"/>
        </w:rPr>
        <w:t>215</w:t>
      </w:r>
      <w:r>
        <w:t>.</w:t>
      </w:r>
      <w:r>
        <w:tab/>
        <w:t>False or misleading information</w:t>
      </w:r>
      <w:bookmarkEnd w:id="227"/>
      <w:bookmarkEnd w:id="228"/>
    </w:p>
    <w:p>
      <w:pPr>
        <w:pStyle w:val="Subsection"/>
      </w:pPr>
      <w:r>
        <w:tab/>
      </w:r>
      <w:r>
        <w:tab/>
        <w:t>A person commits an offence if the person gives to the Information Commissioner or Chief Data Officer a document or information that the person knows to be false or misleading in a material particular.</w:t>
      </w:r>
    </w:p>
    <w:p>
      <w:pPr>
        <w:pStyle w:val="Penstart"/>
      </w:pPr>
      <w:r>
        <w:tab/>
        <w:t>Penalty: a fine of $6 000.</w:t>
      </w:r>
    </w:p>
    <w:p>
      <w:pPr>
        <w:pStyle w:val="Heading5"/>
      </w:pPr>
      <w:bookmarkStart w:id="229" w:name="_Toc184391211"/>
      <w:bookmarkStart w:id="230" w:name="_Toc216963634"/>
      <w:r>
        <w:rPr>
          <w:rStyle w:val="CharSectno"/>
        </w:rPr>
        <w:t>216</w:t>
      </w:r>
      <w:r>
        <w:t>.</w:t>
      </w:r>
      <w:r>
        <w:tab/>
        <w:t>Acts and practices of public entities and other IPP entities</w:t>
      </w:r>
      <w:bookmarkEnd w:id="229"/>
      <w:bookmarkEnd w:id="230"/>
    </w:p>
    <w:p>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pPr>
        <w:pStyle w:val="Indenta"/>
      </w:pPr>
      <w:r>
        <w:tab/>
        <w:t>(a)</w:t>
      </w:r>
      <w:r>
        <w:tab/>
        <w:t>making any application or submission, or giving any notice or other document, to the Information Commissioner under this Act;</w:t>
      </w:r>
    </w:p>
    <w:p>
      <w:pPr>
        <w:pStyle w:val="Indenta"/>
      </w:pPr>
      <w:r>
        <w:tab/>
        <w:t>(b)</w:t>
      </w:r>
      <w:r>
        <w:tab/>
        <w:t xml:space="preserve">giving any notice or other document to the Chief Data Officer under this Act (subject to subsection (2)); </w:t>
      </w:r>
    </w:p>
    <w:p>
      <w:pPr>
        <w:pStyle w:val="Indenta"/>
      </w:pPr>
      <w:r>
        <w:tab/>
        <w:t>(c)</w:t>
      </w:r>
      <w:r>
        <w:tab/>
        <w:t>conducting, or preparing a report on, any assessment required under this Act.</w:t>
      </w:r>
    </w:p>
    <w:p>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pPr>
        <w:pStyle w:val="Indenta"/>
      </w:pPr>
      <w:r>
        <w:tab/>
        <w:t>(a)</w:t>
      </w:r>
      <w:r>
        <w:tab/>
        <w:t>making an information sharing request;</w:t>
      </w:r>
    </w:p>
    <w:p>
      <w:pPr>
        <w:pStyle w:val="Indenta"/>
      </w:pPr>
      <w:r>
        <w:tab/>
        <w:t>(b)</w:t>
      </w:r>
      <w:r>
        <w:tab/>
        <w:t>responding to an information sharing request;</w:t>
      </w:r>
    </w:p>
    <w:p>
      <w:pPr>
        <w:pStyle w:val="Indenta"/>
      </w:pPr>
      <w:r>
        <w:tab/>
        <w:t>(c)</w:t>
      </w:r>
      <w:r>
        <w:tab/>
        <w:t>entering into an information sharing agreement;</w:t>
      </w:r>
    </w:p>
    <w:p>
      <w:pPr>
        <w:pStyle w:val="Indenta"/>
      </w:pPr>
      <w:r>
        <w:tab/>
        <w:t>(d)</w:t>
      </w:r>
      <w:r>
        <w:tab/>
        <w:t>responding to an information holdings request.</w:t>
      </w:r>
    </w:p>
    <w:p>
      <w:pPr>
        <w:pStyle w:val="Subsection"/>
      </w:pPr>
      <w:r>
        <w:tab/>
        <w:t>(3)</w:t>
      </w:r>
      <w:r>
        <w:tab/>
        <w:t xml:space="preserve">Subject to subsections (1) and (2), any act done or practice engaged in by an officer of a public entity or other IPP entity, acting in their capacity as officer and within the scope of their </w:t>
      </w:r>
      <w:r>
        <w:lastRenderedPageBreak/>
        <w:t>actual or apparent authority, is taken for the purposes of this Act to have been done or engaged in by the entity.</w:t>
      </w:r>
    </w:p>
    <w:p>
      <w:pPr>
        <w:pStyle w:val="Heading5"/>
      </w:pPr>
      <w:bookmarkStart w:id="231" w:name="_Toc184391212"/>
      <w:bookmarkStart w:id="232" w:name="_Toc216963635"/>
      <w:r>
        <w:rPr>
          <w:rStyle w:val="CharSectno"/>
        </w:rPr>
        <w:t>217</w:t>
      </w:r>
      <w:r>
        <w:t>.</w:t>
      </w:r>
      <w:r>
        <w:tab/>
        <w:t>States of mind of public entities and other IPP entities</w:t>
      </w:r>
      <w:bookmarkEnd w:id="231"/>
      <w:bookmarkEnd w:id="232"/>
    </w:p>
    <w:p>
      <w:pPr>
        <w:pStyle w:val="Subsection"/>
      </w:pPr>
      <w:r>
        <w:tab/>
        <w:t>(1)</w:t>
      </w:r>
      <w:r>
        <w:tab/>
        <w:t xml:space="preserve">In this section — </w:t>
      </w:r>
    </w:p>
    <w:p>
      <w:pPr>
        <w:pStyle w:val="Defstart"/>
      </w:pPr>
      <w:r>
        <w:tab/>
      </w:r>
      <w:r>
        <w:rPr>
          <w:rStyle w:val="CharDefText"/>
        </w:rPr>
        <w:t>state of mind</w:t>
      </w:r>
      <w:r>
        <w:t xml:space="preserve"> includes — </w:t>
      </w:r>
    </w:p>
    <w:p>
      <w:pPr>
        <w:pStyle w:val="Defpara"/>
      </w:pPr>
      <w:r>
        <w:tab/>
        <w:t>(a)</w:t>
      </w:r>
      <w:r>
        <w:tab/>
        <w:t>knowledge, intention, opinion, belief, suspicion or purpose; and</w:t>
      </w:r>
    </w:p>
    <w:p>
      <w:pPr>
        <w:pStyle w:val="Defpara"/>
      </w:pPr>
      <w:r>
        <w:tab/>
        <w:t>(b)</w:t>
      </w:r>
      <w:r>
        <w:tab/>
        <w:t>reasons for an intention, opinion, belief, suspicion or purpose.</w:t>
      </w:r>
    </w:p>
    <w:p>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pPr>
        <w:pStyle w:val="Heading5"/>
      </w:pPr>
      <w:bookmarkStart w:id="233" w:name="_Toc184391213"/>
      <w:bookmarkStart w:id="234" w:name="_Toc216963636"/>
      <w:r>
        <w:rPr>
          <w:rStyle w:val="CharSectno"/>
        </w:rPr>
        <w:t>218</w:t>
      </w:r>
      <w:r>
        <w:t>.</w:t>
      </w:r>
      <w:r>
        <w:tab/>
        <w:t>Protection from personal liability</w:t>
      </w:r>
      <w:bookmarkEnd w:id="233"/>
      <w:bookmarkEnd w:id="234"/>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Privacy Minister; or</w:t>
      </w:r>
    </w:p>
    <w:p>
      <w:pPr>
        <w:pStyle w:val="Defpara"/>
      </w:pPr>
      <w:r>
        <w:tab/>
        <w:t>(b)</w:t>
      </w:r>
      <w:r>
        <w:tab/>
        <w:t>the Information Sharing Minister; or</w:t>
      </w:r>
    </w:p>
    <w:p>
      <w:pPr>
        <w:pStyle w:val="Defpara"/>
      </w:pPr>
      <w:r>
        <w:tab/>
        <w:t>(c)</w:t>
      </w:r>
      <w:r>
        <w:tab/>
        <w:t>the Chief Data Officer; or</w:t>
      </w:r>
    </w:p>
    <w:p>
      <w:pPr>
        <w:pStyle w:val="Defpara"/>
      </w:pPr>
      <w:r>
        <w:tab/>
        <w:t>(d)</w:t>
      </w:r>
      <w:r>
        <w:tab/>
        <w:t>a member of the Privacy and Responsible Information Sharing Advisory Committee; or</w:t>
      </w:r>
    </w:p>
    <w:p>
      <w:pPr>
        <w:pStyle w:val="Defpara"/>
      </w:pPr>
      <w:r>
        <w:tab/>
        <w:t>(e)</w:t>
      </w:r>
      <w:r>
        <w:tab/>
        <w:t>a person employed or engaged in the information sharing Department.</w:t>
      </w:r>
    </w:p>
    <w:p>
      <w:pPr>
        <w:pStyle w:val="Subsection"/>
      </w:pPr>
      <w:r>
        <w:tab/>
        <w:t>(2)</w:t>
      </w:r>
      <w:r>
        <w:tab/>
        <w:t>No civil liability is incurred by a relevant official for anything that the relevant official has done, in good faith, in the performance or purported performance of a function under this Act.</w:t>
      </w:r>
    </w:p>
    <w:p>
      <w:pPr>
        <w:pStyle w:val="Subsection"/>
      </w:pPr>
      <w:r>
        <w:lastRenderedPageBreak/>
        <w:tab/>
        <w:t>(3)</w:t>
      </w:r>
      <w:r>
        <w:tab/>
        <w:t>The protection given by this section applies even though the thing done as described in subsection (2) may have been capable of being done whether or not this Act had been enacted.</w:t>
      </w:r>
    </w:p>
    <w:p>
      <w:pPr>
        <w:pStyle w:val="Subsection"/>
      </w:pPr>
      <w:r>
        <w:tab/>
        <w:t>(4)</w:t>
      </w:r>
      <w:r>
        <w:tab/>
        <w:t>Despite subsection (2), the State is not relieved of any liability that it might have for a relevant official having done anything as described in that subsection.</w:t>
      </w:r>
    </w:p>
    <w:p>
      <w:pPr>
        <w:pStyle w:val="Subsection"/>
      </w:pPr>
      <w:r>
        <w:tab/>
        <w:t>(5)</w:t>
      </w:r>
      <w:r>
        <w:tab/>
        <w:t>Subsection (2) does not affect the operation of section 181.</w:t>
      </w:r>
    </w:p>
    <w:p>
      <w:pPr>
        <w:pStyle w:val="Subsection"/>
      </w:pPr>
      <w:r>
        <w:tab/>
        <w:t>(6)</w:t>
      </w:r>
      <w:r>
        <w:tab/>
        <w:t>In this section, a reference to the doing of anything includes a reference to an omission to do anything.</w:t>
      </w:r>
    </w:p>
    <w:p>
      <w:pPr>
        <w:pStyle w:val="Heading5"/>
      </w:pPr>
      <w:bookmarkStart w:id="235" w:name="_Toc184391214"/>
      <w:bookmarkStart w:id="236" w:name="_Toc216963637"/>
      <w:r>
        <w:rPr>
          <w:rStyle w:val="CharSectno"/>
        </w:rPr>
        <w:t>219</w:t>
      </w:r>
      <w:r>
        <w:t>.</w:t>
      </w:r>
      <w:r>
        <w:tab/>
        <w:t>Giving documents</w:t>
      </w:r>
      <w:bookmarkEnd w:id="235"/>
      <w:bookmarkEnd w:id="236"/>
    </w:p>
    <w:p>
      <w:pPr>
        <w:pStyle w:val="Subsection"/>
      </w:pPr>
      <w:r>
        <w:tab/>
        <w:t>(1)</w:t>
      </w:r>
      <w:r>
        <w:tab/>
        <w:t xml:space="preserve">The regulations may make provision for or in relation to the following — </w:t>
      </w:r>
    </w:p>
    <w:p>
      <w:pPr>
        <w:pStyle w:val="Indenta"/>
      </w:pPr>
      <w:r>
        <w:tab/>
        <w:t>(a)</w:t>
      </w:r>
      <w:r>
        <w:tab/>
        <w:t>the giving of a document required or permitted to be given under this Act (including the giving of the document by electronic means);</w:t>
      </w:r>
    </w:p>
    <w:p>
      <w:pPr>
        <w:pStyle w:val="Indenta"/>
      </w:pPr>
      <w:r>
        <w:tab/>
        <w:t>(b)</w:t>
      </w:r>
      <w:r>
        <w:tab/>
        <w:t>the time at which the document is taken to have been given;</w:t>
      </w:r>
    </w:p>
    <w:p>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pPr>
        <w:pStyle w:val="Subsection"/>
      </w:pPr>
      <w:r>
        <w:tab/>
        <w:t>(2)</w:t>
      </w:r>
      <w:r>
        <w:tab/>
        <w:t>This section applies to a requirement or permission to give a document whether the term “give”, “issue”, “send” or “serve”, or any other similar term, is used.</w:t>
      </w:r>
    </w:p>
    <w:p>
      <w:pPr>
        <w:pStyle w:val="Heading5"/>
      </w:pPr>
      <w:bookmarkStart w:id="237" w:name="_Toc184391215"/>
      <w:bookmarkStart w:id="238" w:name="_Toc216963638"/>
      <w:r>
        <w:rPr>
          <w:rStyle w:val="CharSectno"/>
        </w:rPr>
        <w:t>220</w:t>
      </w:r>
      <w:r>
        <w:t>.</w:t>
      </w:r>
      <w:r>
        <w:tab/>
        <w:t>Laying documents before House of Parliament not sitting</w:t>
      </w:r>
      <w:bookmarkEnd w:id="237"/>
      <w:bookmarkEnd w:id="238"/>
    </w:p>
    <w:p>
      <w:pPr>
        <w:pStyle w:val="Subsection"/>
        <w:keepNext/>
      </w:pPr>
      <w:r>
        <w:tab/>
        <w:t>(1)</w:t>
      </w:r>
      <w:r>
        <w:tab/>
        <w:t xml:space="preserve">This section applies if — </w:t>
      </w:r>
    </w:p>
    <w:p>
      <w:pPr>
        <w:pStyle w:val="Indenta"/>
      </w:pPr>
      <w:r>
        <w:tab/>
        <w:t>(a)</w:t>
      </w:r>
      <w:r>
        <w:tab/>
        <w:t xml:space="preserve">a provision of this Act requires a Minister (the </w:t>
      </w:r>
      <w:r>
        <w:rPr>
          <w:rStyle w:val="CharDefText"/>
        </w:rPr>
        <w:t>relevant Minister</w:t>
      </w:r>
      <w:r>
        <w:t xml:space="preserve">) to cause a document to be laid before each </w:t>
      </w:r>
      <w:r>
        <w:lastRenderedPageBreak/>
        <w:t>House of Parliament, or dealt with under this section, within a specified period; and</w:t>
      </w:r>
    </w:p>
    <w:p>
      <w:pPr>
        <w:pStyle w:val="Indenta"/>
      </w:pPr>
      <w:r>
        <w:tab/>
        <w:t>(b)</w:t>
      </w:r>
      <w:r>
        <w:tab/>
        <w:t>at the beginning of the period, a House of Parliament is not sitting; and</w:t>
      </w:r>
    </w:p>
    <w:p>
      <w:pPr>
        <w:pStyle w:val="Indenta"/>
      </w:pPr>
      <w:r>
        <w:tab/>
        <w:t>(c)</w:t>
      </w:r>
      <w:r>
        <w:tab/>
        <w:t>in the relevant Minister’s opinion, the House will not sit before the end of the period.</w:t>
      </w:r>
    </w:p>
    <w:p>
      <w:pPr>
        <w:pStyle w:val="Subsection"/>
      </w:pPr>
      <w:r>
        <w:tab/>
        <w:t>(2)</w:t>
      </w:r>
      <w:r>
        <w:tab/>
        <w:t>The relevant Minister must send the document to the Clerk of the House before the end of the period.</w:t>
      </w:r>
    </w:p>
    <w:p>
      <w:pPr>
        <w:pStyle w:val="Subsection"/>
      </w:pPr>
      <w:r>
        <w:tab/>
        <w:t>(3)</w:t>
      </w:r>
      <w:r>
        <w:tab/>
        <w:t>When the document is sent to the Clerk of the House it is taken to have been laid before the House.</w:t>
      </w:r>
    </w:p>
    <w:p>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pPr>
        <w:pStyle w:val="Heading5"/>
      </w:pPr>
      <w:bookmarkStart w:id="239" w:name="_Toc184391216"/>
      <w:bookmarkStart w:id="240" w:name="_Toc216963639"/>
      <w:r>
        <w:rPr>
          <w:rStyle w:val="CharSectno"/>
        </w:rPr>
        <w:t>221</w:t>
      </w:r>
      <w:r>
        <w:t>.</w:t>
      </w:r>
      <w:r>
        <w:tab/>
        <w:t>General provisions about guidelines</w:t>
      </w:r>
      <w:bookmarkEnd w:id="239"/>
      <w:bookmarkEnd w:id="240"/>
    </w:p>
    <w:p>
      <w:pPr>
        <w:pStyle w:val="Subsection"/>
      </w:pPr>
      <w:r>
        <w:tab/>
        <w:t>(1)</w:t>
      </w:r>
      <w:r>
        <w:tab/>
        <w:t xml:space="preserve">Privacy guidelines and Chief Data Officer guidelines are not subsidiary legislation for the purposes of the </w:t>
      </w:r>
      <w:r>
        <w:rPr>
          <w:i/>
        </w:rPr>
        <w:t>Interpretation Act 1984</w:t>
      </w:r>
      <w:r>
        <w:t>.</w:t>
      </w:r>
    </w:p>
    <w:p>
      <w:pPr>
        <w:pStyle w:val="Subsection"/>
      </w:pPr>
      <w:r>
        <w:tab/>
        <w:t>(2)</w:t>
      </w:r>
      <w:r>
        <w:tab/>
        <w:t>If there is a conflict or inconsistency between a provision of this Act and a provision of privacy guidelines or Chief Data Officer guidelines, the provision of this Act prevails.</w:t>
      </w:r>
    </w:p>
    <w:p>
      <w:pPr>
        <w:pStyle w:val="Subsection"/>
      </w:pPr>
      <w:r>
        <w:tab/>
        <w:t>(3)</w:t>
      </w:r>
      <w:r>
        <w:tab/>
        <w:t xml:space="preserve">A requirement under this Act to have regard to privacy guidelines or Chief Data Officer guidelines does not — </w:t>
      </w:r>
    </w:p>
    <w:p>
      <w:pPr>
        <w:pStyle w:val="Indenta"/>
      </w:pPr>
      <w:r>
        <w:tab/>
        <w:t>(a)</w:t>
      </w:r>
      <w:r>
        <w:tab/>
        <w:t>derogate from a duty to exercise discretion in a particular case; or</w:t>
      </w:r>
    </w:p>
    <w:p>
      <w:pPr>
        <w:pStyle w:val="Indenta"/>
      </w:pPr>
      <w:r>
        <w:tab/>
        <w:t>(b)</w:t>
      </w:r>
      <w:r>
        <w:tab/>
        <w:t>prevent a person from having regard to matters not set out in the guidelines; or</w:t>
      </w:r>
    </w:p>
    <w:p>
      <w:pPr>
        <w:pStyle w:val="Indenta"/>
      </w:pPr>
      <w:r>
        <w:tab/>
        <w:t>(c)</w:t>
      </w:r>
      <w:r>
        <w:tab/>
        <w:t>require the entity to have regard to guidelines that are inconsistent with a provision of this Act.</w:t>
      </w:r>
    </w:p>
    <w:p>
      <w:pPr>
        <w:pStyle w:val="Heading5"/>
      </w:pPr>
      <w:bookmarkStart w:id="241" w:name="_Toc184391217"/>
      <w:bookmarkStart w:id="242" w:name="_Toc216963640"/>
      <w:r>
        <w:rPr>
          <w:rStyle w:val="CharSectno"/>
        </w:rPr>
        <w:lastRenderedPageBreak/>
        <w:t>222</w:t>
      </w:r>
      <w:r>
        <w:t>.</w:t>
      </w:r>
      <w:r>
        <w:tab/>
        <w:t>Regulations</w:t>
      </w:r>
      <w:bookmarkEnd w:id="241"/>
      <w:bookmarkEnd w:id="242"/>
    </w:p>
    <w:p>
      <w:pPr>
        <w:pStyle w:val="Subsection"/>
      </w:pPr>
      <w:r>
        <w:tab/>
        <w:t>(1)</w:t>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Subsection"/>
      </w:pPr>
      <w:r>
        <w:tab/>
        <w:t>(2)</w:t>
      </w:r>
      <w:r>
        <w:tab/>
        <w:t xml:space="preserve">Without limiting any other provision of this Act, regulations may make provision for or in relation to the following — </w:t>
      </w:r>
    </w:p>
    <w:p>
      <w:pPr>
        <w:pStyle w:val="Indenta"/>
      </w:pPr>
      <w:r>
        <w:tab/>
        <w:t>(a)</w:t>
      </w:r>
      <w:r>
        <w:tab/>
        <w:t>applications under this Act;</w:t>
      </w:r>
    </w:p>
    <w:p>
      <w:pPr>
        <w:pStyle w:val="Indenta"/>
      </w:pPr>
      <w:r>
        <w:tab/>
        <w:t>(b)</w:t>
      </w:r>
      <w:r>
        <w:tab/>
        <w:t>forms for the purposes of this Act;</w:t>
      </w:r>
    </w:p>
    <w:p>
      <w:pPr>
        <w:pStyle w:val="Indenta"/>
      </w:pPr>
      <w:r>
        <w:tab/>
        <w:t>(c)</w:t>
      </w:r>
      <w:r>
        <w:tab/>
        <w:t>fees or charges in relation to any matter under this Act.</w:t>
      </w:r>
    </w:p>
    <w:p>
      <w:pPr>
        <w:pStyle w:val="Subsection"/>
      </w:pPr>
      <w:r>
        <w:tab/>
        <w:t>(3)</w:t>
      </w:r>
      <w:r>
        <w:tab/>
        <w:t>Regulations for the purposes of section 6(1)(h) or (4) or 9(2)(f)(i) can only be made on the recommendation of the Privacy Minister and the Information Sharing Minister.</w:t>
      </w:r>
    </w:p>
    <w:p>
      <w:pPr>
        <w:pStyle w:val="Heading2"/>
      </w:pPr>
      <w:bookmarkStart w:id="243" w:name="_Toc184390554"/>
      <w:bookmarkStart w:id="244" w:name="_Toc184390886"/>
      <w:bookmarkStart w:id="245" w:name="_Toc184391218"/>
      <w:bookmarkStart w:id="246" w:name="_Toc201654971"/>
      <w:bookmarkStart w:id="247" w:name="_Toc201655965"/>
      <w:bookmarkStart w:id="248" w:name="_Toc201662132"/>
      <w:bookmarkStart w:id="249" w:name="_Toc210126649"/>
      <w:bookmarkStart w:id="250" w:name="_Toc210132626"/>
      <w:bookmarkStart w:id="251" w:name="_Toc216861914"/>
      <w:bookmarkStart w:id="252" w:name="_Toc216862091"/>
      <w:bookmarkStart w:id="253" w:name="_Toc216946291"/>
      <w:bookmarkStart w:id="254" w:name="_Toc216946362"/>
      <w:bookmarkStart w:id="255" w:name="_Toc216963641"/>
      <w:r>
        <w:rPr>
          <w:rStyle w:val="CharPartNo"/>
        </w:rPr>
        <w:lastRenderedPageBreak/>
        <w:t>Part 5</w:t>
      </w:r>
      <w:r>
        <w:rPr>
          <w:rStyle w:val="CharDivNo"/>
        </w:rPr>
        <w:t> </w:t>
      </w:r>
      <w:r>
        <w:t>—</w:t>
      </w:r>
      <w:r>
        <w:rPr>
          <w:rStyle w:val="CharDivText"/>
        </w:rPr>
        <w:t> </w:t>
      </w:r>
      <w:r>
        <w:rPr>
          <w:rStyle w:val="CharPartText"/>
        </w:rPr>
        <w:t>Transitional provisions</w:t>
      </w:r>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5"/>
      </w:pPr>
      <w:bookmarkStart w:id="256" w:name="_Toc184391219"/>
      <w:bookmarkStart w:id="257" w:name="_Toc216963642"/>
      <w:r>
        <w:rPr>
          <w:rStyle w:val="CharSectno"/>
        </w:rPr>
        <w:t>223</w:t>
      </w:r>
      <w:r>
        <w:t>.</w:t>
      </w:r>
      <w:r>
        <w:tab/>
        <w:t>Application of information privacy principles</w:t>
      </w:r>
      <w:bookmarkEnd w:id="256"/>
      <w:bookmarkEnd w:id="257"/>
    </w:p>
    <w:p>
      <w:pPr>
        <w:pStyle w:val="Subsection"/>
      </w:pPr>
      <w:r>
        <w:tab/>
        <w:t>(1)</w:t>
      </w:r>
      <w:r>
        <w:tab/>
        <w:t xml:space="preserve">In this section — </w:t>
      </w:r>
    </w:p>
    <w:p>
      <w:pPr>
        <w:pStyle w:val="Defstart"/>
      </w:pPr>
      <w:r>
        <w:tab/>
      </w:r>
      <w:r>
        <w:rPr>
          <w:rStyle w:val="CharDefText"/>
        </w:rPr>
        <w:t>commencement day</w:t>
      </w:r>
      <w:r>
        <w:t xml:space="preserve"> means the day on which section 20 comes into operation.</w:t>
      </w:r>
    </w:p>
    <w:p>
      <w:pPr>
        <w:pStyle w:val="Subsection"/>
      </w:pPr>
      <w:r>
        <w:tab/>
        <w:t>(2)</w:t>
      </w:r>
      <w:r>
        <w:tab/>
        <w:t xml:space="preserve">The following information privacy principles apply only in relation to personal information collected on or after commencement day — </w:t>
      </w:r>
    </w:p>
    <w:p>
      <w:pPr>
        <w:pStyle w:val="Indenta"/>
      </w:pPr>
      <w:r>
        <w:tab/>
        <w:t>(a)</w:t>
      </w:r>
      <w:r>
        <w:tab/>
        <w:t>IPP 1;</w:t>
      </w:r>
    </w:p>
    <w:p>
      <w:pPr>
        <w:pStyle w:val="Indenta"/>
      </w:pPr>
      <w:r>
        <w:tab/>
        <w:t>(b)</w:t>
      </w:r>
      <w:r>
        <w:tab/>
        <w:t>IPP 7;</w:t>
      </w:r>
    </w:p>
    <w:p>
      <w:pPr>
        <w:pStyle w:val="Indenta"/>
      </w:pPr>
      <w:r>
        <w:tab/>
        <w:t>(c)</w:t>
      </w:r>
      <w:r>
        <w:tab/>
        <w:t>IPP 8;</w:t>
      </w:r>
    </w:p>
    <w:p>
      <w:pPr>
        <w:pStyle w:val="Indenta"/>
      </w:pPr>
      <w:r>
        <w:tab/>
        <w:t>(d)</w:t>
      </w:r>
      <w:r>
        <w:tab/>
        <w:t>IPP 10.</w:t>
      </w:r>
    </w:p>
    <w:p>
      <w:pPr>
        <w:pStyle w:val="Subsection"/>
      </w:pPr>
      <w:r>
        <w:tab/>
        <w:t>(3)</w:t>
      </w:r>
      <w:r>
        <w:tab/>
        <w:t xml:space="preserve">The following information privacy principles apply in relation to personal information whether collected before, on or after commencement day — </w:t>
      </w:r>
    </w:p>
    <w:p>
      <w:pPr>
        <w:pStyle w:val="Indenta"/>
      </w:pPr>
      <w:r>
        <w:tab/>
        <w:t>(a)</w:t>
      </w:r>
      <w:r>
        <w:tab/>
        <w:t>IPP 2;</w:t>
      </w:r>
    </w:p>
    <w:p>
      <w:pPr>
        <w:pStyle w:val="Indenta"/>
      </w:pPr>
      <w:r>
        <w:tab/>
        <w:t>(b)</w:t>
      </w:r>
      <w:r>
        <w:tab/>
        <w:t>IPP 3;</w:t>
      </w:r>
    </w:p>
    <w:p>
      <w:pPr>
        <w:pStyle w:val="Indenta"/>
      </w:pPr>
      <w:r>
        <w:tab/>
        <w:t>(c)</w:t>
      </w:r>
      <w:r>
        <w:tab/>
        <w:t>IPP 4;</w:t>
      </w:r>
    </w:p>
    <w:p>
      <w:pPr>
        <w:pStyle w:val="Indenta"/>
      </w:pPr>
      <w:r>
        <w:tab/>
        <w:t>(d)</w:t>
      </w:r>
      <w:r>
        <w:tab/>
        <w:t>IPP 5;</w:t>
      </w:r>
    </w:p>
    <w:p>
      <w:pPr>
        <w:pStyle w:val="Indenta"/>
      </w:pPr>
      <w:r>
        <w:tab/>
        <w:t>(e)</w:t>
      </w:r>
      <w:r>
        <w:tab/>
        <w:t>IPP 6;</w:t>
      </w:r>
    </w:p>
    <w:p>
      <w:pPr>
        <w:pStyle w:val="Indenta"/>
      </w:pPr>
      <w:r>
        <w:tab/>
        <w:t>(f)</w:t>
      </w:r>
      <w:r>
        <w:tab/>
        <w:t>IPP 9.1.</w:t>
      </w:r>
    </w:p>
    <w:p>
      <w:pPr>
        <w:pStyle w:val="Subsection"/>
      </w:pPr>
      <w:r>
        <w:tab/>
        <w:t>(4)</w:t>
      </w:r>
      <w:r>
        <w:tab/>
        <w:t>The following information privacy principles apply to de</w:t>
      </w:r>
      <w:r>
        <w:noBreakHyphen/>
        <w:t xml:space="preserve">identified information whether collected before, on or after commencement day — </w:t>
      </w:r>
    </w:p>
    <w:p>
      <w:pPr>
        <w:pStyle w:val="Indenta"/>
      </w:pPr>
      <w:r>
        <w:tab/>
        <w:t>(a)</w:t>
      </w:r>
      <w:r>
        <w:tab/>
        <w:t>IPP 9.2;</w:t>
      </w:r>
    </w:p>
    <w:p>
      <w:pPr>
        <w:pStyle w:val="Indenta"/>
      </w:pPr>
      <w:r>
        <w:tab/>
        <w:t>(b)</w:t>
      </w:r>
      <w:r>
        <w:tab/>
        <w:t>IPP 11.</w:t>
      </w:r>
    </w:p>
    <w:p>
      <w:pPr>
        <w:pStyle w:val="Heading5"/>
      </w:pPr>
      <w:bookmarkStart w:id="258" w:name="_Toc184391220"/>
      <w:bookmarkStart w:id="259" w:name="_Toc216963643"/>
      <w:r>
        <w:rPr>
          <w:rStyle w:val="CharSectno"/>
        </w:rPr>
        <w:lastRenderedPageBreak/>
        <w:t>224</w:t>
      </w:r>
      <w:r>
        <w:t>.</w:t>
      </w:r>
      <w:r>
        <w:tab/>
        <w:t>Application of approved privacy codes of practice</w:t>
      </w:r>
      <w:bookmarkEnd w:id="258"/>
      <w:bookmarkEnd w:id="259"/>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33 comes into operation.</w:t>
      </w:r>
    </w:p>
    <w:p>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pPr>
        <w:pStyle w:val="Heading5"/>
      </w:pPr>
      <w:bookmarkStart w:id="260" w:name="_Toc184391221"/>
      <w:bookmarkStart w:id="261" w:name="_Toc216963644"/>
      <w:r>
        <w:rPr>
          <w:rStyle w:val="CharSectno"/>
        </w:rPr>
        <w:t>225</w:t>
      </w:r>
      <w:r>
        <w:t>.</w:t>
      </w:r>
      <w:r>
        <w:tab/>
        <w:t>Notifiable information breach may involve personal information collected before commencement day</w:t>
      </w:r>
      <w:bookmarkEnd w:id="260"/>
      <w:bookmarkEnd w:id="261"/>
    </w:p>
    <w:p>
      <w:pPr>
        <w:pStyle w:val="Subsection"/>
      </w:pPr>
      <w:r>
        <w:tab/>
        <w:t>(1)</w:t>
      </w:r>
      <w:r>
        <w:tab/>
        <w:t xml:space="preserve">In this section — </w:t>
      </w:r>
    </w:p>
    <w:p>
      <w:pPr>
        <w:pStyle w:val="Defstart"/>
      </w:pPr>
      <w:r>
        <w:tab/>
      </w:r>
      <w:r>
        <w:rPr>
          <w:rStyle w:val="CharDefText"/>
        </w:rPr>
        <w:t>commencement day</w:t>
      </w:r>
      <w:r>
        <w:t xml:space="preserve"> means the day on which section 61 comes into operation.</w:t>
      </w:r>
    </w:p>
    <w:p>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pPr>
        <w:pStyle w:val="Heading5"/>
      </w:pPr>
      <w:bookmarkStart w:id="262" w:name="_Toc184391222"/>
      <w:bookmarkStart w:id="263" w:name="_Toc216963645"/>
      <w:r>
        <w:rPr>
          <w:rStyle w:val="CharSectno"/>
        </w:rPr>
        <w:lastRenderedPageBreak/>
        <w:t>226</w:t>
      </w:r>
      <w:r>
        <w:t>.</w:t>
      </w:r>
      <w:r>
        <w:tab/>
        <w:t>Public register obligations apply to personal information collected before commencement day</w:t>
      </w:r>
      <w:bookmarkEnd w:id="262"/>
      <w:bookmarkEnd w:id="263"/>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76 comes into operation.</w:t>
      </w:r>
    </w:p>
    <w:p>
      <w:pPr>
        <w:pStyle w:val="Subsection"/>
      </w:pPr>
      <w:r>
        <w:tab/>
        <w:t>(2)</w:t>
      </w:r>
      <w:r>
        <w:tab/>
        <w:t>Part 2 Division 7 applies to personal information contained, or proposed to be contained, in a public register whether the personal information was collected before, on or after commencement day.</w:t>
      </w:r>
    </w:p>
    <w:p>
      <w:pPr>
        <w:pStyle w:val="Heading5"/>
      </w:pPr>
      <w:bookmarkStart w:id="264" w:name="_Toc184391223"/>
      <w:bookmarkStart w:id="265" w:name="_Toc216963646"/>
      <w:r>
        <w:rPr>
          <w:rStyle w:val="CharSectno"/>
        </w:rPr>
        <w:t>227</w:t>
      </w:r>
      <w:r>
        <w:t>.</w:t>
      </w:r>
      <w:r>
        <w:tab/>
        <w:t>Privacy impact assessments not required for functions or activities performed before commencement day</w:t>
      </w:r>
      <w:bookmarkEnd w:id="264"/>
      <w:bookmarkEnd w:id="265"/>
    </w:p>
    <w:p>
      <w:pPr>
        <w:pStyle w:val="Subsection"/>
      </w:pPr>
      <w:r>
        <w:tab/>
        <w:t>(1)</w:t>
      </w:r>
      <w:r>
        <w:tab/>
        <w:t xml:space="preserve">In this section — </w:t>
      </w:r>
    </w:p>
    <w:p>
      <w:pPr>
        <w:pStyle w:val="Defstart"/>
      </w:pPr>
      <w:r>
        <w:tab/>
      </w:r>
      <w:r>
        <w:rPr>
          <w:rStyle w:val="CharDefText"/>
        </w:rPr>
        <w:t>commencement day</w:t>
      </w:r>
      <w:r>
        <w:t xml:space="preserve"> means the day on which section 79 comes into operation.</w:t>
      </w:r>
    </w:p>
    <w:p>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pPr>
        <w:pStyle w:val="Subsection"/>
      </w:pPr>
      <w:r>
        <w:tab/>
        <w:t>(3)</w:t>
      </w:r>
      <w:r>
        <w:tab/>
        <w:t xml:space="preserve">Subsection (2) does not limit — </w:t>
      </w:r>
    </w:p>
    <w:p>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pPr>
        <w:pStyle w:val="Indenta"/>
      </w:pPr>
      <w:r>
        <w:lastRenderedPageBreak/>
        <w:tab/>
        <w:t>(c)</w:t>
      </w:r>
      <w:r>
        <w:tab/>
        <w:t>the Information Commissioner’s power to issue a direction under section 80 in relation to a function or activity that an IPP entity started to perform before commencement day.</w:t>
      </w:r>
    </w:p>
    <w:p>
      <w:pPr>
        <w:pStyle w:val="Heading5"/>
      </w:pPr>
      <w:bookmarkStart w:id="266" w:name="_Toc184391224"/>
      <w:bookmarkStart w:id="267" w:name="_Toc216963647"/>
      <w:r>
        <w:rPr>
          <w:rStyle w:val="CharSectno"/>
        </w:rPr>
        <w:t>228</w:t>
      </w:r>
      <w:r>
        <w:t>.</w:t>
      </w:r>
      <w:r>
        <w:tab/>
        <w:t>State services contracts entered into before commencement day</w:t>
      </w:r>
      <w:bookmarkEnd w:id="266"/>
      <w:bookmarkEnd w:id="267"/>
    </w:p>
    <w:p>
      <w:pPr>
        <w:pStyle w:val="Subsection"/>
      </w:pPr>
      <w:r>
        <w:tab/>
        <w:t>(1)</w:t>
      </w:r>
      <w:r>
        <w:tab/>
        <w:t xml:space="preserve">In this section — </w:t>
      </w:r>
    </w:p>
    <w:p>
      <w:pPr>
        <w:pStyle w:val="Defstart"/>
      </w:pPr>
      <w:r>
        <w:tab/>
      </w:r>
      <w:r>
        <w:rPr>
          <w:rStyle w:val="CharDefText"/>
        </w:rPr>
        <w:t>commencement day</w:t>
      </w:r>
      <w:r>
        <w:t xml:space="preserve"> means the day on which section 129 comes into operation.</w:t>
      </w:r>
    </w:p>
    <w:p>
      <w:pPr>
        <w:pStyle w:val="Subsection"/>
      </w:pPr>
      <w:r>
        <w:tab/>
        <w:t>(2)</w:t>
      </w:r>
      <w:r>
        <w:tab/>
        <w:t>This Act applies in relation to a provision of a State services contract of the kind referred to in section 129 even if that provision was included in the contract before commencement day.</w:t>
      </w:r>
    </w:p>
    <w:p>
      <w:pPr>
        <w:pStyle w:val="Subsection"/>
      </w:pPr>
      <w:r>
        <w:tab/>
        <w:t>(3)</w:t>
      </w:r>
      <w:r>
        <w:tab/>
        <w:t>Section 140(2) does not apply in relation to a State services contract entered into before commencement day.</w:t>
      </w:r>
    </w:p>
    <w:p>
      <w:pPr>
        <w:pStyle w:val="Heading5"/>
      </w:pPr>
      <w:bookmarkStart w:id="268" w:name="_Toc184391225"/>
      <w:bookmarkStart w:id="269" w:name="_Toc216963648"/>
      <w:r>
        <w:rPr>
          <w:rStyle w:val="CharSectno"/>
        </w:rPr>
        <w:t>229</w:t>
      </w:r>
      <w:r>
        <w:t>.</w:t>
      </w:r>
      <w:r>
        <w:tab/>
        <w:t>Transitional regulations</w:t>
      </w:r>
      <w:bookmarkEnd w:id="268"/>
      <w:bookmarkEnd w:id="269"/>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lastRenderedPageBreak/>
        <w:tab/>
        <w:t>(3)</w:t>
      </w:r>
      <w:r>
        <w:tab/>
        <w:t xml:space="preserve">Without limiting subsection (2), regulations made for the purposes of that subsection may provide that specified provisions of this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pPr>
        <w:pStyle w:val="Subsection"/>
      </w:pPr>
      <w:r>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Ednotepart"/>
      </w:pPr>
      <w:r>
        <w:t>[Part 6 has not come into operation.]</w:t>
      </w:r>
    </w:p>
    <w:p>
      <w:pPr>
        <w:pStyle w:val="Heading2"/>
      </w:pPr>
      <w:bookmarkStart w:id="270" w:name="_Toc201653081"/>
      <w:bookmarkStart w:id="271" w:name="_Toc201654979"/>
      <w:bookmarkStart w:id="272" w:name="_Toc201655973"/>
      <w:bookmarkStart w:id="273" w:name="_Toc201662140"/>
      <w:bookmarkStart w:id="274" w:name="_Toc210126657"/>
      <w:bookmarkStart w:id="275" w:name="_Toc210132634"/>
      <w:bookmarkStart w:id="276" w:name="_Toc216861922"/>
      <w:bookmarkStart w:id="277" w:name="_Toc216862099"/>
      <w:bookmarkStart w:id="278" w:name="_Toc216946299"/>
      <w:bookmarkStart w:id="279" w:name="_Toc216946370"/>
      <w:bookmarkStart w:id="280" w:name="_Toc216963649"/>
      <w:r>
        <w:rPr>
          <w:rStyle w:val="CharPartNo"/>
        </w:rPr>
        <w:lastRenderedPageBreak/>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216963650"/>
      <w:r>
        <w:rPr>
          <w:rStyle w:val="CharSectno"/>
        </w:rPr>
        <w:t>246</w:t>
      </w:r>
      <w:r>
        <w:t>.</w:t>
      </w:r>
      <w:r>
        <w:tab/>
        <w:t>Act amended</w:t>
      </w:r>
      <w:bookmarkEnd w:id="281"/>
    </w:p>
    <w:p>
      <w:pPr>
        <w:pStyle w:val="Subsection"/>
      </w:pPr>
      <w:r>
        <w:tab/>
      </w:r>
      <w:r>
        <w:tab/>
        <w:t>This Part amends this Act.</w:t>
      </w:r>
    </w:p>
    <w:p>
      <w:pPr>
        <w:pStyle w:val="Heading5"/>
      </w:pPr>
      <w:bookmarkStart w:id="282" w:name="_Toc216963651"/>
      <w:r>
        <w:rPr>
          <w:rStyle w:val="CharSectno"/>
        </w:rPr>
        <w:t>247</w:t>
      </w:r>
      <w:r>
        <w:t>.</w:t>
      </w:r>
      <w:r>
        <w:tab/>
        <w:t>Section 4 amended</w:t>
      </w:r>
      <w:bookmarkEnd w:id="282"/>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chedule"/>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pPr>
        <w:pStyle w:val="nHeading2"/>
      </w:pPr>
      <w:bookmarkStart w:id="283" w:name="_Toc201653084"/>
      <w:bookmarkStart w:id="284" w:name="_Toc201654982"/>
      <w:bookmarkStart w:id="285" w:name="_Toc201655976"/>
      <w:bookmarkStart w:id="286" w:name="_Toc201662143"/>
      <w:bookmarkStart w:id="287" w:name="_Toc210126660"/>
      <w:bookmarkStart w:id="288" w:name="_Toc210132637"/>
      <w:bookmarkStart w:id="289" w:name="_Toc216861925"/>
      <w:bookmarkStart w:id="290" w:name="_Toc216862102"/>
      <w:bookmarkStart w:id="291" w:name="_Toc216946302"/>
      <w:bookmarkStart w:id="292" w:name="_Toc216946373"/>
      <w:bookmarkStart w:id="293" w:name="_Toc216963652"/>
      <w:r>
        <w:lastRenderedPageBreak/>
        <w:t>Notes</w:t>
      </w:r>
      <w:bookmarkEnd w:id="283"/>
      <w:bookmarkEnd w:id="284"/>
      <w:bookmarkEnd w:id="285"/>
      <w:bookmarkEnd w:id="286"/>
      <w:bookmarkEnd w:id="287"/>
      <w:bookmarkEnd w:id="288"/>
      <w:bookmarkEnd w:id="289"/>
      <w:bookmarkEnd w:id="290"/>
      <w:bookmarkEnd w:id="291"/>
      <w:bookmarkEnd w:id="292"/>
      <w:bookmarkEnd w:id="293"/>
    </w:p>
    <w:p>
      <w:pPr>
        <w:pStyle w:val="nStatement"/>
      </w:pPr>
      <w:r>
        <w:t xml:space="preserve">This is a compilation of the </w:t>
      </w:r>
      <w:r>
        <w:rPr>
          <w:i/>
          <w:noProof/>
        </w:rPr>
        <w:t>Privacy and Responsible Information Sharing Act 2024</w:t>
      </w:r>
      <w:r>
        <w:t>. For provisions that have come into operation see the compilation table. For provisions that have not yet come into operation see the uncommenced provisions table.</w:t>
      </w:r>
    </w:p>
    <w:p>
      <w:pPr>
        <w:pStyle w:val="nHeading3"/>
      </w:pPr>
      <w:bookmarkStart w:id="294" w:name="_Toc216963653"/>
      <w:r>
        <w:t>Compilation table</w:t>
      </w:r>
      <w:bookmarkEnd w:id="29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r>
              <w:br/>
              <w:t>Pt. 2 Div. 12, Pt. 3 Div. 8, Pt. 4 and 5: 1 Jul 2025 (see s. 2(c) and SL 2025/102 cl. 2)</w:t>
            </w:r>
          </w:p>
        </w:tc>
      </w:tr>
    </w:tbl>
    <w:p>
      <w:pPr>
        <w:pStyle w:val="nHeading3"/>
      </w:pPr>
      <w:bookmarkStart w:id="295" w:name="_Toc216963654"/>
      <w:r>
        <w:t>Uncommenced provisions table</w:t>
      </w:r>
      <w:bookmarkEnd w:id="29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Privacy and Responsible Information Sharing Act 2024 </w:t>
            </w:r>
            <w:r>
              <w:rPr>
                <w:iCs/>
                <w:noProof/>
              </w:rPr>
              <w:t>Pt. 2 (other than Div. 12), Pt. 3 (other than Div. 8), Pt. 6 and Sch. 1 and 2</w:t>
            </w:r>
          </w:p>
        </w:tc>
        <w:tc>
          <w:tcPr>
            <w:tcW w:w="1134" w:type="dxa"/>
            <w:tcBorders>
              <w:bottom w:val="nil"/>
            </w:tcBorders>
          </w:tcPr>
          <w:p>
            <w:pPr>
              <w:pStyle w:val="nTable"/>
              <w:spacing w:after="40"/>
            </w:pPr>
            <w:r>
              <w:t>51 of 2024</w:t>
            </w:r>
          </w:p>
        </w:tc>
        <w:tc>
          <w:tcPr>
            <w:tcW w:w="1134" w:type="dxa"/>
            <w:tcBorders>
              <w:bottom w:val="nil"/>
            </w:tcBorders>
          </w:tcPr>
          <w:p>
            <w:pPr>
              <w:pStyle w:val="nTable"/>
              <w:spacing w:after="40"/>
            </w:pPr>
            <w:r>
              <w:t>6 Dec 2024</w:t>
            </w:r>
          </w:p>
        </w:tc>
        <w:tc>
          <w:tcPr>
            <w:tcW w:w="2552" w:type="dxa"/>
            <w:tcBorders>
              <w:bottom w:val="nil"/>
            </w:tcBorders>
          </w:tcPr>
          <w:p>
            <w:pPr>
              <w:pStyle w:val="nTable"/>
              <w:spacing w:after="40"/>
            </w:pPr>
            <w:r>
              <w:t>To be proclaimed (see s. 2(c))</w:t>
            </w:r>
          </w:p>
        </w:tc>
      </w:tr>
      <w:tr>
        <w:tc>
          <w:tcPr>
            <w:tcW w:w="2268" w:type="dxa"/>
            <w:tcBorders>
              <w:top w:val="nil"/>
              <w:bottom w:val="nil"/>
            </w:tcBorders>
          </w:tcPr>
          <w:p>
            <w:pPr>
              <w:pStyle w:val="nTable"/>
              <w:spacing w:after="40"/>
              <w:rPr>
                <w:i/>
                <w:noProof/>
              </w:rPr>
            </w:pPr>
            <w:r>
              <w:rPr>
                <w:i/>
              </w:rPr>
              <w:t>Evidence Act 2025</w:t>
            </w:r>
            <w:r>
              <w:rPr>
                <w:iCs/>
              </w:rPr>
              <w:t xml:space="preserve"> Pt. 12 Div. 17</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spacing w:after="40"/>
            </w:pPr>
            <w:r>
              <w:t xml:space="preserve">Immediately after the </w:t>
            </w:r>
            <w:r>
              <w:rPr>
                <w:i/>
                <w:iCs/>
              </w:rPr>
              <w:t>Privacy and Responsible Information Sharing Act 2024</w:t>
            </w:r>
            <w:r>
              <w:t xml:space="preserve"> s. 158 comes into operation (see s. 2(d)(ii))</w:t>
            </w:r>
          </w:p>
        </w:tc>
      </w:tr>
      <w:tr>
        <w:tc>
          <w:tcPr>
            <w:tcW w:w="2268" w:type="dxa"/>
            <w:tcBorders>
              <w:top w:val="nil"/>
            </w:tcBorders>
          </w:tcPr>
          <w:p>
            <w:pPr>
              <w:pStyle w:val="nTable"/>
              <w:spacing w:after="40"/>
              <w:rPr>
                <w:i/>
              </w:rPr>
            </w:pPr>
            <w:r>
              <w:rPr>
                <w:i/>
              </w:rPr>
              <w:t xml:space="preserve">Assisted Reproductive Technology and Surrogacy Act 2025 </w:t>
            </w:r>
            <w:r>
              <w:rPr>
                <w:iCs/>
              </w:rPr>
              <w:t>Pt. 17 Div. 13</w:t>
            </w:r>
          </w:p>
        </w:tc>
        <w:tc>
          <w:tcPr>
            <w:tcW w:w="1134" w:type="dxa"/>
            <w:tcBorders>
              <w:top w:val="nil"/>
            </w:tcBorders>
          </w:tcPr>
          <w:p>
            <w:pPr>
              <w:pStyle w:val="nTable"/>
              <w:spacing w:after="40"/>
            </w:pPr>
            <w:r>
              <w:t>19 of 2025</w:t>
            </w:r>
          </w:p>
        </w:tc>
        <w:tc>
          <w:tcPr>
            <w:tcW w:w="1134" w:type="dxa"/>
            <w:tcBorders>
              <w:top w:val="nil"/>
            </w:tcBorders>
          </w:tcPr>
          <w:p>
            <w:pPr>
              <w:pStyle w:val="nTable"/>
              <w:spacing w:after="40"/>
            </w:pPr>
            <w:r>
              <w:t>18 Dec 2025</w:t>
            </w:r>
          </w:p>
        </w:tc>
        <w:tc>
          <w:tcPr>
            <w:tcW w:w="2552" w:type="dxa"/>
            <w:tcBorders>
              <w:top w:val="nil"/>
            </w:tcBorders>
          </w:tcPr>
          <w:p>
            <w:pPr>
              <w:pStyle w:val="nTable"/>
              <w:spacing w:after="40"/>
            </w:pPr>
            <w:r>
              <w:t xml:space="preserve">Immediately after the </w:t>
            </w:r>
            <w:r>
              <w:rPr>
                <w:i/>
                <w:iCs/>
              </w:rPr>
              <w:t>Privacy and Responsible Information Sharing Act 2024</w:t>
            </w:r>
            <w:r>
              <w:t xml:space="preserve"> s. 158 comes into operation (see s. 2(b)(ii))</w:t>
            </w:r>
          </w:p>
        </w:tc>
      </w:tr>
    </w:tbl>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297" w:name="_Toc201662146"/>
      <w:bookmarkStart w:id="298" w:name="_Toc210126663"/>
      <w:bookmarkStart w:id="299" w:name="_Toc210132640"/>
      <w:bookmarkStart w:id="300" w:name="_Toc216861928"/>
      <w:bookmarkStart w:id="301" w:name="_Toc216862105"/>
      <w:bookmarkStart w:id="302" w:name="_Toc216946305"/>
      <w:bookmarkStart w:id="303" w:name="_Toc216946376"/>
      <w:bookmarkStart w:id="304" w:name="_Toc216963655"/>
      <w:r>
        <w:rPr>
          <w:sz w:val="28"/>
        </w:rPr>
        <w:lastRenderedPageBreak/>
        <w:t>Defined terms</w:t>
      </w:r>
      <w:bookmarkEnd w:id="297"/>
      <w:bookmarkEnd w:id="298"/>
      <w:bookmarkEnd w:id="299"/>
      <w:bookmarkEnd w:id="300"/>
      <w:bookmarkEnd w:id="301"/>
      <w:bookmarkEnd w:id="302"/>
      <w:bookmarkEnd w:id="303"/>
      <w:bookmarkEnd w:id="3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 controlled organisation</w:t>
      </w:r>
      <w:r>
        <w:tab/>
        <w:t>4</w:t>
      </w:r>
    </w:p>
    <w:p>
      <w:pPr>
        <w:pStyle w:val="DefinedTerms"/>
      </w:pPr>
      <w:r>
        <w:t>Aboriginal information assessment</w:t>
      </w:r>
      <w:r>
        <w:tab/>
        <w:t>4</w:t>
      </w:r>
    </w:p>
    <w:p>
      <w:pPr>
        <w:pStyle w:val="DefinedTerms"/>
      </w:pPr>
      <w:r>
        <w:t>Aboriginal information use plan</w:t>
      </w:r>
      <w:r>
        <w:tab/>
        <w:t>4</w:t>
      </w:r>
    </w:p>
    <w:p>
      <w:pPr>
        <w:pStyle w:val="DefinedTerms"/>
      </w:pPr>
      <w:r>
        <w:t>act</w:t>
      </w:r>
      <w:r>
        <w:tab/>
        <w:t>4</w:t>
      </w:r>
    </w:p>
    <w:p>
      <w:pPr>
        <w:pStyle w:val="DefinedTerms"/>
      </w:pPr>
      <w:r>
        <w:t>affected individual</w:t>
      </w:r>
      <w:r>
        <w:tab/>
        <w:t>4</w:t>
      </w:r>
    </w:p>
    <w:p>
      <w:pPr>
        <w:pStyle w:val="DefinedTerms"/>
      </w:pPr>
      <w:r>
        <w:t>approved form</w:t>
      </w:r>
      <w:r>
        <w:tab/>
        <w:t>4</w:t>
      </w:r>
    </w:p>
    <w:p>
      <w:pPr>
        <w:pStyle w:val="DefinedTerms"/>
      </w:pPr>
      <w:r>
        <w:t>approved privacy code of practice</w:t>
      </w:r>
      <w:r>
        <w:tab/>
        <w:t>4</w:t>
      </w:r>
    </w:p>
    <w:p>
      <w:pPr>
        <w:pStyle w:val="DefinedTerms"/>
      </w:pPr>
      <w:r>
        <w:t>assessed notifiable information breach</w:t>
      </w:r>
      <w:r>
        <w:tab/>
        <w:t>4</w:t>
      </w:r>
    </w:p>
    <w:p>
      <w:pPr>
        <w:pStyle w:val="DefinedTerms"/>
      </w:pPr>
      <w:r>
        <w:t>assessed shared information breach</w:t>
      </w:r>
      <w:r>
        <w:tab/>
        <w:t>4</w:t>
      </w:r>
    </w:p>
    <w:p>
      <w:pPr>
        <w:pStyle w:val="DefinedTerms"/>
      </w:pPr>
      <w:r>
        <w:t>Australian Information Commissioner</w:t>
      </w:r>
      <w:r>
        <w:tab/>
        <w:t>4</w:t>
      </w:r>
    </w:p>
    <w:p>
      <w:pPr>
        <w:pStyle w:val="DefinedTerms"/>
      </w:pPr>
      <w:r>
        <w:t>authorised officer</w:t>
      </w:r>
      <w:r>
        <w:tab/>
        <w:t>4</w:t>
      </w:r>
    </w:p>
    <w:p>
      <w:pPr>
        <w:pStyle w:val="DefinedTerms"/>
      </w:pPr>
      <w:r>
        <w:t>automated decision-making process</w:t>
      </w:r>
      <w:r>
        <w:tab/>
        <w:t>4</w:t>
      </w:r>
    </w:p>
    <w:p>
      <w:pPr>
        <w:pStyle w:val="DefinedTerms"/>
      </w:pPr>
      <w:r>
        <w:t>automated system</w:t>
      </w:r>
      <w:r>
        <w:tab/>
        <w:t>4</w:t>
      </w:r>
    </w:p>
    <w:p>
      <w:pPr>
        <w:pStyle w:val="DefinedTerms"/>
      </w:pPr>
      <w:r>
        <w:t>care leaver</w:t>
      </w:r>
      <w:r>
        <w:tab/>
        <w:t>4</w:t>
      </w:r>
    </w:p>
    <w:p>
      <w:pPr>
        <w:pStyle w:val="DefinedTerms"/>
      </w:pPr>
      <w:r>
        <w:t>Chief Data Officer</w:t>
      </w:r>
      <w:r>
        <w:tab/>
        <w:t>4</w:t>
      </w:r>
    </w:p>
    <w:p>
      <w:pPr>
        <w:pStyle w:val="DefinedTerms"/>
      </w:pPr>
      <w:r>
        <w:t>Chief Data Officer guidelines</w:t>
      </w:r>
      <w:r>
        <w:tab/>
        <w:t>4</w:t>
      </w:r>
    </w:p>
    <w:p>
      <w:pPr>
        <w:pStyle w:val="DefinedTerms"/>
      </w:pPr>
      <w:r>
        <w:t>child</w:t>
      </w:r>
      <w:r>
        <w:tab/>
        <w:t>4</w:t>
      </w:r>
    </w:p>
    <w:p>
      <w:pPr>
        <w:pStyle w:val="DefinedTerms"/>
      </w:pPr>
      <w:r>
        <w:t>child protection functions</w:t>
      </w:r>
      <w:r>
        <w:tab/>
        <w:t>4</w:t>
      </w:r>
    </w:p>
    <w:p>
      <w:pPr>
        <w:pStyle w:val="DefinedTerms"/>
      </w:pPr>
      <w:r>
        <w:t>collect</w:t>
      </w:r>
      <w:r>
        <w:tab/>
        <w:t>4</w:t>
      </w:r>
    </w:p>
    <w:p>
      <w:pPr>
        <w:pStyle w:val="DefinedTerms"/>
      </w:pPr>
      <w:r>
        <w:t>commencement day</w:t>
      </w:r>
      <w:r>
        <w:tab/>
        <w:t>223(1), 224(1), 225(1), 226(1), 227(1), 228(1)</w:t>
      </w:r>
    </w:p>
    <w:p>
      <w:pPr>
        <w:pStyle w:val="DefinedTerms"/>
      </w:pPr>
      <w:r>
        <w:t>community policing functions</w:t>
      </w:r>
      <w:r>
        <w:tab/>
        <w:t>4</w:t>
      </w:r>
    </w:p>
    <w:p>
      <w:pPr>
        <w:pStyle w:val="DefinedTerms"/>
      </w:pPr>
      <w:r>
        <w:t>compliance notice</w:t>
      </w:r>
      <w:r>
        <w:tab/>
        <w:t>4</w:t>
      </w:r>
    </w:p>
    <w:p>
      <w:pPr>
        <w:pStyle w:val="DefinedTerms"/>
      </w:pPr>
      <w:r>
        <w:t>conciliator</w:t>
      </w:r>
      <w:r>
        <w:tab/>
        <w:t>4</w:t>
      </w:r>
    </w:p>
    <w:p>
      <w:pPr>
        <w:pStyle w:val="DefinedTerms"/>
      </w:pPr>
      <w:r>
        <w:t>confidential or commercially sensitive information</w:t>
      </w:r>
      <w:r>
        <w:tab/>
        <w:t>4</w:t>
      </w:r>
    </w:p>
    <w:p>
      <w:pPr>
        <w:pStyle w:val="DefinedTerms"/>
      </w:pPr>
      <w:r>
        <w:t>consent</w:t>
      </w:r>
      <w:r>
        <w:tab/>
        <w:t>4</w:t>
      </w:r>
    </w:p>
    <w:p>
      <w:pPr>
        <w:pStyle w:val="DefinedTerms"/>
      </w:pPr>
      <w:r>
        <w:t>contracted service provider</w:t>
      </w:r>
      <w:r>
        <w:tab/>
        <w:t>4, 8(2)</w:t>
      </w:r>
    </w:p>
    <w:p>
      <w:pPr>
        <w:pStyle w:val="DefinedTerms"/>
      </w:pPr>
      <w:r>
        <w:t>data analytics work</w:t>
      </w:r>
      <w:r>
        <w:tab/>
        <w:t>4</w:t>
      </w:r>
    </w:p>
    <w:p>
      <w:pPr>
        <w:pStyle w:val="DefinedTerms"/>
      </w:pPr>
      <w:r>
        <w:t>Data analytics work</w:t>
      </w:r>
      <w:r>
        <w:tab/>
        <w:t>12(2)</w:t>
      </w:r>
    </w:p>
    <w:p>
      <w:pPr>
        <w:pStyle w:val="DefinedTerms"/>
      </w:pPr>
      <w:r>
        <w:t>data integration</w:t>
      </w:r>
      <w:r>
        <w:tab/>
        <w:t>4</w:t>
      </w:r>
    </w:p>
    <w:p>
      <w:pPr>
        <w:pStyle w:val="DefinedTerms"/>
      </w:pPr>
      <w:r>
        <w:t>Data integration</w:t>
      </w:r>
      <w:r>
        <w:tab/>
        <w:t>12(4)</w:t>
      </w:r>
    </w:p>
    <w:p>
      <w:pPr>
        <w:pStyle w:val="DefinedTerms"/>
      </w:pPr>
      <w:r>
        <w:t>data linkage</w:t>
      </w:r>
      <w:r>
        <w:tab/>
        <w:t>4</w:t>
      </w:r>
    </w:p>
    <w:p>
      <w:pPr>
        <w:pStyle w:val="DefinedTerms"/>
      </w:pPr>
      <w:r>
        <w:t>Data linkage</w:t>
      </w:r>
      <w:r>
        <w:tab/>
        <w:t>12(3)</w:t>
      </w:r>
    </w:p>
    <w:p>
      <w:pPr>
        <w:pStyle w:val="DefinedTerms"/>
      </w:pPr>
      <w:r>
        <w:t>data linkage key</w:t>
      </w:r>
      <w:r>
        <w:tab/>
        <w:t>12(3)</w:t>
      </w:r>
    </w:p>
    <w:p>
      <w:pPr>
        <w:pStyle w:val="DefinedTerms"/>
      </w:pPr>
      <w:r>
        <w:t>data set</w:t>
      </w:r>
      <w:r>
        <w:tab/>
        <w:t>4, 12(1)</w:t>
      </w:r>
    </w:p>
    <w:p>
      <w:pPr>
        <w:pStyle w:val="DefinedTerms"/>
      </w:pPr>
      <w:r>
        <w:t>de-identified information</w:t>
      </w:r>
      <w:r>
        <w:tab/>
        <w:t>4, 11(2)</w:t>
      </w:r>
    </w:p>
    <w:p>
      <w:pPr>
        <w:pStyle w:val="DefinedTerms"/>
      </w:pPr>
      <w:r>
        <w:t>de-identify</w:t>
      </w:r>
      <w:r>
        <w:tab/>
        <w:t>4, 11(1)</w:t>
      </w:r>
    </w:p>
    <w:p>
      <w:pPr>
        <w:pStyle w:val="DefinedTerms"/>
      </w:pPr>
      <w:r>
        <w:t>derived information</w:t>
      </w:r>
      <w:r>
        <w:tab/>
        <w:t>4</w:t>
      </w:r>
    </w:p>
    <w:p>
      <w:pPr>
        <w:pStyle w:val="DefinedTerms"/>
      </w:pPr>
      <w:r>
        <w:t>disability</w:t>
      </w:r>
      <w:r>
        <w:tab/>
        <w:t>4</w:t>
      </w:r>
    </w:p>
    <w:p>
      <w:pPr>
        <w:pStyle w:val="DefinedTerms"/>
      </w:pPr>
      <w:r>
        <w:t>disclose</w:t>
      </w:r>
      <w:r>
        <w:tab/>
        <w:t>4</w:t>
      </w:r>
    </w:p>
    <w:p>
      <w:pPr>
        <w:pStyle w:val="DefinedTerms"/>
      </w:pPr>
      <w:r>
        <w:lastRenderedPageBreak/>
        <w:t>disclosing</w:t>
      </w:r>
      <w:r>
        <w:tab/>
        <w:t>10</w:t>
      </w:r>
    </w:p>
    <w:p>
      <w:pPr>
        <w:pStyle w:val="DefinedTerms"/>
      </w:pPr>
      <w:r>
        <w:t>electronic means</w:t>
      </w:r>
      <w:r>
        <w:tab/>
        <w:t>4</w:t>
      </w:r>
    </w:p>
    <w:p>
      <w:pPr>
        <w:pStyle w:val="DefinedTerms"/>
      </w:pPr>
      <w:r>
        <w:t>emergency response functions</w:t>
      </w:r>
      <w:r>
        <w:tab/>
        <w:t>4</w:t>
      </w:r>
    </w:p>
    <w:p>
      <w:pPr>
        <w:pStyle w:val="DefinedTerms"/>
      </w:pPr>
      <w:r>
        <w:t>exempt information</w:t>
      </w:r>
      <w:r>
        <w:tab/>
        <w:t>4</w:t>
      </w:r>
    </w:p>
    <w:p>
      <w:pPr>
        <w:pStyle w:val="DefinedTerms"/>
      </w:pPr>
      <w:r>
        <w:t>external entity</w:t>
      </w:r>
      <w:r>
        <w:tab/>
        <w:t>4</w:t>
      </w:r>
    </w:p>
    <w:p>
      <w:pPr>
        <w:pStyle w:val="DefinedTerms"/>
      </w:pPr>
      <w:r>
        <w:t>family violence</w:t>
      </w:r>
      <w:r>
        <w:tab/>
        <w:t>4</w:t>
      </w:r>
    </w:p>
    <w:p>
      <w:pPr>
        <w:pStyle w:val="DefinedTerms"/>
      </w:pPr>
      <w:r>
        <w:t>government information</w:t>
      </w:r>
      <w:r>
        <w:tab/>
        <w:t>4</w:t>
      </w:r>
    </w:p>
    <w:p>
      <w:pPr>
        <w:pStyle w:val="DefinedTerms"/>
      </w:pPr>
      <w:r>
        <w:t>handle</w:t>
      </w:r>
      <w:r>
        <w:tab/>
        <w:t>4</w:t>
      </w:r>
    </w:p>
    <w:p>
      <w:pPr>
        <w:pStyle w:val="DefinedTerms"/>
      </w:pPr>
      <w:r>
        <w:t>Health and Disability Services Complaints Office Director</w:t>
      </w:r>
      <w:r>
        <w:tab/>
        <w:t>4</w:t>
      </w:r>
    </w:p>
    <w:p>
      <w:pPr>
        <w:pStyle w:val="DefinedTerms"/>
      </w:pPr>
      <w:r>
        <w:t>health information</w:t>
      </w:r>
      <w:r>
        <w:tab/>
        <w:t>4</w:t>
      </w:r>
    </w:p>
    <w:p>
      <w:pPr>
        <w:pStyle w:val="DefinedTerms"/>
      </w:pPr>
      <w:r>
        <w:t>health service</w:t>
      </w:r>
      <w:r>
        <w:tab/>
        <w:t>4</w:t>
      </w:r>
    </w:p>
    <w:p>
      <w:pPr>
        <w:pStyle w:val="DefinedTerms"/>
      </w:pPr>
      <w:r>
        <w:t>high privacy impact function or activity</w:t>
      </w:r>
      <w:r>
        <w:tab/>
        <w:t>4</w:t>
      </w:r>
    </w:p>
    <w:p>
      <w:pPr>
        <w:pStyle w:val="DefinedTerms"/>
      </w:pPr>
      <w:r>
        <w:t>hold</w:t>
      </w:r>
      <w:r>
        <w:tab/>
        <w:t>4</w:t>
      </w:r>
    </w:p>
    <w:p>
      <w:pPr>
        <w:pStyle w:val="DefinedTerms"/>
      </w:pPr>
      <w:r>
        <w:t>holding entity</w:t>
      </w:r>
      <w:r>
        <w:tab/>
        <w:t>4</w:t>
      </w:r>
    </w:p>
    <w:p>
      <w:pPr>
        <w:pStyle w:val="DefinedTerms"/>
      </w:pPr>
      <w:r>
        <w:t>information breach</w:t>
      </w:r>
      <w:r>
        <w:tab/>
        <w:t>4</w:t>
      </w:r>
    </w:p>
    <w:p>
      <w:pPr>
        <w:pStyle w:val="DefinedTerms"/>
      </w:pPr>
      <w:r>
        <w:t>Information Commissioner</w:t>
      </w:r>
      <w:r>
        <w:tab/>
        <w:t>4</w:t>
      </w:r>
    </w:p>
    <w:p>
      <w:pPr>
        <w:pStyle w:val="DefinedTerms"/>
      </w:pPr>
      <w:r>
        <w:t>information holdings request</w:t>
      </w:r>
      <w:r>
        <w:tab/>
        <w:t>4</w:t>
      </w:r>
    </w:p>
    <w:p>
      <w:pPr>
        <w:pStyle w:val="DefinedTerms"/>
      </w:pPr>
      <w:r>
        <w:t>information privacy principle</w:t>
      </w:r>
      <w:r>
        <w:tab/>
        <w:t>4</w:t>
      </w:r>
    </w:p>
    <w:p>
      <w:pPr>
        <w:pStyle w:val="DefinedTerms"/>
      </w:pPr>
      <w:r>
        <w:t>information sharing agreement</w:t>
      </w:r>
      <w:r>
        <w:tab/>
        <w:t>4</w:t>
      </w:r>
    </w:p>
    <w:p>
      <w:pPr>
        <w:pStyle w:val="DefinedTerms"/>
      </w:pPr>
      <w:r>
        <w:t>information sharing CEO</w:t>
      </w:r>
      <w:r>
        <w:tab/>
        <w:t>4</w:t>
      </w:r>
    </w:p>
    <w:p>
      <w:pPr>
        <w:pStyle w:val="DefinedTerms"/>
      </w:pPr>
      <w:r>
        <w:t>information sharing Department</w:t>
      </w:r>
      <w:r>
        <w:tab/>
        <w:t>4</w:t>
      </w:r>
    </w:p>
    <w:p>
      <w:pPr>
        <w:pStyle w:val="DefinedTerms"/>
      </w:pPr>
      <w:r>
        <w:t>information sharing direction</w:t>
      </w:r>
      <w:r>
        <w:tab/>
        <w:t>4</w:t>
      </w:r>
    </w:p>
    <w:p>
      <w:pPr>
        <w:pStyle w:val="DefinedTerms"/>
      </w:pPr>
      <w:r>
        <w:t>Information Sharing Minister</w:t>
      </w:r>
      <w:r>
        <w:tab/>
        <w:t>4</w:t>
      </w:r>
    </w:p>
    <w:p>
      <w:pPr>
        <w:pStyle w:val="DefinedTerms"/>
      </w:pPr>
      <w:r>
        <w:t>information sharing request</w:t>
      </w:r>
      <w:r>
        <w:tab/>
        <w:t>4</w:t>
      </w:r>
    </w:p>
    <w:p>
      <w:pPr>
        <w:pStyle w:val="DefinedTerms"/>
      </w:pPr>
      <w:r>
        <w:t>interference with the privacy</w:t>
      </w:r>
      <w:r>
        <w:tab/>
        <w:t>4</w:t>
      </w:r>
    </w:p>
    <w:p>
      <w:pPr>
        <w:pStyle w:val="DefinedTerms"/>
      </w:pPr>
      <w:r>
        <w:t>IPP</w:t>
      </w:r>
      <w:r>
        <w:tab/>
        <w:t>4</w:t>
      </w:r>
    </w:p>
    <w:p>
      <w:pPr>
        <w:pStyle w:val="DefinedTerms"/>
      </w:pPr>
      <w:r>
        <w:t>IPP entity</w:t>
      </w:r>
      <w:r>
        <w:tab/>
        <w:t>4</w:t>
      </w:r>
    </w:p>
    <w:p>
      <w:pPr>
        <w:pStyle w:val="DefinedTerms"/>
      </w:pPr>
      <w:r>
        <w:t>judicial body</w:t>
      </w:r>
      <w:r>
        <w:tab/>
        <w:t>4, 7(1)</w:t>
      </w:r>
    </w:p>
    <w:p>
      <w:pPr>
        <w:pStyle w:val="DefinedTerms"/>
      </w:pPr>
      <w:r>
        <w:t>law enforcement agency</w:t>
      </w:r>
      <w:r>
        <w:tab/>
        <w:t>4</w:t>
      </w:r>
    </w:p>
    <w:p>
      <w:pPr>
        <w:pStyle w:val="DefinedTerms"/>
      </w:pPr>
      <w:r>
        <w:t>law enforcement functions</w:t>
      </w:r>
      <w:r>
        <w:tab/>
        <w:t>4</w:t>
      </w:r>
    </w:p>
    <w:p>
      <w:pPr>
        <w:pStyle w:val="DefinedTerms"/>
      </w:pPr>
      <w:r>
        <w:t>materially assisted</w:t>
      </w:r>
      <w:r>
        <w:tab/>
        <w:t>4</w:t>
      </w:r>
    </w:p>
    <w:p>
      <w:pPr>
        <w:pStyle w:val="DefinedTerms"/>
      </w:pPr>
      <w:r>
        <w:t>member of Commissioner staff</w:t>
      </w:r>
      <w:r>
        <w:tab/>
        <w:t>4</w:t>
      </w:r>
    </w:p>
    <w:p>
      <w:pPr>
        <w:pStyle w:val="DefinedTerms"/>
      </w:pPr>
      <w:r>
        <w:t>notice to produce or attend</w:t>
      </w:r>
      <w:r>
        <w:tab/>
        <w:t>4</w:t>
      </w:r>
    </w:p>
    <w:p>
      <w:pPr>
        <w:pStyle w:val="DefinedTerms"/>
      </w:pPr>
      <w:r>
        <w:t>notifiable information breach</w:t>
      </w:r>
      <w:r>
        <w:tab/>
        <w:t>4</w:t>
      </w:r>
    </w:p>
    <w:p>
      <w:pPr>
        <w:pStyle w:val="DefinedTerms"/>
      </w:pPr>
      <w:r>
        <w:t>officer</w:t>
      </w:r>
      <w:r>
        <w:tab/>
        <w:t>4</w:t>
      </w:r>
    </w:p>
    <w:p>
      <w:pPr>
        <w:pStyle w:val="DefinedTerms"/>
      </w:pPr>
      <w:r>
        <w:t>outsourcing entity</w:t>
      </w:r>
      <w:r>
        <w:tab/>
        <w:t>4, 8(1)</w:t>
      </w:r>
    </w:p>
    <w:p>
      <w:pPr>
        <w:pStyle w:val="DefinedTerms"/>
      </w:pPr>
      <w:r>
        <w:t>Parliamentary Commissioner for Administrative Investigations</w:t>
      </w:r>
      <w:r>
        <w:tab/>
        <w:t>4</w:t>
      </w:r>
    </w:p>
    <w:p>
      <w:pPr>
        <w:pStyle w:val="DefinedTerms"/>
      </w:pPr>
      <w:r>
        <w:t>Parliamentary Secretary</w:t>
      </w:r>
      <w:r>
        <w:tab/>
        <w:t>4</w:t>
      </w:r>
    </w:p>
    <w:p>
      <w:pPr>
        <w:pStyle w:val="DefinedTerms"/>
      </w:pPr>
      <w:r>
        <w:t>permitted purpose</w:t>
      </w:r>
      <w:r>
        <w:tab/>
        <w:t>4</w:t>
      </w:r>
    </w:p>
    <w:p>
      <w:pPr>
        <w:pStyle w:val="DefinedTerms"/>
      </w:pPr>
      <w:r>
        <w:t>personal information</w:t>
      </w:r>
      <w:r>
        <w:tab/>
        <w:t>4</w:t>
      </w:r>
    </w:p>
    <w:p>
      <w:pPr>
        <w:pStyle w:val="DefinedTerms"/>
      </w:pPr>
      <w:r>
        <w:t>Police Force of Western Australia</w:t>
      </w:r>
      <w:r>
        <w:tab/>
        <w:t>4</w:t>
      </w:r>
    </w:p>
    <w:p>
      <w:pPr>
        <w:pStyle w:val="DefinedTerms"/>
      </w:pPr>
      <w:r>
        <w:t>principal officer</w:t>
      </w:r>
      <w:r>
        <w:tab/>
        <w:t>4, 9(1), (2) and (3)</w:t>
      </w:r>
    </w:p>
    <w:p>
      <w:pPr>
        <w:pStyle w:val="DefinedTerms"/>
      </w:pPr>
      <w:r>
        <w:t>privacy code of practice</w:t>
      </w:r>
      <w:r>
        <w:tab/>
        <w:t>4</w:t>
      </w:r>
    </w:p>
    <w:p>
      <w:pPr>
        <w:pStyle w:val="DefinedTerms"/>
      </w:pPr>
      <w:r>
        <w:t>privacy complaint</w:t>
      </w:r>
      <w:r>
        <w:tab/>
        <w:t>4</w:t>
      </w:r>
    </w:p>
    <w:p>
      <w:pPr>
        <w:pStyle w:val="DefinedTerms"/>
      </w:pPr>
      <w:r>
        <w:lastRenderedPageBreak/>
        <w:t>Privacy Deputy Commissioner</w:t>
      </w:r>
      <w:r>
        <w:tab/>
        <w:t>4</w:t>
      </w:r>
    </w:p>
    <w:p>
      <w:pPr>
        <w:pStyle w:val="DefinedTerms"/>
      </w:pPr>
      <w:r>
        <w:t>privacy functions</w:t>
      </w:r>
      <w:r>
        <w:tab/>
        <w:t>4, 142(1)</w:t>
      </w:r>
    </w:p>
    <w:p>
      <w:pPr>
        <w:pStyle w:val="DefinedTerms"/>
      </w:pPr>
      <w:r>
        <w:t>privacy guidelines</w:t>
      </w:r>
      <w:r>
        <w:tab/>
        <w:t>4</w:t>
      </w:r>
    </w:p>
    <w:p>
      <w:pPr>
        <w:pStyle w:val="DefinedTerms"/>
      </w:pPr>
      <w:r>
        <w:t>privacy impact assessment</w:t>
      </w:r>
      <w:r>
        <w:tab/>
        <w:t>4</w:t>
      </w:r>
    </w:p>
    <w:p>
      <w:pPr>
        <w:pStyle w:val="DefinedTerms"/>
      </w:pPr>
      <w:r>
        <w:t>Privacy Minister</w:t>
      </w:r>
      <w:r>
        <w:tab/>
        <w:t>4</w:t>
      </w:r>
    </w:p>
    <w:p>
      <w:pPr>
        <w:pStyle w:val="DefinedTerms"/>
      </w:pPr>
      <w:r>
        <w:t>proposed provider</w:t>
      </w:r>
      <w:r>
        <w:tab/>
        <w:t>4</w:t>
      </w:r>
    </w:p>
    <w:p>
      <w:pPr>
        <w:pStyle w:val="DefinedTerms"/>
      </w:pPr>
      <w:r>
        <w:t>proposed recipient</w:t>
      </w:r>
      <w:r>
        <w:tab/>
        <w:t>4</w:t>
      </w:r>
    </w:p>
    <w:p>
      <w:pPr>
        <w:pStyle w:val="DefinedTerms"/>
      </w:pPr>
      <w:r>
        <w:t>provider</w:t>
      </w:r>
      <w:r>
        <w:tab/>
        <w:t>4</w:t>
      </w:r>
    </w:p>
    <w:p>
      <w:pPr>
        <w:pStyle w:val="DefinedTerms"/>
      </w:pPr>
      <w:r>
        <w:t>public entity</w:t>
      </w:r>
      <w:r>
        <w:tab/>
        <w:t>4, 6(1), 6(2)</w:t>
      </w:r>
    </w:p>
    <w:p>
      <w:pPr>
        <w:pStyle w:val="DefinedTerms"/>
      </w:pPr>
      <w:r>
        <w:t>public interest determination</w:t>
      </w:r>
      <w:r>
        <w:tab/>
        <w:t>4</w:t>
      </w:r>
    </w:p>
    <w:p>
      <w:pPr>
        <w:pStyle w:val="DefinedTerms"/>
      </w:pPr>
      <w:r>
        <w:t>public register</w:t>
      </w:r>
      <w:r>
        <w:tab/>
        <w:t>4</w:t>
      </w:r>
    </w:p>
    <w:p>
      <w:pPr>
        <w:pStyle w:val="DefinedTerms"/>
      </w:pPr>
      <w:r>
        <w:t>recipient</w:t>
      </w:r>
      <w:r>
        <w:tab/>
        <w:t>4</w:t>
      </w:r>
    </w:p>
    <w:p>
      <w:pPr>
        <w:pStyle w:val="DefinedTerms"/>
      </w:pPr>
      <w:r>
        <w:t>re-identify</w:t>
      </w:r>
      <w:r>
        <w:tab/>
        <w:t>4, 11(3)</w:t>
      </w:r>
    </w:p>
    <w:p>
      <w:pPr>
        <w:pStyle w:val="DefinedTerms"/>
      </w:pPr>
      <w:r>
        <w:t>relevant activity</w:t>
      </w:r>
      <w:r>
        <w:tab/>
        <w:t>4</w:t>
      </w:r>
    </w:p>
    <w:p>
      <w:pPr>
        <w:pStyle w:val="DefinedTerms"/>
      </w:pPr>
      <w:r>
        <w:t>relevant Minister</w:t>
      </w:r>
      <w:r>
        <w:tab/>
        <w:t>220(1)</w:t>
      </w:r>
    </w:p>
    <w:p>
      <w:pPr>
        <w:pStyle w:val="DefinedTerms"/>
      </w:pPr>
      <w:r>
        <w:t>relevant official</w:t>
      </w:r>
      <w:r>
        <w:tab/>
        <w:t>208(1), 218(1)</w:t>
      </w:r>
    </w:p>
    <w:p>
      <w:pPr>
        <w:pStyle w:val="DefinedTerms"/>
      </w:pPr>
      <w:r>
        <w:t>requesting entity</w:t>
      </w:r>
      <w:r>
        <w:tab/>
        <w:t>4</w:t>
      </w:r>
    </w:p>
    <w:p>
      <w:pPr>
        <w:pStyle w:val="DefinedTerms"/>
      </w:pPr>
      <w:r>
        <w:t>respondent</w:t>
      </w:r>
      <w:r>
        <w:tab/>
        <w:t>4</w:t>
      </w:r>
    </w:p>
    <w:p>
      <w:pPr>
        <w:pStyle w:val="DefinedTerms"/>
      </w:pPr>
      <w:r>
        <w:t>responsible Minister</w:t>
      </w:r>
      <w:r>
        <w:tab/>
        <w:t>4</w:t>
      </w:r>
    </w:p>
    <w:p>
      <w:pPr>
        <w:pStyle w:val="DefinedTerms"/>
      </w:pPr>
      <w:r>
        <w:t>responsible sharing principle</w:t>
      </w:r>
      <w:r>
        <w:tab/>
        <w:t>4</w:t>
      </w:r>
    </w:p>
    <w:p>
      <w:pPr>
        <w:pStyle w:val="DefinedTerms"/>
      </w:pPr>
      <w:r>
        <w:t>secrecy provision</w:t>
      </w:r>
      <w:r>
        <w:tab/>
        <w:t>4</w:t>
      </w:r>
    </w:p>
    <w:p>
      <w:pPr>
        <w:pStyle w:val="DefinedTerms"/>
      </w:pPr>
      <w:r>
        <w:t>senior executive officer</w:t>
      </w:r>
      <w:r>
        <w:tab/>
        <w:t>4</w:t>
      </w:r>
    </w:p>
    <w:p>
      <w:pPr>
        <w:pStyle w:val="DefinedTerms"/>
      </w:pPr>
      <w:r>
        <w:t>senior officer</w:t>
      </w:r>
      <w:r>
        <w:tab/>
        <w:t>4</w:t>
      </w:r>
    </w:p>
    <w:p>
      <w:pPr>
        <w:pStyle w:val="DefinedTerms"/>
      </w:pPr>
      <w:r>
        <w:t>sensitive Aboriginal family history information</w:t>
      </w:r>
      <w:r>
        <w:tab/>
        <w:t>4</w:t>
      </w:r>
    </w:p>
    <w:p>
      <w:pPr>
        <w:pStyle w:val="DefinedTerms"/>
      </w:pPr>
      <w:r>
        <w:t>sensitive Aboriginal traditional information</w:t>
      </w:r>
      <w:r>
        <w:tab/>
        <w:t>4</w:t>
      </w:r>
    </w:p>
    <w:p>
      <w:pPr>
        <w:pStyle w:val="DefinedTerms"/>
      </w:pPr>
      <w:r>
        <w:t>sensitive personal information</w:t>
      </w:r>
      <w:r>
        <w:tab/>
        <w:t>4</w:t>
      </w:r>
    </w:p>
    <w:p>
      <w:pPr>
        <w:pStyle w:val="DefinedTerms"/>
      </w:pPr>
      <w:r>
        <w:t>shared information</w:t>
      </w:r>
      <w:r>
        <w:tab/>
        <w:t>4</w:t>
      </w:r>
    </w:p>
    <w:p>
      <w:pPr>
        <w:pStyle w:val="DefinedTerms"/>
      </w:pPr>
      <w:r>
        <w:t>shared information breach</w:t>
      </w:r>
      <w:r>
        <w:tab/>
        <w:t>4</w:t>
      </w:r>
    </w:p>
    <w:p>
      <w:pPr>
        <w:pStyle w:val="DefinedTerms"/>
      </w:pPr>
      <w:r>
        <w:t>significant decision</w:t>
      </w:r>
      <w:r>
        <w:tab/>
        <w:t>4</w:t>
      </w:r>
    </w:p>
    <w:p>
      <w:pPr>
        <w:pStyle w:val="DefinedTerms"/>
      </w:pPr>
      <w:r>
        <w:t>special information sharing entity</w:t>
      </w:r>
      <w:r>
        <w:tab/>
        <w:t>4</w:t>
      </w:r>
    </w:p>
    <w:p>
      <w:pPr>
        <w:pStyle w:val="DefinedTerms"/>
      </w:pPr>
      <w:r>
        <w:t>specified</w:t>
      </w:r>
      <w:r>
        <w:tab/>
        <w:t>229(1)</w:t>
      </w:r>
    </w:p>
    <w:p>
      <w:pPr>
        <w:pStyle w:val="DefinedTerms"/>
      </w:pPr>
      <w:r>
        <w:t>state of mind</w:t>
      </w:r>
      <w:r>
        <w:tab/>
        <w:t>217(1)</w:t>
      </w:r>
    </w:p>
    <w:p>
      <w:pPr>
        <w:pStyle w:val="DefinedTerms"/>
      </w:pPr>
      <w:r>
        <w:t>State services contract</w:t>
      </w:r>
      <w:r>
        <w:tab/>
        <w:t>4, 8(1)</w:t>
      </w:r>
    </w:p>
    <w:p>
      <w:pPr>
        <w:pStyle w:val="DefinedTerms"/>
      </w:pPr>
      <w:r>
        <w:t>temporary public interest determination</w:t>
      </w:r>
      <w:r>
        <w:tab/>
        <w:t>4</w:t>
      </w:r>
    </w:p>
    <w:p>
      <w:pPr>
        <w:pStyle w:val="DefinedTerms"/>
      </w:pPr>
      <w:r>
        <w:t>transitional matter</w:t>
      </w:r>
      <w:r>
        <w:tab/>
        <w:t>229(1)</w:t>
      </w:r>
    </w:p>
    <w:p>
      <w:pPr>
        <w:pStyle w:val="DefinedTerms"/>
      </w:pPr>
      <w:r>
        <w:t>unique identifier</w:t>
      </w:r>
      <w:r>
        <w:tab/>
        <w:t>4</w:t>
      </w:r>
    </w:p>
    <w:p>
      <w:pPr>
        <w:pStyle w:val="DefinedTerms"/>
      </w:pPr>
      <w:r>
        <w:t>variation agreement</w:t>
      </w:r>
      <w:r>
        <w:tab/>
        <w:t>4</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posOffset>0</wp:posOffset>
                </wp:positionH>
                <wp:positionV relativeFrom="page">
                  <wp:posOffset>7490572</wp:posOffset>
                </wp:positionV>
                <wp:extent cx="127000" cy="666000"/>
                <wp:effectExtent l="0" t="0" r="1905" b="1270"/>
                <wp:wrapNone/>
                <wp:docPr id="5" name="Authority"/>
                <wp:cNvGraphicFramePr/>
                <a:graphic xmlns:a="http://schemas.openxmlformats.org/drawingml/2006/main">
                  <a:graphicData uri="http://schemas.microsoft.com/office/word/2010/wordprocessingShape">
                    <wps:wsp>
                      <wps:cNvSpPr txBox="1"/>
                      <wps:spPr>
                        <a:xfrm>
                          <a:off x="0" y="0"/>
                          <a:ext cx="127000" cy="666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2523E45" id="_x0000_t202" coordsize="21600,21600" o:spt="202" path="m,l,21600r21600,l21600,xe">
                <v:stroke joinstyle="miter"/>
                <v:path gradientshapeok="t" o:connecttype="rect"/>
              </v:shapetype>
              <v:shape id="Authority" o:spid="_x0000_s1026" type="#_x0000_t202" style="position:absolute;margin-left:0;margin-top:589.8pt;width:10pt;height:52.45pt;z-index:2516664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" stroked="f" strokeweight=".5pt">
                <v:textbox>
                  <w:txbxContent>
                    <w:p w14:paraId="29535179" w14:textId="11468AB4" w:rsidR="00604630" w:rsidRDefault="0060463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833A7">
                        <w:rPr>
                          <w:sz w:val="16"/>
                        </w:rPr>
                        <w:t>2025</w:t>
                      </w:r>
                      <w:r>
                        <w:rPr>
                          <w:sz w:val="16"/>
                        </w:rPr>
                        <w:fldChar w:fldCharType="end"/>
                      </w:r>
                      <w:r>
                        <w:rPr>
                          <w:sz w:val="16"/>
                        </w:rPr>
                        <w:t>.</w:t>
                      </w:r>
                    </w:p>
                    <w:p w14:paraId="7C696951" w14:textId="77777777" w:rsidR="00604630" w:rsidRDefault="0060463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2FA4AE0" w14:textId="7E747F05" w:rsidR="00604630" w:rsidRDefault="0060463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833A7">
                        <w:rPr>
                          <w:sz w:val="16"/>
                        </w:rPr>
                        <w:t>2025</w:t>
                      </w:r>
                      <w:r>
                        <w:rPr>
                          <w:sz w:val="16"/>
                        </w:rPr>
                        <w:fldChar w:fldCharType="end"/>
                      </w:r>
                      <w:r>
                        <w:rPr>
                          <w:sz w:val="16"/>
                        </w:rPr>
                        <w:t>.</w:t>
                      </w:r>
                    </w:p>
                    <w:p w14:paraId="0717565C" w14:textId="64A79D01" w:rsidR="00604630" w:rsidRDefault="00604630">
                      <w:pPr>
                        <w:ind w:left="2438" w:right="2098"/>
                        <w:jc w:val="center"/>
                        <w:rPr>
                          <w:rFonts w:ascii="Arial" w:hAnsi="Arial" w:cs="Arial"/>
                          <w:sz w:val="12"/>
                        </w:rPr>
                      </w:pPr>
                      <w:r>
                        <w:rPr>
                          <w:rFonts w:ascii="Arial" w:hAnsi="Arial" w:cs="Arial"/>
                          <w:sz w:val="12"/>
                        </w:rPr>
                        <w:t xml:space="preserve">By Authority: </w:t>
                      </w:r>
                      <w:r w:rsidR="00FA07A6" w:rsidRPr="00FA07A6">
                        <w:rPr>
                          <w:rFonts w:ascii="Arial" w:hAnsi="Arial" w:cs="Arial"/>
                          <w:sz w:val="12"/>
                        </w:rPr>
                        <w:t>ROGER JACOBS, Acting</w:t>
                      </w:r>
                      <w:r w:rsidR="00FA07A6" w:rsidRPr="00FA07A6" w:rsidDel="00FA07A6">
                        <w:rPr>
                          <w:rFonts w:ascii="Arial" w:hAnsi="Arial" w:cs="Arial"/>
                          <w:sz w:val="12"/>
                        </w:rPr>
                        <w:t xml:space="preserve"> </w:t>
                      </w:r>
                      <w:r>
                        <w:rPr>
                          <w:rFonts w:ascii="Arial" w:hAnsi="Arial" w:cs="Arial"/>
                          <w:sz w:val="12"/>
                        </w:rPr>
                        <w:t>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96" w:name="Compilation"/>
    <w:bookmarkEnd w:id="29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05" w:name="DefinedTerms"/>
    <w:bookmarkEnd w:id="30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6" w:name="Coversheet"/>
    <w:bookmarkEnd w:id="3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8227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410223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11917</Words>
  <Characters>63281</Characters>
  <Application>Microsoft Office Word</Application>
  <DocSecurity>0</DocSecurity>
  <Lines>1808</Lines>
  <Paragraphs>1122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74076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2024 - 00-d0-00</dc:title>
  <dc:subject/>
  <dc:creator/>
  <cp:keywords/>
  <dc:description/>
  <cp:lastModifiedBy>Master Repository Process</cp:lastModifiedBy>
  <cp:revision>4</cp:revision>
  <cp:lastPrinted>2024-12-06T06:50:00Z</cp:lastPrinted>
  <dcterms:created xsi:type="dcterms:W3CDTF">2025-12-19T01:12:00Z</dcterms:created>
  <dcterms:modified xsi:type="dcterms:W3CDTF">2025-12-19T01:12:00Z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AsAtDate">
    <vt:lpwstr>18 Dec 2025</vt:lpwstr>
  </property>
  <property fmtid="{D5CDD505-2E9C-101B-9397-08002B2CF9AE}" pid="5" name="Suffix">
    <vt:lpwstr>00-d0-00</vt:lpwstr>
  </property>
  <property fmtid="{D5CDD505-2E9C-101B-9397-08002B2CF9AE}" pid="6" name="Official">
    <vt:lpwstr/>
  </property>
  <property fmtid="{D5CDD505-2E9C-101B-9397-08002B2CF9AE}" pid="7" name="CommencementDate">
    <vt:lpwstr>20251218</vt:lpwstr>
  </property>
  <property fmtid="{D5CDD505-2E9C-101B-9397-08002B2CF9AE}" pid="8" name="CommencementAsAt">
    <vt:filetime>2025-12-17T16:00:00Z</vt:filetime>
  </property>
  <property fmtid="{D5CDD505-2E9C-101B-9397-08002B2CF9AE}" pid="9" name="CommencementYear">
    <vt:lpwstr>2025</vt:lpwstr>
  </property>
</Properties>
</file>