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Property Law Act 1969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Property Law Act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_Toc216963875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_Toc216963876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Repeals</w:t>
      </w:r>
      <w:r>
        <w:tab/>
      </w:r>
      <w:r>
        <w:fldChar w:fldCharType="begin"/>
      </w:r>
      <w:r>
        <w:instrText xml:space="preserve"> PAGEREF _Toc216963877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Savings</w:t>
      </w:r>
      <w:r>
        <w:tab/>
      </w:r>
      <w:r>
        <w:fldChar w:fldCharType="begin"/>
      </w:r>
      <w:r>
        <w:instrText xml:space="preserve"> PAGEREF _Toc216963878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this Act to certain Acts</w:t>
      </w:r>
      <w:r>
        <w:tab/>
      </w:r>
      <w:r>
        <w:fldChar w:fldCharType="begin"/>
      </w:r>
      <w:r>
        <w:instrText xml:space="preserve"> PAGEREF _Toc216963879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 in this Act</w:t>
      </w:r>
      <w:r>
        <w:tab/>
      </w:r>
      <w:r>
        <w:fldChar w:fldCharType="begin"/>
      </w:r>
      <w:r>
        <w:instrText xml:space="preserve"> PAGEREF _Toc216963880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Deeds and other instruments</w:t>
      </w:r>
    </w:p>
    <w:p>
      <w:pPr>
        <w:pStyle w:val="TOC8"/>
        <w:rPr>
          <w:rFonts w:asciiTheme="minorHAnsi" w:eastAsiaTheme="minorEastAsia" w:hAnsiTheme="minorHAnsi" w:cstheme="minorBidi"/>
          <w:szCs w:val="22"/>
        </w:rPr>
      </w:pPr>
      <w:r>
        <w:t>8</w:t>
      </w:r>
      <w:r>
        <w:rPr>
          <w:snapToGrid w:val="0"/>
        </w:rPr>
        <w:t>.</w:t>
      </w:r>
      <w:r>
        <w:rPr>
          <w:snapToGrid w:val="0"/>
        </w:rPr>
        <w:tab/>
        <w:t>Construction of expressions used in deeds and other instruments</w:t>
      </w:r>
      <w:r>
        <w:tab/>
      </w:r>
      <w:r>
        <w:fldChar w:fldCharType="begin"/>
      </w:r>
      <w:r>
        <w:instrText xml:space="preserve"> PAGEREF _Toc216963882 \h </w:instrText>
      </w:r>
      <w:r>
        <w:fldChar w:fldCharType="separate"/>
      </w:r>
      <w:r>
        <w:t>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Other valuation procedures</w:t>
      </w:r>
      <w:r>
        <w:tab/>
      </w:r>
      <w:r>
        <w:fldChar w:fldCharType="begin"/>
      </w:r>
      <w:r>
        <w:instrText xml:space="preserve"> PAGEREF _Toc216963883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Formalities of deed</w:t>
      </w:r>
      <w:r>
        <w:tab/>
      </w:r>
      <w:r>
        <w:fldChar w:fldCharType="begin"/>
      </w:r>
      <w:r>
        <w:instrText xml:space="preserve"> PAGEREF _Toc216963884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Execution of instruments by or on behalf of corporations</w:t>
      </w:r>
      <w:r>
        <w:tab/>
      </w:r>
      <w:r>
        <w:fldChar w:fldCharType="begin"/>
      </w:r>
      <w:r>
        <w:instrText xml:space="preserve"> PAGEREF _Toc216963885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Persons taking who are not parties</w:t>
      </w:r>
      <w:r>
        <w:tab/>
      </w:r>
      <w:r>
        <w:fldChar w:fldCharType="begin"/>
      </w:r>
      <w:r>
        <w:instrText xml:space="preserve"> PAGEREF _Toc216963886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Description of deeds</w:t>
      </w:r>
      <w:r>
        <w:tab/>
      </w:r>
      <w:r>
        <w:fldChar w:fldCharType="begin"/>
      </w:r>
      <w:r>
        <w:instrText xml:space="preserve"> PAGEREF _Toc216963887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Conditions and certain covenants not implied</w:t>
      </w:r>
      <w:r>
        <w:tab/>
      </w:r>
      <w:r>
        <w:fldChar w:fldCharType="begin"/>
      </w:r>
      <w:r>
        <w:instrText xml:space="preserve"> PAGEREF _Toc216963888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Receipt in deed sufficient</w:t>
      </w:r>
      <w:r>
        <w:tab/>
      </w:r>
      <w:r>
        <w:fldChar w:fldCharType="begin"/>
      </w:r>
      <w:r>
        <w:instrText xml:space="preserve"> PAGEREF _Toc216963889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Receipt in deed or endorsed evidence</w:t>
      </w:r>
      <w:r>
        <w:tab/>
      </w:r>
      <w:r>
        <w:fldChar w:fldCharType="begin"/>
      </w:r>
      <w:r>
        <w:instrText xml:space="preserve"> PAGEREF _Toc216963890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Construction of supplemental or annexed instrument</w:t>
      </w:r>
      <w:r>
        <w:tab/>
      </w:r>
      <w:r>
        <w:fldChar w:fldCharType="begin"/>
      </w:r>
      <w:r>
        <w:instrText xml:space="preserve"> PAGEREF _Toc216963891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General rules affecting property</w:t>
      </w:r>
    </w:p>
    <w:p>
      <w:pPr>
        <w:pStyle w:val="TOC8"/>
        <w:rPr>
          <w:rFonts w:asciiTheme="minorHAnsi" w:eastAsiaTheme="minorEastAsia" w:hAnsiTheme="minorHAnsi" w:cstheme="minorBidi"/>
          <w:szCs w:val="22"/>
        </w:rPr>
      </w:pPr>
      <w:r>
        <w:t>17</w:t>
      </w:r>
      <w:r>
        <w:rPr>
          <w:snapToGrid w:val="0"/>
        </w:rPr>
        <w:t>.</w:t>
      </w:r>
      <w:r>
        <w:rPr>
          <w:snapToGrid w:val="0"/>
        </w:rPr>
        <w:tab/>
        <w:t>Tenant for life without impeachment of waste, not to commit equitable waste</w:t>
      </w:r>
      <w:r>
        <w:tab/>
      </w:r>
      <w:r>
        <w:fldChar w:fldCharType="begin"/>
      </w:r>
      <w:r>
        <w:instrText xml:space="preserve"> PAGEREF _Toc216963893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 merger at law where none in equity</w:t>
      </w:r>
      <w:r>
        <w:tab/>
      </w:r>
      <w:r>
        <w:fldChar w:fldCharType="begin"/>
      </w:r>
      <w:r>
        <w:instrText xml:space="preserve"> PAGEREF _Toc216963894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Suits for possession of land by mortgagors</w:t>
      </w:r>
      <w:r>
        <w:tab/>
      </w:r>
      <w:r>
        <w:fldChar w:fldCharType="begin"/>
      </w:r>
      <w:r>
        <w:instrText xml:space="preserve"> PAGEREF _Toc216963895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Assignment of debts and choses in action</w:t>
      </w:r>
      <w:r>
        <w:tab/>
      </w:r>
      <w:r>
        <w:fldChar w:fldCharType="begin"/>
      </w:r>
      <w:r>
        <w:instrText xml:space="preserve"> PAGEREF _Toc216963896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Stipulations not of the essence of a contract</w:t>
      </w:r>
      <w:r>
        <w:tab/>
      </w:r>
      <w:r>
        <w:fldChar w:fldCharType="begin"/>
      </w:r>
      <w:r>
        <w:instrText xml:space="preserve"> PAGEREF _Toc216963897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Satisfied terms, whether created out of freehold or leasehold land, to cease</w:t>
      </w:r>
      <w:r>
        <w:tab/>
      </w:r>
      <w:r>
        <w:fldChar w:fldCharType="begin"/>
      </w:r>
      <w:r>
        <w:instrText xml:space="preserve"> PAGEREF _Toc216963898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Estates tail abolished</w:t>
      </w:r>
      <w:r>
        <w:tab/>
      </w:r>
      <w:r>
        <w:fldChar w:fldCharType="begin"/>
      </w:r>
      <w:r>
        <w:instrText xml:space="preserve"> PAGEREF _Toc216963899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Creation by deed of freehold </w:t>
      </w:r>
      <w:r>
        <w:rPr>
          <w:i/>
          <w:snapToGrid w:val="0"/>
        </w:rPr>
        <w:t>in futuro</w:t>
      </w:r>
      <w:r>
        <w:tab/>
      </w:r>
      <w:r>
        <w:fldChar w:fldCharType="begin"/>
      </w:r>
      <w:r>
        <w:instrText xml:space="preserve"> PAGEREF _Toc216963900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Creation by deed of estate in chattel real</w:t>
      </w:r>
      <w:r>
        <w:tab/>
      </w:r>
      <w:r>
        <w:fldChar w:fldCharType="begin"/>
      </w:r>
      <w:r>
        <w:instrText xml:space="preserve"> PAGEREF _Toc216963901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Contingent remainders to take effect notwithstanding premature failure of preceding estate</w:t>
      </w:r>
      <w:r>
        <w:tab/>
      </w:r>
      <w:r>
        <w:fldChar w:fldCharType="begin"/>
      </w:r>
      <w:r>
        <w:instrText xml:space="preserve"> PAGEREF _Toc216963902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Rule in Shelley’s Case abolished</w:t>
      </w:r>
      <w:r>
        <w:tab/>
      </w:r>
      <w:r>
        <w:fldChar w:fldCharType="begin"/>
      </w:r>
      <w:r>
        <w:instrText xml:space="preserve"> PAGEREF _Toc216963903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Restriction on executory limitations</w:t>
      </w:r>
      <w:r>
        <w:tab/>
      </w:r>
      <w:r>
        <w:fldChar w:fldCharType="begin"/>
      </w:r>
      <w:r>
        <w:instrText xml:space="preserve"> PAGEREF _Toc216963904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Corporations may hold as joint tenants</w:t>
      </w:r>
      <w:r>
        <w:tab/>
      </w:r>
      <w:r>
        <w:fldChar w:fldCharType="begin"/>
      </w:r>
      <w:r>
        <w:instrText xml:space="preserve"> PAGEREF _Toc216963905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Receipts for income by married minors</w:t>
      </w:r>
      <w:r>
        <w:tab/>
      </w:r>
      <w:r>
        <w:fldChar w:fldCharType="begin"/>
      </w:r>
      <w:r>
        <w:instrText xml:space="preserve"> PAGEREF _Toc216963906 \h </w:instrText>
      </w:r>
      <w:r>
        <w:fldChar w:fldCharType="separate"/>
      </w:r>
      <w:r>
        <w:t>18</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Illegitimates to be included in class references</w:t>
      </w:r>
      <w:r>
        <w:tab/>
      </w:r>
      <w:r>
        <w:fldChar w:fldCharType="begin"/>
      </w:r>
      <w:r>
        <w:instrText xml:space="preserve"> PAGEREF _Toc216963907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IV — Conveyances and other instruments</w:t>
      </w:r>
    </w:p>
    <w:p>
      <w:pPr>
        <w:pStyle w:val="TOC8"/>
        <w:rPr>
          <w:rFonts w:asciiTheme="minorHAnsi" w:eastAsiaTheme="minorEastAsia" w:hAnsiTheme="minorHAnsi" w:cstheme="minorBidi"/>
          <w:szCs w:val="22"/>
        </w:rPr>
      </w:pPr>
      <w:r>
        <w:t>32</w:t>
      </w:r>
      <w:r>
        <w:rPr>
          <w:snapToGrid w:val="0"/>
        </w:rPr>
        <w:t>.</w:t>
      </w:r>
      <w:r>
        <w:rPr>
          <w:snapToGrid w:val="0"/>
        </w:rPr>
        <w:tab/>
        <w:t>Lands lie in grant only</w:t>
      </w:r>
      <w:r>
        <w:tab/>
      </w:r>
      <w:r>
        <w:fldChar w:fldCharType="begin"/>
      </w:r>
      <w:r>
        <w:instrText xml:space="preserve"> PAGEREF _Toc216963909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Conveyances to be by deed</w:t>
      </w:r>
      <w:r>
        <w:tab/>
      </w:r>
      <w:r>
        <w:fldChar w:fldCharType="begin"/>
      </w:r>
      <w:r>
        <w:instrText xml:space="preserve"> PAGEREF _Toc216963910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Instruments required to be in writing</w:t>
      </w:r>
      <w:r>
        <w:tab/>
      </w:r>
      <w:r>
        <w:fldChar w:fldCharType="begin"/>
      </w:r>
      <w:r>
        <w:instrText xml:space="preserve"> PAGEREF _Toc216963911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Creation of interests in land by parol</w:t>
      </w:r>
      <w:r>
        <w:tab/>
      </w:r>
      <w:r>
        <w:fldChar w:fldCharType="begin"/>
      </w:r>
      <w:r>
        <w:instrText xml:space="preserve"> PAGEREF _Toc216963912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Savings in regard to sections 34 and 35</w:t>
      </w:r>
      <w:r>
        <w:tab/>
      </w:r>
      <w:r>
        <w:fldChar w:fldCharType="begin"/>
      </w:r>
      <w:r>
        <w:instrText xml:space="preserve"> PAGEREF _Toc216963913 \h </w:instrText>
      </w:r>
      <w:r>
        <w:fldChar w:fldCharType="separate"/>
      </w:r>
      <w:r>
        <w:t>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 to dispose of fee simple by deed without words of inheritance</w:t>
      </w:r>
      <w:r>
        <w:tab/>
      </w:r>
      <w:r>
        <w:fldChar w:fldCharType="begin"/>
      </w:r>
      <w:r>
        <w:instrText xml:space="preserve"> PAGEREF _Toc216963914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 use to result from absence of consideration</w:t>
      </w:r>
      <w:r>
        <w:tab/>
      </w:r>
      <w:r>
        <w:fldChar w:fldCharType="begin"/>
      </w:r>
      <w:r>
        <w:instrText xml:space="preserve"> PAGEREF _Toc216963915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Limitations may be by direct conveyance without uses</w:t>
      </w:r>
      <w:r>
        <w:tab/>
      </w:r>
      <w:r>
        <w:fldChar w:fldCharType="begin"/>
      </w:r>
      <w:r>
        <w:instrText xml:space="preserve"> PAGEREF _Toc216963916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conveyance to have tortious operation</w:t>
      </w:r>
      <w:r>
        <w:tab/>
      </w:r>
      <w:r>
        <w:fldChar w:fldCharType="begin"/>
      </w:r>
      <w:r>
        <w:instrText xml:space="preserve"> PAGEREF _Toc216963917 \h </w:instrText>
      </w:r>
      <w:r>
        <w:fldChar w:fldCharType="separate"/>
      </w:r>
      <w:r>
        <w:t>23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words implied in conveyances</w:t>
      </w:r>
      <w:r>
        <w:tab/>
      </w:r>
      <w:r>
        <w:fldChar w:fldCharType="begin"/>
      </w:r>
      <w:r>
        <w:instrText xml:space="preserve"> PAGEREF _Toc216963918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All estate clause implied</w:t>
      </w:r>
      <w:r>
        <w:tab/>
      </w:r>
      <w:r>
        <w:fldChar w:fldCharType="begin"/>
      </w:r>
      <w:r>
        <w:instrText xml:space="preserve"> PAGEREF _Toc216963919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Partial release of land from rent</w:t>
      </w:r>
      <w:r>
        <w:tab/>
      </w:r>
      <w:r>
        <w:fldChar w:fldCharType="begin"/>
      </w:r>
      <w:r>
        <w:instrText xml:space="preserve"> PAGEREF _Toc216963920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person to convey property to himself etc.</w:t>
      </w:r>
      <w:r>
        <w:tab/>
      </w:r>
      <w:r>
        <w:fldChar w:fldCharType="begin"/>
      </w:r>
      <w:r>
        <w:instrText xml:space="preserve"> PAGEREF _Toc216963921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Covenants</w:t>
      </w:r>
    </w:p>
    <w:p>
      <w:pPr>
        <w:pStyle w:val="TOC8"/>
        <w:rPr>
          <w:rFonts w:asciiTheme="minorHAnsi" w:eastAsiaTheme="minorEastAsia" w:hAnsiTheme="minorHAnsi" w:cstheme="minorBidi"/>
          <w:szCs w:val="22"/>
        </w:rPr>
      </w:pPr>
      <w:r>
        <w:t>45</w:t>
      </w:r>
      <w:r>
        <w:rPr>
          <w:snapToGrid w:val="0"/>
        </w:rPr>
        <w:t>.</w:t>
      </w:r>
      <w:r>
        <w:rPr>
          <w:snapToGrid w:val="0"/>
        </w:rPr>
        <w:tab/>
        <w:t>Covenants for title implied</w:t>
      </w:r>
      <w:r>
        <w:tab/>
      </w:r>
      <w:r>
        <w:fldChar w:fldCharType="begin"/>
      </w:r>
      <w:r>
        <w:instrText xml:space="preserve"> PAGEREF _Toc216963923 \h </w:instrText>
      </w:r>
      <w:r>
        <w:fldChar w:fldCharType="separate"/>
      </w:r>
      <w:r>
        <w:t>25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Construction of implied covenants</w:t>
      </w:r>
      <w:r>
        <w:tab/>
      </w:r>
      <w:r>
        <w:fldChar w:fldCharType="begin"/>
      </w:r>
      <w:r>
        <w:instrText xml:space="preserve"> PAGEREF _Toc216963924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Benefits of covenants relating to land</w:t>
      </w:r>
      <w:r>
        <w:tab/>
      </w:r>
      <w:r>
        <w:fldChar w:fldCharType="begin"/>
      </w:r>
      <w:r>
        <w:instrText xml:space="preserve"> PAGEREF _Toc216963925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Burden of covenants relating to land</w:t>
      </w:r>
      <w:r>
        <w:tab/>
      </w:r>
      <w:r>
        <w:fldChar w:fldCharType="begin"/>
      </w:r>
      <w:r>
        <w:instrText xml:space="preserve"> PAGEREF _Toc216963926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Construction of covenants affecting land</w:t>
      </w:r>
      <w:r>
        <w:tab/>
      </w:r>
      <w:r>
        <w:fldChar w:fldCharType="begin"/>
      </w:r>
      <w:r>
        <w:instrText xml:space="preserve"> PAGEREF _Toc216963927 \h </w:instrText>
      </w:r>
      <w:r>
        <w:fldChar w:fldCharType="separate"/>
      </w:r>
      <w:r>
        <w:t>28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Covenants to be joint and several</w:t>
      </w:r>
      <w:r>
        <w:tab/>
      </w:r>
      <w:r>
        <w:fldChar w:fldCharType="begin"/>
      </w:r>
      <w:r>
        <w:instrText xml:space="preserve"> PAGEREF _Toc216963928 \h </w:instrText>
      </w:r>
      <w:r>
        <w:fldChar w:fldCharType="separate"/>
      </w:r>
      <w:r>
        <w:t>28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Effect of covenant with 2 or more jointly</w:t>
      </w:r>
      <w:r>
        <w:tab/>
      </w:r>
      <w:r>
        <w:fldChar w:fldCharType="begin"/>
      </w:r>
      <w:r>
        <w:instrText xml:space="preserve"> PAGEREF _Toc216963929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Covenants and agreements entered into by a person with himself and another or others</w:t>
      </w:r>
      <w:r>
        <w:tab/>
      </w:r>
      <w:r>
        <w:fldChar w:fldCharType="begin"/>
      </w:r>
      <w:r>
        <w:instrText xml:space="preserve"> PAGEREF _Toc216963930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VI — Mortgages</w:t>
      </w:r>
    </w:p>
    <w:p>
      <w:pPr>
        <w:pStyle w:val="TOC8"/>
        <w:rPr>
          <w:rFonts w:asciiTheme="minorHAnsi" w:eastAsiaTheme="minorEastAsia" w:hAnsiTheme="minorHAnsi" w:cstheme="minorBidi"/>
          <w:szCs w:val="22"/>
        </w:rPr>
      </w:pPr>
      <w:r>
        <w:t>53</w:t>
      </w:r>
      <w:r>
        <w:rPr>
          <w:snapToGrid w:val="0"/>
        </w:rPr>
        <w:t>.</w:t>
      </w:r>
      <w:r>
        <w:rPr>
          <w:snapToGrid w:val="0"/>
        </w:rPr>
        <w:tab/>
        <w:t>Foreclosure extinguishes right of action for mortgage debt and equity of redemption</w:t>
      </w:r>
      <w:r>
        <w:tab/>
      </w:r>
      <w:r>
        <w:fldChar w:fldCharType="begin"/>
      </w:r>
      <w:r>
        <w:instrText xml:space="preserve"> PAGEREF _Toc216963932 \h </w:instrText>
      </w:r>
      <w:r>
        <w:fldChar w:fldCharType="separate"/>
      </w:r>
      <w:r>
        <w:t>30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Realisation of equitable charges by the Court</w:t>
      </w:r>
      <w:r>
        <w:tab/>
      </w:r>
      <w:r>
        <w:fldChar w:fldCharType="begin"/>
      </w:r>
      <w:r>
        <w:instrText xml:space="preserve"> PAGEREF _Toc216963933 \h </w:instrText>
      </w:r>
      <w:r>
        <w:fldChar w:fldCharType="separate"/>
      </w:r>
      <w:r>
        <w:t>30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 of mortgaged property in action for redemption or foreclosure</w:t>
      </w:r>
      <w:r>
        <w:tab/>
      </w:r>
      <w:r>
        <w:fldChar w:fldCharType="begin"/>
      </w:r>
      <w:r>
        <w:instrText xml:space="preserve"> PAGEREF _Toc216963934 \h </w:instrText>
      </w:r>
      <w:r>
        <w:fldChar w:fldCharType="separate"/>
      </w:r>
      <w:r>
        <w:t>31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Restriction on consolidation of mortgages</w:t>
      </w:r>
      <w:r>
        <w:tab/>
      </w:r>
      <w:r>
        <w:fldChar w:fldCharType="begin"/>
      </w:r>
      <w:r>
        <w:instrText xml:space="preserve"> PAGEREF _Toc216963935 \h </w:instrText>
      </w:r>
      <w:r>
        <w:fldChar w:fldCharType="separate"/>
      </w:r>
      <w:r>
        <w:t>32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Implied powers of mortgagees</w:t>
      </w:r>
      <w:r>
        <w:tab/>
      </w:r>
      <w:r>
        <w:fldChar w:fldCharType="begin"/>
      </w:r>
      <w:r>
        <w:instrText xml:space="preserve"> PAGEREF _Toc216963936 \h </w:instrText>
      </w:r>
      <w:r>
        <w:fldChar w:fldCharType="separate"/>
      </w:r>
      <w:r>
        <w:t>33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 xml:space="preserve">Power to appoint receiver in the case of mortgage under the </w:t>
      </w:r>
      <w:r>
        <w:rPr>
          <w:i/>
          <w:snapToGrid w:val="0"/>
        </w:rPr>
        <w:t>Transfer of Land Act 1893</w:t>
      </w:r>
      <w:r>
        <w:tab/>
      </w:r>
      <w:r>
        <w:fldChar w:fldCharType="begin"/>
      </w:r>
      <w:r>
        <w:instrText xml:space="preserve"> PAGEREF _Toc216963937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 of exercise of power of sale</w:t>
      </w:r>
      <w:r>
        <w:tab/>
      </w:r>
      <w:r>
        <w:fldChar w:fldCharType="begin"/>
      </w:r>
      <w:r>
        <w:instrText xml:space="preserve"> PAGEREF _Toc216963938 \h </w:instrText>
      </w:r>
      <w:r>
        <w:fldChar w:fldCharType="separate"/>
      </w:r>
      <w:r>
        <w:t>35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Conveyance in exercise of power of sale</w:t>
      </w:r>
      <w:r>
        <w:tab/>
      </w:r>
      <w:r>
        <w:fldChar w:fldCharType="begin"/>
      </w:r>
      <w:r>
        <w:instrText xml:space="preserve"> PAGEREF _Toc216963939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Application of proceeds of sale</w:t>
      </w:r>
      <w:r>
        <w:tab/>
      </w:r>
      <w:r>
        <w:fldChar w:fldCharType="begin"/>
      </w:r>
      <w:r>
        <w:instrText xml:space="preserve"> PAGEREF _Toc216963940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Provisions as to exercise of power of sale</w:t>
      </w:r>
      <w:r>
        <w:tab/>
      </w:r>
      <w:r>
        <w:fldChar w:fldCharType="begin"/>
      </w:r>
      <w:r>
        <w:instrText xml:space="preserve"> PAGEREF _Toc216963941 \h </w:instrText>
      </w:r>
      <w:r>
        <w:fldChar w:fldCharType="separate"/>
      </w:r>
      <w:r>
        <w:t>37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Mortgagee’s receipts, discharges etc.</w:t>
      </w:r>
      <w:r>
        <w:tab/>
      </w:r>
      <w:r>
        <w:fldChar w:fldCharType="begin"/>
      </w:r>
      <w:r>
        <w:instrText xml:space="preserve"> PAGEREF _Toc216963942 \h </w:instrText>
      </w:r>
      <w:r>
        <w:fldChar w:fldCharType="separate"/>
      </w:r>
      <w:r>
        <w:t>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Amount and application of insurance money</w:t>
      </w:r>
      <w:r>
        <w:tab/>
      </w:r>
      <w:r>
        <w:fldChar w:fldCharType="begin"/>
      </w:r>
      <w:r>
        <w:instrText xml:space="preserve"> PAGEREF _Toc216963943 \h </w:instrText>
      </w:r>
      <w:r>
        <w:fldChar w:fldCharType="separate"/>
      </w:r>
      <w:r>
        <w:t>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Appointment, powers, remuneration and duties of receiver</w:t>
      </w:r>
      <w:r>
        <w:tab/>
      </w:r>
      <w:r>
        <w:fldChar w:fldCharType="begin"/>
      </w:r>
      <w:r>
        <w:instrText xml:space="preserve"> PAGEREF _Toc216963944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Application of money received by receiver</w:t>
      </w:r>
      <w:r>
        <w:tab/>
      </w:r>
      <w:r>
        <w:fldChar w:fldCharType="begin"/>
      </w:r>
      <w:r>
        <w:instrText xml:space="preserve"> PAGEREF _Toc216963945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Effect of advance on joint account</w:t>
      </w:r>
      <w:r>
        <w:tab/>
      </w:r>
      <w:r>
        <w:fldChar w:fldCharType="begin"/>
      </w:r>
      <w:r>
        <w:instrText xml:space="preserve"> PAGEREF _Toc216963946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trusts affecting mortgage money</w:t>
      </w:r>
      <w:r>
        <w:tab/>
      </w:r>
      <w:r>
        <w:fldChar w:fldCharType="begin"/>
      </w:r>
      <w:r>
        <w:instrText xml:space="preserve"> PAGEREF _Toc216963947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 — Leases and tenancies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68A</w:t>
      </w:r>
      <w:r>
        <w:rPr>
          <w:snapToGrid w:val="0"/>
        </w:rPr>
        <w:t>.</w:t>
      </w:r>
      <w:r>
        <w:rPr>
          <w:snapToGrid w:val="0"/>
        </w:rPr>
        <w:tab/>
        <w:t>Limitation</w:t>
      </w:r>
      <w:r>
        <w:tab/>
      </w:r>
      <w:r>
        <w:fldChar w:fldCharType="begin"/>
      </w:r>
      <w:r>
        <w:instrText xml:space="preserve"> PAGEREF _Toc216963950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General</w:t>
      </w:r>
    </w:p>
    <w:p>
      <w:pPr>
        <w:pStyle w:val="TOC8"/>
        <w:rPr>
          <w:rFonts w:asciiTheme="minorHAnsi" w:eastAsiaTheme="minorEastAsia" w:hAnsiTheme="minorHAnsi" w:cstheme="minorBidi"/>
          <w:szCs w:val="22"/>
        </w:rPr>
      </w:pPr>
      <w:r>
        <w:t>69</w:t>
      </w:r>
      <w:r>
        <w:rPr>
          <w:snapToGrid w:val="0"/>
        </w:rPr>
        <w:t>.</w:t>
      </w:r>
      <w:r>
        <w:rPr>
          <w:snapToGrid w:val="0"/>
        </w:rPr>
        <w:tab/>
        <w:t xml:space="preserve">This Part to apply to leases under the </w:t>
      </w:r>
      <w:r>
        <w:rPr>
          <w:i/>
          <w:snapToGrid w:val="0"/>
        </w:rPr>
        <w:t>Transfer of Land Act 1893</w:t>
      </w:r>
      <w:r>
        <w:tab/>
      </w:r>
      <w:r>
        <w:fldChar w:fldCharType="begin"/>
      </w:r>
      <w:r>
        <w:instrText xml:space="preserve"> PAGEREF _Toc216963952 \h </w:instrText>
      </w:r>
      <w:r>
        <w:fldChar w:fldCharType="separate"/>
      </w:r>
      <w:r>
        <w:t>43</w:t>
      </w:r>
      <w:r>
        <w:fldChar w:fldCharType="end"/>
      </w:r>
    </w:p>
    <w:p>
      <w:pPr>
        <w:pStyle w:val="TOC8"/>
        <w:rPr>
          <w:rFonts w:asciiTheme="minorHAnsi" w:eastAsiaTheme="minorEastAsia" w:hAnsiTheme="minorHAnsi" w:cstheme="minorBidi"/>
          <w:szCs w:val="22"/>
        </w:rPr>
      </w:pPr>
      <w:r>
        <w:lastRenderedPageBreak/>
        <w:t>70</w:t>
      </w:r>
      <w:r>
        <w:rPr>
          <w:snapToGrid w:val="0"/>
        </w:rPr>
        <w:t>.</w:t>
      </w:r>
      <w:r>
        <w:rPr>
          <w:snapToGrid w:val="0"/>
        </w:rPr>
        <w:tab/>
        <w:t>Tenant not prejudiced by assignment before notice</w:t>
      </w:r>
      <w:r>
        <w:tab/>
      </w:r>
      <w:r>
        <w:fldChar w:fldCharType="begin"/>
      </w:r>
      <w:r>
        <w:instrText xml:space="preserve"> PAGEREF _Toc216963953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Tenancy from year to year not implied</w:t>
      </w:r>
      <w:r>
        <w:tab/>
      </w:r>
      <w:r>
        <w:fldChar w:fldCharType="begin"/>
      </w:r>
      <w:r>
        <w:instrText xml:space="preserve"> PAGEREF _Toc216963954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Termination of tenancies</w:t>
      </w:r>
      <w:r>
        <w:tab/>
      </w:r>
      <w:r>
        <w:fldChar w:fldCharType="begin"/>
      </w:r>
      <w:r>
        <w:instrText xml:space="preserve"> PAGEREF _Toc216963955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Waiver of a covenant in a lease, not to operate as general waiver</w:t>
      </w:r>
      <w:r>
        <w:tab/>
      </w:r>
      <w:r>
        <w:fldChar w:fldCharType="begin"/>
      </w:r>
      <w:r>
        <w:instrText xml:space="preserve"> PAGEREF _Toc216963956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 xml:space="preserve">Abolition of </w:t>
      </w:r>
      <w:r>
        <w:rPr>
          <w:i/>
          <w:snapToGrid w:val="0"/>
        </w:rPr>
        <w:t>interesse termini</w:t>
      </w:r>
      <w:r>
        <w:rPr>
          <w:snapToGrid w:val="0"/>
        </w:rPr>
        <w:t>, and as to reversionary leases and leases for lives</w:t>
      </w:r>
      <w:r>
        <w:tab/>
      </w:r>
      <w:r>
        <w:fldChar w:fldCharType="begin"/>
      </w:r>
      <w:r>
        <w:instrText xml:space="preserve"> PAGEREF _Toc216963957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extinguishment of reversion</w:t>
      </w:r>
      <w:r>
        <w:tab/>
      </w:r>
      <w:r>
        <w:fldChar w:fldCharType="begin"/>
      </w:r>
      <w:r>
        <w:instrText xml:space="preserve"> PAGEREF _Toc216963958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Apportionment of conditions on severance</w:t>
      </w:r>
      <w:r>
        <w:tab/>
      </w:r>
      <w:r>
        <w:fldChar w:fldCharType="begin"/>
      </w:r>
      <w:r>
        <w:instrText xml:space="preserve"> PAGEREF _Toc216963959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Rent and benefit of lessee’s covenants to run with reversion</w:t>
      </w:r>
      <w:r>
        <w:tab/>
      </w:r>
      <w:r>
        <w:fldChar w:fldCharType="begin"/>
      </w:r>
      <w:r>
        <w:instrText xml:space="preserve"> PAGEREF _Toc216963960 \h </w:instrText>
      </w:r>
      <w:r>
        <w:fldChar w:fldCharType="separate"/>
      </w:r>
      <w:r>
        <w:t>47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Obligation of lessor’s covenants to run with reversion</w:t>
      </w:r>
      <w:r>
        <w:tab/>
      </w:r>
      <w:r>
        <w:fldChar w:fldCharType="begin"/>
      </w:r>
      <w:r>
        <w:instrText xml:space="preserve"> PAGEREF _Toc216963961 \h </w:instrText>
      </w:r>
      <w:r>
        <w:fldChar w:fldCharType="separate"/>
      </w:r>
      <w:r>
        <w:t>48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Effect of licences granted to lessees</w:t>
      </w:r>
      <w:r>
        <w:tab/>
      </w:r>
      <w:r>
        <w:fldChar w:fldCharType="begin"/>
      </w:r>
      <w:r>
        <w:instrText xml:space="preserve"> PAGEREF _Toc216963962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Consent to assign or sublet not to be unreasonably withheld</w:t>
      </w:r>
      <w:r>
        <w:tab/>
      </w:r>
      <w:r>
        <w:fldChar w:fldCharType="begin"/>
      </w:r>
      <w:r>
        <w:instrText xml:space="preserve"> PAGEREF _Toc216963963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Restrictions and relief against forfeiture of leases and under</w:t>
      </w:r>
      <w:r>
        <w:rPr>
          <w:snapToGrid w:val="0"/>
        </w:rPr>
        <w:noBreakHyphen/>
        <w:t>leases</w:t>
      </w:r>
      <w:r>
        <w:tab/>
      </w:r>
      <w:r>
        <w:fldChar w:fldCharType="begin"/>
      </w:r>
      <w:r>
        <w:instrText xml:space="preserve"> PAGEREF _Toc216963964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Certain assignments not to be deemed a breach</w:t>
      </w:r>
      <w:r>
        <w:tab/>
      </w:r>
      <w:r>
        <w:fldChar w:fldCharType="begin"/>
      </w:r>
      <w:r>
        <w:instrText xml:space="preserve"> PAGEREF _Toc216963965 \h </w:instrText>
      </w:r>
      <w:r>
        <w:fldChar w:fldCharType="separate"/>
      </w:r>
      <w:r>
        <w:t>53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Surrender of head lease to grant new lease not to prejudice under</w:t>
      </w:r>
      <w:r>
        <w:rPr>
          <w:snapToGrid w:val="0"/>
        </w:rPr>
        <w:noBreakHyphen/>
        <w:t>lease</w:t>
      </w:r>
      <w:r>
        <w:tab/>
      </w:r>
      <w:r>
        <w:fldChar w:fldCharType="begin"/>
      </w:r>
      <w:r>
        <w:instrText xml:space="preserve"> PAGEREF _Toc216963966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Options in leases</w:t>
      </w:r>
    </w:p>
    <w:p>
      <w:pPr>
        <w:pStyle w:val="TOC8"/>
        <w:rPr>
          <w:rFonts w:asciiTheme="minorHAnsi" w:eastAsiaTheme="minorEastAsia" w:hAnsiTheme="minorHAnsi" w:cstheme="minorBidi"/>
          <w:szCs w:val="22"/>
        </w:rPr>
      </w:pPr>
      <w:r>
        <w:t>83A</w:t>
      </w:r>
      <w:r>
        <w:rPr>
          <w:snapToGrid w:val="0"/>
        </w:rPr>
        <w:t>.</w:t>
      </w:r>
      <w:r>
        <w:rPr>
          <w:snapToGrid w:val="0"/>
        </w:rPr>
        <w:tab/>
        <w:t>Interpretation</w:t>
      </w:r>
      <w:r>
        <w:tab/>
      </w:r>
      <w:r>
        <w:fldChar w:fldCharType="begin"/>
      </w:r>
      <w:r>
        <w:instrText xml:space="preserve"> PAGEREF _Toc216963968 \h </w:instrText>
      </w:r>
      <w:r>
        <w:fldChar w:fldCharType="separate"/>
      </w:r>
      <w:r>
        <w:t>55</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Construction and application of Division</w:t>
      </w:r>
      <w:r>
        <w:tab/>
      </w:r>
      <w:r>
        <w:fldChar w:fldCharType="begin"/>
      </w:r>
      <w:r>
        <w:instrText xml:space="preserve"> PAGEREF _Toc216963969 \h </w:instrText>
      </w:r>
      <w:r>
        <w:fldChar w:fldCharType="separate"/>
      </w:r>
      <w:r>
        <w:t>55</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Breach of certain obligations not to preclude lessee from exercising option in certain circumstances</w:t>
      </w:r>
      <w:r>
        <w:tab/>
      </w:r>
      <w:r>
        <w:fldChar w:fldCharType="begin"/>
      </w:r>
      <w:r>
        <w:instrText xml:space="preserve"> PAGEREF _Toc216963970 \h </w:instrText>
      </w:r>
      <w:r>
        <w:fldChar w:fldCharType="separate"/>
      </w:r>
      <w:r>
        <w:t>56</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Court may grant relief from breach of certain obligations</w:t>
      </w:r>
      <w:r>
        <w:tab/>
      </w:r>
      <w:r>
        <w:fldChar w:fldCharType="begin"/>
      </w:r>
      <w:r>
        <w:instrText xml:space="preserve"> PAGEREF _Toc216963971 \h </w:instrText>
      </w:r>
      <w:r>
        <w:fldChar w:fldCharType="separate"/>
      </w:r>
      <w:r>
        <w:t>57</w:t>
      </w:r>
      <w:r>
        <w:fldChar w:fldCharType="end"/>
      </w:r>
    </w:p>
    <w:p>
      <w:pPr>
        <w:pStyle w:val="TOC8"/>
        <w:rPr>
          <w:rFonts w:asciiTheme="minorHAnsi" w:eastAsiaTheme="minorEastAsia" w:hAnsiTheme="minorHAnsi" w:cstheme="minorBidi"/>
          <w:szCs w:val="22"/>
        </w:rPr>
      </w:pPr>
      <w:r>
        <w:t>83E</w:t>
      </w:r>
      <w:r>
        <w:rPr>
          <w:snapToGrid w:val="0"/>
        </w:rPr>
        <w:t>.</w:t>
      </w:r>
      <w:r>
        <w:rPr>
          <w:snapToGrid w:val="0"/>
        </w:rPr>
        <w:tab/>
        <w:t>Lease to continue in force until issue decided</w:t>
      </w:r>
      <w:r>
        <w:tab/>
      </w:r>
      <w:r>
        <w:fldChar w:fldCharType="begin"/>
      </w:r>
      <w:r>
        <w:instrText xml:space="preserve"> PAGEREF _Toc216963972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attorney</w:t>
      </w:r>
    </w:p>
    <w:p>
      <w:pPr>
        <w:pStyle w:val="TOC8"/>
        <w:rPr>
          <w:rFonts w:asciiTheme="minorHAnsi" w:eastAsiaTheme="minorEastAsia" w:hAnsiTheme="minorHAnsi" w:cstheme="minorBidi"/>
          <w:szCs w:val="22"/>
        </w:rPr>
      </w:pPr>
      <w:r>
        <w:t>84</w:t>
      </w:r>
      <w:r>
        <w:rPr>
          <w:snapToGrid w:val="0"/>
        </w:rPr>
        <w:t>.</w:t>
      </w:r>
      <w:r>
        <w:rPr>
          <w:snapToGrid w:val="0"/>
        </w:rPr>
        <w:tab/>
        <w:t>Execution by attorney in his own name</w:t>
      </w:r>
      <w:r>
        <w:tab/>
      </w:r>
      <w:r>
        <w:fldChar w:fldCharType="begin"/>
      </w:r>
      <w:r>
        <w:instrText xml:space="preserve"> PAGEREF _Toc216963974 \h </w:instrText>
      </w:r>
      <w:r>
        <w:fldChar w:fldCharType="separate"/>
      </w:r>
      <w:r>
        <w:t>61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Continuance until notice of death or revocation received</w:t>
      </w:r>
      <w:r>
        <w:tab/>
      </w:r>
      <w:r>
        <w:fldChar w:fldCharType="begin"/>
      </w:r>
      <w:r>
        <w:instrText xml:space="preserve"> PAGEREF _Toc216963975 \h </w:instrText>
      </w:r>
      <w:r>
        <w:fldChar w:fldCharType="separate"/>
      </w:r>
      <w:r>
        <w:t>61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Irrevocable power of attorney for value</w:t>
      </w:r>
      <w:r>
        <w:tab/>
      </w:r>
      <w:r>
        <w:fldChar w:fldCharType="begin"/>
      </w:r>
      <w:r>
        <w:instrText xml:space="preserve"> PAGEREF _Toc216963976 \h </w:instrText>
      </w:r>
      <w:r>
        <w:fldChar w:fldCharType="separate"/>
      </w:r>
      <w:r>
        <w:t>62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Power of attorney made irrevocable for fixed time</w:t>
      </w:r>
      <w:r>
        <w:tab/>
      </w:r>
      <w:r>
        <w:fldChar w:fldCharType="begin"/>
      </w:r>
      <w:r>
        <w:instrText xml:space="preserve"> PAGEREF _Toc216963977 \h </w:instrText>
      </w:r>
      <w:r>
        <w:fldChar w:fldCharType="separate"/>
      </w:r>
      <w:r>
        <w:t>63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to corporations</w:t>
      </w:r>
      <w:r>
        <w:tab/>
      </w:r>
      <w:r>
        <w:fldChar w:fldCharType="begin"/>
      </w:r>
      <w:r>
        <w:instrText xml:space="preserve"> PAGEREF _Toc216963978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Voidable dispositions</w:t>
      </w:r>
    </w:p>
    <w:p>
      <w:pPr>
        <w:pStyle w:val="TOC8"/>
        <w:rPr>
          <w:rFonts w:asciiTheme="minorHAnsi" w:eastAsiaTheme="minorEastAsia" w:hAnsiTheme="minorHAnsi" w:cstheme="minorBidi"/>
          <w:szCs w:val="22"/>
        </w:rPr>
      </w:pPr>
      <w:r>
        <w:t>89</w:t>
      </w:r>
      <w:r>
        <w:rPr>
          <w:snapToGrid w:val="0"/>
        </w:rPr>
        <w:t>.</w:t>
      </w:r>
      <w:r>
        <w:rPr>
          <w:snapToGrid w:val="0"/>
        </w:rPr>
        <w:tab/>
        <w:t>Voluntary conveyances to defraud creditors voidable</w:t>
      </w:r>
      <w:r>
        <w:tab/>
      </w:r>
      <w:r>
        <w:fldChar w:fldCharType="begin"/>
      </w:r>
      <w:r>
        <w:instrText xml:space="preserve"> PAGEREF _Toc216963980 \h </w:instrText>
      </w:r>
      <w:r>
        <w:fldChar w:fldCharType="separate"/>
      </w:r>
      <w:r>
        <w:t>65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Voluntary disposition to defraud purchasers voidable</w:t>
      </w:r>
      <w:r>
        <w:tab/>
      </w:r>
      <w:r>
        <w:fldChar w:fldCharType="begin"/>
      </w:r>
      <w:r>
        <w:instrText xml:space="preserve"> PAGEREF _Toc216963981 \h </w:instrText>
      </w:r>
      <w:r>
        <w:fldChar w:fldCharType="separate"/>
      </w:r>
      <w:r>
        <w:t>65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Subsequent conveyance not to be evidence of intent to defraud</w:t>
      </w:r>
      <w:r>
        <w:tab/>
      </w:r>
      <w:r>
        <w:fldChar w:fldCharType="begin"/>
      </w:r>
      <w:r>
        <w:instrText xml:space="preserve"> PAGEREF _Toc216963982 \h </w:instrText>
      </w:r>
      <w:r>
        <w:fldChar w:fldCharType="separate"/>
      </w:r>
      <w:r>
        <w:t>65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Acquisitions of reversions at an under value</w:t>
      </w:r>
      <w:r>
        <w:tab/>
      </w:r>
      <w:r>
        <w:fldChar w:fldCharType="begin"/>
      </w:r>
      <w:r>
        <w:instrText xml:space="preserve"> PAGEREF _Toc216963983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X — Powers of appointment</w:t>
      </w:r>
    </w:p>
    <w:p>
      <w:pPr>
        <w:pStyle w:val="TOC8"/>
        <w:rPr>
          <w:rFonts w:asciiTheme="minorHAnsi" w:eastAsiaTheme="minorEastAsia" w:hAnsiTheme="minorHAnsi" w:cstheme="minorBidi"/>
          <w:szCs w:val="22"/>
        </w:rPr>
      </w:pPr>
      <w:r>
        <w:t>93</w:t>
      </w:r>
      <w:r>
        <w:rPr>
          <w:snapToGrid w:val="0"/>
        </w:rPr>
        <w:t>.</w:t>
      </w:r>
      <w:r>
        <w:rPr>
          <w:snapToGrid w:val="0"/>
        </w:rPr>
        <w:tab/>
        <w:t>Disclaimer etc. of powers</w:t>
      </w:r>
      <w:r>
        <w:tab/>
      </w:r>
      <w:r>
        <w:fldChar w:fldCharType="begin"/>
      </w:r>
      <w:r>
        <w:instrText xml:space="preserve"> PAGEREF _Toc216963985 \h </w:instrText>
      </w:r>
      <w:r>
        <w:fldChar w:fldCharType="separate"/>
      </w:r>
      <w:r>
        <w:t>67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Effect of disclaimer etc.</w:t>
      </w:r>
      <w:r>
        <w:tab/>
      </w:r>
      <w:r>
        <w:fldChar w:fldCharType="begin"/>
      </w:r>
      <w:r>
        <w:instrText xml:space="preserve"> PAGEREF _Toc216963986 \h </w:instrText>
      </w:r>
      <w:r>
        <w:fldChar w:fldCharType="separate"/>
      </w:r>
      <w:r>
        <w:t>67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Protection of purchasers claiming under certain void appointments</w:t>
      </w:r>
      <w:r>
        <w:tab/>
      </w:r>
      <w:r>
        <w:fldChar w:fldCharType="begin"/>
      </w:r>
      <w:r>
        <w:instrText xml:space="preserve"> PAGEREF _Toc216963987 \h </w:instrText>
      </w:r>
      <w:r>
        <w:fldChar w:fldCharType="separate"/>
      </w:r>
      <w:r>
        <w:t>67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Validation of appointments where objects are excluded or take illusory shares</w:t>
      </w:r>
      <w:r>
        <w:tab/>
      </w:r>
      <w:r>
        <w:fldChar w:fldCharType="begin"/>
      </w:r>
      <w:r>
        <w:instrText xml:space="preserve"> PAGEREF _Toc216963988 \h </w:instrText>
      </w:r>
      <w:r>
        <w:fldChar w:fldCharType="separate"/>
      </w:r>
      <w:r>
        <w:t>68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Execution of powers not testamentary</w:t>
      </w:r>
      <w:r>
        <w:tab/>
      </w:r>
      <w:r>
        <w:fldChar w:fldCharType="begin"/>
      </w:r>
      <w:r>
        <w:instrText xml:space="preserve"> PAGEREF _Toc216963989 \h </w:instrText>
      </w:r>
      <w:r>
        <w:fldChar w:fldCharType="separate"/>
      </w:r>
      <w:r>
        <w:t>68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of this Part to existing powers</w:t>
      </w:r>
      <w:r>
        <w:tab/>
      </w:r>
      <w:r>
        <w:fldChar w:fldCharType="begin"/>
      </w:r>
      <w:r>
        <w:instrText xml:space="preserve"> PAGEREF _Toc216963990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XI — Perpetuities and accumulations</w:t>
      </w:r>
    </w:p>
    <w:p>
      <w:pPr>
        <w:pStyle w:val="TOC8"/>
        <w:rPr>
          <w:rFonts w:asciiTheme="minorHAnsi" w:eastAsiaTheme="minorEastAsia" w:hAnsiTheme="minorHAnsi" w:cstheme="minorBidi"/>
          <w:szCs w:val="22"/>
        </w:rPr>
      </w:pPr>
      <w:r>
        <w:t>99</w:t>
      </w:r>
      <w:r>
        <w:rPr>
          <w:snapToGrid w:val="0"/>
        </w:rPr>
        <w:t>.</w:t>
      </w:r>
      <w:r>
        <w:rPr>
          <w:snapToGrid w:val="0"/>
        </w:rPr>
        <w:tab/>
        <w:t>Application</w:t>
      </w:r>
      <w:r>
        <w:tab/>
      </w:r>
      <w:r>
        <w:fldChar w:fldCharType="begin"/>
      </w:r>
      <w:r>
        <w:instrText xml:space="preserve"> PAGEREF _Toc216963992 \h </w:instrText>
      </w:r>
      <w:r>
        <w:fldChar w:fldCharType="separate"/>
      </w:r>
      <w:r>
        <w:t>70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Terms used in this Part</w:t>
      </w:r>
      <w:r>
        <w:tab/>
      </w:r>
      <w:r>
        <w:fldChar w:fldCharType="begin"/>
      </w:r>
      <w:r>
        <w:instrText xml:space="preserve"> PAGEREF _Toc216963993 \h </w:instrText>
      </w:r>
      <w:r>
        <w:fldChar w:fldCharType="separate"/>
      </w:r>
      <w:r>
        <w:t>70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The perpetuity period</w:t>
      </w:r>
      <w:r>
        <w:tab/>
      </w:r>
      <w:r>
        <w:fldChar w:fldCharType="begin"/>
      </w:r>
      <w:r>
        <w:instrText xml:space="preserve"> PAGEREF _Toc216963994 \h </w:instrText>
      </w:r>
      <w:r>
        <w:fldChar w:fldCharType="separate"/>
      </w:r>
      <w:r>
        <w:t>71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Capacity to procreate or bear a child</w:t>
      </w:r>
      <w:r>
        <w:tab/>
      </w:r>
      <w:r>
        <w:fldChar w:fldCharType="begin"/>
      </w:r>
      <w:r>
        <w:instrText xml:space="preserve"> PAGEREF _Toc216963995 \h </w:instrText>
      </w:r>
      <w:r>
        <w:fldChar w:fldCharType="separate"/>
      </w:r>
      <w:r>
        <w:t>71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Wait and see rule</w:t>
      </w:r>
      <w:r>
        <w:tab/>
      </w:r>
      <w:r>
        <w:fldChar w:fldCharType="begin"/>
      </w:r>
      <w:r>
        <w:instrText xml:space="preserve"> PAGEREF _Toc216963996 \h </w:instrText>
      </w:r>
      <w:r>
        <w:fldChar w:fldCharType="separate"/>
      </w:r>
      <w:r>
        <w:t>72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Power of Court to make declaration as to validity of limitations</w:t>
      </w:r>
      <w:r>
        <w:tab/>
      </w:r>
      <w:r>
        <w:fldChar w:fldCharType="begin"/>
      </w:r>
      <w:r>
        <w:instrText xml:space="preserve"> PAGEREF _Toc216963997 \h </w:instrText>
      </w:r>
      <w:r>
        <w:fldChar w:fldCharType="separate"/>
      </w:r>
      <w:r>
        <w:t>73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Invalid age contingencies</w:t>
      </w:r>
      <w:r>
        <w:tab/>
      </w:r>
      <w:r>
        <w:fldChar w:fldCharType="begin"/>
      </w:r>
      <w:r>
        <w:instrText xml:space="preserve"> PAGEREF _Toc216963998 \h </w:instrText>
      </w:r>
      <w:r>
        <w:fldChar w:fldCharType="separate"/>
      </w:r>
      <w:r>
        <w:t>73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Class gifts</w:t>
      </w:r>
      <w:r>
        <w:tab/>
      </w:r>
      <w:r>
        <w:fldChar w:fldCharType="begin"/>
      </w:r>
      <w:r>
        <w:instrText xml:space="preserve"> PAGEREF _Toc216963999 \h </w:instrText>
      </w:r>
      <w:r>
        <w:fldChar w:fldCharType="separate"/>
      </w:r>
      <w:r>
        <w:t>74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Order of applying rules</w:t>
      </w:r>
      <w:r>
        <w:tab/>
      </w:r>
      <w:r>
        <w:fldChar w:fldCharType="begin"/>
      </w:r>
      <w:r>
        <w:instrText xml:space="preserve"> PAGEREF _Toc216964000 \h </w:instrText>
      </w:r>
      <w:r>
        <w:fldChar w:fldCharType="separate"/>
      </w:r>
      <w:r>
        <w:t>74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Unborn spouses or de facto partners</w:t>
      </w:r>
      <w:r>
        <w:tab/>
      </w:r>
      <w:r>
        <w:fldChar w:fldCharType="begin"/>
      </w:r>
      <w:r>
        <w:instrText xml:space="preserve"> PAGEREF _Toc216964001 \h </w:instrText>
      </w:r>
      <w:r>
        <w:fldChar w:fldCharType="separate"/>
      </w:r>
      <w:r>
        <w:t>75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Dependent limitations</w:t>
      </w:r>
      <w:r>
        <w:tab/>
      </w:r>
      <w:r>
        <w:fldChar w:fldCharType="begin"/>
      </w:r>
      <w:r>
        <w:instrText xml:space="preserve"> PAGEREF _Toc216964002 \h </w:instrText>
      </w:r>
      <w:r>
        <w:fldChar w:fldCharType="separate"/>
      </w:r>
      <w:r>
        <w:t>75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Options</w:t>
      </w:r>
      <w:r>
        <w:tab/>
      </w:r>
      <w:r>
        <w:fldChar w:fldCharType="begin"/>
      </w:r>
      <w:r>
        <w:instrText xml:space="preserve"> PAGEREF _Toc216964003 \h </w:instrText>
      </w:r>
      <w:r>
        <w:fldChar w:fldCharType="separate"/>
      </w:r>
      <w:r>
        <w:t>76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Application of the rule to possibilities of reverter, rights of entry and resulting trusts</w:t>
      </w:r>
      <w:r>
        <w:tab/>
      </w:r>
      <w:r>
        <w:fldChar w:fldCharType="begin"/>
      </w:r>
      <w:r>
        <w:instrText xml:space="preserve"> PAGEREF _Toc216964004 \h </w:instrText>
      </w:r>
      <w:r>
        <w:fldChar w:fldCharType="separate"/>
      </w:r>
      <w:r>
        <w:t>76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Powers of appointment</w:t>
      </w:r>
      <w:r>
        <w:tab/>
      </w:r>
      <w:r>
        <w:fldChar w:fldCharType="begin"/>
      </w:r>
      <w:r>
        <w:instrText xml:space="preserve"> PAGEREF _Toc216964005 \h </w:instrText>
      </w:r>
      <w:r>
        <w:fldChar w:fldCharType="separate"/>
      </w:r>
      <w:r>
        <w:t>77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Accumulations of income</w:t>
      </w:r>
      <w:r>
        <w:tab/>
      </w:r>
      <w:r>
        <w:fldChar w:fldCharType="begin"/>
      </w:r>
      <w:r>
        <w:instrText xml:space="preserve"> PAGEREF _Toc216964006 \h </w:instrText>
      </w:r>
      <w:r>
        <w:fldChar w:fldCharType="separate"/>
      </w:r>
      <w:r>
        <w:t>77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Rule in Whitby v. Mitchell abolished</w:t>
      </w:r>
      <w:r>
        <w:tab/>
      </w:r>
      <w:r>
        <w:fldChar w:fldCharType="begin"/>
      </w:r>
      <w:r>
        <w:instrText xml:space="preserve"> PAGEREF _Toc216964007 \h </w:instrText>
      </w:r>
      <w:r>
        <w:fldChar w:fldCharType="separate"/>
      </w:r>
      <w:r>
        <w:t>78</w:t>
      </w:r>
      <w:r>
        <w:fldChar w:fldCharType="end"/>
      </w:r>
    </w:p>
    <w:p>
      <w:pPr>
        <w:pStyle w:val="TOC8"/>
        <w:rPr>
          <w:rFonts w:asciiTheme="minorHAnsi" w:eastAsiaTheme="minorEastAsia" w:hAnsiTheme="minorHAnsi" w:cstheme="minorBidi"/>
          <w:szCs w:val="22"/>
        </w:rPr>
      </w:pPr>
      <w:r>
        <w:lastRenderedPageBreak/>
        <w:t>115</w:t>
      </w:r>
      <w:r>
        <w:rPr>
          <w:snapToGrid w:val="0"/>
        </w:rPr>
        <w:t>.</w:t>
      </w:r>
      <w:r>
        <w:rPr>
          <w:snapToGrid w:val="0"/>
        </w:rPr>
        <w:tab/>
        <w:t>Superannuation funds etc.</w:t>
      </w:r>
      <w:r>
        <w:tab/>
      </w:r>
      <w:r>
        <w:fldChar w:fldCharType="begin"/>
      </w:r>
      <w:r>
        <w:instrText xml:space="preserve"> PAGEREF _Toc216964008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XII — Succession</w:t>
      </w:r>
    </w:p>
    <w:p>
      <w:pPr>
        <w:pStyle w:val="TOC8"/>
        <w:rPr>
          <w:rFonts w:asciiTheme="minorHAnsi" w:eastAsiaTheme="minorEastAsia" w:hAnsiTheme="minorHAnsi" w:cstheme="minorBidi"/>
          <w:szCs w:val="22"/>
        </w:rPr>
      </w:pPr>
      <w:r>
        <w:t>118</w:t>
      </w:r>
      <w:r>
        <w:rPr>
          <w:snapToGrid w:val="0"/>
        </w:rPr>
        <w:t>.</w:t>
      </w:r>
      <w:r>
        <w:rPr>
          <w:snapToGrid w:val="0"/>
        </w:rPr>
        <w:tab/>
        <w:t>Intermediate income of executory or contingent gifts</w:t>
      </w:r>
      <w:r>
        <w:tab/>
      </w:r>
      <w:r>
        <w:fldChar w:fldCharType="begin"/>
      </w:r>
      <w:r>
        <w:instrText xml:space="preserve"> PAGEREF _Toc216964010 \h </w:instrText>
      </w:r>
      <w:r>
        <w:fldChar w:fldCharType="separate"/>
      </w:r>
      <w:r>
        <w:t>80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Application of section 120</w:t>
      </w:r>
      <w:r>
        <w:tab/>
      </w:r>
      <w:r>
        <w:fldChar w:fldCharType="begin"/>
      </w:r>
      <w:r>
        <w:instrText xml:space="preserve"> PAGEREF _Toc216964011 \h </w:instrText>
      </w:r>
      <w:r>
        <w:fldChar w:fldCharType="separate"/>
      </w:r>
      <w:r>
        <w:t>80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Devolution of property in cases of simultaneous deaths</w:t>
      </w:r>
      <w:r>
        <w:tab/>
      </w:r>
      <w:r>
        <w:fldChar w:fldCharType="begin"/>
      </w:r>
      <w:r>
        <w:instrText xml:space="preserve"> PAGEREF _Toc216964012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XIII — Easements, encroachments and mistake</w:t>
      </w:r>
    </w:p>
    <w:p>
      <w:pPr>
        <w:pStyle w:val="TOC8"/>
        <w:rPr>
          <w:rFonts w:asciiTheme="minorHAnsi" w:eastAsiaTheme="minorEastAsia" w:hAnsiTheme="minorHAnsi" w:cstheme="minorBidi"/>
          <w:szCs w:val="22"/>
        </w:rPr>
      </w:pPr>
      <w:r>
        <w:t>121</w:t>
      </w:r>
      <w:r>
        <w:rPr>
          <w:snapToGrid w:val="0"/>
        </w:rPr>
        <w:t>.</w:t>
      </w:r>
      <w:r>
        <w:rPr>
          <w:snapToGrid w:val="0"/>
        </w:rPr>
        <w:tab/>
        <w:t>Easement of light and air only by registered grant or instrument</w:t>
      </w:r>
      <w:r>
        <w:tab/>
      </w:r>
      <w:r>
        <w:fldChar w:fldCharType="begin"/>
      </w:r>
      <w:r>
        <w:instrText xml:space="preserve"> PAGEREF _Toc216964014 \h </w:instrText>
      </w:r>
      <w:r>
        <w:fldChar w:fldCharType="separate"/>
      </w:r>
      <w:r>
        <w:t>84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Power of Court to grant special relief in cases of encroachment</w:t>
      </w:r>
      <w:r>
        <w:tab/>
      </w:r>
      <w:r>
        <w:fldChar w:fldCharType="begin"/>
      </w:r>
      <w:r>
        <w:instrText xml:space="preserve"> PAGEREF _Toc216964015 \h </w:instrText>
      </w:r>
      <w:r>
        <w:fldChar w:fldCharType="separate"/>
      </w:r>
      <w:r>
        <w:t>84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Relief in cases of mistake as to boundaries or identity of land</w:t>
      </w:r>
      <w:r>
        <w:tab/>
      </w:r>
      <w:r>
        <w:fldChar w:fldCharType="begin"/>
      </w:r>
      <w:r>
        <w:instrText xml:space="preserve"> PAGEREF _Toc216964016 \h </w:instrText>
      </w:r>
      <w:r>
        <w:fldChar w:fldCharType="separate"/>
      </w:r>
      <w:r>
        <w:t>86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Recovery of payments made under mistake of law</w:t>
      </w:r>
      <w:r>
        <w:tab/>
      </w:r>
      <w:r>
        <w:fldChar w:fldCharType="begin"/>
      </w:r>
      <w:r>
        <w:instrText xml:space="preserve"> PAGEREF _Toc216964017 \h </w:instrText>
      </w:r>
      <w:r>
        <w:fldChar w:fldCharType="separate"/>
      </w:r>
      <w:r>
        <w:t>88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Payments made under mistake of law or fact not always recoverable</w:t>
      </w:r>
      <w:r>
        <w:tab/>
      </w:r>
      <w:r>
        <w:fldChar w:fldCharType="begin"/>
      </w:r>
      <w:r>
        <w:instrText xml:space="preserve"> PAGEREF _Toc216964018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XIV — Partition of land and division of chattels</w:t>
      </w:r>
    </w:p>
    <w:p>
      <w:pPr>
        <w:pStyle w:val="TOC8"/>
        <w:rPr>
          <w:rFonts w:asciiTheme="minorHAnsi" w:eastAsiaTheme="minorEastAsia" w:hAnsiTheme="minorHAnsi" w:cstheme="minorBidi"/>
          <w:szCs w:val="22"/>
        </w:rPr>
      </w:pPr>
      <w:r>
        <w:t>126</w:t>
      </w:r>
      <w:r>
        <w:rPr>
          <w:snapToGrid w:val="0"/>
        </w:rPr>
        <w:t>.</w:t>
      </w:r>
      <w:r>
        <w:rPr>
          <w:snapToGrid w:val="0"/>
        </w:rPr>
        <w:tab/>
        <w:t>In action for partition Court may direct land to be sold</w:t>
      </w:r>
      <w:r>
        <w:tab/>
      </w:r>
      <w:r>
        <w:fldChar w:fldCharType="begin"/>
      </w:r>
      <w:r>
        <w:instrText xml:space="preserve"> PAGEREF _Toc216964020 \h </w:instrText>
      </w:r>
      <w:r>
        <w:fldChar w:fldCharType="separate"/>
      </w:r>
      <w:r>
        <w:t>90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Proceeds of sale, how applied</w:t>
      </w:r>
      <w:r>
        <w:tab/>
      </w:r>
      <w:r>
        <w:fldChar w:fldCharType="begin"/>
      </w:r>
      <w:r>
        <w:instrText xml:space="preserve"> PAGEREF _Toc216964021 \h </w:instrText>
      </w:r>
      <w:r>
        <w:fldChar w:fldCharType="separate"/>
      </w:r>
      <w:r>
        <w:t>91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Costs in partition suits</w:t>
      </w:r>
      <w:r>
        <w:tab/>
      </w:r>
      <w:r>
        <w:fldChar w:fldCharType="begin"/>
      </w:r>
      <w:r>
        <w:instrText xml:space="preserve"> PAGEREF _Toc216964022 \h </w:instrText>
      </w:r>
      <w:r>
        <w:fldChar w:fldCharType="separate"/>
      </w:r>
      <w:r>
        <w:t>92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Division of chattels</w:t>
      </w:r>
      <w:r>
        <w:tab/>
      </w:r>
      <w:r>
        <w:fldChar w:fldCharType="begin"/>
      </w:r>
      <w:r>
        <w:instrText xml:space="preserve"> PAGEREF _Toc216964023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XV — Apportionment</w:t>
      </w:r>
    </w:p>
    <w:p>
      <w:pPr>
        <w:pStyle w:val="TOC8"/>
        <w:rPr>
          <w:rFonts w:asciiTheme="minorHAnsi" w:eastAsiaTheme="minorEastAsia" w:hAnsiTheme="minorHAnsi" w:cstheme="minorBidi"/>
          <w:szCs w:val="22"/>
        </w:rPr>
      </w:pPr>
      <w:r>
        <w:t>130</w:t>
      </w:r>
      <w:r>
        <w:rPr>
          <w:snapToGrid w:val="0"/>
        </w:rPr>
        <w:t>.</w:t>
      </w:r>
      <w:r>
        <w:rPr>
          <w:snapToGrid w:val="0"/>
        </w:rPr>
        <w:tab/>
        <w:t>Terms used in this Part</w:t>
      </w:r>
      <w:r>
        <w:tab/>
      </w:r>
      <w:r>
        <w:fldChar w:fldCharType="begin"/>
      </w:r>
      <w:r>
        <w:instrText xml:space="preserve"> PAGEREF _Toc216964025 \h </w:instrText>
      </w:r>
      <w:r>
        <w:fldChar w:fldCharType="separate"/>
      </w:r>
      <w:r>
        <w:t>93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Income apportionable in respect of time</w:t>
      </w:r>
      <w:r>
        <w:tab/>
      </w:r>
      <w:r>
        <w:fldChar w:fldCharType="begin"/>
      </w:r>
      <w:r>
        <w:instrText xml:space="preserve"> PAGEREF _Toc216964026 \h </w:instrText>
      </w:r>
      <w:r>
        <w:fldChar w:fldCharType="separate"/>
      </w:r>
      <w:r>
        <w:t>93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Time when apportioned part payable</w:t>
      </w:r>
      <w:r>
        <w:tab/>
      </w:r>
      <w:r>
        <w:fldChar w:fldCharType="begin"/>
      </w:r>
      <w:r>
        <w:instrText xml:space="preserve"> PAGEREF _Toc216964027 \h </w:instrText>
      </w:r>
      <w:r>
        <w:fldChar w:fldCharType="separate"/>
      </w:r>
      <w:r>
        <w:t>93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Recovery of apportioned parts</w:t>
      </w:r>
      <w:r>
        <w:tab/>
      </w:r>
      <w:r>
        <w:fldChar w:fldCharType="begin"/>
      </w:r>
      <w:r>
        <w:instrText xml:space="preserve"> PAGEREF _Toc216964028 \h </w:instrText>
      </w:r>
      <w:r>
        <w:fldChar w:fldCharType="separate"/>
      </w:r>
      <w:r>
        <w:t>94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Exceptions and application</w:t>
      </w:r>
      <w:r>
        <w:tab/>
      </w:r>
      <w:r>
        <w:fldChar w:fldCharType="begin"/>
      </w:r>
      <w:r>
        <w:instrText xml:space="preserve"> PAGEREF _Toc216964029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XVI — Service of notices</w:t>
      </w:r>
    </w:p>
    <w:p>
      <w:pPr>
        <w:pStyle w:val="TOC8"/>
        <w:rPr>
          <w:rFonts w:asciiTheme="minorHAnsi" w:eastAsiaTheme="minorEastAsia" w:hAnsiTheme="minorHAnsi" w:cstheme="minorBidi"/>
          <w:szCs w:val="22"/>
        </w:rPr>
      </w:pPr>
      <w:r>
        <w:t>135</w:t>
      </w:r>
      <w:r>
        <w:rPr>
          <w:snapToGrid w:val="0"/>
        </w:rPr>
        <w:t>.</w:t>
      </w:r>
      <w:r>
        <w:rPr>
          <w:snapToGrid w:val="0"/>
        </w:rPr>
        <w:tab/>
        <w:t>Mode of service</w:t>
      </w:r>
      <w:r>
        <w:tab/>
      </w:r>
      <w:r>
        <w:fldChar w:fldCharType="begin"/>
      </w:r>
      <w:r>
        <w:instrText xml:space="preserve"> PAGEREF _Toc216964031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 — Adopted Acts ceasing to have effect</w:t>
      </w:r>
    </w:p>
    <w:p>
      <w:pPr>
        <w:pStyle w:val="TOC2"/>
        <w:tabs>
          <w:tab w:val="right" w:leader="dot" w:pos="7077"/>
        </w:tabs>
        <w:rPr>
          <w:rFonts w:asciiTheme="minorHAnsi" w:eastAsiaTheme="minorEastAsia" w:hAnsiTheme="minorHAnsi" w:cstheme="minorBidi"/>
          <w:b w:val="0"/>
          <w:sz w:val="22"/>
          <w:szCs w:val="22"/>
        </w:rPr>
      </w:pPr>
      <w:r>
        <w:rPr>
          <w:rFonts w:eastAsia="MS Mincho"/>
        </w:rPr>
        <w:t>Second Schedule — Acts repealed</w:t>
      </w:r>
    </w:p>
    <w:p>
      <w:pPr>
        <w:pStyle w:val="TOC2"/>
        <w:tabs>
          <w:tab w:val="right" w:leader="dot" w:pos="7077"/>
        </w:tabs>
        <w:rPr>
          <w:rFonts w:asciiTheme="minorHAnsi" w:eastAsiaTheme="minorEastAsia" w:hAnsiTheme="minorHAnsi" w:cstheme="minorBidi"/>
          <w:b w:val="0"/>
          <w:sz w:val="22"/>
          <w:szCs w:val="22"/>
        </w:rPr>
      </w:pPr>
      <w:r>
        <w:rPr>
          <w:rFonts w:eastAsia="MS Mincho"/>
        </w:rPr>
        <w:t>Third Schedule — Implied covenants</w:t>
      </w:r>
    </w:p>
    <w:p>
      <w:pPr>
        <w:pStyle w:val="TOC4"/>
        <w:tabs>
          <w:tab w:val="right" w:leader="dot" w:pos="7077"/>
        </w:tabs>
        <w:rPr>
          <w:rFonts w:asciiTheme="minorHAnsi" w:eastAsiaTheme="minorEastAsia" w:hAnsiTheme="minorHAnsi" w:cstheme="minorBidi"/>
          <w:b w:val="0"/>
          <w:szCs w:val="22"/>
        </w:rPr>
      </w:pPr>
      <w:r>
        <w:rPr>
          <w:rFonts w:eastAsia="MS Mincho"/>
        </w:rPr>
        <w:t>Part I — Conveyance for valuable consideration</w:t>
      </w:r>
    </w:p>
    <w:p>
      <w:pPr>
        <w:pStyle w:val="TOC4"/>
        <w:tabs>
          <w:tab w:val="right" w:leader="dot" w:pos="7077"/>
        </w:tabs>
        <w:rPr>
          <w:rFonts w:asciiTheme="minorHAnsi" w:eastAsiaTheme="minorEastAsia" w:hAnsiTheme="minorHAnsi" w:cstheme="minorBidi"/>
          <w:b w:val="0"/>
          <w:szCs w:val="22"/>
        </w:rPr>
      </w:pPr>
      <w:r>
        <w:rPr>
          <w:rFonts w:eastAsia="MS Mincho"/>
        </w:rPr>
        <w:t>Part II — Conveyance of leasehold</w:t>
      </w:r>
    </w:p>
    <w:p>
      <w:pPr>
        <w:pStyle w:val="TOC4"/>
        <w:tabs>
          <w:tab w:val="right" w:leader="dot" w:pos="7077"/>
        </w:tabs>
        <w:rPr>
          <w:rFonts w:asciiTheme="minorHAnsi" w:eastAsiaTheme="minorEastAsia" w:hAnsiTheme="minorHAnsi" w:cstheme="minorBidi"/>
          <w:b w:val="0"/>
          <w:szCs w:val="22"/>
        </w:rPr>
      </w:pPr>
      <w:r>
        <w:rPr>
          <w:rFonts w:eastAsia="MS Mincho"/>
        </w:rPr>
        <w:t>Part III — Conveyance by way of mortgage</w:t>
      </w:r>
    </w:p>
    <w:p>
      <w:pPr>
        <w:pStyle w:val="TOC4"/>
        <w:tabs>
          <w:tab w:val="right" w:leader="dot" w:pos="7077"/>
        </w:tabs>
        <w:rPr>
          <w:rFonts w:asciiTheme="minorHAnsi" w:eastAsiaTheme="minorEastAsia" w:hAnsiTheme="minorHAnsi" w:cstheme="minorBidi"/>
          <w:b w:val="0"/>
          <w:szCs w:val="22"/>
        </w:rPr>
      </w:pPr>
      <w:r>
        <w:rPr>
          <w:rFonts w:eastAsia="MS Mincho"/>
        </w:rPr>
        <w:t>Part IV — Conveyance by way of mortgage of leasehold</w:t>
      </w:r>
    </w:p>
    <w:p>
      <w:pPr>
        <w:pStyle w:val="TOC4"/>
        <w:tabs>
          <w:tab w:val="right" w:leader="dot" w:pos="7077"/>
        </w:tabs>
        <w:rPr>
          <w:rFonts w:asciiTheme="minorHAnsi" w:eastAsiaTheme="minorEastAsia" w:hAnsiTheme="minorHAnsi" w:cstheme="minorBidi"/>
          <w:b w:val="0"/>
          <w:szCs w:val="22"/>
        </w:rPr>
      </w:pPr>
      <w:r>
        <w:rPr>
          <w:rFonts w:eastAsia="MS Mincho"/>
        </w:rPr>
        <w:t>Part V — Conveyance by way of settlement</w:t>
      </w:r>
    </w:p>
    <w:p>
      <w:pPr>
        <w:pStyle w:val="TOC4"/>
        <w:tabs>
          <w:tab w:val="right" w:leader="dot" w:pos="7077"/>
        </w:tabs>
        <w:rPr>
          <w:rFonts w:asciiTheme="minorHAnsi" w:eastAsiaTheme="minorEastAsia" w:hAnsiTheme="minorHAnsi" w:cstheme="minorBidi"/>
          <w:b w:val="0"/>
          <w:szCs w:val="22"/>
        </w:rPr>
      </w:pPr>
      <w:r>
        <w:rPr>
          <w:rFonts w:eastAsia="MS Mincho"/>
        </w:rPr>
        <w:t>Part VI — Conveyance by person other than beneficial owner</w:t>
      </w:r>
    </w:p>
    <w:p>
      <w:pPr>
        <w:pStyle w:val="TOC2"/>
        <w:tabs>
          <w:tab w:val="right" w:leader="dot" w:pos="7077"/>
        </w:tabs>
        <w:rPr>
          <w:rFonts w:asciiTheme="minorHAnsi" w:eastAsiaTheme="minorEastAsia" w:hAnsiTheme="minorHAnsi" w:cstheme="minorBidi"/>
          <w:b w:val="0"/>
          <w:sz w:val="22"/>
          <w:szCs w:val="22"/>
        </w:rPr>
      </w:pPr>
      <w:r>
        <w:t>Fourth Schedule — Conveyance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_Toc216964043 \h </w:instrText>
      </w:r>
      <w:r>
        <w:fldChar w:fldCharType="separate"/>
      </w:r>
      <w:r>
        <w:t>105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_Toc216964044 \h </w:instrText>
      </w:r>
      <w:r>
        <w:fldChar w:fldCharType="separate"/>
      </w:r>
      <w:r>
        <w:t>107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_Toc216964045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Property Law Act 1969</w:t>
      </w:r>
    </w:p>
    <w:p>
      <w:pPr>
        <w:pStyle w:val="LongTitle"/>
        <w:rPr>
          <w:snapToGrid w:val="0"/>
        </w:rPr>
      </w:pPr>
      <w:r>
        <w:rPr>
          <w:snapToGrid w:val="0"/>
        </w:rPr>
        <w:t>An Act to amend and consolidate the law relating to property and for incidental purposes.</w:t>
      </w:r>
    </w:p>
    <w:p>
      <w:pPr>
        <w:pStyle w:val="Heading2"/>
      </w:pPr>
      <w:bookmarkStart w:id="2" w:name="_Toc75340853"/>
      <w:bookmarkStart w:id="3" w:name="_Toc75341875"/>
      <w:bookmarkStart w:id="4" w:name="_Toc75423876"/>
      <w:bookmarkStart w:id="5" w:name="_Toc216856200"/>
      <w:bookmarkStart w:id="6" w:name="_Toc216856876"/>
      <w:bookmarkStart w:id="7" w:name="_Toc216857049"/>
      <w:bookmarkStart w:id="8" w:name="_Toc216857749"/>
      <w:bookmarkStart w:id="9" w:name="_Toc216946377"/>
      <w:bookmarkStart w:id="10" w:name="_Toc216946550"/>
      <w:bookmarkStart w:id="11" w:name="_Toc21696387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spacing w:before="180"/>
        <w:rPr>
          <w:snapToGrid w:val="0"/>
        </w:rPr>
      </w:pPr>
      <w:bookmarkStart w:id="12" w:name="_Toc216963875"/>
      <w:r>
        <w:rPr>
          <w:rStyle w:val="CharSectno"/>
        </w:rPr>
        <w:t>1</w:t>
      </w:r>
      <w:r>
        <w:rPr>
          <w:snapToGrid w:val="0"/>
        </w:rPr>
        <w:t>.</w:t>
      </w:r>
      <w:r>
        <w:rPr>
          <w:snapToGrid w:val="0"/>
        </w:rPr>
        <w:tab/>
        <w:t>Short title</w:t>
      </w:r>
      <w:bookmarkEnd w:id="12"/>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w:t>
      </w:r>
    </w:p>
    <w:p>
      <w:pPr>
        <w:pStyle w:val="Heading5"/>
        <w:spacing w:before="180"/>
        <w:rPr>
          <w:snapToGrid w:val="0"/>
        </w:rPr>
      </w:pPr>
      <w:bookmarkStart w:id="13" w:name="_Toc216963876"/>
      <w:r>
        <w:rPr>
          <w:rStyle w:val="CharSectno"/>
        </w:rPr>
        <w:t>2</w:t>
      </w:r>
      <w:r>
        <w:rPr>
          <w:snapToGrid w:val="0"/>
        </w:rPr>
        <w:t>.</w:t>
      </w:r>
      <w:r>
        <w:rPr>
          <w:snapToGrid w:val="0"/>
        </w:rPr>
        <w:tab/>
        <w:t>Commencement</w:t>
      </w:r>
      <w:bookmarkEnd w:id="13"/>
    </w:p>
    <w:p>
      <w:pPr>
        <w:pStyle w:val="Subsection"/>
        <w:spacing w:before="120"/>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10 of 1998 s. 76.]</w:t>
      </w:r>
    </w:p>
    <w:p>
      <w:pPr>
        <w:pStyle w:val="Heading5"/>
        <w:spacing w:before="180"/>
        <w:rPr>
          <w:snapToGrid w:val="0"/>
        </w:rPr>
      </w:pPr>
      <w:bookmarkStart w:id="14" w:name="_Toc216963877"/>
      <w:r>
        <w:rPr>
          <w:rStyle w:val="CharSectno"/>
        </w:rPr>
        <w:t>4</w:t>
      </w:r>
      <w:r>
        <w:rPr>
          <w:snapToGrid w:val="0"/>
        </w:rPr>
        <w:t>.</w:t>
      </w:r>
      <w:r>
        <w:rPr>
          <w:snapToGrid w:val="0"/>
        </w:rPr>
        <w:tab/>
        <w:t>Repeals</w:t>
      </w:r>
      <w:bookmarkEnd w:id="14"/>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15" w:name="_Toc216963878"/>
      <w:r>
        <w:rPr>
          <w:rStyle w:val="CharSectno"/>
        </w:rPr>
        <w:t>5</w:t>
      </w:r>
      <w:r>
        <w:rPr>
          <w:snapToGrid w:val="0"/>
        </w:rPr>
        <w:t>.</w:t>
      </w:r>
      <w:r>
        <w:rPr>
          <w:snapToGrid w:val="0"/>
        </w:rPr>
        <w:tab/>
        <w:t>Savings</w:t>
      </w:r>
      <w:bookmarkEnd w:id="15"/>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1</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 xml:space="preserve">any action, proceeding or thing pending on that date or uncompleted on that date and that action, proceeding and thing may be carried on and completed as if the </w:t>
      </w:r>
      <w:r>
        <w:rPr>
          <w:snapToGrid w:val="0"/>
        </w:rPr>
        <w:lastRenderedPageBreak/>
        <w:t>enactment had not been repealed, or the law otherwise altered.</w:t>
      </w:r>
    </w:p>
    <w:p>
      <w:pPr>
        <w:pStyle w:val="Heading5"/>
      </w:pPr>
      <w:bookmarkStart w:id="16" w:name="_Toc216963879"/>
      <w:r>
        <w:rPr>
          <w:rStyle w:val="CharSectno"/>
        </w:rPr>
        <w:t>6</w:t>
      </w:r>
      <w:r>
        <w:t>.</w:t>
      </w:r>
      <w:r>
        <w:tab/>
        <w:t>Application of this Act to certain Acts</w:t>
      </w:r>
      <w:bookmarkEnd w:id="16"/>
    </w:p>
    <w:p>
      <w:pPr>
        <w:pStyle w:val="Subsection"/>
      </w:pPr>
      <w:r>
        <w:tab/>
      </w:r>
      <w:r>
        <w:tab/>
        <w:t xml:space="preserve">Except as in this Act expressly provided, this Act so far as inconsistent with the </w:t>
      </w:r>
      <w:r>
        <w:rPr>
          <w:i/>
        </w:rPr>
        <w:t>Transfer of Land Act 1893</w:t>
      </w:r>
      <w:r>
        <w:t xml:space="preserve">, the </w:t>
      </w:r>
      <w:r>
        <w:rPr>
          <w:i/>
        </w:rPr>
        <w:t xml:space="preserve">Community Titles Act 2018 </w:t>
      </w:r>
      <w:r>
        <w:t xml:space="preserve">or the </w:t>
      </w:r>
      <w:r>
        <w:rPr>
          <w:i/>
        </w:rPr>
        <w:t>Strata Titles Act 1985</w:t>
      </w:r>
      <w:r>
        <w:t>, does not apply to land that is under the provisions of any of those Acts.</w:t>
      </w:r>
    </w:p>
    <w:p>
      <w:pPr>
        <w:pStyle w:val="Footnotesection"/>
      </w:pPr>
      <w:r>
        <w:tab/>
        <w:t>[Section 6 inserted: No. 42 of 2011 s. 21; amended: No. 32 of 2018 s. 228.]</w:t>
      </w:r>
    </w:p>
    <w:p>
      <w:pPr>
        <w:pStyle w:val="Heading5"/>
        <w:spacing w:before="180"/>
        <w:rPr>
          <w:snapToGrid w:val="0"/>
        </w:rPr>
      </w:pPr>
      <w:bookmarkStart w:id="17" w:name="_Toc216963880"/>
      <w:r>
        <w:rPr>
          <w:rStyle w:val="CharSectno"/>
        </w:rPr>
        <w:t>7</w:t>
      </w:r>
      <w:r>
        <w:rPr>
          <w:snapToGrid w:val="0"/>
        </w:rPr>
        <w:t>.</w:t>
      </w:r>
      <w:r>
        <w:rPr>
          <w:snapToGrid w:val="0"/>
        </w:rPr>
        <w:tab/>
        <w:t>Terms used in this Act</w:t>
      </w:r>
      <w:bookmarkEnd w:id="17"/>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corresponding meaning, and includes every person entitled to the benefit of an encumbrance or entitled to require payment or discharge of the encumbrance;</w:t>
      </w:r>
    </w:p>
    <w:p>
      <w:pPr>
        <w:pStyle w:val="Defstart"/>
      </w:pPr>
      <w:r>
        <w:rPr>
          <w:b/>
        </w:rPr>
        <w:lastRenderedPageBreak/>
        <w:tab/>
      </w:r>
      <w:r>
        <w:rPr>
          <w:rStyle w:val="CharDefText"/>
        </w:rPr>
        <w:t>fine</w:t>
      </w:r>
      <w:r>
        <w:t xml:space="preserve"> includes a premium or foregift and any payment, consideration or benefit in the nature of a fine, premium or foregift;</w:t>
      </w:r>
    </w:p>
    <w:p>
      <w:pPr>
        <w:pStyle w:val="Defstart"/>
        <w:spacing w:before="100"/>
      </w:pPr>
      <w:r>
        <w:rPr>
          <w:b/>
        </w:rPr>
        <w:tab/>
      </w:r>
      <w:r>
        <w:rPr>
          <w:rStyle w:val="CharDefText"/>
        </w:rPr>
        <w:t>income</w:t>
      </w:r>
      <w:r>
        <w:t xml:space="preserve"> in relation to land includes rents and profits;</w:t>
      </w:r>
    </w:p>
    <w:p>
      <w:pPr>
        <w:pStyle w:val="Defstart"/>
        <w:spacing w:before="100"/>
      </w:pPr>
      <w:r>
        <w:rPr>
          <w:b/>
        </w:rPr>
        <w:tab/>
      </w:r>
      <w:r>
        <w:rPr>
          <w:rStyle w:val="CharDefText"/>
        </w:rPr>
        <w:t>instrument</w:t>
      </w:r>
      <w:r>
        <w:t xml:space="preserve"> includes deed and will but does not include a statute, unless the statute creates a settlement;</w:t>
      </w:r>
    </w:p>
    <w:p>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r>
      <w:r>
        <w:rPr>
          <w:rStyle w:val="CharDefText"/>
        </w:rPr>
        <w:t>land under the Transfer of Land Act 1893</w:t>
      </w:r>
      <w:r>
        <w:t xml:space="preserve"> means any estate or interest registered, or incorporated in the Register, under that Act;</w:t>
      </w:r>
    </w:p>
    <w:p>
      <w:pPr>
        <w:pStyle w:val="Defstart"/>
        <w:spacing w:before="100"/>
      </w:pPr>
      <w:r>
        <w:rPr>
          <w:b/>
        </w:rPr>
        <w:tab/>
      </w:r>
      <w:r>
        <w:rPr>
          <w:rStyle w:val="CharDefText"/>
        </w:rPr>
        <w:t>lease</w:t>
      </w:r>
      <w:r>
        <w:t xml:space="preserve"> includes an under</w:t>
      </w:r>
      <w:r>
        <w:noBreakHyphen/>
        <w:t>lease or other tenancy;</w:t>
      </w:r>
    </w:p>
    <w:p>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pPr>
        <w:pStyle w:val="Defstart"/>
        <w:spacing w:before="100"/>
      </w:pPr>
      <w:r>
        <w:rPr>
          <w:b/>
        </w:rPr>
        <w:tab/>
      </w:r>
      <w:r>
        <w:rPr>
          <w:rStyle w:val="CharDefText"/>
        </w:rPr>
        <w:t>mortgage</w:t>
      </w:r>
      <w:r>
        <w:t xml:space="preserve"> includes a charge or lien on any property for securing money or money’s worth;</w:t>
      </w:r>
    </w:p>
    <w:p>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r>
      <w:r>
        <w:rPr>
          <w:rStyle w:val="CharDefText"/>
        </w:rPr>
        <w:t>mortgage money</w:t>
      </w:r>
      <w:r>
        <w:t xml:space="preserve"> means the principal interest or other money or money’s worth secured by a mortgage;</w:t>
      </w:r>
    </w:p>
    <w:p>
      <w:pPr>
        <w:pStyle w:val="Defstart"/>
        <w:keepNext/>
        <w:keepLines/>
        <w:spacing w:before="100"/>
      </w:pPr>
      <w:r>
        <w:rPr>
          <w:b/>
        </w:rPr>
        <w:lastRenderedPageBreak/>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pPr>
        <w:pStyle w:val="Defstart"/>
      </w:pPr>
      <w:r>
        <w:rPr>
          <w:b/>
        </w:rPr>
        <w:tab/>
      </w:r>
      <w:r>
        <w:rPr>
          <w:rStyle w:val="CharDefText"/>
        </w:rPr>
        <w:t>notice</w:t>
      </w:r>
      <w:r>
        <w:t xml:space="preserve"> includes constructive notice;</w:t>
      </w:r>
    </w:p>
    <w:p>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pPr>
        <w:pStyle w:val="Defstart"/>
      </w:pPr>
      <w:r>
        <w:rPr>
          <w:b/>
        </w:rPr>
        <w:tab/>
      </w:r>
      <w:r>
        <w:rPr>
          <w:rStyle w:val="CharDefText"/>
        </w:rPr>
        <w:t>personal representative</w:t>
      </w:r>
      <w:r>
        <w:t xml:space="preserve"> means the executor, original or by representation or the administrator for the time being of a deceased person;</w:t>
      </w:r>
    </w:p>
    <w:p>
      <w:pPr>
        <w:pStyle w:val="Defstart"/>
      </w:pPr>
      <w:r>
        <w:rPr>
          <w:b/>
        </w:rPr>
        <w:tab/>
      </w:r>
      <w:r>
        <w:rPr>
          <w:rStyle w:val="CharDefText"/>
        </w:rPr>
        <w:t>possession</w:t>
      </w:r>
      <w:r>
        <w:t xml:space="preserve"> in relation to land includes the receipt of income therefrom or the right to receive the income;</w:t>
      </w:r>
    </w:p>
    <w:p>
      <w:pPr>
        <w:pStyle w:val="Defstart"/>
      </w:pPr>
      <w:r>
        <w:rPr>
          <w:b/>
        </w:rPr>
        <w:tab/>
      </w:r>
      <w:r>
        <w:rPr>
          <w:rStyle w:val="CharDefText"/>
        </w:rPr>
        <w:t>property</w:t>
      </w:r>
      <w:r>
        <w:t xml:space="preserve"> includes real and personal property and any estate or interest therein and any thing or chose in action;</w:t>
      </w:r>
    </w:p>
    <w:p>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provided by, or incorporated in the Register under, the </w:t>
      </w:r>
      <w:r>
        <w:rPr>
          <w:i/>
        </w:rPr>
        <w:t>Registration of Deeds Act 1856</w:t>
      </w:r>
      <w:r>
        <w:t xml:space="preserve"> (19 Vic. No. 14);</w:t>
      </w:r>
    </w:p>
    <w:p>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lastRenderedPageBreak/>
        <w:tab/>
      </w:r>
      <w:r>
        <w:rPr>
          <w:rStyle w:val="CharDefText"/>
        </w:rPr>
        <w:t>represented person</w:t>
      </w:r>
      <w:r>
        <w:t xml:space="preserve"> means a person in respect of whom an administration order is in force under Part 6 of the </w:t>
      </w:r>
      <w:r>
        <w:rPr>
          <w:i/>
        </w:rPr>
        <w:t>Guardianship and Administration Act 1990</w:t>
      </w:r>
      <w:r>
        <w:t>;</w:t>
      </w:r>
    </w:p>
    <w:p>
      <w:pPr>
        <w:pStyle w:val="Defstart"/>
      </w:pPr>
      <w:r>
        <w:rPr>
          <w:b/>
        </w:rPr>
        <w:tab/>
      </w:r>
      <w:r>
        <w:rPr>
          <w:rStyle w:val="CharDefText"/>
        </w:rPr>
        <w:t>right of redemption</w:t>
      </w:r>
      <w:r>
        <w:t xml:space="preserve"> in relation to a mortgage includes an option to repurchase only if the option in effect creates a right of redemption;</w:t>
      </w:r>
    </w:p>
    <w:p>
      <w:pPr>
        <w:pStyle w:val="Defstart"/>
      </w:pPr>
      <w:r>
        <w:rPr>
          <w:b/>
        </w:rPr>
        <w:tab/>
      </w:r>
      <w:r>
        <w:rPr>
          <w:rStyle w:val="CharDefText"/>
        </w:rPr>
        <w:t>sale</w:t>
      </w:r>
      <w:r>
        <w:t xml:space="preserve"> means a sale properly so called;</w:t>
      </w:r>
    </w:p>
    <w:p>
      <w:pPr>
        <w:pStyle w:val="Defstart"/>
      </w:pPr>
      <w:r>
        <w:rPr>
          <w:b/>
        </w:rPr>
        <w:tab/>
      </w:r>
      <w:r>
        <w:rPr>
          <w:rStyle w:val="CharDefText"/>
        </w:rPr>
        <w:t>securities</w:t>
      </w:r>
      <w:r>
        <w:t xml:space="preserve"> include stocks, funds and shares;</w:t>
      </w:r>
    </w:p>
    <w:p>
      <w:pPr>
        <w:pStyle w:val="Defstart"/>
      </w:pPr>
      <w:r>
        <w:rPr>
          <w:b/>
        </w:rPr>
        <w:tab/>
      </w:r>
      <w:r>
        <w:rPr>
          <w:rStyle w:val="CharDefText"/>
        </w:rPr>
        <w:t>valuable consideration</w:t>
      </w:r>
      <w:r>
        <w:t xml:space="preserve"> includes marriage but does not include a nominal consideration in money;</w:t>
      </w:r>
    </w:p>
    <w:p>
      <w:pPr>
        <w:pStyle w:val="Defstart"/>
      </w:pPr>
      <w:r>
        <w:rPr>
          <w:b/>
        </w:rPr>
        <w:tab/>
      </w:r>
      <w:r>
        <w:rPr>
          <w:rStyle w:val="CharDefText"/>
        </w:rPr>
        <w:t>will</w:t>
      </w:r>
      <w:r>
        <w:t xml:space="preserve"> includes codicil and every other testamentary disposition.</w:t>
      </w:r>
    </w:p>
    <w:p>
      <w:pPr>
        <w:pStyle w:val="Footnotesection"/>
      </w:pPr>
      <w:r>
        <w:tab/>
        <w:t>[Section 7 amended: No. 24 of 1990 s. 123; No. 32 of 2018 s. 229.]</w:t>
      </w:r>
    </w:p>
    <w:p>
      <w:pPr>
        <w:pStyle w:val="Heading2"/>
      </w:pPr>
      <w:bookmarkStart w:id="18" w:name="_Toc75340860"/>
      <w:bookmarkStart w:id="19" w:name="_Toc75341882"/>
      <w:bookmarkStart w:id="20" w:name="_Toc75423883"/>
      <w:bookmarkStart w:id="21" w:name="_Toc216856207"/>
      <w:bookmarkStart w:id="22" w:name="_Toc216856883"/>
      <w:bookmarkStart w:id="23" w:name="_Toc216857056"/>
      <w:bookmarkStart w:id="24" w:name="_Toc216857756"/>
      <w:bookmarkStart w:id="25" w:name="_Toc216946384"/>
      <w:bookmarkStart w:id="26" w:name="_Toc216946557"/>
      <w:bookmarkStart w:id="27" w:name="_Toc216963881"/>
      <w:r>
        <w:rPr>
          <w:rStyle w:val="CharPartNo"/>
        </w:rPr>
        <w:lastRenderedPageBreak/>
        <w:t>Part II</w:t>
      </w:r>
      <w:r>
        <w:rPr>
          <w:rStyle w:val="CharDivNo"/>
        </w:rPr>
        <w:t> </w:t>
      </w:r>
      <w:r>
        <w:t>—</w:t>
      </w:r>
      <w:r>
        <w:rPr>
          <w:rStyle w:val="CharDivText"/>
        </w:rPr>
        <w:t> </w:t>
      </w:r>
      <w:r>
        <w:rPr>
          <w:rStyle w:val="CharPartText"/>
        </w:rPr>
        <w:t>Deeds and other instruments</w:t>
      </w:r>
      <w:bookmarkEnd w:id="18"/>
      <w:bookmarkEnd w:id="19"/>
      <w:bookmarkEnd w:id="20"/>
      <w:bookmarkEnd w:id="21"/>
      <w:bookmarkEnd w:id="22"/>
      <w:bookmarkEnd w:id="23"/>
      <w:bookmarkEnd w:id="24"/>
      <w:bookmarkEnd w:id="25"/>
      <w:bookmarkEnd w:id="26"/>
      <w:bookmarkEnd w:id="27"/>
    </w:p>
    <w:p>
      <w:pPr>
        <w:pStyle w:val="Heading5"/>
        <w:spacing w:before="180"/>
        <w:rPr>
          <w:snapToGrid w:val="0"/>
        </w:rPr>
      </w:pPr>
      <w:bookmarkStart w:id="28" w:name="_Toc216963882"/>
      <w:r>
        <w:rPr>
          <w:rStyle w:val="CharSectno"/>
        </w:rPr>
        <w:t>8</w:t>
      </w:r>
      <w:r>
        <w:rPr>
          <w:snapToGrid w:val="0"/>
        </w:rPr>
        <w:t>.</w:t>
      </w:r>
      <w:r>
        <w:rPr>
          <w:snapToGrid w:val="0"/>
        </w:rPr>
        <w:tab/>
        <w:t>Construction of expressions used in deeds and other instruments</w:t>
      </w:r>
      <w:bookmarkEnd w:id="28"/>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lastRenderedPageBreak/>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No. 102 of 1979 s. 3.]</w:t>
      </w:r>
    </w:p>
    <w:p>
      <w:pPr>
        <w:pStyle w:val="Heading5"/>
        <w:rPr>
          <w:snapToGrid w:val="0"/>
        </w:rPr>
      </w:pPr>
      <w:bookmarkStart w:id="29" w:name="_Toc216963883"/>
      <w:r>
        <w:rPr>
          <w:rStyle w:val="CharSectno"/>
        </w:rPr>
        <w:t>8A</w:t>
      </w:r>
      <w:r>
        <w:rPr>
          <w:snapToGrid w:val="0"/>
        </w:rPr>
        <w:t>.</w:t>
      </w:r>
      <w:r>
        <w:rPr>
          <w:snapToGrid w:val="0"/>
        </w:rPr>
        <w:tab/>
        <w:t>Other valuation procedures</w:t>
      </w:r>
      <w:bookmarkEnd w:id="29"/>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No. 102 of 1979 s. 4.]</w:t>
      </w:r>
    </w:p>
    <w:p>
      <w:pPr>
        <w:pStyle w:val="Heading5"/>
        <w:rPr>
          <w:snapToGrid w:val="0"/>
        </w:rPr>
      </w:pPr>
      <w:bookmarkStart w:id="30" w:name="_Toc216963884"/>
      <w:r>
        <w:rPr>
          <w:rStyle w:val="CharSectno"/>
        </w:rPr>
        <w:lastRenderedPageBreak/>
        <w:t>9</w:t>
      </w:r>
      <w:r>
        <w:rPr>
          <w:snapToGrid w:val="0"/>
        </w:rPr>
        <w:t>.</w:t>
      </w:r>
      <w:r>
        <w:rPr>
          <w:snapToGrid w:val="0"/>
        </w:rPr>
        <w:tab/>
        <w:t>Formalities of deed</w:t>
      </w:r>
      <w:bookmarkEnd w:id="30"/>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31" w:name="_Toc216963885"/>
      <w:r>
        <w:rPr>
          <w:rStyle w:val="CharSectno"/>
        </w:rPr>
        <w:t>10</w:t>
      </w:r>
      <w:r>
        <w:rPr>
          <w:snapToGrid w:val="0"/>
        </w:rPr>
        <w:t>.</w:t>
      </w:r>
      <w:r>
        <w:rPr>
          <w:snapToGrid w:val="0"/>
        </w:rPr>
        <w:tab/>
        <w:t>Execution of instruments by or on behalf of corporations</w:t>
      </w:r>
      <w:bookmarkEnd w:id="31"/>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 xml:space="preserve">The board of directors, council or other governing body of a corporation aggregate may, by resolution or otherwise, appoint an agent either generally or in any particular case, to execute on behalf of the corporation any agreement or other instrument not </w:t>
      </w:r>
      <w:r>
        <w:rPr>
          <w:snapToGrid w:val="0"/>
        </w:rPr>
        <w:lastRenderedPageBreak/>
        <w:t>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32" w:name="_Toc216963886"/>
      <w:r>
        <w:rPr>
          <w:rStyle w:val="CharSectno"/>
        </w:rPr>
        <w:lastRenderedPageBreak/>
        <w:t>11</w:t>
      </w:r>
      <w:r>
        <w:rPr>
          <w:snapToGrid w:val="0"/>
        </w:rPr>
        <w:t>.</w:t>
      </w:r>
      <w:r>
        <w:rPr>
          <w:snapToGrid w:val="0"/>
        </w:rPr>
        <w:tab/>
        <w:t>Persons taking who are not parties</w:t>
      </w:r>
      <w:bookmarkEnd w:id="32"/>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33" w:name="_Toc216963887"/>
      <w:r>
        <w:rPr>
          <w:rStyle w:val="CharSectno"/>
        </w:rPr>
        <w:t>12</w:t>
      </w:r>
      <w:r>
        <w:rPr>
          <w:snapToGrid w:val="0"/>
        </w:rPr>
        <w:t>.</w:t>
      </w:r>
      <w:r>
        <w:rPr>
          <w:snapToGrid w:val="0"/>
        </w:rPr>
        <w:tab/>
        <w:t>Description of deeds</w:t>
      </w:r>
      <w:bookmarkEnd w:id="33"/>
    </w:p>
    <w:p>
      <w:pPr>
        <w:pStyle w:val="Subsection"/>
        <w:rPr>
          <w:snapToGrid w:val="0"/>
        </w:rPr>
      </w:pPr>
      <w:r>
        <w:rPr>
          <w:snapToGrid w:val="0"/>
        </w:rPr>
        <w:tab/>
      </w:r>
      <w:r>
        <w:rPr>
          <w:snapToGrid w:val="0"/>
        </w:rPr>
        <w:tab/>
        <w:t xml:space="preserve">Any deed, whether or not it is an indenture, may be described (at the commencement thereof or otherwise) as a deed simply or as an agreement under seal, or as a conveyance, deed of exchange, settlement, mortgage, charge, transfer of mortgage, </w:t>
      </w:r>
      <w:r>
        <w:rPr>
          <w:snapToGrid w:val="0"/>
        </w:rPr>
        <w:lastRenderedPageBreak/>
        <w:t>appointment, lease or otherwise according to the nature of the transaction intended to be effected.</w:t>
      </w:r>
    </w:p>
    <w:p>
      <w:pPr>
        <w:pStyle w:val="Heading5"/>
        <w:rPr>
          <w:snapToGrid w:val="0"/>
        </w:rPr>
      </w:pPr>
      <w:bookmarkStart w:id="34" w:name="_Toc216963888"/>
      <w:r>
        <w:rPr>
          <w:rStyle w:val="CharSectno"/>
        </w:rPr>
        <w:t>13</w:t>
      </w:r>
      <w:r>
        <w:rPr>
          <w:snapToGrid w:val="0"/>
        </w:rPr>
        <w:t>.</w:t>
      </w:r>
      <w:r>
        <w:rPr>
          <w:snapToGrid w:val="0"/>
        </w:rPr>
        <w:tab/>
        <w:t>Conditions and certain covenants not implied</w:t>
      </w:r>
      <w:bookmarkEnd w:id="34"/>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35" w:name="_Toc216963889"/>
      <w:r>
        <w:rPr>
          <w:rStyle w:val="CharSectno"/>
        </w:rPr>
        <w:t>14</w:t>
      </w:r>
      <w:r>
        <w:rPr>
          <w:snapToGrid w:val="0"/>
        </w:rPr>
        <w:t>.</w:t>
      </w:r>
      <w:r>
        <w:rPr>
          <w:snapToGrid w:val="0"/>
        </w:rPr>
        <w:tab/>
        <w:t>Receipt in deed sufficient</w:t>
      </w:r>
      <w:bookmarkEnd w:id="35"/>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36" w:name="_Toc216963890"/>
      <w:r>
        <w:rPr>
          <w:rStyle w:val="CharSectno"/>
        </w:rPr>
        <w:t>15</w:t>
      </w:r>
      <w:r>
        <w:rPr>
          <w:snapToGrid w:val="0"/>
        </w:rPr>
        <w:t>.</w:t>
      </w:r>
      <w:r>
        <w:rPr>
          <w:snapToGrid w:val="0"/>
        </w:rPr>
        <w:tab/>
        <w:t>Receipt in deed or endorsed evidence</w:t>
      </w:r>
      <w:bookmarkEnd w:id="36"/>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37" w:name="_Toc216963891"/>
      <w:r>
        <w:rPr>
          <w:rStyle w:val="CharSectno"/>
        </w:rPr>
        <w:t>16</w:t>
      </w:r>
      <w:r>
        <w:rPr>
          <w:snapToGrid w:val="0"/>
        </w:rPr>
        <w:t>.</w:t>
      </w:r>
      <w:r>
        <w:rPr>
          <w:snapToGrid w:val="0"/>
        </w:rPr>
        <w:tab/>
        <w:t>Construction of supplemental or annexed instrument</w:t>
      </w:r>
      <w:bookmarkEnd w:id="37"/>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38" w:name="_Toc75340871"/>
      <w:bookmarkStart w:id="39" w:name="_Toc75341893"/>
      <w:bookmarkStart w:id="40" w:name="_Toc75423894"/>
      <w:bookmarkStart w:id="41" w:name="_Toc216856218"/>
      <w:bookmarkStart w:id="42" w:name="_Toc216856894"/>
      <w:bookmarkStart w:id="43" w:name="_Toc216857067"/>
      <w:bookmarkStart w:id="44" w:name="_Toc216857767"/>
      <w:bookmarkStart w:id="45" w:name="_Toc216946395"/>
      <w:bookmarkStart w:id="46" w:name="_Toc216946568"/>
      <w:bookmarkStart w:id="47" w:name="_Toc216963892"/>
      <w:r>
        <w:rPr>
          <w:rStyle w:val="CharPartNo"/>
        </w:rPr>
        <w:lastRenderedPageBreak/>
        <w:t>Part III</w:t>
      </w:r>
      <w:r>
        <w:rPr>
          <w:rStyle w:val="CharDivNo"/>
        </w:rPr>
        <w:t> </w:t>
      </w:r>
      <w:r>
        <w:t>—</w:t>
      </w:r>
      <w:r>
        <w:rPr>
          <w:rStyle w:val="CharDivText"/>
        </w:rPr>
        <w:t> </w:t>
      </w:r>
      <w:r>
        <w:rPr>
          <w:rStyle w:val="CharPartText"/>
        </w:rPr>
        <w:t>General rules affecting property</w:t>
      </w:r>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216963893"/>
      <w:r>
        <w:rPr>
          <w:rStyle w:val="CharSectno"/>
        </w:rPr>
        <w:t>17</w:t>
      </w:r>
      <w:r>
        <w:rPr>
          <w:snapToGrid w:val="0"/>
        </w:rPr>
        <w:t>.</w:t>
      </w:r>
      <w:r>
        <w:rPr>
          <w:snapToGrid w:val="0"/>
        </w:rPr>
        <w:tab/>
        <w:t>Tenant for life without impeachment of waste, not to commit equitable waste</w:t>
      </w:r>
      <w:bookmarkEnd w:id="48"/>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49" w:name="_Toc216963894"/>
      <w:r>
        <w:rPr>
          <w:rStyle w:val="CharSectno"/>
        </w:rPr>
        <w:t>18</w:t>
      </w:r>
      <w:r>
        <w:rPr>
          <w:snapToGrid w:val="0"/>
        </w:rPr>
        <w:t>.</w:t>
      </w:r>
      <w:r>
        <w:rPr>
          <w:snapToGrid w:val="0"/>
        </w:rPr>
        <w:tab/>
        <w:t>No merger at law where none in equity</w:t>
      </w:r>
      <w:bookmarkEnd w:id="49"/>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50" w:name="_Toc216963895"/>
      <w:r>
        <w:rPr>
          <w:rStyle w:val="CharSectno"/>
        </w:rPr>
        <w:t>19</w:t>
      </w:r>
      <w:r>
        <w:rPr>
          <w:snapToGrid w:val="0"/>
        </w:rPr>
        <w:t>.</w:t>
      </w:r>
      <w:r>
        <w:rPr>
          <w:snapToGrid w:val="0"/>
        </w:rPr>
        <w:tab/>
        <w:t>Suits for possession of land by mortgagors</w:t>
      </w:r>
      <w:bookmarkEnd w:id="50"/>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51" w:name="_Toc216963896"/>
      <w:r>
        <w:rPr>
          <w:rStyle w:val="CharSectno"/>
        </w:rPr>
        <w:t>20</w:t>
      </w:r>
      <w:r>
        <w:rPr>
          <w:snapToGrid w:val="0"/>
        </w:rPr>
        <w:t>.</w:t>
      </w:r>
      <w:r>
        <w:rPr>
          <w:snapToGrid w:val="0"/>
        </w:rPr>
        <w:tab/>
        <w:t>Assignment of debts and choses in action</w:t>
      </w:r>
      <w:bookmarkEnd w:id="51"/>
    </w:p>
    <w:p>
      <w:pPr>
        <w:pStyle w:val="Subsection"/>
        <w:rPr>
          <w:snapToGrid w:val="0"/>
        </w:rPr>
      </w:pPr>
      <w:r>
        <w:rPr>
          <w:snapToGrid w:val="0"/>
        </w:rPr>
        <w:tab/>
        <w:t>(1)</w:t>
      </w:r>
      <w:r>
        <w:rPr>
          <w:snapToGrid w:val="0"/>
        </w:rPr>
        <w:tab/>
        <w:t xml:space="preserve">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w:t>
      </w:r>
      <w:r>
        <w:rPr>
          <w:snapToGrid w:val="0"/>
        </w:rPr>
        <w:lastRenderedPageBreak/>
        <w:t>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pPr>
        <w:pStyle w:val="Heading5"/>
        <w:rPr>
          <w:snapToGrid w:val="0"/>
        </w:rPr>
      </w:pPr>
      <w:bookmarkStart w:id="52" w:name="_Toc216963897"/>
      <w:r>
        <w:rPr>
          <w:rStyle w:val="CharSectno"/>
        </w:rPr>
        <w:t>21</w:t>
      </w:r>
      <w:r>
        <w:rPr>
          <w:snapToGrid w:val="0"/>
        </w:rPr>
        <w:t>.</w:t>
      </w:r>
      <w:r>
        <w:rPr>
          <w:snapToGrid w:val="0"/>
        </w:rPr>
        <w:tab/>
        <w:t>Stipulations not of the essence of a contract</w:t>
      </w:r>
      <w:bookmarkEnd w:id="52"/>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53" w:name="_Toc216963898"/>
      <w:r>
        <w:rPr>
          <w:rStyle w:val="CharSectno"/>
        </w:rPr>
        <w:t>22</w:t>
      </w:r>
      <w:r>
        <w:rPr>
          <w:snapToGrid w:val="0"/>
        </w:rPr>
        <w:t>.</w:t>
      </w:r>
      <w:r>
        <w:rPr>
          <w:snapToGrid w:val="0"/>
        </w:rPr>
        <w:tab/>
        <w:t>Satisfied terms, whether created out of freehold or leasehold land, to cease</w:t>
      </w:r>
      <w:bookmarkEnd w:id="53"/>
    </w:p>
    <w:p>
      <w:pPr>
        <w:pStyle w:val="Subsection"/>
        <w:rPr>
          <w:snapToGrid w:val="0"/>
        </w:rPr>
      </w:pPr>
      <w:r>
        <w:rPr>
          <w:snapToGrid w:val="0"/>
        </w:rPr>
        <w:tab/>
        <w:t>(1)</w:t>
      </w:r>
      <w:r>
        <w:rPr>
          <w:snapToGrid w:val="0"/>
        </w:rPr>
        <w:tab/>
        <w:t xml:space="preserve">Where the purposes of a term of years, created or limited at any time out of freehold land, become satisfied (whether or not that term either by express declaration or by construction of law </w:t>
      </w:r>
      <w:r>
        <w:rPr>
          <w:snapToGrid w:val="0"/>
        </w:rPr>
        <w:lastRenderedPageBreak/>
        <w:t>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54" w:name="_Toc216963899"/>
      <w:r>
        <w:rPr>
          <w:rStyle w:val="CharSectno"/>
        </w:rPr>
        <w:t>23</w:t>
      </w:r>
      <w:r>
        <w:rPr>
          <w:snapToGrid w:val="0"/>
        </w:rPr>
        <w:t>.</w:t>
      </w:r>
      <w:r>
        <w:rPr>
          <w:snapToGrid w:val="0"/>
        </w:rPr>
        <w:tab/>
        <w:t>Estates tail abolished</w:t>
      </w:r>
      <w:bookmarkEnd w:id="54"/>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55" w:name="_Toc216963900"/>
      <w:r>
        <w:rPr>
          <w:rStyle w:val="CharSectno"/>
        </w:rPr>
        <w:lastRenderedPageBreak/>
        <w:t>24</w:t>
      </w:r>
      <w:r>
        <w:rPr>
          <w:snapToGrid w:val="0"/>
        </w:rPr>
        <w:t>.</w:t>
      </w:r>
      <w:r>
        <w:rPr>
          <w:snapToGrid w:val="0"/>
        </w:rPr>
        <w:tab/>
        <w:t xml:space="preserve">Creation by deed of freehold </w:t>
      </w:r>
      <w:r>
        <w:rPr>
          <w:i/>
          <w:snapToGrid w:val="0"/>
        </w:rPr>
        <w:t>in futuro</w:t>
      </w:r>
      <w:bookmarkEnd w:id="55"/>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56" w:name="_Toc216963901"/>
      <w:r>
        <w:rPr>
          <w:rStyle w:val="CharSectno"/>
        </w:rPr>
        <w:t>25</w:t>
      </w:r>
      <w:r>
        <w:rPr>
          <w:snapToGrid w:val="0"/>
        </w:rPr>
        <w:t>.</w:t>
      </w:r>
      <w:r>
        <w:rPr>
          <w:snapToGrid w:val="0"/>
        </w:rPr>
        <w:tab/>
        <w:t>Creation by deed of estate in chattel real</w:t>
      </w:r>
      <w:bookmarkEnd w:id="56"/>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57" w:name="_Toc216963902"/>
      <w:r>
        <w:rPr>
          <w:rStyle w:val="CharSectno"/>
        </w:rPr>
        <w:t>26</w:t>
      </w:r>
      <w:r>
        <w:rPr>
          <w:snapToGrid w:val="0"/>
        </w:rPr>
        <w:t>.</w:t>
      </w:r>
      <w:r>
        <w:rPr>
          <w:snapToGrid w:val="0"/>
        </w:rPr>
        <w:tab/>
        <w:t>Contingent remainders to take effect notwithstanding premature failure of preceding estate</w:t>
      </w:r>
      <w:bookmarkEnd w:id="57"/>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58" w:name="_Toc216963903"/>
      <w:r>
        <w:rPr>
          <w:rStyle w:val="CharSectno"/>
        </w:rPr>
        <w:t>27</w:t>
      </w:r>
      <w:r>
        <w:rPr>
          <w:snapToGrid w:val="0"/>
        </w:rPr>
        <w:t>.</w:t>
      </w:r>
      <w:r>
        <w:rPr>
          <w:snapToGrid w:val="0"/>
        </w:rPr>
        <w:tab/>
        <w:t>Rule in Shelley’s Case abolished</w:t>
      </w:r>
      <w:bookmarkEnd w:id="58"/>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59" w:name="_Toc216963904"/>
      <w:r>
        <w:rPr>
          <w:rStyle w:val="CharSectno"/>
        </w:rPr>
        <w:lastRenderedPageBreak/>
        <w:t>28</w:t>
      </w:r>
      <w:r>
        <w:rPr>
          <w:snapToGrid w:val="0"/>
        </w:rPr>
        <w:t>.</w:t>
      </w:r>
      <w:r>
        <w:rPr>
          <w:snapToGrid w:val="0"/>
        </w:rPr>
        <w:tab/>
        <w:t>Restriction on executory limitations</w:t>
      </w:r>
      <w:bookmarkEnd w:id="59"/>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60" w:name="_Toc216963905"/>
      <w:r>
        <w:rPr>
          <w:rStyle w:val="CharSectno"/>
        </w:rPr>
        <w:t>29</w:t>
      </w:r>
      <w:r>
        <w:rPr>
          <w:snapToGrid w:val="0"/>
        </w:rPr>
        <w:t>.</w:t>
      </w:r>
      <w:r>
        <w:rPr>
          <w:snapToGrid w:val="0"/>
        </w:rPr>
        <w:tab/>
        <w:t>Corporations may hold as joint tenants</w:t>
      </w:r>
      <w:bookmarkEnd w:id="60"/>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61" w:name="_Toc216963906"/>
      <w:r>
        <w:rPr>
          <w:rStyle w:val="CharSectno"/>
        </w:rPr>
        <w:lastRenderedPageBreak/>
        <w:t>30</w:t>
      </w:r>
      <w:r>
        <w:rPr>
          <w:snapToGrid w:val="0"/>
        </w:rPr>
        <w:t>.</w:t>
      </w:r>
      <w:r>
        <w:rPr>
          <w:snapToGrid w:val="0"/>
        </w:rPr>
        <w:tab/>
        <w:t>Receipts for income by married minors</w:t>
      </w:r>
      <w:bookmarkEnd w:id="61"/>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r>
        <w:t>[</w:t>
      </w:r>
      <w:r>
        <w:rPr>
          <w:b/>
        </w:rPr>
        <w:t>31.</w:t>
      </w:r>
      <w:r>
        <w:tab/>
        <w:t>Deleted: No. 28 of 2003 s. 125(2).]</w:t>
      </w:r>
    </w:p>
    <w:p>
      <w:pPr>
        <w:pStyle w:val="Heading5"/>
        <w:rPr>
          <w:snapToGrid w:val="0"/>
        </w:rPr>
      </w:pPr>
      <w:bookmarkStart w:id="62" w:name="_Toc216963907"/>
      <w:r>
        <w:rPr>
          <w:rStyle w:val="CharSectno"/>
        </w:rPr>
        <w:t>31A</w:t>
      </w:r>
      <w:r>
        <w:rPr>
          <w:snapToGrid w:val="0"/>
        </w:rPr>
        <w:t>.</w:t>
      </w:r>
      <w:r>
        <w:rPr>
          <w:snapToGrid w:val="0"/>
        </w:rPr>
        <w:tab/>
        <w:t>Illegitimates to be included in class references</w:t>
      </w:r>
      <w:bookmarkEnd w:id="62"/>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2</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 xml:space="preserve">For the purposes of this section, the relationship between a parent and his or her illegitimate child, and any other relationship traced in any degree through that relationship, shall be recognised only if parentage is admitted by or established </w:t>
      </w:r>
      <w:r>
        <w:rPr>
          <w:snapToGrid w:val="0"/>
        </w:rPr>
        <w:lastRenderedPageBreak/>
        <w:t>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No. 19 of 1971 s. 3; amended: No. 14 of 1985 s. 8; No. 28 of 2003 s. 160.]</w:t>
      </w:r>
    </w:p>
    <w:p>
      <w:pPr>
        <w:pStyle w:val="Heading2"/>
      </w:pPr>
      <w:bookmarkStart w:id="63" w:name="_Toc75340887"/>
      <w:bookmarkStart w:id="64" w:name="_Toc75341909"/>
      <w:bookmarkStart w:id="65" w:name="_Toc75423910"/>
      <w:bookmarkStart w:id="66" w:name="_Toc216856234"/>
      <w:bookmarkStart w:id="67" w:name="_Toc216856910"/>
      <w:bookmarkStart w:id="68" w:name="_Toc216857083"/>
      <w:bookmarkStart w:id="69" w:name="_Toc216857783"/>
      <w:bookmarkStart w:id="70" w:name="_Toc216946411"/>
      <w:bookmarkStart w:id="71" w:name="_Toc216946584"/>
      <w:bookmarkStart w:id="72" w:name="_Toc216963908"/>
      <w:r>
        <w:rPr>
          <w:rStyle w:val="CharPartNo"/>
        </w:rPr>
        <w:lastRenderedPageBreak/>
        <w:t>Part IV</w:t>
      </w:r>
      <w:r>
        <w:rPr>
          <w:rStyle w:val="CharDivNo"/>
        </w:rPr>
        <w:t> </w:t>
      </w:r>
      <w:r>
        <w:t>—</w:t>
      </w:r>
      <w:r>
        <w:rPr>
          <w:rStyle w:val="CharDivText"/>
        </w:rPr>
        <w:t> </w:t>
      </w:r>
      <w:r>
        <w:rPr>
          <w:rStyle w:val="CharPartText"/>
        </w:rPr>
        <w:t>Conveyances and other instruments</w:t>
      </w:r>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216963909"/>
      <w:r>
        <w:rPr>
          <w:rStyle w:val="CharSectno"/>
        </w:rPr>
        <w:t>32</w:t>
      </w:r>
      <w:r>
        <w:rPr>
          <w:snapToGrid w:val="0"/>
        </w:rPr>
        <w:t>.</w:t>
      </w:r>
      <w:r>
        <w:rPr>
          <w:snapToGrid w:val="0"/>
        </w:rPr>
        <w:tab/>
        <w:t>Lands lie in grant only</w:t>
      </w:r>
      <w:bookmarkEnd w:id="73"/>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74" w:name="_Toc216963910"/>
      <w:r>
        <w:rPr>
          <w:rStyle w:val="CharSectno"/>
        </w:rPr>
        <w:t>33</w:t>
      </w:r>
      <w:r>
        <w:rPr>
          <w:snapToGrid w:val="0"/>
        </w:rPr>
        <w:t>.</w:t>
      </w:r>
      <w:r>
        <w:rPr>
          <w:snapToGrid w:val="0"/>
        </w:rPr>
        <w:tab/>
        <w:t>Conveyances to be by deed</w:t>
      </w:r>
      <w:bookmarkEnd w:id="74"/>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75" w:name="_Toc216963911"/>
      <w:r>
        <w:rPr>
          <w:rStyle w:val="CharSectno"/>
        </w:rPr>
        <w:lastRenderedPageBreak/>
        <w:t>34</w:t>
      </w:r>
      <w:r>
        <w:rPr>
          <w:snapToGrid w:val="0"/>
        </w:rPr>
        <w:t>.</w:t>
      </w:r>
      <w:r>
        <w:rPr>
          <w:snapToGrid w:val="0"/>
        </w:rPr>
        <w:tab/>
        <w:t>Instruments required to be in writing</w:t>
      </w:r>
      <w:bookmarkEnd w:id="75"/>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76" w:name="_Toc216963912"/>
      <w:r>
        <w:rPr>
          <w:rStyle w:val="CharSectno"/>
        </w:rPr>
        <w:t>35</w:t>
      </w:r>
      <w:r>
        <w:rPr>
          <w:snapToGrid w:val="0"/>
        </w:rPr>
        <w:t>.</w:t>
      </w:r>
      <w:r>
        <w:rPr>
          <w:snapToGrid w:val="0"/>
        </w:rPr>
        <w:tab/>
        <w:t>Creation of interests in land by parol</w:t>
      </w:r>
      <w:bookmarkEnd w:id="76"/>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77" w:name="_Toc216963913"/>
      <w:r>
        <w:rPr>
          <w:rStyle w:val="CharSectno"/>
        </w:rPr>
        <w:t>36</w:t>
      </w:r>
      <w:r>
        <w:rPr>
          <w:snapToGrid w:val="0"/>
        </w:rPr>
        <w:t>.</w:t>
      </w:r>
      <w:r>
        <w:rPr>
          <w:snapToGrid w:val="0"/>
        </w:rPr>
        <w:tab/>
        <w:t>Savings in regard to sections 34 and 35</w:t>
      </w:r>
      <w:bookmarkEnd w:id="77"/>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lastRenderedPageBreak/>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78" w:name="_Toc216963914"/>
      <w:r>
        <w:rPr>
          <w:rStyle w:val="CharSectno"/>
        </w:rPr>
        <w:t>37</w:t>
      </w:r>
      <w:r>
        <w:rPr>
          <w:snapToGrid w:val="0"/>
        </w:rPr>
        <w:t>.</w:t>
      </w:r>
      <w:r>
        <w:rPr>
          <w:snapToGrid w:val="0"/>
        </w:rPr>
        <w:tab/>
        <w:t>Power to dispose of fee simple by deed without words of inheritance</w:t>
      </w:r>
      <w:bookmarkEnd w:id="78"/>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79" w:name="_Toc216963915"/>
      <w:r>
        <w:rPr>
          <w:rStyle w:val="CharSectno"/>
        </w:rPr>
        <w:t>38</w:t>
      </w:r>
      <w:r>
        <w:rPr>
          <w:snapToGrid w:val="0"/>
        </w:rPr>
        <w:t>.</w:t>
      </w:r>
      <w:r>
        <w:rPr>
          <w:snapToGrid w:val="0"/>
        </w:rPr>
        <w:tab/>
        <w:t>No use to result from absence of consideration</w:t>
      </w:r>
      <w:bookmarkEnd w:id="79"/>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80" w:name="_Toc216963916"/>
      <w:r>
        <w:rPr>
          <w:rStyle w:val="CharSectno"/>
        </w:rPr>
        <w:t>39</w:t>
      </w:r>
      <w:r>
        <w:rPr>
          <w:snapToGrid w:val="0"/>
        </w:rPr>
        <w:t>.</w:t>
      </w:r>
      <w:r>
        <w:rPr>
          <w:snapToGrid w:val="0"/>
        </w:rPr>
        <w:tab/>
        <w:t>Limitations may be by direct conveyance without uses</w:t>
      </w:r>
      <w:bookmarkEnd w:id="80"/>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81" w:name="_Toc216963917"/>
      <w:r>
        <w:rPr>
          <w:rStyle w:val="CharSectno"/>
        </w:rPr>
        <w:lastRenderedPageBreak/>
        <w:t>40</w:t>
      </w:r>
      <w:r>
        <w:rPr>
          <w:snapToGrid w:val="0"/>
        </w:rPr>
        <w:t>.</w:t>
      </w:r>
      <w:r>
        <w:rPr>
          <w:snapToGrid w:val="0"/>
        </w:rPr>
        <w:tab/>
        <w:t>No conveyance to have tortious operation</w:t>
      </w:r>
      <w:bookmarkEnd w:id="81"/>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82" w:name="_Toc216963918"/>
      <w:r>
        <w:rPr>
          <w:rStyle w:val="CharSectno"/>
        </w:rPr>
        <w:t>41</w:t>
      </w:r>
      <w:r>
        <w:rPr>
          <w:snapToGrid w:val="0"/>
        </w:rPr>
        <w:t>.</w:t>
      </w:r>
      <w:r>
        <w:rPr>
          <w:snapToGrid w:val="0"/>
        </w:rPr>
        <w:tab/>
        <w:t>General words implied in conveyances</w:t>
      </w:r>
      <w:bookmarkEnd w:id="82"/>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83" w:name="_Toc216963919"/>
      <w:r>
        <w:rPr>
          <w:rStyle w:val="CharSectno"/>
        </w:rPr>
        <w:lastRenderedPageBreak/>
        <w:t>42</w:t>
      </w:r>
      <w:r>
        <w:rPr>
          <w:snapToGrid w:val="0"/>
        </w:rPr>
        <w:t>.</w:t>
      </w:r>
      <w:r>
        <w:rPr>
          <w:snapToGrid w:val="0"/>
        </w:rPr>
        <w:tab/>
        <w:t>All estate clause implied</w:t>
      </w:r>
      <w:bookmarkEnd w:id="83"/>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84" w:name="_Toc216963920"/>
      <w:r>
        <w:rPr>
          <w:rStyle w:val="CharSectno"/>
        </w:rPr>
        <w:t>43</w:t>
      </w:r>
      <w:r>
        <w:rPr>
          <w:snapToGrid w:val="0"/>
        </w:rPr>
        <w:t>.</w:t>
      </w:r>
      <w:r>
        <w:rPr>
          <w:snapToGrid w:val="0"/>
        </w:rPr>
        <w:tab/>
        <w:t>Partial release of land from rent</w:t>
      </w:r>
      <w:bookmarkEnd w:id="84"/>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85" w:name="_Toc216963921"/>
      <w:r>
        <w:rPr>
          <w:rStyle w:val="CharSectno"/>
        </w:rPr>
        <w:t>44</w:t>
      </w:r>
      <w:r>
        <w:rPr>
          <w:snapToGrid w:val="0"/>
        </w:rPr>
        <w:t>.</w:t>
      </w:r>
      <w:r>
        <w:rPr>
          <w:snapToGrid w:val="0"/>
        </w:rPr>
        <w:tab/>
        <w:t>Power to person to convey property to himself etc.</w:t>
      </w:r>
      <w:bookmarkEnd w:id="85"/>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86" w:name="_Toc75340901"/>
      <w:bookmarkStart w:id="87" w:name="_Toc75341923"/>
      <w:bookmarkStart w:id="88" w:name="_Toc75423924"/>
      <w:bookmarkStart w:id="89" w:name="_Toc216856248"/>
      <w:bookmarkStart w:id="90" w:name="_Toc216856924"/>
      <w:bookmarkStart w:id="91" w:name="_Toc216857097"/>
      <w:bookmarkStart w:id="92" w:name="_Toc216857797"/>
      <w:bookmarkStart w:id="93" w:name="_Toc216946425"/>
      <w:bookmarkStart w:id="94" w:name="_Toc216946598"/>
      <w:bookmarkStart w:id="95" w:name="_Toc216963922"/>
      <w:r>
        <w:rPr>
          <w:rStyle w:val="CharPartNo"/>
        </w:rPr>
        <w:lastRenderedPageBreak/>
        <w:t>Part V</w:t>
      </w:r>
      <w:r>
        <w:rPr>
          <w:rStyle w:val="CharDivNo"/>
        </w:rPr>
        <w:t> </w:t>
      </w:r>
      <w:r>
        <w:t>—</w:t>
      </w:r>
      <w:r>
        <w:rPr>
          <w:rStyle w:val="CharDivText"/>
        </w:rPr>
        <w:t> </w:t>
      </w:r>
      <w:r>
        <w:rPr>
          <w:rStyle w:val="CharPartText"/>
        </w:rPr>
        <w:t>Covenants</w:t>
      </w:r>
      <w:bookmarkEnd w:id="86"/>
      <w:bookmarkEnd w:id="87"/>
      <w:bookmarkEnd w:id="88"/>
      <w:bookmarkEnd w:id="89"/>
      <w:bookmarkEnd w:id="90"/>
      <w:bookmarkEnd w:id="91"/>
      <w:bookmarkEnd w:id="92"/>
      <w:bookmarkEnd w:id="93"/>
      <w:bookmarkEnd w:id="94"/>
      <w:bookmarkEnd w:id="95"/>
    </w:p>
    <w:p>
      <w:pPr>
        <w:pStyle w:val="Heading5"/>
        <w:rPr>
          <w:snapToGrid w:val="0"/>
        </w:rPr>
      </w:pPr>
      <w:bookmarkStart w:id="96" w:name="_Toc216963923"/>
      <w:r>
        <w:rPr>
          <w:rStyle w:val="CharSectno"/>
        </w:rPr>
        <w:t>45</w:t>
      </w:r>
      <w:r>
        <w:rPr>
          <w:snapToGrid w:val="0"/>
        </w:rPr>
        <w:t>.</w:t>
      </w:r>
      <w:r>
        <w:rPr>
          <w:snapToGrid w:val="0"/>
        </w:rPr>
        <w:tab/>
        <w:t>Covenants for title implied</w:t>
      </w:r>
      <w:bookmarkEnd w:id="96"/>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 xml:space="preserve">in any conveyance, a covenant by every person who conveys and is expressed to convey as trustee or </w:t>
      </w:r>
      <w:r>
        <w:rPr>
          <w:snapToGrid w:val="0"/>
        </w:rPr>
        <w:lastRenderedPageBreak/>
        <w:t>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lastRenderedPageBreak/>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No. 24 of 1990 s. 123.]</w:t>
      </w:r>
    </w:p>
    <w:p>
      <w:pPr>
        <w:pStyle w:val="Heading5"/>
        <w:rPr>
          <w:snapToGrid w:val="0"/>
        </w:rPr>
      </w:pPr>
      <w:bookmarkStart w:id="97" w:name="_Toc216963924"/>
      <w:r>
        <w:rPr>
          <w:rStyle w:val="CharSectno"/>
        </w:rPr>
        <w:t>46</w:t>
      </w:r>
      <w:r>
        <w:rPr>
          <w:snapToGrid w:val="0"/>
        </w:rPr>
        <w:t>.</w:t>
      </w:r>
      <w:r>
        <w:rPr>
          <w:snapToGrid w:val="0"/>
        </w:rPr>
        <w:tab/>
        <w:t>Construction of implied covenants</w:t>
      </w:r>
      <w:bookmarkEnd w:id="97"/>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98" w:name="_Toc216963925"/>
      <w:r>
        <w:rPr>
          <w:rStyle w:val="CharSectno"/>
        </w:rPr>
        <w:t>47</w:t>
      </w:r>
      <w:r>
        <w:rPr>
          <w:snapToGrid w:val="0"/>
        </w:rPr>
        <w:t>.</w:t>
      </w:r>
      <w:r>
        <w:rPr>
          <w:snapToGrid w:val="0"/>
        </w:rPr>
        <w:tab/>
        <w:t>Benefits of covenants relating to land</w:t>
      </w:r>
      <w:bookmarkEnd w:id="98"/>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99" w:name="_Toc216963926"/>
      <w:r>
        <w:rPr>
          <w:rStyle w:val="CharSectno"/>
        </w:rPr>
        <w:lastRenderedPageBreak/>
        <w:t>48</w:t>
      </w:r>
      <w:r>
        <w:rPr>
          <w:snapToGrid w:val="0"/>
        </w:rPr>
        <w:t>.</w:t>
      </w:r>
      <w:r>
        <w:rPr>
          <w:snapToGrid w:val="0"/>
        </w:rPr>
        <w:tab/>
        <w:t>Burden of covenants relating to land</w:t>
      </w:r>
      <w:bookmarkEnd w:id="99"/>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00" w:name="_Toc216963927"/>
      <w:r>
        <w:rPr>
          <w:rStyle w:val="CharSectno"/>
        </w:rPr>
        <w:t>49</w:t>
      </w:r>
      <w:r>
        <w:rPr>
          <w:snapToGrid w:val="0"/>
        </w:rPr>
        <w:t>.</w:t>
      </w:r>
      <w:r>
        <w:rPr>
          <w:snapToGrid w:val="0"/>
        </w:rPr>
        <w:tab/>
        <w:t>Construction of covenants affecting land</w:t>
      </w:r>
      <w:bookmarkEnd w:id="100"/>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01" w:name="_Toc216963928"/>
      <w:r>
        <w:rPr>
          <w:rStyle w:val="CharSectno"/>
        </w:rPr>
        <w:t>50</w:t>
      </w:r>
      <w:r>
        <w:rPr>
          <w:snapToGrid w:val="0"/>
        </w:rPr>
        <w:t>.</w:t>
      </w:r>
      <w:r>
        <w:rPr>
          <w:snapToGrid w:val="0"/>
        </w:rPr>
        <w:tab/>
        <w:t>Covenants to be joint and several</w:t>
      </w:r>
      <w:bookmarkEnd w:id="101"/>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02" w:name="_Toc216963929"/>
      <w:r>
        <w:rPr>
          <w:rStyle w:val="CharSectno"/>
        </w:rPr>
        <w:lastRenderedPageBreak/>
        <w:t>51</w:t>
      </w:r>
      <w:r>
        <w:rPr>
          <w:snapToGrid w:val="0"/>
        </w:rPr>
        <w:t>.</w:t>
      </w:r>
      <w:r>
        <w:rPr>
          <w:snapToGrid w:val="0"/>
        </w:rPr>
        <w:tab/>
        <w:t>Effect of covenant with 2 or more jointly</w:t>
      </w:r>
      <w:bookmarkEnd w:id="102"/>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03" w:name="_Toc216963930"/>
      <w:r>
        <w:rPr>
          <w:rStyle w:val="CharSectno"/>
        </w:rPr>
        <w:t>52</w:t>
      </w:r>
      <w:r>
        <w:rPr>
          <w:snapToGrid w:val="0"/>
        </w:rPr>
        <w:t>.</w:t>
      </w:r>
      <w:r>
        <w:rPr>
          <w:snapToGrid w:val="0"/>
        </w:rPr>
        <w:tab/>
        <w:t>Covenants and agreements entered into by a person with himself and another or others</w:t>
      </w:r>
      <w:bookmarkEnd w:id="103"/>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04" w:name="_Toc75340910"/>
      <w:bookmarkStart w:id="105" w:name="_Toc75341932"/>
      <w:bookmarkStart w:id="106" w:name="_Toc75423933"/>
      <w:bookmarkStart w:id="107" w:name="_Toc216856257"/>
      <w:bookmarkStart w:id="108" w:name="_Toc216856933"/>
      <w:bookmarkStart w:id="109" w:name="_Toc216857106"/>
      <w:bookmarkStart w:id="110" w:name="_Toc216857806"/>
      <w:bookmarkStart w:id="111" w:name="_Toc216946434"/>
      <w:bookmarkStart w:id="112" w:name="_Toc216946607"/>
      <w:bookmarkStart w:id="113" w:name="_Toc216963931"/>
      <w:r>
        <w:rPr>
          <w:rStyle w:val="CharPartNo"/>
        </w:rPr>
        <w:lastRenderedPageBreak/>
        <w:t>Part VI</w:t>
      </w:r>
      <w:r>
        <w:rPr>
          <w:rStyle w:val="CharDivNo"/>
        </w:rPr>
        <w:t> </w:t>
      </w:r>
      <w:r>
        <w:t>—</w:t>
      </w:r>
      <w:r>
        <w:rPr>
          <w:rStyle w:val="CharDivText"/>
        </w:rPr>
        <w:t> </w:t>
      </w:r>
      <w:r>
        <w:rPr>
          <w:rStyle w:val="CharPartText"/>
        </w:rPr>
        <w:t>Mortgages</w:t>
      </w:r>
      <w:bookmarkEnd w:id="104"/>
      <w:bookmarkEnd w:id="105"/>
      <w:bookmarkEnd w:id="106"/>
      <w:bookmarkEnd w:id="107"/>
      <w:bookmarkEnd w:id="108"/>
      <w:bookmarkEnd w:id="109"/>
      <w:bookmarkEnd w:id="110"/>
      <w:bookmarkEnd w:id="111"/>
      <w:bookmarkEnd w:id="112"/>
      <w:bookmarkEnd w:id="113"/>
    </w:p>
    <w:p>
      <w:pPr>
        <w:pStyle w:val="Heading5"/>
        <w:rPr>
          <w:snapToGrid w:val="0"/>
        </w:rPr>
      </w:pPr>
      <w:bookmarkStart w:id="114" w:name="_Toc216963932"/>
      <w:r>
        <w:rPr>
          <w:rStyle w:val="CharSectno"/>
        </w:rPr>
        <w:t>53</w:t>
      </w:r>
      <w:r>
        <w:rPr>
          <w:snapToGrid w:val="0"/>
        </w:rPr>
        <w:t>.</w:t>
      </w:r>
      <w:r>
        <w:rPr>
          <w:snapToGrid w:val="0"/>
        </w:rPr>
        <w:tab/>
        <w:t>Foreclosure extinguishes right of action for mortgage debt and equity of redemption</w:t>
      </w:r>
      <w:bookmarkEnd w:id="114"/>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No. 81 of 1996 s. 153(1).]</w:t>
      </w:r>
    </w:p>
    <w:p>
      <w:pPr>
        <w:pStyle w:val="Heading5"/>
        <w:rPr>
          <w:snapToGrid w:val="0"/>
        </w:rPr>
      </w:pPr>
      <w:bookmarkStart w:id="115" w:name="_Toc216963933"/>
      <w:r>
        <w:rPr>
          <w:rStyle w:val="CharSectno"/>
        </w:rPr>
        <w:t>54</w:t>
      </w:r>
      <w:r>
        <w:rPr>
          <w:snapToGrid w:val="0"/>
        </w:rPr>
        <w:t>.</w:t>
      </w:r>
      <w:r>
        <w:rPr>
          <w:snapToGrid w:val="0"/>
        </w:rPr>
        <w:tab/>
        <w:t>Realisation of equitable charges by the Court</w:t>
      </w:r>
      <w:bookmarkEnd w:id="115"/>
    </w:p>
    <w:p>
      <w:pPr>
        <w:pStyle w:val="Subsection"/>
        <w:rPr>
          <w:snapToGrid w:val="0"/>
        </w:rPr>
      </w:pPr>
      <w:r>
        <w:rPr>
          <w:snapToGrid w:val="0"/>
        </w:rPr>
        <w:tab/>
        <w:t>(1)</w:t>
      </w:r>
      <w:r>
        <w:rPr>
          <w:snapToGrid w:val="0"/>
        </w:rPr>
        <w:tab/>
        <w:t xml:space="preserve">Where an order for sale is made by the Court in reference to an equitable mortgage on land the Court may, in favour of a purchaser, make a vesting order conveying the land or may </w:t>
      </w:r>
      <w:r>
        <w:rPr>
          <w:snapToGrid w:val="0"/>
        </w:rPr>
        <w:lastRenderedPageBreak/>
        <w:t>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116" w:name="_Toc216963934"/>
      <w:r>
        <w:rPr>
          <w:rStyle w:val="CharSectno"/>
        </w:rPr>
        <w:t>55</w:t>
      </w:r>
      <w:r>
        <w:rPr>
          <w:snapToGrid w:val="0"/>
        </w:rPr>
        <w:t>.</w:t>
      </w:r>
      <w:r>
        <w:rPr>
          <w:snapToGrid w:val="0"/>
        </w:rPr>
        <w:tab/>
        <w:t>Sale of mortgaged property in action for redemption or foreclosure</w:t>
      </w:r>
      <w:bookmarkEnd w:id="116"/>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 xml:space="preserve">In an action brought by a person interested in the right of redemption and seeking a sale, the Court may, on the application of any defendant, direct the plaintiff to give such security for costs as the Court thinks fit, and may give the </w:t>
      </w:r>
      <w:r>
        <w:rPr>
          <w:snapToGrid w:val="0"/>
        </w:rPr>
        <w:lastRenderedPageBreak/>
        <w:t>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117" w:name="_Toc216963935"/>
      <w:r>
        <w:rPr>
          <w:rStyle w:val="CharSectno"/>
        </w:rPr>
        <w:t>56</w:t>
      </w:r>
      <w:r>
        <w:rPr>
          <w:snapToGrid w:val="0"/>
        </w:rPr>
        <w:t>.</w:t>
      </w:r>
      <w:r>
        <w:rPr>
          <w:snapToGrid w:val="0"/>
        </w:rPr>
        <w:tab/>
        <w:t>Restriction on consolidation of mortgages</w:t>
      </w:r>
      <w:bookmarkEnd w:id="117"/>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118" w:name="_Toc216963936"/>
      <w:r>
        <w:rPr>
          <w:rStyle w:val="CharSectno"/>
        </w:rPr>
        <w:lastRenderedPageBreak/>
        <w:t>57</w:t>
      </w:r>
      <w:r>
        <w:rPr>
          <w:snapToGrid w:val="0"/>
        </w:rPr>
        <w:t>.</w:t>
      </w:r>
      <w:r>
        <w:rPr>
          <w:snapToGrid w:val="0"/>
        </w:rPr>
        <w:tab/>
        <w:t>Implied powers of mortgagees</w:t>
      </w:r>
      <w:bookmarkEnd w:id="118"/>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 xml:space="preserve">where the mortgage is executed after the coming into operation of this Act a power, when the mortgage money has become due, to appoint a receiver of the income of the mortgaged property, or any part thereof; or, if the mortgaged property consists of an interest in income, or </w:t>
      </w:r>
      <w:r>
        <w:rPr>
          <w:snapToGrid w:val="0"/>
        </w:rPr>
        <w:lastRenderedPageBreak/>
        <w:t>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lastRenderedPageBreak/>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119" w:name="_Toc216963937"/>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119"/>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120" w:name="_Toc216963938"/>
      <w:r>
        <w:rPr>
          <w:rStyle w:val="CharSectno"/>
        </w:rPr>
        <w:t>59</w:t>
      </w:r>
      <w:r>
        <w:rPr>
          <w:snapToGrid w:val="0"/>
        </w:rPr>
        <w:t>.</w:t>
      </w:r>
      <w:r>
        <w:rPr>
          <w:snapToGrid w:val="0"/>
        </w:rPr>
        <w:tab/>
        <w:t>Regulation of exercise of power of sale</w:t>
      </w:r>
      <w:bookmarkEnd w:id="120"/>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lastRenderedPageBreak/>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121" w:name="_Toc216963939"/>
      <w:r>
        <w:rPr>
          <w:rStyle w:val="CharSectno"/>
        </w:rPr>
        <w:t>60</w:t>
      </w:r>
      <w:r>
        <w:rPr>
          <w:snapToGrid w:val="0"/>
        </w:rPr>
        <w:t>.</w:t>
      </w:r>
      <w:r>
        <w:rPr>
          <w:snapToGrid w:val="0"/>
        </w:rPr>
        <w:tab/>
        <w:t>Conveyance in exercise of power of sale</w:t>
      </w:r>
      <w:bookmarkEnd w:id="121"/>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122" w:name="_Toc216963940"/>
      <w:r>
        <w:rPr>
          <w:rStyle w:val="CharSectno"/>
        </w:rPr>
        <w:t>61</w:t>
      </w:r>
      <w:r>
        <w:rPr>
          <w:snapToGrid w:val="0"/>
        </w:rPr>
        <w:t>.</w:t>
      </w:r>
      <w:r>
        <w:rPr>
          <w:snapToGrid w:val="0"/>
        </w:rPr>
        <w:tab/>
        <w:t>Application of proceeds of sale</w:t>
      </w:r>
      <w:bookmarkEnd w:id="122"/>
    </w:p>
    <w:p>
      <w:pPr>
        <w:pStyle w:val="Subsection"/>
        <w:spacing w:before="120"/>
        <w:rPr>
          <w:snapToGrid w:val="0"/>
        </w:rPr>
      </w:pPr>
      <w:r>
        <w:rPr>
          <w:snapToGrid w:val="0"/>
        </w:rPr>
        <w:tab/>
      </w:r>
      <w:r>
        <w:rPr>
          <w:snapToGrid w:val="0"/>
        </w:rPr>
        <w:tab/>
        <w:t xml:space="preserve">The money that is in fact received by the mortgagee, arising from the sale, after discharge of prior encumbrances to which </w:t>
      </w:r>
      <w:r>
        <w:rPr>
          <w:snapToGrid w:val="0"/>
        </w:rPr>
        <w:lastRenderedPageBreak/>
        <w:t>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123" w:name="_Toc216963941"/>
      <w:r>
        <w:rPr>
          <w:rStyle w:val="CharSectno"/>
        </w:rPr>
        <w:t>62</w:t>
      </w:r>
      <w:r>
        <w:rPr>
          <w:snapToGrid w:val="0"/>
        </w:rPr>
        <w:t>.</w:t>
      </w:r>
      <w:r>
        <w:rPr>
          <w:snapToGrid w:val="0"/>
        </w:rPr>
        <w:tab/>
        <w:t>Provisions as to exercise of power of sale</w:t>
      </w:r>
      <w:bookmarkEnd w:id="123"/>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124" w:name="_Toc216963942"/>
      <w:r>
        <w:rPr>
          <w:rStyle w:val="CharSectno"/>
        </w:rPr>
        <w:t>63</w:t>
      </w:r>
      <w:r>
        <w:rPr>
          <w:snapToGrid w:val="0"/>
        </w:rPr>
        <w:t>.</w:t>
      </w:r>
      <w:r>
        <w:rPr>
          <w:snapToGrid w:val="0"/>
        </w:rPr>
        <w:tab/>
        <w:t>Mortgagee’s receipts, discharges etc.</w:t>
      </w:r>
      <w:bookmarkEnd w:id="124"/>
    </w:p>
    <w:p>
      <w:pPr>
        <w:pStyle w:val="Subsection"/>
        <w:rPr>
          <w:snapToGrid w:val="0"/>
        </w:rPr>
      </w:pPr>
      <w:r>
        <w:rPr>
          <w:snapToGrid w:val="0"/>
        </w:rPr>
        <w:tab/>
        <w:t>(1)</w:t>
      </w:r>
      <w:r>
        <w:rPr>
          <w:snapToGrid w:val="0"/>
        </w:rPr>
        <w:tab/>
        <w:t xml:space="preserve">The receipt in writing of a mortgagee is a sufficient discharge for any money arising under the power of sale conferred by this </w:t>
      </w:r>
      <w:r>
        <w:rPr>
          <w:snapToGrid w:val="0"/>
        </w:rPr>
        <w:lastRenderedPageBreak/>
        <w:t>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125" w:name="_Toc216963943"/>
      <w:r>
        <w:rPr>
          <w:rStyle w:val="CharSectno"/>
        </w:rPr>
        <w:t>64</w:t>
      </w:r>
      <w:r>
        <w:rPr>
          <w:snapToGrid w:val="0"/>
        </w:rPr>
        <w:t>.</w:t>
      </w:r>
      <w:r>
        <w:rPr>
          <w:snapToGrid w:val="0"/>
        </w:rPr>
        <w:tab/>
        <w:t>Amount and application of insurance money</w:t>
      </w:r>
      <w:bookmarkEnd w:id="125"/>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lastRenderedPageBreak/>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126" w:name="_Toc216963944"/>
      <w:r>
        <w:rPr>
          <w:rStyle w:val="CharSectno"/>
        </w:rPr>
        <w:t>65</w:t>
      </w:r>
      <w:r>
        <w:rPr>
          <w:snapToGrid w:val="0"/>
        </w:rPr>
        <w:t>.</w:t>
      </w:r>
      <w:r>
        <w:rPr>
          <w:snapToGrid w:val="0"/>
        </w:rPr>
        <w:tab/>
        <w:t>Appointment, powers, remuneration and duties of receiver</w:t>
      </w:r>
      <w:bookmarkEnd w:id="126"/>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keepNext/>
        <w:keepLines/>
        <w:rPr>
          <w:snapToGrid w:val="0"/>
        </w:rPr>
      </w:pPr>
      <w:r>
        <w:rPr>
          <w:snapToGrid w:val="0"/>
        </w:rPr>
        <w:lastRenderedPageBreak/>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127" w:name="_Toc216963945"/>
      <w:r>
        <w:rPr>
          <w:rStyle w:val="CharSectno"/>
        </w:rPr>
        <w:t>66</w:t>
      </w:r>
      <w:r>
        <w:rPr>
          <w:snapToGrid w:val="0"/>
        </w:rPr>
        <w:t>.</w:t>
      </w:r>
      <w:r>
        <w:rPr>
          <w:snapToGrid w:val="0"/>
        </w:rPr>
        <w:tab/>
        <w:t>Application of money received by receiver</w:t>
      </w:r>
      <w:bookmarkEnd w:id="127"/>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lastRenderedPageBreak/>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128" w:name="_Toc216963946"/>
      <w:r>
        <w:rPr>
          <w:rStyle w:val="CharSectno"/>
        </w:rPr>
        <w:t>67</w:t>
      </w:r>
      <w:r>
        <w:rPr>
          <w:snapToGrid w:val="0"/>
        </w:rPr>
        <w:t>.</w:t>
      </w:r>
      <w:r>
        <w:rPr>
          <w:snapToGrid w:val="0"/>
        </w:rPr>
        <w:tab/>
        <w:t>Effect of advance on joint account</w:t>
      </w:r>
      <w:bookmarkEnd w:id="12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lastRenderedPageBreak/>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129" w:name="_Toc216963947"/>
      <w:r>
        <w:rPr>
          <w:rStyle w:val="CharSectno"/>
        </w:rPr>
        <w:t>68</w:t>
      </w:r>
      <w:r>
        <w:rPr>
          <w:snapToGrid w:val="0"/>
        </w:rPr>
        <w:t>.</w:t>
      </w:r>
      <w:r>
        <w:rPr>
          <w:snapToGrid w:val="0"/>
        </w:rPr>
        <w:tab/>
        <w:t>Notice of trusts affecting mortgage money</w:t>
      </w:r>
      <w:bookmarkEnd w:id="129"/>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130" w:name="_Toc75340927"/>
      <w:bookmarkStart w:id="131" w:name="_Toc75341949"/>
      <w:bookmarkStart w:id="132" w:name="_Toc75423950"/>
      <w:bookmarkStart w:id="133" w:name="_Toc216856274"/>
      <w:bookmarkStart w:id="134" w:name="_Toc216856950"/>
      <w:bookmarkStart w:id="135" w:name="_Toc216857123"/>
      <w:bookmarkStart w:id="136" w:name="_Toc216857823"/>
      <w:bookmarkStart w:id="137" w:name="_Toc216946451"/>
      <w:bookmarkStart w:id="138" w:name="_Toc216946624"/>
      <w:bookmarkStart w:id="139" w:name="_Toc216963948"/>
      <w:r>
        <w:rPr>
          <w:rStyle w:val="CharPartNo"/>
        </w:rPr>
        <w:lastRenderedPageBreak/>
        <w:t>Part VII</w:t>
      </w:r>
      <w:r>
        <w:t> — </w:t>
      </w:r>
      <w:r>
        <w:rPr>
          <w:rStyle w:val="CharPartText"/>
        </w:rPr>
        <w:t>Leases and tenancies</w:t>
      </w:r>
      <w:bookmarkEnd w:id="130"/>
      <w:bookmarkEnd w:id="131"/>
      <w:bookmarkEnd w:id="132"/>
      <w:bookmarkEnd w:id="133"/>
      <w:bookmarkEnd w:id="134"/>
      <w:bookmarkEnd w:id="135"/>
      <w:bookmarkEnd w:id="136"/>
      <w:bookmarkEnd w:id="137"/>
      <w:bookmarkEnd w:id="138"/>
      <w:bookmarkEnd w:id="139"/>
    </w:p>
    <w:p>
      <w:pPr>
        <w:pStyle w:val="Heading3"/>
      </w:pPr>
      <w:bookmarkStart w:id="140" w:name="_Toc75340928"/>
      <w:bookmarkStart w:id="141" w:name="_Toc75341950"/>
      <w:bookmarkStart w:id="142" w:name="_Toc75423951"/>
      <w:bookmarkStart w:id="143" w:name="_Toc216856275"/>
      <w:bookmarkStart w:id="144" w:name="_Toc216856951"/>
      <w:bookmarkStart w:id="145" w:name="_Toc216857124"/>
      <w:bookmarkStart w:id="146" w:name="_Toc216857824"/>
      <w:bookmarkStart w:id="147" w:name="_Toc216946452"/>
      <w:bookmarkStart w:id="148" w:name="_Toc216946625"/>
      <w:bookmarkStart w:id="149" w:name="_Toc216963949"/>
      <w:r>
        <w:rPr>
          <w:rStyle w:val="CharDivNo"/>
        </w:rPr>
        <w:t>Division 1</w:t>
      </w:r>
      <w:r>
        <w:rPr>
          <w:snapToGrid w:val="0"/>
        </w:rPr>
        <w:t> — </w:t>
      </w:r>
      <w:r>
        <w:rPr>
          <w:rStyle w:val="CharDivText"/>
        </w:rPr>
        <w:t>Application of this Part</w:t>
      </w:r>
      <w:bookmarkEnd w:id="140"/>
      <w:bookmarkEnd w:id="141"/>
      <w:bookmarkEnd w:id="142"/>
      <w:bookmarkEnd w:id="143"/>
      <w:bookmarkEnd w:id="144"/>
      <w:bookmarkEnd w:id="145"/>
      <w:bookmarkEnd w:id="146"/>
      <w:bookmarkEnd w:id="147"/>
      <w:bookmarkEnd w:id="148"/>
      <w:bookmarkEnd w:id="149"/>
    </w:p>
    <w:p>
      <w:pPr>
        <w:pStyle w:val="Footnoteheading"/>
        <w:rPr>
          <w:snapToGrid w:val="0"/>
        </w:rPr>
      </w:pPr>
      <w:r>
        <w:rPr>
          <w:snapToGrid w:val="0"/>
        </w:rPr>
        <w:tab/>
        <w:t>[Heading inserted: No. 128 of 1987 s. 89.]</w:t>
      </w:r>
    </w:p>
    <w:p>
      <w:pPr>
        <w:pStyle w:val="Heading5"/>
        <w:rPr>
          <w:snapToGrid w:val="0"/>
        </w:rPr>
      </w:pPr>
      <w:bookmarkStart w:id="150" w:name="_Toc216963950"/>
      <w:r>
        <w:rPr>
          <w:rStyle w:val="CharSectno"/>
        </w:rPr>
        <w:t>68A</w:t>
      </w:r>
      <w:r>
        <w:rPr>
          <w:snapToGrid w:val="0"/>
        </w:rPr>
        <w:t>.</w:t>
      </w:r>
      <w:r>
        <w:rPr>
          <w:snapToGrid w:val="0"/>
        </w:rPr>
        <w:tab/>
        <w:t>Limitation</w:t>
      </w:r>
      <w:bookmarkEnd w:id="150"/>
    </w:p>
    <w:p>
      <w:pPr>
        <w:pStyle w:val="Subsection"/>
        <w:rPr>
          <w:snapToGrid w:val="0"/>
        </w:rPr>
      </w:pPr>
      <w:r>
        <w:rPr>
          <w:snapToGrid w:val="0"/>
        </w:rPr>
        <w:tab/>
      </w:r>
      <w:r>
        <w:rPr>
          <w:snapToGrid w:val="0"/>
        </w:rPr>
        <w:tab/>
        <w:t xml:space="preserve">This Part has effect subject to the </w:t>
      </w:r>
      <w:r>
        <w:rPr>
          <w:i/>
          <w:snapToGrid w:val="0"/>
        </w:rPr>
        <w:t>Residential Tenancies Act </w:t>
      </w:r>
      <w:r>
        <w:rPr>
          <w:i/>
        </w:rPr>
        <w:t>1987</w:t>
      </w:r>
      <w:r>
        <w:t xml:space="preserve"> and the </w:t>
      </w:r>
      <w:r>
        <w:rPr>
          <w:i/>
        </w:rPr>
        <w:t>Strata Titles Act 1985</w:t>
      </w:r>
      <w:r>
        <w:t>.</w:t>
      </w:r>
    </w:p>
    <w:p>
      <w:pPr>
        <w:pStyle w:val="Footnotesection"/>
      </w:pPr>
      <w:r>
        <w:tab/>
        <w:t>[Section 68A inserted: No. 128 of 1987 s. 89; amended: No. 30 of 2018 s. 172.]</w:t>
      </w:r>
    </w:p>
    <w:p>
      <w:pPr>
        <w:pStyle w:val="Heading3"/>
      </w:pPr>
      <w:bookmarkStart w:id="151" w:name="_Toc75340930"/>
      <w:bookmarkStart w:id="152" w:name="_Toc75341952"/>
      <w:bookmarkStart w:id="153" w:name="_Toc75423953"/>
      <w:bookmarkStart w:id="154" w:name="_Toc216856277"/>
      <w:bookmarkStart w:id="155" w:name="_Toc216856953"/>
      <w:bookmarkStart w:id="156" w:name="_Toc216857126"/>
      <w:bookmarkStart w:id="157" w:name="_Toc216857826"/>
      <w:bookmarkStart w:id="158" w:name="_Toc216946454"/>
      <w:bookmarkStart w:id="159" w:name="_Toc216946627"/>
      <w:bookmarkStart w:id="160" w:name="_Toc216963951"/>
      <w:r>
        <w:rPr>
          <w:rStyle w:val="CharDivNo"/>
        </w:rPr>
        <w:t>Division 1a</w:t>
      </w:r>
      <w:r>
        <w:rPr>
          <w:snapToGrid w:val="0"/>
        </w:rPr>
        <w:t> — </w:t>
      </w:r>
      <w:r>
        <w:rPr>
          <w:rStyle w:val="CharDivText"/>
        </w:rPr>
        <w:t>General</w:t>
      </w:r>
      <w:bookmarkEnd w:id="151"/>
      <w:bookmarkEnd w:id="152"/>
      <w:bookmarkEnd w:id="153"/>
      <w:bookmarkEnd w:id="154"/>
      <w:bookmarkEnd w:id="155"/>
      <w:bookmarkEnd w:id="156"/>
      <w:bookmarkEnd w:id="157"/>
      <w:bookmarkEnd w:id="158"/>
      <w:bookmarkEnd w:id="159"/>
      <w:bookmarkEnd w:id="160"/>
    </w:p>
    <w:p>
      <w:pPr>
        <w:pStyle w:val="Footnoteheading"/>
        <w:rPr>
          <w:snapToGrid w:val="0"/>
        </w:rPr>
      </w:pPr>
      <w:r>
        <w:rPr>
          <w:snapToGrid w:val="0"/>
        </w:rPr>
        <w:tab/>
        <w:t>[Heading inserted: No. 35 of 1973 s. 3; amended: No. 128 of 1987 s. 89.]</w:t>
      </w:r>
    </w:p>
    <w:p>
      <w:pPr>
        <w:pStyle w:val="Heading5"/>
        <w:rPr>
          <w:snapToGrid w:val="0"/>
        </w:rPr>
      </w:pPr>
      <w:bookmarkStart w:id="161" w:name="_Toc216963952"/>
      <w:r>
        <w:rPr>
          <w:rStyle w:val="CharSectno"/>
        </w:rPr>
        <w:t>69</w:t>
      </w:r>
      <w:r>
        <w:rPr>
          <w:snapToGrid w:val="0"/>
        </w:rPr>
        <w:t>.</w:t>
      </w:r>
      <w:r>
        <w:rPr>
          <w:snapToGrid w:val="0"/>
        </w:rPr>
        <w:tab/>
        <w:t xml:space="preserve">This Part to apply to leases under the </w:t>
      </w:r>
      <w:r>
        <w:rPr>
          <w:i/>
          <w:snapToGrid w:val="0"/>
        </w:rPr>
        <w:t>Transfer of Land Act 1893</w:t>
      </w:r>
      <w:bookmarkEnd w:id="161"/>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pPr>
        <w:pStyle w:val="Footnotesection"/>
      </w:pPr>
      <w:r>
        <w:tab/>
        <w:t>[Section 69 amended: No. 35 of 1973 s. 3.]</w:t>
      </w:r>
    </w:p>
    <w:p>
      <w:pPr>
        <w:pStyle w:val="Heading5"/>
        <w:rPr>
          <w:snapToGrid w:val="0"/>
        </w:rPr>
      </w:pPr>
      <w:bookmarkStart w:id="162" w:name="_Toc216963953"/>
      <w:r>
        <w:rPr>
          <w:rStyle w:val="CharSectno"/>
        </w:rPr>
        <w:t>70</w:t>
      </w:r>
      <w:r>
        <w:rPr>
          <w:snapToGrid w:val="0"/>
        </w:rPr>
        <w:t>.</w:t>
      </w:r>
      <w:r>
        <w:rPr>
          <w:snapToGrid w:val="0"/>
        </w:rPr>
        <w:tab/>
        <w:t>Tenant not prejudiced by assignment before notice</w:t>
      </w:r>
      <w:bookmarkEnd w:id="162"/>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Lines w:val="0"/>
        <w:rPr>
          <w:snapToGrid w:val="0"/>
        </w:rPr>
      </w:pPr>
      <w:bookmarkStart w:id="163" w:name="_Toc216963954"/>
      <w:r>
        <w:rPr>
          <w:rStyle w:val="CharSectno"/>
        </w:rPr>
        <w:lastRenderedPageBreak/>
        <w:t>71</w:t>
      </w:r>
      <w:r>
        <w:rPr>
          <w:snapToGrid w:val="0"/>
        </w:rPr>
        <w:t>.</w:t>
      </w:r>
      <w:r>
        <w:rPr>
          <w:snapToGrid w:val="0"/>
        </w:rPr>
        <w:tab/>
        <w:t>Tenancy from year to year not implied</w:t>
      </w:r>
      <w:bookmarkEnd w:id="163"/>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164" w:name="_Toc216963955"/>
      <w:r>
        <w:rPr>
          <w:rStyle w:val="CharSectno"/>
        </w:rPr>
        <w:t>72</w:t>
      </w:r>
      <w:r>
        <w:rPr>
          <w:snapToGrid w:val="0"/>
        </w:rPr>
        <w:t>.</w:t>
      </w:r>
      <w:r>
        <w:rPr>
          <w:snapToGrid w:val="0"/>
        </w:rPr>
        <w:tab/>
        <w:t>Termination of tenancies</w:t>
      </w:r>
      <w:bookmarkEnd w:id="164"/>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165" w:name="_Toc216963956"/>
      <w:r>
        <w:rPr>
          <w:rStyle w:val="CharSectno"/>
        </w:rPr>
        <w:t>73</w:t>
      </w:r>
      <w:r>
        <w:rPr>
          <w:snapToGrid w:val="0"/>
        </w:rPr>
        <w:t>.</w:t>
      </w:r>
      <w:r>
        <w:rPr>
          <w:snapToGrid w:val="0"/>
        </w:rPr>
        <w:tab/>
        <w:t>Waiver of a covenant in a lease, not to operate as general waiver</w:t>
      </w:r>
      <w:bookmarkEnd w:id="165"/>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166" w:name="_Toc216963957"/>
      <w:r>
        <w:rPr>
          <w:rStyle w:val="CharSectno"/>
        </w:rPr>
        <w:lastRenderedPageBreak/>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166"/>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167" w:name="_Toc216963958"/>
      <w:r>
        <w:rPr>
          <w:rStyle w:val="CharSectno"/>
        </w:rPr>
        <w:t>75</w:t>
      </w:r>
      <w:r>
        <w:rPr>
          <w:snapToGrid w:val="0"/>
        </w:rPr>
        <w:t>.</w:t>
      </w:r>
      <w:r>
        <w:rPr>
          <w:snapToGrid w:val="0"/>
        </w:rPr>
        <w:tab/>
        <w:t>Effect of extinguishment of reversion</w:t>
      </w:r>
      <w:bookmarkEnd w:id="167"/>
    </w:p>
    <w:p>
      <w:pPr>
        <w:pStyle w:val="Subsection"/>
        <w:rPr>
          <w:snapToGrid w:val="0"/>
        </w:rPr>
      </w:pPr>
      <w:r>
        <w:rPr>
          <w:snapToGrid w:val="0"/>
        </w:rPr>
        <w:tab/>
        <w:t>(1)</w:t>
      </w:r>
      <w:r>
        <w:rPr>
          <w:snapToGrid w:val="0"/>
        </w:rPr>
        <w:tab/>
        <w:t xml:space="preserve">Where a reversion expectant on a lease of land is surrendered or merged, the estate or interest which as against the lessee for the time being confers the next vested right to the land, shall be deemed the reversion for the purpose of preserving the same </w:t>
      </w:r>
      <w:r>
        <w:rPr>
          <w:snapToGrid w:val="0"/>
        </w:rPr>
        <w:lastRenderedPageBreak/>
        <w:t>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168" w:name="_Toc216963959"/>
      <w:r>
        <w:rPr>
          <w:rStyle w:val="CharSectno"/>
        </w:rPr>
        <w:t>76</w:t>
      </w:r>
      <w:r>
        <w:rPr>
          <w:snapToGrid w:val="0"/>
        </w:rPr>
        <w:t>.</w:t>
      </w:r>
      <w:r>
        <w:rPr>
          <w:snapToGrid w:val="0"/>
        </w:rPr>
        <w:tab/>
        <w:t>Apportionment of conditions on severance</w:t>
      </w:r>
      <w:bookmarkEnd w:id="168"/>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169" w:name="_Toc216963960"/>
      <w:r>
        <w:rPr>
          <w:rStyle w:val="CharSectno"/>
        </w:rPr>
        <w:lastRenderedPageBreak/>
        <w:t>77</w:t>
      </w:r>
      <w:r>
        <w:rPr>
          <w:snapToGrid w:val="0"/>
        </w:rPr>
        <w:t>.</w:t>
      </w:r>
      <w:r>
        <w:rPr>
          <w:snapToGrid w:val="0"/>
        </w:rPr>
        <w:tab/>
        <w:t>Rent and benefit of lessee’s covenants to run with reversion</w:t>
      </w:r>
      <w:bookmarkEnd w:id="169"/>
    </w:p>
    <w:p>
      <w:pPr>
        <w:pStyle w:val="Subsection"/>
        <w:keepLines/>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170" w:name="_Toc216963961"/>
      <w:r>
        <w:rPr>
          <w:rStyle w:val="CharSectno"/>
        </w:rPr>
        <w:lastRenderedPageBreak/>
        <w:t>78</w:t>
      </w:r>
      <w:r>
        <w:rPr>
          <w:snapToGrid w:val="0"/>
        </w:rPr>
        <w:t>.</w:t>
      </w:r>
      <w:r>
        <w:rPr>
          <w:snapToGrid w:val="0"/>
        </w:rPr>
        <w:tab/>
        <w:t>Obligation of lessor’s covenants to run with reversion</w:t>
      </w:r>
      <w:bookmarkEnd w:id="170"/>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171" w:name="_Toc216963962"/>
      <w:r>
        <w:rPr>
          <w:rStyle w:val="CharSectno"/>
        </w:rPr>
        <w:t>79</w:t>
      </w:r>
      <w:r>
        <w:rPr>
          <w:snapToGrid w:val="0"/>
        </w:rPr>
        <w:t>.</w:t>
      </w:r>
      <w:r>
        <w:rPr>
          <w:snapToGrid w:val="0"/>
        </w:rPr>
        <w:tab/>
        <w:t>Effect of licences granted to lessees</w:t>
      </w:r>
      <w:bookmarkEnd w:id="171"/>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 xml:space="preserve">entry contained in the lease remain in full force and are available as against any subsequent breach of covenant, </w:t>
      </w:r>
      <w:r>
        <w:rPr>
          <w:snapToGrid w:val="0"/>
        </w:rPr>
        <w:lastRenderedPageBreak/>
        <w:t>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172" w:name="_Toc216963963"/>
      <w:r>
        <w:rPr>
          <w:rStyle w:val="CharSectno"/>
        </w:rPr>
        <w:t>80</w:t>
      </w:r>
      <w:r>
        <w:rPr>
          <w:snapToGrid w:val="0"/>
        </w:rPr>
        <w:t>.</w:t>
      </w:r>
      <w:r>
        <w:rPr>
          <w:snapToGrid w:val="0"/>
        </w:rPr>
        <w:tab/>
        <w:t>Consent to assign or sublet not to be unreasonably withheld</w:t>
      </w:r>
      <w:bookmarkEnd w:id="172"/>
    </w:p>
    <w:p>
      <w:pPr>
        <w:pStyle w:val="Subsection"/>
        <w:rPr>
          <w:snapToGrid w:val="0"/>
        </w:rPr>
      </w:pPr>
      <w:r>
        <w:rPr>
          <w:snapToGrid w:val="0"/>
        </w:rPr>
        <w:tab/>
        <w:t>(1)</w:t>
      </w:r>
      <w:r>
        <w:rPr>
          <w:snapToGrid w:val="0"/>
        </w:rPr>
        <w:tab/>
        <w:t xml:space="preserve">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w:t>
      </w:r>
      <w:r>
        <w:rPr>
          <w:snapToGrid w:val="0"/>
        </w:rPr>
        <w:lastRenderedPageBreak/>
        <w:t>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vertAlign w:val="superscript"/>
        </w:rPr>
        <w:t> 3</w:t>
      </w:r>
      <w:r>
        <w:rPr>
          <w:snapToGrid w:val="0"/>
        </w:rPr>
        <w:t xml:space="preserve"> shall be read and construed as a reference to this section.</w:t>
      </w:r>
    </w:p>
    <w:p>
      <w:pPr>
        <w:pStyle w:val="Heading5"/>
        <w:keepLines w:val="0"/>
        <w:rPr>
          <w:snapToGrid w:val="0"/>
        </w:rPr>
      </w:pPr>
      <w:bookmarkStart w:id="173" w:name="_Toc216963964"/>
      <w:r>
        <w:rPr>
          <w:rStyle w:val="CharSectno"/>
        </w:rPr>
        <w:t>81</w:t>
      </w:r>
      <w:r>
        <w:rPr>
          <w:snapToGrid w:val="0"/>
        </w:rPr>
        <w:t>.</w:t>
      </w:r>
      <w:r>
        <w:rPr>
          <w:snapToGrid w:val="0"/>
        </w:rPr>
        <w:tab/>
        <w:t>Restrictions and relief against forfeiture of leases and under</w:t>
      </w:r>
      <w:r>
        <w:rPr>
          <w:snapToGrid w:val="0"/>
        </w:rPr>
        <w:noBreakHyphen/>
        <w:t>leases</w:t>
      </w:r>
      <w:bookmarkEnd w:id="173"/>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 xml:space="preserve">in case of relief may grant it on such terms (if any) as to costs, expenses, damages, compensation, penalty or </w:t>
      </w:r>
      <w:r>
        <w:rPr>
          <w:snapToGrid w:val="0"/>
        </w:rPr>
        <w:lastRenderedPageBreak/>
        <w:t>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(3B)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 xml:space="preserve">lessee entitled to require a lease to be </w:t>
      </w:r>
      <w:r>
        <w:rPr>
          <w:snapToGrid w:val="0"/>
        </w:rPr>
        <w:lastRenderedPageBreak/>
        <w:t>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Defstart"/>
      </w:pPr>
      <w:r>
        <w:tab/>
      </w:r>
      <w:r>
        <w:rPr>
          <w:rStyle w:val="CharDefText"/>
        </w:rPr>
        <w:t>lease</w:t>
      </w:r>
      <w:r>
        <w:t xml:space="preserve"> includes an original or derivative under</w:t>
      </w:r>
      <w:r>
        <w:noBreakHyphen/>
        <w:t>lease; an agreement for a lease where the lessee has become entitled to have his lease granted, and a grant securing a rent by condition;</w:t>
      </w:r>
    </w:p>
    <w:p>
      <w:pPr>
        <w:pStyle w:val="Defstart"/>
      </w:pPr>
      <w:r>
        <w:tab/>
      </w:r>
      <w:r>
        <w:rPr>
          <w:rStyle w:val="CharDefText"/>
        </w:rPr>
        <w:t>lessee</w:t>
      </w:r>
      <w:r>
        <w:t xml:space="preserve"> includes an original or derivative under</w:t>
      </w:r>
      <w:r>
        <w:noBreakHyphen/>
        <w:t>lessee, and the persons deriving title under a lessee, and a grantee under any grant securing a rent by condition and the persons deriving title under him;</w:t>
      </w:r>
    </w:p>
    <w:p>
      <w:pPr>
        <w:pStyle w:val="Defstart"/>
      </w:pPr>
      <w:r>
        <w:tab/>
      </w:r>
      <w:r>
        <w:rPr>
          <w:rStyle w:val="CharDefText"/>
        </w:rPr>
        <w:t>lessor</w:t>
      </w:r>
      <w:r>
        <w:t xml:space="preserve"> includes an original or derivative under</w:t>
      </w:r>
      <w:r>
        <w:noBreakHyphen/>
        <w:t>lessor, and the persons deriving title under a lessor, a person making a grant securing a rent by condition and the persons deriving title under him;</w:t>
      </w:r>
    </w:p>
    <w:p>
      <w:pPr>
        <w:pStyle w:val="Defstart"/>
      </w:pPr>
      <w:r>
        <w:tab/>
      </w:r>
      <w:r>
        <w:rPr>
          <w:rStyle w:val="CharDefText"/>
        </w:rPr>
        <w:t>under</w:t>
      </w:r>
      <w:r>
        <w:rPr>
          <w:rStyle w:val="CharDefText"/>
        </w:rPr>
        <w:noBreakHyphen/>
        <w:t>lease</w:t>
      </w:r>
      <w:r>
        <w:t xml:space="preserve"> includes an agreement for an under</w:t>
      </w:r>
      <w:r>
        <w:noBreakHyphen/>
        <w:t>lease where the under</w:t>
      </w:r>
      <w:r>
        <w:noBreakHyphen/>
        <w:t>lessee has become entitled to have his under</w:t>
      </w:r>
      <w:r>
        <w:noBreakHyphen/>
        <w:t>lease granted;</w:t>
      </w:r>
    </w:p>
    <w:p>
      <w:pPr>
        <w:pStyle w:val="Defstart"/>
      </w:pPr>
      <w:r>
        <w:tab/>
      </w:r>
      <w:r>
        <w:rPr>
          <w:rStyle w:val="CharDefText"/>
        </w:rPr>
        <w:t>under</w:t>
      </w:r>
      <w:r>
        <w:rPr>
          <w:rStyle w:val="CharDefText"/>
        </w:rPr>
        <w:noBreakHyphen/>
        <w:t>lessee</w:t>
      </w:r>
      <w:r>
        <w:t xml:space="preserve"> includes any person deriving title under an under</w:t>
      </w:r>
      <w: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lastRenderedPageBreak/>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No. 73 of 2006 s. 115; No. 19 of 2010 s. 51.]</w:t>
      </w:r>
    </w:p>
    <w:p>
      <w:pPr>
        <w:pStyle w:val="Heading5"/>
        <w:rPr>
          <w:snapToGrid w:val="0"/>
        </w:rPr>
      </w:pPr>
      <w:bookmarkStart w:id="174" w:name="_Toc216963965"/>
      <w:r>
        <w:rPr>
          <w:rStyle w:val="CharSectno"/>
        </w:rPr>
        <w:t>82</w:t>
      </w:r>
      <w:r>
        <w:rPr>
          <w:snapToGrid w:val="0"/>
        </w:rPr>
        <w:t>.</w:t>
      </w:r>
      <w:r>
        <w:rPr>
          <w:snapToGrid w:val="0"/>
        </w:rPr>
        <w:tab/>
        <w:t>Certain assignments not to be deemed a breach</w:t>
      </w:r>
      <w:bookmarkEnd w:id="174"/>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175" w:name="_Toc216963966"/>
      <w:r>
        <w:rPr>
          <w:rStyle w:val="CharSectno"/>
        </w:rPr>
        <w:t>83</w:t>
      </w:r>
      <w:r>
        <w:rPr>
          <w:snapToGrid w:val="0"/>
        </w:rPr>
        <w:t>.</w:t>
      </w:r>
      <w:r>
        <w:rPr>
          <w:snapToGrid w:val="0"/>
        </w:rPr>
        <w:tab/>
        <w:t>Surrender of head lease to grant new lease not to prejudice under</w:t>
      </w:r>
      <w:r>
        <w:rPr>
          <w:snapToGrid w:val="0"/>
        </w:rPr>
        <w:noBreakHyphen/>
        <w:t>lease</w:t>
      </w:r>
      <w:bookmarkEnd w:id="175"/>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xml:space="preserve">, may be surrendered with a view to the acceptance of a </w:t>
      </w:r>
      <w:r>
        <w:rPr>
          <w:snapToGrid w:val="0"/>
        </w:rPr>
        <w:lastRenderedPageBreak/>
        <w:t>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lastRenderedPageBreak/>
        <w:tab/>
        <w:t>(6)</w:t>
      </w:r>
      <w:r>
        <w:rPr>
          <w:snapToGrid w:val="0"/>
        </w:rPr>
        <w:tab/>
        <w:t>This section does not affect the powers of the Court to give relief against forfeiture.</w:t>
      </w:r>
    </w:p>
    <w:p>
      <w:pPr>
        <w:pStyle w:val="Heading3"/>
        <w:keepLines/>
      </w:pPr>
      <w:bookmarkStart w:id="176" w:name="_Toc75340946"/>
      <w:bookmarkStart w:id="177" w:name="_Toc75341968"/>
      <w:bookmarkStart w:id="178" w:name="_Toc75423969"/>
      <w:bookmarkStart w:id="179" w:name="_Toc216856293"/>
      <w:bookmarkStart w:id="180" w:name="_Toc216856969"/>
      <w:bookmarkStart w:id="181" w:name="_Toc216857142"/>
      <w:bookmarkStart w:id="182" w:name="_Toc216857842"/>
      <w:bookmarkStart w:id="183" w:name="_Toc216946470"/>
      <w:bookmarkStart w:id="184" w:name="_Toc216946643"/>
      <w:bookmarkStart w:id="185" w:name="_Toc216963967"/>
      <w:r>
        <w:rPr>
          <w:rStyle w:val="CharDivNo"/>
        </w:rPr>
        <w:t>Division 2</w:t>
      </w:r>
      <w:r>
        <w:rPr>
          <w:snapToGrid w:val="0"/>
        </w:rPr>
        <w:t> — </w:t>
      </w:r>
      <w:r>
        <w:rPr>
          <w:rStyle w:val="CharDivText"/>
        </w:rPr>
        <w:t>Options in leases</w:t>
      </w:r>
      <w:bookmarkEnd w:id="176"/>
      <w:bookmarkEnd w:id="177"/>
      <w:bookmarkEnd w:id="178"/>
      <w:bookmarkEnd w:id="179"/>
      <w:bookmarkEnd w:id="180"/>
      <w:bookmarkEnd w:id="181"/>
      <w:bookmarkEnd w:id="182"/>
      <w:bookmarkEnd w:id="183"/>
      <w:bookmarkEnd w:id="184"/>
      <w:bookmarkEnd w:id="185"/>
    </w:p>
    <w:p>
      <w:pPr>
        <w:pStyle w:val="Footnoteheading"/>
        <w:keepNext/>
        <w:keepLines/>
        <w:rPr>
          <w:snapToGrid w:val="0"/>
        </w:rPr>
      </w:pPr>
      <w:r>
        <w:rPr>
          <w:snapToGrid w:val="0"/>
        </w:rPr>
        <w:tab/>
        <w:t>[Heading inserted: No. 35 of 1973 s. 3.]</w:t>
      </w:r>
    </w:p>
    <w:p>
      <w:pPr>
        <w:pStyle w:val="Heading5"/>
        <w:spacing w:before="180"/>
        <w:rPr>
          <w:snapToGrid w:val="0"/>
        </w:rPr>
      </w:pPr>
      <w:bookmarkStart w:id="186" w:name="_Toc216963968"/>
      <w:r>
        <w:rPr>
          <w:rStyle w:val="CharSectno"/>
        </w:rPr>
        <w:t>83A</w:t>
      </w:r>
      <w:r>
        <w:rPr>
          <w:snapToGrid w:val="0"/>
        </w:rPr>
        <w:t>.</w:t>
      </w:r>
      <w:r>
        <w:rPr>
          <w:snapToGrid w:val="0"/>
        </w:rPr>
        <w:tab/>
        <w:t>Interpretation</w:t>
      </w:r>
      <w:bookmarkEnd w:id="186"/>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No. 35 of 1973 s. 3.]</w:t>
      </w:r>
    </w:p>
    <w:p>
      <w:pPr>
        <w:pStyle w:val="Heading5"/>
        <w:rPr>
          <w:snapToGrid w:val="0"/>
        </w:rPr>
      </w:pPr>
      <w:bookmarkStart w:id="187" w:name="_Toc216963969"/>
      <w:r>
        <w:rPr>
          <w:rStyle w:val="CharSectno"/>
        </w:rPr>
        <w:t>83B</w:t>
      </w:r>
      <w:r>
        <w:rPr>
          <w:snapToGrid w:val="0"/>
        </w:rPr>
        <w:t>.</w:t>
      </w:r>
      <w:r>
        <w:rPr>
          <w:snapToGrid w:val="0"/>
        </w:rPr>
        <w:tab/>
        <w:t>Construction and application of Division</w:t>
      </w:r>
      <w:bookmarkEnd w:id="187"/>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and options contained therein.</w:t>
      </w:r>
    </w:p>
    <w:p>
      <w:pPr>
        <w:pStyle w:val="Subsection"/>
        <w:rPr>
          <w:snapToGrid w:val="0"/>
        </w:rPr>
      </w:pPr>
      <w:r>
        <w:rPr>
          <w:snapToGrid w:val="0"/>
        </w:rPr>
        <w:lastRenderedPageBreak/>
        <w:tab/>
        <w:t>(3)</w:t>
      </w:r>
      <w:r>
        <w:rPr>
          <w:snapToGrid w:val="0"/>
        </w:rPr>
        <w:tab/>
        <w:t>This Division has effect notwithstanding any stipulation to the contrary.</w:t>
      </w:r>
    </w:p>
    <w:p>
      <w:pPr>
        <w:pStyle w:val="Footnotesection"/>
      </w:pPr>
      <w:r>
        <w:tab/>
        <w:t>[Section 83B inserted: No. 35 of 1973 s. 3.]</w:t>
      </w:r>
    </w:p>
    <w:p>
      <w:pPr>
        <w:pStyle w:val="Heading5"/>
        <w:rPr>
          <w:snapToGrid w:val="0"/>
        </w:rPr>
      </w:pPr>
      <w:bookmarkStart w:id="188" w:name="_Toc216963970"/>
      <w:r>
        <w:rPr>
          <w:rStyle w:val="CharSectno"/>
        </w:rPr>
        <w:t>83C</w:t>
      </w:r>
      <w:r>
        <w:rPr>
          <w:snapToGrid w:val="0"/>
        </w:rPr>
        <w:t>.</w:t>
      </w:r>
      <w:r>
        <w:rPr>
          <w:snapToGrid w:val="0"/>
        </w:rPr>
        <w:tab/>
        <w:t>Breach of certain obligations not to preclude lessee from exercising option in certain circumstances</w:t>
      </w:r>
      <w:bookmarkEnd w:id="188"/>
    </w:p>
    <w:p>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 xml:space="preserve">where relief is granted upon terms to be complied with by the lessee before compliance by the lessor with the order granting relief, the lessee </w:t>
      </w:r>
      <w:r>
        <w:rPr>
          <w:snapToGrid w:val="0"/>
        </w:rPr>
        <w:lastRenderedPageBreak/>
        <w:t>fails to comply with those terms within the time stipulated by the Court for the purpose.</w:t>
      </w:r>
    </w:p>
    <w:p>
      <w:pPr>
        <w:pStyle w:val="Footnotesection"/>
      </w:pPr>
      <w:r>
        <w:tab/>
        <w:t>[Section 83C inserted: No. 35 of 1973 s. 3.]</w:t>
      </w:r>
    </w:p>
    <w:p>
      <w:pPr>
        <w:pStyle w:val="Heading5"/>
        <w:rPr>
          <w:snapToGrid w:val="0"/>
        </w:rPr>
      </w:pPr>
      <w:bookmarkStart w:id="189" w:name="_Toc216963971"/>
      <w:r>
        <w:rPr>
          <w:rStyle w:val="CharSectno"/>
        </w:rPr>
        <w:t>83D</w:t>
      </w:r>
      <w:r>
        <w:rPr>
          <w:snapToGrid w:val="0"/>
        </w:rPr>
        <w:t>.</w:t>
      </w:r>
      <w:r>
        <w:rPr>
          <w:snapToGrid w:val="0"/>
        </w:rPr>
        <w:tab/>
        <w:t>Court may grant relief from breach of certain obligations</w:t>
      </w:r>
      <w:bookmarkEnd w:id="189"/>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keepNext/>
        <w:rPr>
          <w:snapToGrid w:val="0"/>
        </w:rPr>
      </w:pPr>
      <w:r>
        <w:rPr>
          <w:snapToGrid w:val="0"/>
        </w:rPr>
        <w:lastRenderedPageBreak/>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No. 35 of 1973 s. 3.]</w:t>
      </w:r>
    </w:p>
    <w:p>
      <w:pPr>
        <w:pStyle w:val="Heading5"/>
        <w:rPr>
          <w:snapToGrid w:val="0"/>
        </w:rPr>
      </w:pPr>
      <w:bookmarkStart w:id="190" w:name="_Toc216963972"/>
      <w:r>
        <w:rPr>
          <w:rStyle w:val="CharSectno"/>
        </w:rPr>
        <w:t>83E</w:t>
      </w:r>
      <w:r>
        <w:rPr>
          <w:snapToGrid w:val="0"/>
        </w:rPr>
        <w:t>.</w:t>
      </w:r>
      <w:r>
        <w:rPr>
          <w:snapToGrid w:val="0"/>
        </w:rPr>
        <w:tab/>
        <w:t>Lease to continue in force until issue decided</w:t>
      </w:r>
      <w:bookmarkEnd w:id="190"/>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keepNext/>
        <w:spacing w:before="60"/>
        <w:rPr>
          <w:snapToGrid w:val="0"/>
        </w:rPr>
      </w:pPr>
      <w:r>
        <w:rPr>
          <w:snapToGrid w:val="0"/>
        </w:rPr>
        <w:tab/>
        <w:t>(c)</w:t>
      </w:r>
      <w:r>
        <w:rPr>
          <w:snapToGrid w:val="0"/>
        </w:rPr>
        <w:tab/>
        <w:t xml:space="preserve">where, in relation to a lease continued in force under paragraph (b), relief referred to in section 83C is sought </w:t>
      </w:r>
      <w:r>
        <w:rPr>
          <w:snapToGrid w:val="0"/>
        </w:rPr>
        <w:lastRenderedPageBreak/>
        <w:t>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 xml:space="preserve">Subsection (4) does not apply to or in respect of a lease that stipulates for the commencement of any lease granted pursuant </w:t>
      </w:r>
      <w:r>
        <w:rPr>
          <w:snapToGrid w:val="0"/>
        </w:rPr>
        <w:lastRenderedPageBreak/>
        <w:t>to an exercise of the option contained therein on a day that is later than the day on which the lease so granted would, but for this subsection, commence under subsection (4).</w:t>
      </w:r>
    </w:p>
    <w:p>
      <w:pPr>
        <w:pStyle w:val="Footnotesection"/>
      </w:pPr>
      <w:r>
        <w:tab/>
        <w:t>[Section 83E inserted: No. 35 of 1973 s. 3.]</w:t>
      </w:r>
    </w:p>
    <w:p>
      <w:pPr>
        <w:pStyle w:val="Heading2"/>
      </w:pPr>
      <w:bookmarkStart w:id="191" w:name="_Toc75340952"/>
      <w:bookmarkStart w:id="192" w:name="_Toc75341974"/>
      <w:bookmarkStart w:id="193" w:name="_Toc75423975"/>
      <w:bookmarkStart w:id="194" w:name="_Toc216856299"/>
      <w:bookmarkStart w:id="195" w:name="_Toc216856975"/>
      <w:bookmarkStart w:id="196" w:name="_Toc216857148"/>
      <w:bookmarkStart w:id="197" w:name="_Toc216857848"/>
      <w:bookmarkStart w:id="198" w:name="_Toc216946476"/>
      <w:bookmarkStart w:id="199" w:name="_Toc216946649"/>
      <w:bookmarkStart w:id="200" w:name="_Toc216963973"/>
      <w:r>
        <w:rPr>
          <w:rStyle w:val="CharPartNo"/>
        </w:rPr>
        <w:lastRenderedPageBreak/>
        <w:t>Part VIII</w:t>
      </w:r>
      <w:r>
        <w:rPr>
          <w:rStyle w:val="CharDivNo"/>
        </w:rPr>
        <w:t> </w:t>
      </w:r>
      <w:r>
        <w:t>—</w:t>
      </w:r>
      <w:r>
        <w:rPr>
          <w:rStyle w:val="CharDivText"/>
        </w:rPr>
        <w:t> </w:t>
      </w:r>
      <w:r>
        <w:rPr>
          <w:rStyle w:val="CharPartText"/>
        </w:rPr>
        <w:t>Powers of attorney</w:t>
      </w:r>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216963974"/>
      <w:r>
        <w:rPr>
          <w:rStyle w:val="CharSectno"/>
        </w:rPr>
        <w:t>84</w:t>
      </w:r>
      <w:r>
        <w:rPr>
          <w:snapToGrid w:val="0"/>
        </w:rPr>
        <w:t>.</w:t>
      </w:r>
      <w:r>
        <w:rPr>
          <w:snapToGrid w:val="0"/>
        </w:rPr>
        <w:tab/>
        <w:t>Execution by attorney in his own name</w:t>
      </w:r>
      <w:bookmarkEnd w:id="201"/>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202" w:name="_Toc216963975"/>
      <w:r>
        <w:rPr>
          <w:rStyle w:val="CharSectno"/>
        </w:rPr>
        <w:t>85</w:t>
      </w:r>
      <w:r>
        <w:rPr>
          <w:snapToGrid w:val="0"/>
        </w:rPr>
        <w:t>.</w:t>
      </w:r>
      <w:r>
        <w:rPr>
          <w:snapToGrid w:val="0"/>
        </w:rPr>
        <w:tab/>
        <w:t>Continuance until notice of death or revocation received</w:t>
      </w:r>
      <w:bookmarkEnd w:id="202"/>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 xml:space="preserve">revocation at the time when the act was done or suffered </w:t>
      </w:r>
      <w:r>
        <w:rPr>
          <w:snapToGrid w:val="0"/>
        </w:rPr>
        <w:lastRenderedPageBreak/>
        <w:t>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203" w:name="_Toc216963976"/>
      <w:r>
        <w:rPr>
          <w:rStyle w:val="CharSectno"/>
        </w:rPr>
        <w:t>86</w:t>
      </w:r>
      <w:r>
        <w:rPr>
          <w:snapToGrid w:val="0"/>
        </w:rPr>
        <w:t>.</w:t>
      </w:r>
      <w:r>
        <w:rPr>
          <w:snapToGrid w:val="0"/>
        </w:rPr>
        <w:tab/>
        <w:t>Irrevocable power of attorney for value</w:t>
      </w:r>
      <w:bookmarkEnd w:id="203"/>
    </w:p>
    <w:p>
      <w:pPr>
        <w:pStyle w:val="Subsection"/>
        <w:rPr>
          <w:snapToGrid w:val="0"/>
        </w:rPr>
      </w:pPr>
      <w:r>
        <w:rPr>
          <w:snapToGrid w:val="0"/>
        </w:rPr>
        <w:tab/>
        <w:t>(1)</w:t>
      </w:r>
      <w:r>
        <w:rPr>
          <w:snapToGrid w:val="0"/>
        </w:rPr>
        <w:tab/>
        <w:t xml:space="preserve">Where a power of attorney given for valuable consideration (whether executed in or out of the State) is in the instrument </w:t>
      </w:r>
      <w:r>
        <w:rPr>
          <w:snapToGrid w:val="0"/>
        </w:rPr>
        <w:lastRenderedPageBreak/>
        <w:t>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04" w:name="_Toc216963977"/>
      <w:r>
        <w:rPr>
          <w:rStyle w:val="CharSectno"/>
        </w:rPr>
        <w:t>87</w:t>
      </w:r>
      <w:r>
        <w:rPr>
          <w:snapToGrid w:val="0"/>
        </w:rPr>
        <w:t>.</w:t>
      </w:r>
      <w:r>
        <w:rPr>
          <w:snapToGrid w:val="0"/>
        </w:rPr>
        <w:tab/>
        <w:t>Power of attorney made irrevocable for fixed time</w:t>
      </w:r>
      <w:bookmarkEnd w:id="204"/>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 xml:space="preserve">any act done within that fixed time by the donee of the power in pursuance of the power shall be as valid as if anything done by the donor of the power without the concurrence of the donee, or the death, mental </w:t>
      </w:r>
      <w:r>
        <w:rPr>
          <w:snapToGrid w:val="0"/>
        </w:rPr>
        <w:lastRenderedPageBreak/>
        <w:t>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05" w:name="_Toc216963978"/>
      <w:r>
        <w:rPr>
          <w:rStyle w:val="CharSectno"/>
        </w:rPr>
        <w:t>88</w:t>
      </w:r>
      <w:r>
        <w:rPr>
          <w:snapToGrid w:val="0"/>
        </w:rPr>
        <w:t>.</w:t>
      </w:r>
      <w:r>
        <w:rPr>
          <w:snapToGrid w:val="0"/>
        </w:rPr>
        <w:tab/>
        <w:t>Application to corporations</w:t>
      </w:r>
      <w:bookmarkEnd w:id="205"/>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No. 20 of 2003 s. 41.]</w:t>
      </w:r>
    </w:p>
    <w:p>
      <w:pPr>
        <w:pStyle w:val="Heading2"/>
      </w:pPr>
      <w:bookmarkStart w:id="206" w:name="_Toc75340958"/>
      <w:bookmarkStart w:id="207" w:name="_Toc75341980"/>
      <w:bookmarkStart w:id="208" w:name="_Toc75423981"/>
      <w:bookmarkStart w:id="209" w:name="_Toc216856305"/>
      <w:bookmarkStart w:id="210" w:name="_Toc216856981"/>
      <w:bookmarkStart w:id="211" w:name="_Toc216857154"/>
      <w:bookmarkStart w:id="212" w:name="_Toc216857854"/>
      <w:bookmarkStart w:id="213" w:name="_Toc216946482"/>
      <w:bookmarkStart w:id="214" w:name="_Toc216946655"/>
      <w:bookmarkStart w:id="215" w:name="_Toc216963979"/>
      <w:r>
        <w:rPr>
          <w:rStyle w:val="CharPartNo"/>
        </w:rPr>
        <w:lastRenderedPageBreak/>
        <w:t>Part IX</w:t>
      </w:r>
      <w:r>
        <w:rPr>
          <w:rStyle w:val="CharDivNo"/>
        </w:rPr>
        <w:t> </w:t>
      </w:r>
      <w:r>
        <w:t>—</w:t>
      </w:r>
      <w:r>
        <w:rPr>
          <w:rStyle w:val="CharDivText"/>
        </w:rPr>
        <w:t> </w:t>
      </w:r>
      <w:r>
        <w:rPr>
          <w:rStyle w:val="CharPartText"/>
        </w:rPr>
        <w:t>Voidable dispositions</w:t>
      </w:r>
      <w:bookmarkEnd w:id="206"/>
      <w:bookmarkEnd w:id="207"/>
      <w:bookmarkEnd w:id="208"/>
      <w:bookmarkEnd w:id="209"/>
      <w:bookmarkEnd w:id="210"/>
      <w:bookmarkEnd w:id="211"/>
      <w:bookmarkEnd w:id="212"/>
      <w:bookmarkEnd w:id="213"/>
      <w:bookmarkEnd w:id="214"/>
      <w:bookmarkEnd w:id="215"/>
    </w:p>
    <w:p>
      <w:pPr>
        <w:pStyle w:val="Heading5"/>
        <w:spacing w:before="180"/>
        <w:rPr>
          <w:snapToGrid w:val="0"/>
        </w:rPr>
      </w:pPr>
      <w:bookmarkStart w:id="216" w:name="_Toc216963980"/>
      <w:r>
        <w:rPr>
          <w:rStyle w:val="CharSectno"/>
        </w:rPr>
        <w:t>89</w:t>
      </w:r>
      <w:r>
        <w:rPr>
          <w:snapToGrid w:val="0"/>
        </w:rPr>
        <w:t>.</w:t>
      </w:r>
      <w:r>
        <w:rPr>
          <w:snapToGrid w:val="0"/>
        </w:rPr>
        <w:tab/>
        <w:t>Voluntary conveyances to defraud creditors voidable</w:t>
      </w:r>
      <w:bookmarkEnd w:id="216"/>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217" w:name="_Toc216963981"/>
      <w:r>
        <w:rPr>
          <w:rStyle w:val="CharSectno"/>
        </w:rPr>
        <w:t>90</w:t>
      </w:r>
      <w:r>
        <w:rPr>
          <w:snapToGrid w:val="0"/>
        </w:rPr>
        <w:t>.</w:t>
      </w:r>
      <w:r>
        <w:rPr>
          <w:snapToGrid w:val="0"/>
        </w:rPr>
        <w:tab/>
        <w:t>Voluntary disposition to defraud purchasers voidable</w:t>
      </w:r>
      <w:bookmarkEnd w:id="217"/>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218" w:name="_Toc216963982"/>
      <w:r>
        <w:rPr>
          <w:rStyle w:val="CharSectno"/>
        </w:rPr>
        <w:t>91</w:t>
      </w:r>
      <w:r>
        <w:rPr>
          <w:snapToGrid w:val="0"/>
        </w:rPr>
        <w:t>.</w:t>
      </w:r>
      <w:r>
        <w:rPr>
          <w:snapToGrid w:val="0"/>
        </w:rPr>
        <w:tab/>
        <w:t>Subsequent conveyance not to be evidence of intent to defraud</w:t>
      </w:r>
      <w:bookmarkEnd w:id="218"/>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219" w:name="_Toc216963983"/>
      <w:r>
        <w:rPr>
          <w:rStyle w:val="CharSectno"/>
        </w:rPr>
        <w:t>92</w:t>
      </w:r>
      <w:r>
        <w:rPr>
          <w:snapToGrid w:val="0"/>
        </w:rPr>
        <w:t>.</w:t>
      </w:r>
      <w:r>
        <w:rPr>
          <w:snapToGrid w:val="0"/>
        </w:rPr>
        <w:tab/>
        <w:t>Acquisitions of reversions at an under value</w:t>
      </w:r>
      <w:bookmarkEnd w:id="219"/>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lastRenderedPageBreak/>
        <w:tab/>
        <w:t>(2)</w:t>
      </w:r>
      <w:r>
        <w:rPr>
          <w:snapToGrid w:val="0"/>
        </w:rPr>
        <w:tab/>
        <w:t xml:space="preserve">In this section </w:t>
      </w:r>
      <w:r>
        <w:rPr>
          <w:rStyle w:val="CharDefText"/>
        </w:rPr>
        <w:t>reversionary interest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220" w:name="_Toc75340963"/>
      <w:bookmarkStart w:id="221" w:name="_Toc75341985"/>
      <w:bookmarkStart w:id="222" w:name="_Toc75423986"/>
      <w:bookmarkStart w:id="223" w:name="_Toc216856310"/>
      <w:bookmarkStart w:id="224" w:name="_Toc216856986"/>
      <w:bookmarkStart w:id="225" w:name="_Toc216857159"/>
      <w:bookmarkStart w:id="226" w:name="_Toc216857859"/>
      <w:bookmarkStart w:id="227" w:name="_Toc216946487"/>
      <w:bookmarkStart w:id="228" w:name="_Toc216946660"/>
      <w:bookmarkStart w:id="229" w:name="_Toc216963984"/>
      <w:r>
        <w:rPr>
          <w:rStyle w:val="CharPartNo"/>
        </w:rPr>
        <w:lastRenderedPageBreak/>
        <w:t>Part X</w:t>
      </w:r>
      <w:r>
        <w:rPr>
          <w:rStyle w:val="CharDivNo"/>
        </w:rPr>
        <w:t> </w:t>
      </w:r>
      <w:r>
        <w:t>—</w:t>
      </w:r>
      <w:r>
        <w:rPr>
          <w:rStyle w:val="CharDivText"/>
        </w:rPr>
        <w:t> </w:t>
      </w:r>
      <w:r>
        <w:rPr>
          <w:rStyle w:val="CharPartText"/>
        </w:rPr>
        <w:t>Powers of appointment</w:t>
      </w:r>
      <w:bookmarkEnd w:id="220"/>
      <w:bookmarkEnd w:id="221"/>
      <w:bookmarkEnd w:id="222"/>
      <w:bookmarkEnd w:id="223"/>
      <w:bookmarkEnd w:id="224"/>
      <w:bookmarkEnd w:id="225"/>
      <w:bookmarkEnd w:id="226"/>
      <w:bookmarkEnd w:id="227"/>
      <w:bookmarkEnd w:id="228"/>
      <w:bookmarkEnd w:id="229"/>
    </w:p>
    <w:p>
      <w:pPr>
        <w:pStyle w:val="Heading5"/>
        <w:spacing w:before="180"/>
        <w:rPr>
          <w:snapToGrid w:val="0"/>
        </w:rPr>
      </w:pPr>
      <w:bookmarkStart w:id="230" w:name="_Toc216963985"/>
      <w:r>
        <w:rPr>
          <w:rStyle w:val="CharSectno"/>
        </w:rPr>
        <w:t>93</w:t>
      </w:r>
      <w:r>
        <w:rPr>
          <w:snapToGrid w:val="0"/>
        </w:rPr>
        <w:t>.</w:t>
      </w:r>
      <w:r>
        <w:rPr>
          <w:snapToGrid w:val="0"/>
        </w:rPr>
        <w:tab/>
        <w:t>Disclaimer etc. of powers</w:t>
      </w:r>
      <w:bookmarkEnd w:id="230"/>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231" w:name="_Toc216963986"/>
      <w:r>
        <w:rPr>
          <w:rStyle w:val="CharSectno"/>
        </w:rPr>
        <w:t>94</w:t>
      </w:r>
      <w:r>
        <w:rPr>
          <w:snapToGrid w:val="0"/>
        </w:rPr>
        <w:t>.</w:t>
      </w:r>
      <w:r>
        <w:rPr>
          <w:snapToGrid w:val="0"/>
        </w:rPr>
        <w:tab/>
        <w:t>Effect of disclaimer etc.</w:t>
      </w:r>
      <w:bookmarkEnd w:id="231"/>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232" w:name="_Toc216963987"/>
      <w:r>
        <w:rPr>
          <w:rStyle w:val="CharSectno"/>
        </w:rPr>
        <w:t>95</w:t>
      </w:r>
      <w:r>
        <w:rPr>
          <w:snapToGrid w:val="0"/>
        </w:rPr>
        <w:t>.</w:t>
      </w:r>
      <w:r>
        <w:rPr>
          <w:snapToGrid w:val="0"/>
        </w:rPr>
        <w:tab/>
        <w:t>Protection of purchasers claiming under certain void appointments</w:t>
      </w:r>
      <w:bookmarkEnd w:id="232"/>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w:t>
      </w:r>
      <w:r>
        <w:rPr>
          <w:snapToGrid w:val="0"/>
        </w:rPr>
        <w:lastRenderedPageBreak/>
        <w:t>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233" w:name="_Toc216963988"/>
      <w:r>
        <w:rPr>
          <w:rStyle w:val="CharSectno"/>
        </w:rPr>
        <w:t>96</w:t>
      </w:r>
      <w:r>
        <w:rPr>
          <w:snapToGrid w:val="0"/>
        </w:rPr>
        <w:t>.</w:t>
      </w:r>
      <w:r>
        <w:rPr>
          <w:snapToGrid w:val="0"/>
        </w:rPr>
        <w:tab/>
        <w:t>Validation of appointments where objects are excluded or take illusory shares</w:t>
      </w:r>
      <w:bookmarkEnd w:id="233"/>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234" w:name="_Toc216963989"/>
      <w:r>
        <w:rPr>
          <w:rStyle w:val="CharSectno"/>
        </w:rPr>
        <w:t>97</w:t>
      </w:r>
      <w:r>
        <w:rPr>
          <w:snapToGrid w:val="0"/>
        </w:rPr>
        <w:t>.</w:t>
      </w:r>
      <w:r>
        <w:rPr>
          <w:snapToGrid w:val="0"/>
        </w:rPr>
        <w:tab/>
        <w:t>Execution of powers not testamentary</w:t>
      </w:r>
      <w:bookmarkEnd w:id="234"/>
    </w:p>
    <w:p>
      <w:pPr>
        <w:pStyle w:val="Subsection"/>
        <w:rPr>
          <w:snapToGrid w:val="0"/>
        </w:rPr>
      </w:pPr>
      <w:r>
        <w:rPr>
          <w:snapToGrid w:val="0"/>
        </w:rPr>
        <w:tab/>
        <w:t>(1)</w:t>
      </w:r>
      <w:r>
        <w:rPr>
          <w:snapToGrid w:val="0"/>
        </w:rPr>
        <w:tab/>
        <w:t xml:space="preserve">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w:t>
      </w:r>
      <w:r>
        <w:rPr>
          <w:snapToGrid w:val="0"/>
        </w:rPr>
        <w:lastRenderedPageBreak/>
        <w:t>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235" w:name="_Toc216963990"/>
      <w:r>
        <w:rPr>
          <w:rStyle w:val="CharSectno"/>
        </w:rPr>
        <w:t>98</w:t>
      </w:r>
      <w:r>
        <w:rPr>
          <w:snapToGrid w:val="0"/>
        </w:rPr>
        <w:t>.</w:t>
      </w:r>
      <w:r>
        <w:rPr>
          <w:snapToGrid w:val="0"/>
        </w:rPr>
        <w:tab/>
        <w:t>Application of this Part to existing powers</w:t>
      </w:r>
      <w:bookmarkEnd w:id="235"/>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236" w:name="_Toc75340970"/>
      <w:bookmarkStart w:id="237" w:name="_Toc75341992"/>
      <w:bookmarkStart w:id="238" w:name="_Toc75423993"/>
      <w:bookmarkStart w:id="239" w:name="_Toc216856317"/>
      <w:bookmarkStart w:id="240" w:name="_Toc216856993"/>
      <w:bookmarkStart w:id="241" w:name="_Toc216857166"/>
      <w:bookmarkStart w:id="242" w:name="_Toc216857866"/>
      <w:bookmarkStart w:id="243" w:name="_Toc216946494"/>
      <w:bookmarkStart w:id="244" w:name="_Toc216946667"/>
      <w:bookmarkStart w:id="245" w:name="_Toc216963991"/>
      <w:r>
        <w:rPr>
          <w:rStyle w:val="CharPartNo"/>
        </w:rPr>
        <w:lastRenderedPageBreak/>
        <w:t>Part XI</w:t>
      </w:r>
      <w:r>
        <w:rPr>
          <w:rStyle w:val="CharDivNo"/>
        </w:rPr>
        <w:t> </w:t>
      </w:r>
      <w:r>
        <w:t>—</w:t>
      </w:r>
      <w:r>
        <w:rPr>
          <w:rStyle w:val="CharDivText"/>
        </w:rPr>
        <w:t> </w:t>
      </w:r>
      <w:r>
        <w:rPr>
          <w:rStyle w:val="CharPartText"/>
        </w:rPr>
        <w:t>Perpetuities and accumulations</w:t>
      </w:r>
      <w:bookmarkEnd w:id="236"/>
      <w:bookmarkEnd w:id="237"/>
      <w:bookmarkEnd w:id="238"/>
      <w:bookmarkEnd w:id="239"/>
      <w:bookmarkEnd w:id="240"/>
      <w:bookmarkEnd w:id="241"/>
      <w:bookmarkEnd w:id="242"/>
      <w:bookmarkEnd w:id="243"/>
      <w:bookmarkEnd w:id="244"/>
      <w:bookmarkEnd w:id="245"/>
    </w:p>
    <w:p>
      <w:pPr>
        <w:pStyle w:val="Heading5"/>
        <w:spacing w:before="180"/>
        <w:rPr>
          <w:snapToGrid w:val="0"/>
        </w:rPr>
      </w:pPr>
      <w:bookmarkStart w:id="246" w:name="_Toc216963992"/>
      <w:r>
        <w:rPr>
          <w:rStyle w:val="CharSectno"/>
        </w:rPr>
        <w:t>99</w:t>
      </w:r>
      <w:r>
        <w:rPr>
          <w:snapToGrid w:val="0"/>
        </w:rPr>
        <w:t>.</w:t>
      </w:r>
      <w:r>
        <w:rPr>
          <w:snapToGrid w:val="0"/>
        </w:rPr>
        <w:tab/>
        <w:t>Application</w:t>
      </w:r>
      <w:bookmarkEnd w:id="246"/>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247" w:name="_Toc216963993"/>
      <w:r>
        <w:rPr>
          <w:rStyle w:val="CharSectno"/>
        </w:rPr>
        <w:t>100</w:t>
      </w:r>
      <w:r>
        <w:rPr>
          <w:snapToGrid w:val="0"/>
        </w:rPr>
        <w:t>.</w:t>
      </w:r>
      <w:r>
        <w:rPr>
          <w:snapToGrid w:val="0"/>
        </w:rPr>
        <w:tab/>
        <w:t>Terms used in this Part</w:t>
      </w:r>
      <w:bookmarkEnd w:id="247"/>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r>
      <w:r>
        <w:rPr>
          <w:rStyle w:val="CharDefText"/>
        </w:rPr>
        <w:t>Court</w:t>
      </w:r>
      <w:r>
        <w:t xml:space="preserve"> means the Supreme Court or a Judge;</w:t>
      </w:r>
    </w:p>
    <w:p>
      <w:pPr>
        <w:pStyle w:val="Defstart"/>
        <w:spacing w:before="60"/>
      </w:pPr>
      <w:r>
        <w:rPr>
          <w:b/>
        </w:rPr>
        <w:tab/>
      </w:r>
      <w:r>
        <w:rPr>
          <w:rStyle w:val="CharDefText"/>
        </w:rPr>
        <w:t>decision of the Court</w:t>
      </w:r>
      <w:r>
        <w:t xml:space="preserve"> includes the decision of a court hearing an appeal from the Court;</w:t>
      </w:r>
    </w:p>
    <w:p>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r>
      <w:r>
        <w:rPr>
          <w:rStyle w:val="CharDefText"/>
        </w:rPr>
        <w:t>property</w:t>
      </w:r>
      <w:r>
        <w:t xml:space="preserve"> includes any thing in action, and any interest in real or personal property;</w:t>
      </w:r>
    </w:p>
    <w:p>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pPr>
        <w:pStyle w:val="Defstart"/>
        <w:spacing w:before="60"/>
      </w:pPr>
      <w:r>
        <w:rPr>
          <w:b/>
        </w:rPr>
        <w:tab/>
      </w:r>
      <w:r>
        <w:rPr>
          <w:rStyle w:val="CharDefText"/>
        </w:rPr>
        <w:t>will</w:t>
      </w:r>
      <w:r>
        <w:t xml:space="preserve"> includes a codicil.</w:t>
      </w:r>
    </w:p>
    <w:p>
      <w:pPr>
        <w:pStyle w:val="Heading5"/>
        <w:spacing w:before="180"/>
        <w:rPr>
          <w:snapToGrid w:val="0"/>
        </w:rPr>
      </w:pPr>
      <w:bookmarkStart w:id="248" w:name="_Toc216963994"/>
      <w:r>
        <w:rPr>
          <w:rStyle w:val="CharSectno"/>
        </w:rPr>
        <w:lastRenderedPageBreak/>
        <w:t>101</w:t>
      </w:r>
      <w:r>
        <w:rPr>
          <w:snapToGrid w:val="0"/>
        </w:rPr>
        <w:t>.</w:t>
      </w:r>
      <w:r>
        <w:rPr>
          <w:snapToGrid w:val="0"/>
        </w:rPr>
        <w:tab/>
        <w:t>The perpetuity period</w:t>
      </w:r>
      <w:bookmarkEnd w:id="248"/>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249" w:name="_Toc216963995"/>
      <w:r>
        <w:rPr>
          <w:rStyle w:val="CharSectno"/>
        </w:rPr>
        <w:t>102</w:t>
      </w:r>
      <w:r>
        <w:rPr>
          <w:snapToGrid w:val="0"/>
        </w:rPr>
        <w:t>.</w:t>
      </w:r>
      <w:r>
        <w:rPr>
          <w:snapToGrid w:val="0"/>
        </w:rPr>
        <w:tab/>
        <w:t>Capacity to procreate or bear a child</w:t>
      </w:r>
      <w:bookmarkEnd w:id="249"/>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or child</w:t>
      </w:r>
      <w:r>
        <w:rPr>
          <w:snapToGrid w:val="0"/>
        </w:rPr>
        <w:noBreakHyphen/>
        <w:t>bearing as it thinks proper as establishing the incapacity.</w:t>
      </w:r>
    </w:p>
    <w:p>
      <w:pPr>
        <w:pStyle w:val="Subsection"/>
        <w:rPr>
          <w:snapToGrid w:val="0"/>
        </w:rPr>
      </w:pPr>
      <w:r>
        <w:rPr>
          <w:snapToGrid w:val="0"/>
        </w:rPr>
        <w:lastRenderedPageBreak/>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No. 25 of 1972 s. 3; No. 28 of 2003 s. 161.]</w:t>
      </w:r>
    </w:p>
    <w:p>
      <w:pPr>
        <w:pStyle w:val="Heading5"/>
        <w:rPr>
          <w:snapToGrid w:val="0"/>
        </w:rPr>
      </w:pPr>
      <w:bookmarkStart w:id="250" w:name="_Toc216963996"/>
      <w:r>
        <w:rPr>
          <w:rStyle w:val="CharSectno"/>
        </w:rPr>
        <w:t>103</w:t>
      </w:r>
      <w:r>
        <w:rPr>
          <w:snapToGrid w:val="0"/>
        </w:rPr>
        <w:t>.</w:t>
      </w:r>
      <w:r>
        <w:rPr>
          <w:snapToGrid w:val="0"/>
        </w:rPr>
        <w:tab/>
        <w:t>Wait and see rule</w:t>
      </w:r>
      <w:bookmarkEnd w:id="250"/>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lastRenderedPageBreak/>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251" w:name="_Toc216963997"/>
      <w:r>
        <w:rPr>
          <w:rStyle w:val="CharSectno"/>
        </w:rPr>
        <w:t>104</w:t>
      </w:r>
      <w:r>
        <w:rPr>
          <w:snapToGrid w:val="0"/>
        </w:rPr>
        <w:t>.</w:t>
      </w:r>
      <w:r>
        <w:rPr>
          <w:snapToGrid w:val="0"/>
        </w:rPr>
        <w:tab/>
        <w:t>Power of Court to make declaration as to validity of limitations</w:t>
      </w:r>
      <w:bookmarkEnd w:id="251"/>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252" w:name="_Toc216963998"/>
      <w:r>
        <w:rPr>
          <w:rStyle w:val="CharSectno"/>
        </w:rPr>
        <w:t>105</w:t>
      </w:r>
      <w:r>
        <w:rPr>
          <w:snapToGrid w:val="0"/>
        </w:rPr>
        <w:t>.</w:t>
      </w:r>
      <w:r>
        <w:rPr>
          <w:snapToGrid w:val="0"/>
        </w:rPr>
        <w:tab/>
        <w:t>Invalid age contingencies</w:t>
      </w:r>
      <w:bookmarkEnd w:id="252"/>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lastRenderedPageBreak/>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No. 28 of 2003 s. 162.]</w:t>
      </w:r>
    </w:p>
    <w:p>
      <w:pPr>
        <w:pStyle w:val="Heading5"/>
        <w:rPr>
          <w:snapToGrid w:val="0"/>
        </w:rPr>
      </w:pPr>
      <w:bookmarkStart w:id="253" w:name="_Toc216963999"/>
      <w:r>
        <w:rPr>
          <w:rStyle w:val="CharSectno"/>
        </w:rPr>
        <w:t>106</w:t>
      </w:r>
      <w:r>
        <w:rPr>
          <w:snapToGrid w:val="0"/>
        </w:rPr>
        <w:t>.</w:t>
      </w:r>
      <w:r>
        <w:rPr>
          <w:snapToGrid w:val="0"/>
        </w:rPr>
        <w:tab/>
        <w:t>Class gifts</w:t>
      </w:r>
      <w:bookmarkEnd w:id="253"/>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254" w:name="_Toc216964000"/>
      <w:r>
        <w:rPr>
          <w:rStyle w:val="CharSectno"/>
        </w:rPr>
        <w:t>107</w:t>
      </w:r>
      <w:r>
        <w:rPr>
          <w:snapToGrid w:val="0"/>
        </w:rPr>
        <w:t>.</w:t>
      </w:r>
      <w:r>
        <w:rPr>
          <w:snapToGrid w:val="0"/>
        </w:rPr>
        <w:tab/>
        <w:t>Order of applying rules</w:t>
      </w:r>
      <w:bookmarkEnd w:id="254"/>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lastRenderedPageBreak/>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255" w:name="_Toc216964001"/>
      <w:r>
        <w:rPr>
          <w:rStyle w:val="CharSectno"/>
        </w:rPr>
        <w:t>108</w:t>
      </w:r>
      <w:r>
        <w:rPr>
          <w:snapToGrid w:val="0"/>
        </w:rPr>
        <w:t>.</w:t>
      </w:r>
      <w:r>
        <w:rPr>
          <w:snapToGrid w:val="0"/>
        </w:rPr>
        <w:tab/>
        <w:t>Unborn spouses or de facto partners</w:t>
      </w:r>
      <w:bookmarkEnd w:id="255"/>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No. 28 of 2003 s. 163.]</w:t>
      </w:r>
    </w:p>
    <w:p>
      <w:pPr>
        <w:pStyle w:val="Heading5"/>
        <w:rPr>
          <w:snapToGrid w:val="0"/>
        </w:rPr>
      </w:pPr>
      <w:bookmarkStart w:id="256" w:name="_Toc216964002"/>
      <w:r>
        <w:rPr>
          <w:rStyle w:val="CharSectno"/>
        </w:rPr>
        <w:t>109</w:t>
      </w:r>
      <w:r>
        <w:rPr>
          <w:snapToGrid w:val="0"/>
        </w:rPr>
        <w:t>.</w:t>
      </w:r>
      <w:r>
        <w:rPr>
          <w:snapToGrid w:val="0"/>
        </w:rPr>
        <w:tab/>
        <w:t>Dependent limitations</w:t>
      </w:r>
      <w:bookmarkEnd w:id="256"/>
    </w:p>
    <w:p>
      <w:pPr>
        <w:pStyle w:val="Subsection"/>
        <w:rPr>
          <w:snapToGrid w:val="0"/>
        </w:rPr>
      </w:pPr>
      <w:r>
        <w:rPr>
          <w:snapToGrid w:val="0"/>
        </w:rPr>
        <w:tab/>
        <w:t>(1)</w:t>
      </w:r>
      <w:r>
        <w:rPr>
          <w:snapToGrid w:val="0"/>
        </w:rPr>
        <w:tab/>
        <w:t xml:space="preserve">A limitation, that itself complies with the rule against perpetuities, is not invalidated solely by reason of its being </w:t>
      </w:r>
      <w:r>
        <w:rPr>
          <w:snapToGrid w:val="0"/>
        </w:rPr>
        <w:lastRenderedPageBreak/>
        <w:t>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257" w:name="_Toc216964003"/>
      <w:r>
        <w:rPr>
          <w:rStyle w:val="CharSectno"/>
        </w:rPr>
        <w:t>110</w:t>
      </w:r>
      <w:r>
        <w:rPr>
          <w:snapToGrid w:val="0"/>
        </w:rPr>
        <w:t>.</w:t>
      </w:r>
      <w:r>
        <w:rPr>
          <w:snapToGrid w:val="0"/>
        </w:rPr>
        <w:tab/>
        <w:t>Options</w:t>
      </w:r>
      <w:bookmarkEnd w:id="257"/>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258" w:name="_Toc216964004"/>
      <w:r>
        <w:rPr>
          <w:rStyle w:val="CharSectno"/>
        </w:rPr>
        <w:t>111</w:t>
      </w:r>
      <w:r>
        <w:rPr>
          <w:snapToGrid w:val="0"/>
        </w:rPr>
        <w:t>.</w:t>
      </w:r>
      <w:r>
        <w:rPr>
          <w:snapToGrid w:val="0"/>
        </w:rPr>
        <w:tab/>
        <w:t>Application of the rule to possibilities of reverter, rights of entry and resulting trusts</w:t>
      </w:r>
      <w:bookmarkEnd w:id="258"/>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 xml:space="preserve">to a possibility of reverter in land consequent upon a fee simple determinable; and so that, if the fee simple does </w:t>
      </w:r>
      <w:r>
        <w:rPr>
          <w:snapToGrid w:val="0"/>
        </w:rPr>
        <w:lastRenderedPageBreak/>
        <w:t>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259" w:name="_Toc216964005"/>
      <w:r>
        <w:rPr>
          <w:rStyle w:val="CharSectno"/>
        </w:rPr>
        <w:t>112</w:t>
      </w:r>
      <w:r>
        <w:rPr>
          <w:snapToGrid w:val="0"/>
        </w:rPr>
        <w:t>.</w:t>
      </w:r>
      <w:r>
        <w:rPr>
          <w:snapToGrid w:val="0"/>
        </w:rPr>
        <w:tab/>
        <w:t>Powers of appointment</w:t>
      </w:r>
      <w:bookmarkEnd w:id="259"/>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260" w:name="_Toc216964006"/>
      <w:r>
        <w:rPr>
          <w:rStyle w:val="CharSectno"/>
        </w:rPr>
        <w:t>113</w:t>
      </w:r>
      <w:r>
        <w:rPr>
          <w:snapToGrid w:val="0"/>
        </w:rPr>
        <w:t>.</w:t>
      </w:r>
      <w:r>
        <w:rPr>
          <w:snapToGrid w:val="0"/>
        </w:rPr>
        <w:tab/>
        <w:t>Accumulations of income</w:t>
      </w:r>
      <w:bookmarkEnd w:id="260"/>
    </w:p>
    <w:p>
      <w:pPr>
        <w:pStyle w:val="Subsection"/>
        <w:rPr>
          <w:snapToGrid w:val="0"/>
        </w:rPr>
      </w:pPr>
      <w:r>
        <w:rPr>
          <w:snapToGrid w:val="0"/>
        </w:rPr>
        <w:tab/>
        <w:t>(1)</w:t>
      </w:r>
      <w:r>
        <w:rPr>
          <w:snapToGrid w:val="0"/>
        </w:rPr>
        <w:tab/>
        <w:t xml:space="preserve">Where property is settled or disposed of in such manner that the income thereof may or shall be accumulated wholly or in part, the power or direction to accumulate that income is valid if the </w:t>
      </w:r>
      <w:r>
        <w:rPr>
          <w:snapToGrid w:val="0"/>
        </w:rPr>
        <w:lastRenderedPageBreak/>
        <w:t>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261" w:name="_Toc216964007"/>
      <w:r>
        <w:rPr>
          <w:rStyle w:val="CharSectno"/>
        </w:rPr>
        <w:t>114</w:t>
      </w:r>
      <w:r>
        <w:rPr>
          <w:snapToGrid w:val="0"/>
        </w:rPr>
        <w:t>.</w:t>
      </w:r>
      <w:r>
        <w:rPr>
          <w:snapToGrid w:val="0"/>
        </w:rPr>
        <w:tab/>
        <w:t>Rule in Whitby v. Mitchell abolished</w:t>
      </w:r>
      <w:bookmarkEnd w:id="261"/>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262" w:name="_Toc216964008"/>
      <w:r>
        <w:rPr>
          <w:rStyle w:val="CharSectno"/>
        </w:rPr>
        <w:t>115</w:t>
      </w:r>
      <w:r>
        <w:rPr>
          <w:snapToGrid w:val="0"/>
        </w:rPr>
        <w:t>.</w:t>
      </w:r>
      <w:r>
        <w:rPr>
          <w:snapToGrid w:val="0"/>
        </w:rPr>
        <w:tab/>
        <w:t>Superannuation funds etc.</w:t>
      </w:r>
      <w:bookmarkEnd w:id="262"/>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lastRenderedPageBreak/>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pPr>
        <w:pStyle w:val="Footnotesection"/>
      </w:pPr>
      <w:r>
        <w:tab/>
        <w:t>[Section 115 amended: No. 28 of 2003 s. 164.]</w:t>
      </w:r>
    </w:p>
    <w:p>
      <w:pPr>
        <w:pStyle w:val="Heading2"/>
      </w:pPr>
      <w:bookmarkStart w:id="263" w:name="_Toc75340988"/>
      <w:bookmarkStart w:id="264" w:name="_Toc75342010"/>
      <w:bookmarkStart w:id="265" w:name="_Toc75424011"/>
      <w:bookmarkStart w:id="266" w:name="_Toc216856335"/>
      <w:bookmarkStart w:id="267" w:name="_Toc216857011"/>
      <w:bookmarkStart w:id="268" w:name="_Toc216857184"/>
      <w:bookmarkStart w:id="269" w:name="_Toc216857884"/>
      <w:bookmarkStart w:id="270" w:name="_Toc216946512"/>
      <w:bookmarkStart w:id="271" w:name="_Toc216946685"/>
      <w:bookmarkStart w:id="272" w:name="_Toc216964009"/>
      <w:r>
        <w:rPr>
          <w:rStyle w:val="CharPartNo"/>
        </w:rPr>
        <w:lastRenderedPageBreak/>
        <w:t>Part XII</w:t>
      </w:r>
      <w:r>
        <w:rPr>
          <w:rStyle w:val="CharDivNo"/>
        </w:rPr>
        <w:t> </w:t>
      </w:r>
      <w:r>
        <w:t>—</w:t>
      </w:r>
      <w:r>
        <w:rPr>
          <w:rStyle w:val="CharDivText"/>
        </w:rPr>
        <w:t> </w:t>
      </w:r>
      <w:r>
        <w:rPr>
          <w:rStyle w:val="CharPartText"/>
        </w:rPr>
        <w:t>Succession</w:t>
      </w:r>
      <w:bookmarkEnd w:id="263"/>
      <w:bookmarkEnd w:id="264"/>
      <w:bookmarkEnd w:id="265"/>
      <w:bookmarkEnd w:id="266"/>
      <w:bookmarkEnd w:id="267"/>
      <w:bookmarkEnd w:id="268"/>
      <w:bookmarkEnd w:id="269"/>
      <w:bookmarkEnd w:id="270"/>
      <w:bookmarkEnd w:id="271"/>
      <w:bookmarkEnd w:id="272"/>
    </w:p>
    <w:p>
      <w:pPr>
        <w:pStyle w:val="Ednotesection"/>
      </w:pPr>
      <w:r>
        <w:t>[</w:t>
      </w:r>
      <w:r>
        <w:rPr>
          <w:b/>
        </w:rPr>
        <w:t>116</w:t>
      </w:r>
      <w:r>
        <w:rPr>
          <w:b/>
        </w:rPr>
        <w:noBreakHyphen/>
        <w:t>117.</w:t>
      </w:r>
      <w:r>
        <w:tab/>
        <w:t>Deleted: No. 12 of 1970 s. 3.]</w:t>
      </w:r>
    </w:p>
    <w:p>
      <w:pPr>
        <w:pStyle w:val="Heading5"/>
        <w:rPr>
          <w:snapToGrid w:val="0"/>
        </w:rPr>
      </w:pPr>
      <w:bookmarkStart w:id="273" w:name="_Toc216964010"/>
      <w:r>
        <w:rPr>
          <w:rStyle w:val="CharSectno"/>
        </w:rPr>
        <w:t>118</w:t>
      </w:r>
      <w:r>
        <w:rPr>
          <w:snapToGrid w:val="0"/>
        </w:rPr>
        <w:t>.</w:t>
      </w:r>
      <w:r>
        <w:rPr>
          <w:snapToGrid w:val="0"/>
        </w:rPr>
        <w:tab/>
        <w:t>Intermediate income of executory or contingent gifts</w:t>
      </w:r>
      <w:bookmarkEnd w:id="273"/>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274" w:name="_Toc216964011"/>
      <w:r>
        <w:rPr>
          <w:rStyle w:val="CharSectno"/>
        </w:rPr>
        <w:t>119</w:t>
      </w:r>
      <w:r>
        <w:rPr>
          <w:snapToGrid w:val="0"/>
        </w:rPr>
        <w:t>.</w:t>
      </w:r>
      <w:r>
        <w:rPr>
          <w:snapToGrid w:val="0"/>
        </w:rPr>
        <w:tab/>
        <w:t>Application of section 120</w:t>
      </w:r>
      <w:bookmarkEnd w:id="274"/>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275" w:name="_Toc216964012"/>
      <w:r>
        <w:rPr>
          <w:rStyle w:val="CharSectno"/>
        </w:rPr>
        <w:lastRenderedPageBreak/>
        <w:t>120</w:t>
      </w:r>
      <w:r>
        <w:rPr>
          <w:snapToGrid w:val="0"/>
        </w:rPr>
        <w:t>.</w:t>
      </w:r>
      <w:r>
        <w:rPr>
          <w:snapToGrid w:val="0"/>
        </w:rPr>
        <w:tab/>
        <w:t>Devolution of property in cases of simultaneous deaths</w:t>
      </w:r>
      <w:bookmarkEnd w:id="275"/>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w:t>
      </w:r>
      <w:r>
        <w:rPr>
          <w:snapToGrid w:val="0"/>
        </w:rPr>
        <w:lastRenderedPageBreak/>
        <w:t>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4</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t>
      </w:r>
      <w:r>
        <w:rPr>
          <w:snapToGrid w:val="0"/>
        </w:rPr>
        <w:lastRenderedPageBreak/>
        <w:t>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Footnotesection"/>
      </w:pPr>
      <w:r>
        <w:tab/>
        <w:t>[Section 120 amended: No. 27 of 2007 s. 25.]</w:t>
      </w:r>
    </w:p>
    <w:p>
      <w:pPr>
        <w:pStyle w:val="Heading2"/>
      </w:pPr>
      <w:bookmarkStart w:id="276" w:name="_Toc75340992"/>
      <w:bookmarkStart w:id="277" w:name="_Toc75342014"/>
      <w:bookmarkStart w:id="278" w:name="_Toc75424015"/>
      <w:bookmarkStart w:id="279" w:name="_Toc216856339"/>
      <w:bookmarkStart w:id="280" w:name="_Toc216857015"/>
      <w:bookmarkStart w:id="281" w:name="_Toc216857188"/>
      <w:bookmarkStart w:id="282" w:name="_Toc216857888"/>
      <w:bookmarkStart w:id="283" w:name="_Toc216946516"/>
      <w:bookmarkStart w:id="284" w:name="_Toc216946689"/>
      <w:bookmarkStart w:id="285" w:name="_Toc216964013"/>
      <w:r>
        <w:rPr>
          <w:rStyle w:val="CharPartNo"/>
        </w:rPr>
        <w:lastRenderedPageBreak/>
        <w:t>Part XIII</w:t>
      </w:r>
      <w:r>
        <w:rPr>
          <w:rStyle w:val="CharDivNo"/>
        </w:rPr>
        <w:t> </w:t>
      </w:r>
      <w:r>
        <w:t>—</w:t>
      </w:r>
      <w:r>
        <w:rPr>
          <w:rStyle w:val="CharDivText"/>
        </w:rPr>
        <w:t> </w:t>
      </w:r>
      <w:r>
        <w:rPr>
          <w:rStyle w:val="CharPartText"/>
        </w:rPr>
        <w:t>Easements, encroachments and mistake</w:t>
      </w:r>
      <w:bookmarkEnd w:id="276"/>
      <w:bookmarkEnd w:id="277"/>
      <w:bookmarkEnd w:id="278"/>
      <w:bookmarkEnd w:id="279"/>
      <w:bookmarkEnd w:id="280"/>
      <w:bookmarkEnd w:id="281"/>
      <w:bookmarkEnd w:id="282"/>
      <w:bookmarkEnd w:id="283"/>
      <w:bookmarkEnd w:id="284"/>
      <w:bookmarkEnd w:id="285"/>
    </w:p>
    <w:p>
      <w:pPr>
        <w:pStyle w:val="Heading5"/>
        <w:spacing w:before="180"/>
        <w:rPr>
          <w:snapToGrid w:val="0"/>
        </w:rPr>
      </w:pPr>
      <w:bookmarkStart w:id="286" w:name="_Toc216964014"/>
      <w:r>
        <w:rPr>
          <w:rStyle w:val="CharSectno"/>
        </w:rPr>
        <w:t>121</w:t>
      </w:r>
      <w:r>
        <w:rPr>
          <w:snapToGrid w:val="0"/>
        </w:rPr>
        <w:t>.</w:t>
      </w:r>
      <w:r>
        <w:rPr>
          <w:snapToGrid w:val="0"/>
        </w:rPr>
        <w:tab/>
        <w:t>Easement of light and air only by registered grant or instrument</w:t>
      </w:r>
      <w:bookmarkEnd w:id="286"/>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287" w:name="_Toc216964015"/>
      <w:r>
        <w:rPr>
          <w:rStyle w:val="CharSectno"/>
        </w:rPr>
        <w:t>122</w:t>
      </w:r>
      <w:r>
        <w:rPr>
          <w:snapToGrid w:val="0"/>
        </w:rPr>
        <w:t>.</w:t>
      </w:r>
      <w:r>
        <w:rPr>
          <w:snapToGrid w:val="0"/>
        </w:rPr>
        <w:tab/>
        <w:t>Power of Court to grant special relief in cases of encroachment</w:t>
      </w:r>
      <w:bookmarkEnd w:id="287"/>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keepNext/>
        <w:spacing w:before="120"/>
        <w:rPr>
          <w:snapToGrid w:val="0"/>
        </w:rPr>
      </w:pPr>
      <w:r>
        <w:rPr>
          <w:snapToGrid w:val="0"/>
        </w:rPr>
        <w:tab/>
        <w:t>(2)</w:t>
      </w:r>
      <w:r>
        <w:rPr>
          <w:snapToGrid w:val="0"/>
        </w:rPr>
        <w:tab/>
        <w:t xml:space="preserve">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w:t>
      </w:r>
      <w:r>
        <w:rPr>
          <w:snapToGrid w:val="0"/>
        </w:rPr>
        <w:lastRenderedPageBreak/>
        <w:t>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(5B)</w:t>
      </w:r>
      <w:r>
        <w:rPr>
          <w:snapToGrid w:val="0"/>
        </w:rPr>
        <w:tab/>
        <w:t xml:space="preserve">For the purposes of subsection (5A), the Court may, if in its opinion notice of the application or proposal should be given to any person referred to in subsection (5A), direct that such </w:t>
      </w:r>
      <w:r>
        <w:rPr>
          <w:snapToGrid w:val="0"/>
        </w:rPr>
        <w:lastRenderedPageBreak/>
        <w:t>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No. 84 of 1994 s. 46(11); No. 14 of 1996 s. 4; No. 38 of 2005 s. 15; No. 19 of 2010 s. 51.]</w:t>
      </w:r>
    </w:p>
    <w:p>
      <w:pPr>
        <w:pStyle w:val="Heading5"/>
        <w:rPr>
          <w:snapToGrid w:val="0"/>
        </w:rPr>
      </w:pPr>
      <w:bookmarkStart w:id="288" w:name="_Toc216964016"/>
      <w:r>
        <w:rPr>
          <w:rStyle w:val="CharSectno"/>
        </w:rPr>
        <w:t>123</w:t>
      </w:r>
      <w:r>
        <w:rPr>
          <w:snapToGrid w:val="0"/>
        </w:rPr>
        <w:t>.</w:t>
      </w:r>
      <w:r>
        <w:rPr>
          <w:snapToGrid w:val="0"/>
        </w:rPr>
        <w:tab/>
        <w:t>Relief in cases of mistake as to boundaries or identity of land</w:t>
      </w:r>
      <w:bookmarkEnd w:id="288"/>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lastRenderedPageBreak/>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 xml:space="preserve">Any order under this section, or any provision of the order, may be made upon and subject to such terms and conditions as the </w:t>
      </w:r>
      <w:r>
        <w:rPr>
          <w:snapToGrid w:val="0"/>
        </w:rPr>
        <w:lastRenderedPageBreak/>
        <w:t>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No. 84 of 1994 s. 46(11); No. 14 of 1996 s. 4; No. 38 of 2005 s. 15.]</w:t>
      </w:r>
    </w:p>
    <w:p>
      <w:pPr>
        <w:pStyle w:val="Heading5"/>
        <w:keepLines w:val="0"/>
        <w:rPr>
          <w:snapToGrid w:val="0"/>
        </w:rPr>
      </w:pPr>
      <w:bookmarkStart w:id="289" w:name="_Toc216964017"/>
      <w:r>
        <w:rPr>
          <w:rStyle w:val="CharSectno"/>
        </w:rPr>
        <w:t>124</w:t>
      </w:r>
      <w:r>
        <w:rPr>
          <w:snapToGrid w:val="0"/>
        </w:rPr>
        <w:t>.</w:t>
      </w:r>
      <w:r>
        <w:rPr>
          <w:snapToGrid w:val="0"/>
        </w:rPr>
        <w:tab/>
        <w:t>Recovery of payments made under mistake of law</w:t>
      </w:r>
      <w:bookmarkEnd w:id="289"/>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lastRenderedPageBreak/>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290" w:name="_Toc216964018"/>
      <w:r>
        <w:rPr>
          <w:rStyle w:val="CharSectno"/>
        </w:rPr>
        <w:t>125</w:t>
      </w:r>
      <w:r>
        <w:rPr>
          <w:snapToGrid w:val="0"/>
        </w:rPr>
        <w:t>.</w:t>
      </w:r>
      <w:r>
        <w:rPr>
          <w:snapToGrid w:val="0"/>
        </w:rPr>
        <w:tab/>
        <w:t>Payments made under mistake of law or fact not always recoverable</w:t>
      </w:r>
      <w:bookmarkEnd w:id="290"/>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291" w:name="_Toc75340998"/>
      <w:bookmarkStart w:id="292" w:name="_Toc75342020"/>
      <w:bookmarkStart w:id="293" w:name="_Toc75424021"/>
      <w:bookmarkStart w:id="294" w:name="_Toc216856345"/>
      <w:bookmarkStart w:id="295" w:name="_Toc216857021"/>
      <w:bookmarkStart w:id="296" w:name="_Toc216857194"/>
      <w:bookmarkStart w:id="297" w:name="_Toc216857894"/>
      <w:bookmarkStart w:id="298" w:name="_Toc216946522"/>
      <w:bookmarkStart w:id="299" w:name="_Toc216946695"/>
      <w:bookmarkStart w:id="300" w:name="_Toc216964019"/>
      <w:r>
        <w:rPr>
          <w:rStyle w:val="CharPartNo"/>
        </w:rPr>
        <w:lastRenderedPageBreak/>
        <w:t>Part XIV</w:t>
      </w:r>
      <w:r>
        <w:rPr>
          <w:rStyle w:val="CharDivNo"/>
        </w:rPr>
        <w:t> </w:t>
      </w:r>
      <w:r>
        <w:t>—</w:t>
      </w:r>
      <w:r>
        <w:rPr>
          <w:rStyle w:val="CharDivText"/>
        </w:rPr>
        <w:t> </w:t>
      </w:r>
      <w:r>
        <w:rPr>
          <w:rStyle w:val="CharPartText"/>
        </w:rPr>
        <w:t>Partition of land and division of chattels</w:t>
      </w:r>
      <w:bookmarkEnd w:id="291"/>
      <w:bookmarkEnd w:id="292"/>
      <w:bookmarkEnd w:id="293"/>
      <w:bookmarkEnd w:id="294"/>
      <w:bookmarkEnd w:id="295"/>
      <w:bookmarkEnd w:id="296"/>
      <w:bookmarkEnd w:id="297"/>
      <w:bookmarkEnd w:id="298"/>
      <w:bookmarkEnd w:id="299"/>
      <w:bookmarkEnd w:id="300"/>
    </w:p>
    <w:p>
      <w:pPr>
        <w:pStyle w:val="Heading5"/>
        <w:spacing w:before="180"/>
        <w:rPr>
          <w:snapToGrid w:val="0"/>
        </w:rPr>
      </w:pPr>
      <w:bookmarkStart w:id="301" w:name="_Toc216964020"/>
      <w:r>
        <w:rPr>
          <w:rStyle w:val="CharSectno"/>
        </w:rPr>
        <w:t>126</w:t>
      </w:r>
      <w:r>
        <w:rPr>
          <w:snapToGrid w:val="0"/>
        </w:rPr>
        <w:t>.</w:t>
      </w:r>
      <w:r>
        <w:rPr>
          <w:snapToGrid w:val="0"/>
        </w:rPr>
        <w:tab/>
        <w:t>In action for partition Court may direct land to be sold</w:t>
      </w:r>
      <w:bookmarkEnd w:id="301"/>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 xml:space="preserve">at the hearing of the cause the Court may direct such inquiries as to the nature of the land and the persons </w:t>
      </w:r>
      <w:r>
        <w:rPr>
          <w:snapToGrid w:val="0"/>
        </w:rPr>
        <w:lastRenderedPageBreak/>
        <w:t>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302" w:name="_Toc216964021"/>
      <w:r>
        <w:rPr>
          <w:rStyle w:val="CharSectno"/>
        </w:rPr>
        <w:t>127</w:t>
      </w:r>
      <w:r>
        <w:rPr>
          <w:snapToGrid w:val="0"/>
        </w:rPr>
        <w:t>.</w:t>
      </w:r>
      <w:r>
        <w:rPr>
          <w:snapToGrid w:val="0"/>
        </w:rPr>
        <w:tab/>
        <w:t>Proceeds of sale, how applied</w:t>
      </w:r>
      <w:bookmarkEnd w:id="302"/>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keepNext/>
        <w:keepLines/>
        <w:rPr>
          <w:snapToGrid w:val="0"/>
        </w:rPr>
      </w:pPr>
      <w:r>
        <w:rPr>
          <w:snapToGrid w:val="0"/>
        </w:rPr>
        <w:lastRenderedPageBreak/>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303" w:name="_Toc216964022"/>
      <w:r>
        <w:rPr>
          <w:rStyle w:val="CharSectno"/>
        </w:rPr>
        <w:t>128</w:t>
      </w:r>
      <w:r>
        <w:rPr>
          <w:snapToGrid w:val="0"/>
        </w:rPr>
        <w:t>.</w:t>
      </w:r>
      <w:r>
        <w:rPr>
          <w:snapToGrid w:val="0"/>
        </w:rPr>
        <w:tab/>
        <w:t>Costs in partition suits</w:t>
      </w:r>
      <w:bookmarkEnd w:id="303"/>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304" w:name="_Toc216964023"/>
      <w:r>
        <w:rPr>
          <w:rStyle w:val="CharSectno"/>
        </w:rPr>
        <w:t>129</w:t>
      </w:r>
      <w:r>
        <w:rPr>
          <w:snapToGrid w:val="0"/>
        </w:rPr>
        <w:t>.</w:t>
      </w:r>
      <w:r>
        <w:rPr>
          <w:snapToGrid w:val="0"/>
        </w:rPr>
        <w:tab/>
        <w:t>Division of chattels</w:t>
      </w:r>
      <w:bookmarkEnd w:id="304"/>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305" w:name="_Toc75341003"/>
      <w:bookmarkStart w:id="306" w:name="_Toc75342025"/>
      <w:bookmarkStart w:id="307" w:name="_Toc75424026"/>
      <w:bookmarkStart w:id="308" w:name="_Toc216856350"/>
      <w:bookmarkStart w:id="309" w:name="_Toc216857026"/>
      <w:bookmarkStart w:id="310" w:name="_Toc216857199"/>
      <w:bookmarkStart w:id="311" w:name="_Toc216857899"/>
      <w:bookmarkStart w:id="312" w:name="_Toc216946527"/>
      <w:bookmarkStart w:id="313" w:name="_Toc216946700"/>
      <w:bookmarkStart w:id="314" w:name="_Toc216964024"/>
      <w:r>
        <w:rPr>
          <w:rStyle w:val="CharPartNo"/>
        </w:rPr>
        <w:lastRenderedPageBreak/>
        <w:t>Part XV</w:t>
      </w:r>
      <w:r>
        <w:rPr>
          <w:rStyle w:val="CharDivNo"/>
        </w:rPr>
        <w:t> </w:t>
      </w:r>
      <w:r>
        <w:t>—</w:t>
      </w:r>
      <w:r>
        <w:rPr>
          <w:rStyle w:val="CharDivText"/>
        </w:rPr>
        <w:t> </w:t>
      </w:r>
      <w:r>
        <w:rPr>
          <w:rStyle w:val="CharPartText"/>
        </w:rPr>
        <w:t>Apportionment</w:t>
      </w:r>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216964025"/>
      <w:r>
        <w:rPr>
          <w:rStyle w:val="CharSectno"/>
        </w:rPr>
        <w:t>130</w:t>
      </w:r>
      <w:r>
        <w:rPr>
          <w:snapToGrid w:val="0"/>
        </w:rPr>
        <w:t>.</w:t>
      </w:r>
      <w:r>
        <w:rPr>
          <w:snapToGrid w:val="0"/>
        </w:rPr>
        <w:tab/>
        <w:t>Terms used in this Part</w:t>
      </w:r>
      <w:bookmarkEnd w:id="315"/>
    </w:p>
    <w:p>
      <w:pPr>
        <w:pStyle w:val="Subsection"/>
        <w:keepNext/>
        <w:rPr>
          <w:snapToGrid w:val="0"/>
        </w:rPr>
      </w:pPr>
      <w:r>
        <w:rPr>
          <w:snapToGrid w:val="0"/>
        </w:rPr>
        <w:tab/>
        <w:t>(1)</w:t>
      </w:r>
      <w:r>
        <w:rPr>
          <w:snapToGrid w:val="0"/>
        </w:rPr>
        <w:tab/>
        <w:t>In this Part, unless the contrary intention appears —</w:t>
      </w:r>
    </w:p>
    <w:p>
      <w:pPr>
        <w:pStyle w:val="Defstart"/>
      </w:pPr>
      <w:r>
        <w:rPr>
          <w:b/>
        </w:rPr>
        <w:tab/>
      </w:r>
      <w:r>
        <w:rPr>
          <w:rStyle w:val="CharDefText"/>
        </w:rPr>
        <w:t>annuities</w:t>
      </w:r>
      <w:r>
        <w:t xml:space="preserve"> includes salaries and pensions;</w:t>
      </w:r>
    </w:p>
    <w:p>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r>
      <w:r>
        <w:rPr>
          <w:rStyle w:val="CharDefText"/>
        </w:rPr>
        <w:t>rent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316" w:name="_Toc216964026"/>
      <w:r>
        <w:rPr>
          <w:rStyle w:val="CharSectno"/>
        </w:rPr>
        <w:t>131</w:t>
      </w:r>
      <w:r>
        <w:rPr>
          <w:snapToGrid w:val="0"/>
        </w:rPr>
        <w:t>.</w:t>
      </w:r>
      <w:r>
        <w:rPr>
          <w:snapToGrid w:val="0"/>
        </w:rPr>
        <w:tab/>
        <w:t>Income apportionable in respect of time</w:t>
      </w:r>
      <w:bookmarkEnd w:id="316"/>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317" w:name="_Toc216964027"/>
      <w:r>
        <w:rPr>
          <w:rStyle w:val="CharSectno"/>
        </w:rPr>
        <w:t>132</w:t>
      </w:r>
      <w:r>
        <w:rPr>
          <w:snapToGrid w:val="0"/>
        </w:rPr>
        <w:t>.</w:t>
      </w:r>
      <w:r>
        <w:rPr>
          <w:snapToGrid w:val="0"/>
        </w:rPr>
        <w:tab/>
        <w:t>Time when apportioned part payable</w:t>
      </w:r>
      <w:bookmarkEnd w:id="317"/>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 xml:space="preserve">entry, death, or </w:t>
      </w:r>
      <w:r>
        <w:rPr>
          <w:snapToGrid w:val="0"/>
        </w:rPr>
        <w:lastRenderedPageBreak/>
        <w:t>otherwise, as soon as the next entire portion of the rent, annuity, dividend or other payment would have become payable if it had not so determined, and not before.</w:t>
      </w:r>
    </w:p>
    <w:p>
      <w:pPr>
        <w:pStyle w:val="Heading5"/>
        <w:rPr>
          <w:snapToGrid w:val="0"/>
        </w:rPr>
      </w:pPr>
      <w:bookmarkStart w:id="318" w:name="_Toc216964028"/>
      <w:r>
        <w:rPr>
          <w:rStyle w:val="CharSectno"/>
        </w:rPr>
        <w:t>133</w:t>
      </w:r>
      <w:r>
        <w:rPr>
          <w:snapToGrid w:val="0"/>
        </w:rPr>
        <w:t>.</w:t>
      </w:r>
      <w:r>
        <w:rPr>
          <w:snapToGrid w:val="0"/>
        </w:rPr>
        <w:tab/>
        <w:t>Recovery of apportioned parts</w:t>
      </w:r>
      <w:bookmarkEnd w:id="318"/>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319" w:name="_Toc216964029"/>
      <w:r>
        <w:rPr>
          <w:rStyle w:val="CharSectno"/>
        </w:rPr>
        <w:t>134</w:t>
      </w:r>
      <w:r>
        <w:rPr>
          <w:snapToGrid w:val="0"/>
        </w:rPr>
        <w:t>.</w:t>
      </w:r>
      <w:r>
        <w:rPr>
          <w:snapToGrid w:val="0"/>
        </w:rPr>
        <w:tab/>
        <w:t>Exceptions and application</w:t>
      </w:r>
      <w:bookmarkEnd w:id="319"/>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320" w:name="_Toc75341009"/>
      <w:bookmarkStart w:id="321" w:name="_Toc75342031"/>
      <w:bookmarkStart w:id="322" w:name="_Toc75424032"/>
      <w:bookmarkStart w:id="323" w:name="_Toc216856356"/>
      <w:bookmarkStart w:id="324" w:name="_Toc216857032"/>
      <w:bookmarkStart w:id="325" w:name="_Toc216857205"/>
      <w:bookmarkStart w:id="326" w:name="_Toc216857905"/>
      <w:bookmarkStart w:id="327" w:name="_Toc216946533"/>
      <w:bookmarkStart w:id="328" w:name="_Toc216946706"/>
      <w:bookmarkStart w:id="329" w:name="_Toc216964030"/>
      <w:r>
        <w:rPr>
          <w:rStyle w:val="CharPartNo"/>
        </w:rPr>
        <w:lastRenderedPageBreak/>
        <w:t>Part XVI</w:t>
      </w:r>
      <w:r>
        <w:rPr>
          <w:rStyle w:val="CharDivNo"/>
        </w:rPr>
        <w:t> </w:t>
      </w:r>
      <w:r>
        <w:t>—</w:t>
      </w:r>
      <w:r>
        <w:rPr>
          <w:rStyle w:val="CharDivText"/>
        </w:rPr>
        <w:t> </w:t>
      </w:r>
      <w:r>
        <w:rPr>
          <w:rStyle w:val="CharPartText"/>
        </w:rPr>
        <w:t>Service of notices</w:t>
      </w:r>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216964031"/>
      <w:r>
        <w:rPr>
          <w:rStyle w:val="CharSectno"/>
        </w:rPr>
        <w:t>135</w:t>
      </w:r>
      <w:r>
        <w:rPr>
          <w:snapToGrid w:val="0"/>
        </w:rPr>
        <w:t>.</w:t>
      </w:r>
      <w:r>
        <w:rPr>
          <w:snapToGrid w:val="0"/>
        </w:rPr>
        <w:tab/>
        <w:t>Mode of service</w:t>
      </w:r>
      <w:bookmarkEnd w:id="330"/>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(a)</w:t>
      </w:r>
      <w:r>
        <w:rPr>
          <w:snapToGrid w:val="0"/>
        </w:rPr>
        <w:tab/>
        <w:t>by delivering the notice to him personally;</w:t>
      </w:r>
    </w:p>
    <w:p>
      <w:pPr>
        <w:pStyle w:val="Indenta"/>
        <w:rPr>
          <w:snapToGrid w:val="0"/>
        </w:rPr>
      </w:pPr>
      <w:r>
        <w:rPr>
          <w:snapToGrid w:val="0"/>
        </w:rPr>
        <w:tab/>
        <w:t>(b)</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(c)</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(d)</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(1B)</w:t>
      </w:r>
      <w:r>
        <w:rPr>
          <w:snapToGrid w:val="0"/>
        </w:rPr>
        <w:tab/>
        <w:t xml:space="preserve">A notice </w:t>
      </w:r>
      <w:r>
        <w:t xml:space="preserve">posted as provided in subsection (1A) </w:t>
      </w:r>
      <w:r>
        <w:rPr>
          <w:snapToGrid w:val="0"/>
        </w:rPr>
        <w:t>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(1A) to his agent in the State.</w:t>
      </w:r>
    </w:p>
    <w:p>
      <w:pPr>
        <w:pStyle w:val="Subsection"/>
        <w:rPr>
          <w:snapToGrid w:val="0"/>
        </w:rPr>
      </w:pPr>
      <w:r>
        <w:rPr>
          <w:snapToGrid w:val="0"/>
        </w:rPr>
        <w:tab/>
        <w:t>(2B)</w:t>
      </w:r>
      <w:r>
        <w:rPr>
          <w:snapToGrid w:val="0"/>
        </w:rPr>
        <w:tab/>
        <w:t xml:space="preserve">If the person is deceased, the notice may be </w:t>
      </w:r>
      <w:r>
        <w:t xml:space="preserve">delivered as provided in subsection (1A) </w:t>
      </w:r>
      <w:r>
        <w:rPr>
          <w:snapToGrid w:val="0"/>
        </w:rPr>
        <w:t>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lastRenderedPageBreak/>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pStyle w:val="Footnotesection"/>
      </w:pPr>
      <w:r>
        <w:tab/>
        <w:t xml:space="preserve">[Section 135 amended: No. 19 of 2010 s. 51.] </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331" w:name="_Toc75341011"/>
      <w:bookmarkStart w:id="332" w:name="_Toc75342033"/>
      <w:bookmarkStart w:id="333" w:name="_Toc75424034"/>
      <w:bookmarkStart w:id="334" w:name="_Toc216856358"/>
      <w:bookmarkStart w:id="335" w:name="_Toc216857034"/>
      <w:bookmarkStart w:id="336" w:name="_Toc216857207"/>
      <w:bookmarkStart w:id="337" w:name="_Toc216857907"/>
      <w:bookmarkStart w:id="338" w:name="_Toc216946535"/>
      <w:bookmarkStart w:id="339" w:name="_Toc216946708"/>
      <w:bookmarkStart w:id="340" w:name="_Toc216964032"/>
      <w:r>
        <w:rPr>
          <w:rStyle w:val="CharSchNo"/>
        </w:rPr>
        <w:lastRenderedPageBreak/>
        <w:t>First Schedule </w:t>
      </w:r>
      <w:r>
        <w:t>— </w:t>
      </w:r>
      <w:r>
        <w:rPr>
          <w:rStyle w:val="CharSchText"/>
        </w:rPr>
        <w:t>Adopted Acts ceasing to have effect</w:t>
      </w:r>
      <w:bookmarkEnd w:id="331"/>
      <w:bookmarkEnd w:id="332"/>
      <w:bookmarkEnd w:id="333"/>
      <w:bookmarkEnd w:id="334"/>
      <w:bookmarkEnd w:id="335"/>
      <w:bookmarkEnd w:id="336"/>
      <w:bookmarkEnd w:id="337"/>
      <w:bookmarkEnd w:id="338"/>
      <w:bookmarkEnd w:id="339"/>
      <w:bookmarkEnd w:id="340"/>
    </w:p>
    <w:p>
      <w:pPr>
        <w:pStyle w:val="yShoulderClause"/>
        <w:rPr>
          <w:snapToGrid w:val="0"/>
        </w:rPr>
      </w:pPr>
    </w:p>
    <w:p>
      <w:pPr>
        <w:pStyle w:val="yShoulderClause"/>
      </w:pPr>
      <w:r>
        <w:t>[s. 4(a)]</w:t>
      </w:r>
    </w:p>
    <w:p>
      <w:pPr>
        <w:pStyle w:val="yFootnoteheading"/>
      </w:pPr>
      <w:r>
        <w:tab/>
        <w:t>[Heading amended: No. 19 of 2010 s. 26(2).]</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ScheduleHeading"/>
        <w:rPr>
          <w:rFonts w:eastAsia="MS Mincho"/>
        </w:rPr>
      </w:pPr>
      <w:bookmarkStart w:id="341" w:name="_Toc75341012"/>
      <w:bookmarkStart w:id="342" w:name="_Toc75342034"/>
      <w:bookmarkStart w:id="343" w:name="_Toc75424035"/>
      <w:bookmarkStart w:id="344" w:name="_Toc216856359"/>
      <w:bookmarkStart w:id="345" w:name="_Toc216857035"/>
      <w:bookmarkStart w:id="346" w:name="_Toc216857208"/>
      <w:bookmarkStart w:id="347" w:name="_Toc216857908"/>
      <w:bookmarkStart w:id="348" w:name="_Toc216946536"/>
      <w:bookmarkStart w:id="349" w:name="_Toc216946709"/>
      <w:bookmarkStart w:id="350" w:name="_Toc216964033"/>
      <w:r>
        <w:rPr>
          <w:rStyle w:val="CharSchNo"/>
          <w:rFonts w:eastAsia="MS Mincho"/>
        </w:rPr>
        <w:lastRenderedPageBreak/>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341"/>
      <w:bookmarkEnd w:id="342"/>
      <w:bookmarkEnd w:id="343"/>
      <w:bookmarkEnd w:id="344"/>
      <w:bookmarkEnd w:id="345"/>
      <w:bookmarkEnd w:id="346"/>
      <w:bookmarkEnd w:id="347"/>
      <w:bookmarkEnd w:id="348"/>
      <w:bookmarkEnd w:id="349"/>
      <w:bookmarkEnd w:id="350"/>
    </w:p>
    <w:p>
      <w:pPr>
        <w:pStyle w:val="yShoulderClause"/>
        <w:rPr>
          <w:rFonts w:eastAsia="MS Mincho"/>
        </w:rPr>
      </w:pPr>
      <w:r>
        <w:rPr>
          <w:rFonts w:eastAsia="MS Mincho"/>
        </w:rPr>
        <w:t>[s. 4(b)]</w:t>
      </w:r>
    </w:p>
    <w:p>
      <w:pPr>
        <w:pStyle w:val="yFootnoteheading"/>
        <w:spacing w:after="120"/>
      </w:pPr>
      <w:r>
        <w:tab/>
        <w:t>[Heading inserted: No. 19 of 2010 s. 26(3).]</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rPr>
          <w:rFonts w:eastAsia="MS Mincho"/>
        </w:rPr>
      </w:pPr>
      <w:bookmarkStart w:id="351" w:name="_Toc75341013"/>
      <w:bookmarkStart w:id="352" w:name="_Toc75342035"/>
      <w:bookmarkStart w:id="353" w:name="_Toc75424036"/>
      <w:bookmarkStart w:id="354" w:name="_Toc216856360"/>
      <w:bookmarkStart w:id="355" w:name="_Toc216857036"/>
      <w:bookmarkStart w:id="356" w:name="_Toc216857209"/>
      <w:bookmarkStart w:id="357" w:name="_Toc216857909"/>
      <w:bookmarkStart w:id="358" w:name="_Toc216946537"/>
      <w:bookmarkStart w:id="359" w:name="_Toc216946710"/>
      <w:bookmarkStart w:id="360" w:name="_Toc216964034"/>
      <w:r>
        <w:rPr>
          <w:rStyle w:val="CharSchNo"/>
          <w:rFonts w:eastAsia="MS Mincho"/>
        </w:rPr>
        <w:lastRenderedPageBreak/>
        <w:t>Third Schedule</w:t>
      </w:r>
      <w:r>
        <w:rPr>
          <w:rFonts w:eastAsia="MS Mincho"/>
        </w:rPr>
        <w:t> — </w:t>
      </w:r>
      <w:r>
        <w:rPr>
          <w:rStyle w:val="CharSchText"/>
          <w:rFonts w:eastAsia="MS Mincho"/>
        </w:rPr>
        <w:t>Implied covenants</w:t>
      </w:r>
      <w:bookmarkEnd w:id="351"/>
      <w:bookmarkEnd w:id="352"/>
      <w:bookmarkEnd w:id="353"/>
      <w:bookmarkEnd w:id="354"/>
      <w:bookmarkEnd w:id="355"/>
      <w:bookmarkEnd w:id="356"/>
      <w:bookmarkEnd w:id="357"/>
      <w:bookmarkEnd w:id="358"/>
      <w:bookmarkEnd w:id="359"/>
      <w:bookmarkEnd w:id="360"/>
    </w:p>
    <w:p>
      <w:pPr>
        <w:pStyle w:val="yShoulderClause"/>
        <w:rPr>
          <w:rFonts w:eastAsia="MS Mincho"/>
        </w:rPr>
      </w:pPr>
      <w:r>
        <w:rPr>
          <w:rFonts w:eastAsia="MS Mincho"/>
        </w:rPr>
        <w:t>[s. 45(1)]</w:t>
      </w:r>
    </w:p>
    <w:p>
      <w:pPr>
        <w:pStyle w:val="yFootnoteheading"/>
      </w:pPr>
      <w:r>
        <w:tab/>
        <w:t>[Heading inserted: No. 19 of 2010 s. 26(4).]</w:t>
      </w:r>
    </w:p>
    <w:p>
      <w:pPr>
        <w:pStyle w:val="yHeading3"/>
        <w:rPr>
          <w:rFonts w:eastAsia="MS Mincho"/>
        </w:rPr>
      </w:pPr>
      <w:bookmarkStart w:id="361" w:name="_Toc75341014"/>
      <w:bookmarkStart w:id="362" w:name="_Toc75342036"/>
      <w:bookmarkStart w:id="363" w:name="_Toc75424037"/>
      <w:bookmarkStart w:id="364" w:name="_Toc216856361"/>
      <w:bookmarkStart w:id="365" w:name="_Toc216857037"/>
      <w:bookmarkStart w:id="366" w:name="_Toc216857210"/>
      <w:bookmarkStart w:id="367" w:name="_Toc216857910"/>
      <w:bookmarkStart w:id="368" w:name="_Toc216946538"/>
      <w:bookmarkStart w:id="369" w:name="_Toc216946711"/>
      <w:bookmarkStart w:id="370" w:name="_Toc216964035"/>
      <w:r>
        <w:rPr>
          <w:rStyle w:val="CharSDivNo"/>
          <w:rFonts w:eastAsia="MS Mincho"/>
        </w:rPr>
        <w:t>Part I</w:t>
      </w:r>
      <w:r>
        <w:rPr>
          <w:rFonts w:eastAsia="MS Mincho"/>
        </w:rPr>
        <w:t> — </w:t>
      </w:r>
      <w:r>
        <w:rPr>
          <w:rStyle w:val="CharSDivText"/>
          <w:rFonts w:eastAsia="MS Mincho"/>
        </w:rPr>
        <w:t>Conveyance for valuable consideration</w:t>
      </w:r>
      <w:bookmarkEnd w:id="361"/>
      <w:bookmarkEnd w:id="362"/>
      <w:bookmarkEnd w:id="363"/>
      <w:bookmarkEnd w:id="364"/>
      <w:bookmarkEnd w:id="365"/>
      <w:bookmarkEnd w:id="366"/>
      <w:bookmarkEnd w:id="367"/>
      <w:bookmarkEnd w:id="368"/>
      <w:bookmarkEnd w:id="369"/>
      <w:bookmarkEnd w:id="370"/>
    </w:p>
    <w:p>
      <w:pPr>
        <w:pStyle w:val="yFootnoteheading"/>
      </w:pPr>
      <w:r>
        <w:tab/>
        <w:t>[Heading inserted: No. 19 of 2010 s. 26(4).]</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lastRenderedPageBreak/>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371" w:name="_Toc75341015"/>
      <w:bookmarkStart w:id="372" w:name="_Toc75342037"/>
      <w:bookmarkStart w:id="373" w:name="_Toc75424038"/>
      <w:bookmarkStart w:id="374" w:name="_Toc216856362"/>
      <w:bookmarkStart w:id="375" w:name="_Toc216857038"/>
      <w:bookmarkStart w:id="376" w:name="_Toc216857211"/>
      <w:bookmarkStart w:id="377" w:name="_Toc216857911"/>
      <w:bookmarkStart w:id="378" w:name="_Toc216946539"/>
      <w:bookmarkStart w:id="379" w:name="_Toc216946712"/>
      <w:bookmarkStart w:id="380" w:name="_Toc216964036"/>
      <w:r>
        <w:rPr>
          <w:rStyle w:val="CharSDivNo"/>
          <w:rFonts w:eastAsia="MS Mincho"/>
        </w:rPr>
        <w:t>Part II</w:t>
      </w:r>
      <w:r>
        <w:rPr>
          <w:rFonts w:eastAsia="MS Mincho"/>
        </w:rPr>
        <w:t> — </w:t>
      </w:r>
      <w:r>
        <w:rPr>
          <w:rStyle w:val="CharSDivText"/>
          <w:rFonts w:eastAsia="MS Mincho"/>
        </w:rPr>
        <w:t>Conveyance of leasehold</w:t>
      </w:r>
      <w:bookmarkEnd w:id="371"/>
      <w:bookmarkEnd w:id="372"/>
      <w:bookmarkEnd w:id="373"/>
      <w:bookmarkEnd w:id="374"/>
      <w:bookmarkEnd w:id="375"/>
      <w:bookmarkEnd w:id="376"/>
      <w:bookmarkEnd w:id="377"/>
      <w:bookmarkEnd w:id="378"/>
      <w:bookmarkEnd w:id="379"/>
      <w:bookmarkEnd w:id="380"/>
    </w:p>
    <w:p>
      <w:pPr>
        <w:pStyle w:val="yFootnoteheading"/>
      </w:pPr>
      <w:r>
        <w:tab/>
        <w:t>[Heading inserted: No. 19 of 2010 s. 26(5).]</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381" w:name="_Toc75341016"/>
      <w:bookmarkStart w:id="382" w:name="_Toc75342038"/>
      <w:bookmarkStart w:id="383" w:name="_Toc75424039"/>
      <w:bookmarkStart w:id="384" w:name="_Toc216856363"/>
      <w:bookmarkStart w:id="385" w:name="_Toc216857039"/>
      <w:bookmarkStart w:id="386" w:name="_Toc216857212"/>
      <w:bookmarkStart w:id="387" w:name="_Toc216857912"/>
      <w:bookmarkStart w:id="388" w:name="_Toc216946540"/>
      <w:bookmarkStart w:id="389" w:name="_Toc216946713"/>
      <w:bookmarkStart w:id="390" w:name="_Toc216964037"/>
      <w:r>
        <w:rPr>
          <w:rStyle w:val="CharSDivNo"/>
          <w:rFonts w:eastAsia="MS Mincho"/>
        </w:rPr>
        <w:lastRenderedPageBreak/>
        <w:t>Part III</w:t>
      </w:r>
      <w:r>
        <w:rPr>
          <w:rFonts w:eastAsia="MS Mincho"/>
        </w:rPr>
        <w:t> — </w:t>
      </w:r>
      <w:r>
        <w:rPr>
          <w:rStyle w:val="CharSDivText"/>
          <w:rFonts w:eastAsia="MS Mincho"/>
        </w:rPr>
        <w:t>Conveyance by way of mortgage</w:t>
      </w:r>
      <w:bookmarkEnd w:id="381"/>
      <w:bookmarkEnd w:id="382"/>
      <w:bookmarkEnd w:id="383"/>
      <w:bookmarkEnd w:id="384"/>
      <w:bookmarkEnd w:id="385"/>
      <w:bookmarkEnd w:id="386"/>
      <w:bookmarkEnd w:id="387"/>
      <w:bookmarkEnd w:id="388"/>
      <w:bookmarkEnd w:id="389"/>
      <w:bookmarkEnd w:id="390"/>
    </w:p>
    <w:p>
      <w:pPr>
        <w:pStyle w:val="yFootnoteheading"/>
      </w:pPr>
      <w:r>
        <w:tab/>
        <w:t>[Heading inserted: No. 19 of 2010 s. 26(6).]</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yHeading3"/>
        <w:rPr>
          <w:rFonts w:eastAsia="MS Mincho"/>
        </w:rPr>
      </w:pPr>
      <w:bookmarkStart w:id="391" w:name="_Toc75341017"/>
      <w:bookmarkStart w:id="392" w:name="_Toc75342039"/>
      <w:bookmarkStart w:id="393" w:name="_Toc75424040"/>
      <w:bookmarkStart w:id="394" w:name="_Toc216856364"/>
      <w:bookmarkStart w:id="395" w:name="_Toc216857040"/>
      <w:bookmarkStart w:id="396" w:name="_Toc216857213"/>
      <w:bookmarkStart w:id="397" w:name="_Toc216857913"/>
      <w:bookmarkStart w:id="398" w:name="_Toc216946541"/>
      <w:bookmarkStart w:id="399" w:name="_Toc216946714"/>
      <w:bookmarkStart w:id="400" w:name="_Toc216964038"/>
      <w:r>
        <w:rPr>
          <w:rStyle w:val="CharSDivNo"/>
          <w:rFonts w:eastAsia="MS Mincho"/>
        </w:rPr>
        <w:lastRenderedPageBreak/>
        <w:t>Part IV</w:t>
      </w:r>
      <w:r>
        <w:rPr>
          <w:rFonts w:eastAsia="MS Mincho"/>
        </w:rPr>
        <w:t> — </w:t>
      </w:r>
      <w:r>
        <w:rPr>
          <w:rStyle w:val="CharSDivText"/>
          <w:rFonts w:eastAsia="MS Mincho"/>
        </w:rPr>
        <w:t>Conveyance by way of mortgage of leasehold</w:t>
      </w:r>
      <w:bookmarkEnd w:id="391"/>
      <w:bookmarkEnd w:id="392"/>
      <w:bookmarkEnd w:id="393"/>
      <w:bookmarkEnd w:id="394"/>
      <w:bookmarkEnd w:id="395"/>
      <w:bookmarkEnd w:id="396"/>
      <w:bookmarkEnd w:id="397"/>
      <w:bookmarkEnd w:id="398"/>
      <w:bookmarkEnd w:id="399"/>
      <w:bookmarkEnd w:id="400"/>
    </w:p>
    <w:p>
      <w:pPr>
        <w:pStyle w:val="yFootnoteheading"/>
      </w:pPr>
      <w:r>
        <w:tab/>
        <w:t>[Heading inserted: No. 19 of 2010 s. 26(7).]</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yHeading3"/>
        <w:rPr>
          <w:rFonts w:eastAsia="MS Mincho"/>
        </w:rPr>
      </w:pPr>
      <w:bookmarkStart w:id="401" w:name="_Toc75341018"/>
      <w:bookmarkStart w:id="402" w:name="_Toc75342040"/>
      <w:bookmarkStart w:id="403" w:name="_Toc75424041"/>
      <w:bookmarkStart w:id="404" w:name="_Toc216856365"/>
      <w:bookmarkStart w:id="405" w:name="_Toc216857041"/>
      <w:bookmarkStart w:id="406" w:name="_Toc216857214"/>
      <w:bookmarkStart w:id="407" w:name="_Toc216857914"/>
      <w:bookmarkStart w:id="408" w:name="_Toc216946542"/>
      <w:bookmarkStart w:id="409" w:name="_Toc216946715"/>
      <w:bookmarkStart w:id="410" w:name="_Toc216964039"/>
      <w:r>
        <w:rPr>
          <w:rStyle w:val="CharSDivNo"/>
          <w:rFonts w:eastAsia="MS Mincho"/>
        </w:rPr>
        <w:t>Part V</w:t>
      </w:r>
      <w:r>
        <w:rPr>
          <w:rFonts w:eastAsia="MS Mincho"/>
        </w:rPr>
        <w:t> — </w:t>
      </w:r>
      <w:r>
        <w:rPr>
          <w:rStyle w:val="CharSDivText"/>
          <w:rFonts w:eastAsia="MS Mincho"/>
        </w:rPr>
        <w:t>Conveyance by way of settlement</w:t>
      </w:r>
      <w:bookmarkEnd w:id="401"/>
      <w:bookmarkEnd w:id="402"/>
      <w:bookmarkEnd w:id="403"/>
      <w:bookmarkEnd w:id="404"/>
      <w:bookmarkEnd w:id="405"/>
      <w:bookmarkEnd w:id="406"/>
      <w:bookmarkEnd w:id="407"/>
      <w:bookmarkEnd w:id="408"/>
      <w:bookmarkEnd w:id="409"/>
      <w:bookmarkEnd w:id="410"/>
    </w:p>
    <w:p>
      <w:pPr>
        <w:pStyle w:val="yFootnoteheading"/>
      </w:pPr>
      <w:r>
        <w:tab/>
        <w:t>[Heading inserted: No. 19 of 2010 s. 26(8).]</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 xml:space="preserve">matter </w:t>
      </w:r>
      <w:r>
        <w:rPr>
          <w:sz w:val="22"/>
        </w:rPr>
        <w:lastRenderedPageBreak/>
        <w:t>of the conveyance to the persons to whom the conveyance is made and those deriving title under them, as by them or any of them shall be reasonably required, subject as if so expressed, and in the manner in which the conveyance is expressed to be made.</w:t>
      </w:r>
    </w:p>
    <w:p>
      <w:pPr>
        <w:pStyle w:val="yHeading3"/>
        <w:rPr>
          <w:rFonts w:eastAsia="MS Mincho"/>
        </w:rPr>
      </w:pPr>
      <w:bookmarkStart w:id="411" w:name="_Toc75341019"/>
      <w:bookmarkStart w:id="412" w:name="_Toc75342041"/>
      <w:bookmarkStart w:id="413" w:name="_Toc75424042"/>
      <w:bookmarkStart w:id="414" w:name="_Toc216856366"/>
      <w:bookmarkStart w:id="415" w:name="_Toc216857042"/>
      <w:bookmarkStart w:id="416" w:name="_Toc216857215"/>
      <w:bookmarkStart w:id="417" w:name="_Toc216857915"/>
      <w:bookmarkStart w:id="418" w:name="_Toc216946543"/>
      <w:bookmarkStart w:id="419" w:name="_Toc216946716"/>
      <w:bookmarkStart w:id="420" w:name="_Toc216964040"/>
      <w:r>
        <w:rPr>
          <w:rStyle w:val="CharSDivNo"/>
          <w:rFonts w:eastAsia="MS Mincho"/>
        </w:rPr>
        <w:t>Part VI</w:t>
      </w:r>
      <w:r>
        <w:rPr>
          <w:rFonts w:eastAsia="MS Mincho"/>
        </w:rPr>
        <w:t> — </w:t>
      </w:r>
      <w:r>
        <w:rPr>
          <w:rStyle w:val="CharSDivText"/>
          <w:rFonts w:eastAsia="MS Mincho"/>
        </w:rPr>
        <w:t>Conveyance by person other than beneficial owner</w:t>
      </w:r>
      <w:bookmarkEnd w:id="411"/>
      <w:bookmarkEnd w:id="412"/>
      <w:bookmarkEnd w:id="413"/>
      <w:bookmarkEnd w:id="414"/>
      <w:bookmarkEnd w:id="415"/>
      <w:bookmarkEnd w:id="416"/>
      <w:bookmarkEnd w:id="417"/>
      <w:bookmarkEnd w:id="418"/>
      <w:bookmarkEnd w:id="419"/>
      <w:bookmarkEnd w:id="420"/>
    </w:p>
    <w:p>
      <w:pPr>
        <w:pStyle w:val="yFootnoteheading"/>
      </w:pPr>
      <w:r>
        <w:tab/>
        <w:t>[Heading inserted: No. 19 of 2010 s. 26(9).]</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No. 24 of 1990 s. 123.]</w:t>
      </w:r>
    </w:p>
    <w:p>
      <w:pPr>
        <w:pStyle w:val="yScheduleHeading"/>
      </w:pPr>
      <w:bookmarkStart w:id="421" w:name="_Toc75341020"/>
      <w:bookmarkStart w:id="422" w:name="_Toc75342042"/>
      <w:bookmarkStart w:id="423" w:name="_Toc75424043"/>
      <w:bookmarkStart w:id="424" w:name="_Toc216856367"/>
      <w:bookmarkStart w:id="425" w:name="_Toc216857043"/>
      <w:bookmarkStart w:id="426" w:name="_Toc216857216"/>
      <w:bookmarkStart w:id="427" w:name="_Toc216857916"/>
      <w:bookmarkStart w:id="428" w:name="_Toc216946544"/>
      <w:bookmarkStart w:id="429" w:name="_Toc216946717"/>
      <w:bookmarkStart w:id="430" w:name="_Toc216964041"/>
      <w:r>
        <w:rPr>
          <w:rStyle w:val="CharSchNo"/>
        </w:rPr>
        <w:lastRenderedPageBreak/>
        <w:t>Fourth Schedule</w:t>
      </w:r>
      <w:r>
        <w:rPr>
          <w:rStyle w:val="CharSDivNo"/>
        </w:rPr>
        <w:t> </w:t>
      </w:r>
      <w:r>
        <w:t>—</w:t>
      </w:r>
      <w:r>
        <w:rPr>
          <w:rStyle w:val="CharSDivText"/>
        </w:rPr>
        <w:t> </w:t>
      </w:r>
      <w:r>
        <w:rPr>
          <w:rStyle w:val="CharSchText"/>
        </w:rPr>
        <w:t>Conveyance</w:t>
      </w:r>
      <w:bookmarkEnd w:id="421"/>
      <w:bookmarkEnd w:id="422"/>
      <w:bookmarkEnd w:id="423"/>
      <w:bookmarkEnd w:id="424"/>
      <w:bookmarkEnd w:id="425"/>
      <w:bookmarkEnd w:id="426"/>
      <w:bookmarkEnd w:id="427"/>
      <w:bookmarkEnd w:id="428"/>
      <w:bookmarkEnd w:id="429"/>
      <w:bookmarkEnd w:id="430"/>
    </w:p>
    <w:p>
      <w:pPr>
        <w:pStyle w:val="yShoulderClause"/>
      </w:pPr>
      <w:r>
        <w:t>[s. 37]</w:t>
      </w:r>
    </w:p>
    <w:p>
      <w:pPr>
        <w:pStyle w:val="yFootnoteheading"/>
      </w:pPr>
      <w:r>
        <w:tab/>
        <w:t>[Heading amended: No. 19 of 2010 s. 26(10).]</w:t>
      </w:r>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r>
              <w:rPr>
                <w:noProof/>
                <w:sz w:val="22"/>
              </w:rPr>
              <w:drawing>
                <wp:inline distT="0" distB="0" distL="0" distR="0">
                  <wp:extent cx="127000" cy="2546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254635"/>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09" w:footer="3380" w:gutter="0"/>
          <w:cols w:space="720"/>
          <w:noEndnote/>
          <w:docGrid w:linePitch="326"/>
        </w:sectPr>
      </w:pPr>
    </w:p>
    <w:p>
      <w:pPr>
        <w:pStyle w:val="nHeading2"/>
      </w:pPr>
      <w:bookmarkStart w:id="432" w:name="_Toc75341021"/>
      <w:bookmarkStart w:id="433" w:name="_Toc75342043"/>
      <w:bookmarkStart w:id="434" w:name="_Toc75424044"/>
      <w:bookmarkStart w:id="435" w:name="_Toc216856368"/>
      <w:bookmarkStart w:id="436" w:name="_Toc216857044"/>
      <w:bookmarkStart w:id="437" w:name="_Toc216857217"/>
      <w:bookmarkStart w:id="438" w:name="_Toc216857917"/>
      <w:bookmarkStart w:id="439" w:name="_Toc216946545"/>
      <w:bookmarkStart w:id="440" w:name="_Toc216946718"/>
      <w:bookmarkStart w:id="441" w:name="_Toc216964042"/>
      <w:r>
        <w:lastRenderedPageBreak/>
        <w:t>Notes</w:t>
      </w:r>
      <w:bookmarkEnd w:id="432"/>
      <w:bookmarkEnd w:id="433"/>
      <w:bookmarkEnd w:id="434"/>
      <w:bookmarkEnd w:id="435"/>
      <w:bookmarkEnd w:id="436"/>
      <w:bookmarkEnd w:id="437"/>
      <w:bookmarkEnd w:id="438"/>
      <w:bookmarkEnd w:id="439"/>
      <w:bookmarkEnd w:id="440"/>
      <w:bookmarkEnd w:id="441"/>
    </w:p>
    <w:p>
      <w:pPr>
        <w:pStyle w:val="nStatement"/>
      </w:pPr>
      <w:r>
        <w:t xml:space="preserve">This is a compilation of the </w:t>
      </w:r>
      <w:r>
        <w:rPr>
          <w:i/>
          <w:noProof/>
        </w:rPr>
        <w:t>Property Law Act 1969</w:t>
      </w:r>
      <w:r>
        <w:t xml:space="preserve"> and includes amendments made by other written laws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442" w:name="_Toc216964043"/>
      <w:r>
        <w:t>Compilation table</w:t>
      </w:r>
      <w:bookmarkEnd w:id="442"/>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r>
              <w:rPr>
                <w:i/>
              </w:rPr>
              <w:t>Property Law Act 1969</w:t>
            </w:r>
          </w:p>
        </w:tc>
        <w:tc>
          <w:tcPr>
            <w:tcW w:w="1138" w:type="dxa"/>
            <w:tcBorders>
              <w:top w:val="single" w:sz="8" w:space="0" w:color="auto"/>
            </w:tcBorders>
          </w:tcPr>
          <w:p>
            <w:pPr>
              <w:pStyle w:val="nTable"/>
              <w:spacing w:after="40"/>
            </w:pPr>
            <w:r>
              <w:t>32 of 1969</w:t>
            </w:r>
          </w:p>
        </w:tc>
        <w:tc>
          <w:tcPr>
            <w:tcW w:w="1135" w:type="dxa"/>
            <w:tcBorders>
              <w:top w:val="single" w:sz="8" w:space="0" w:color="auto"/>
            </w:tcBorders>
          </w:tcPr>
          <w:p>
            <w:pPr>
              <w:pStyle w:val="nTable"/>
              <w:spacing w:after="40"/>
            </w:pPr>
            <w:r>
              <w:t>19 May 1969</w:t>
            </w:r>
          </w:p>
        </w:tc>
        <w:tc>
          <w:tcPr>
            <w:tcW w:w="2553" w:type="dxa"/>
            <w:tcBorders>
              <w:top w:val="single" w:sz="8" w:space="0" w:color="auto"/>
            </w:tcBorders>
          </w:tcPr>
          <w:p>
            <w:pPr>
              <w:pStyle w:val="nTable"/>
              <w:spacing w:after="40"/>
            </w:pPr>
            <w:r>
              <w:t xml:space="preserve">1 Aug 1969 (see s. 2 and </w:t>
            </w:r>
            <w:r>
              <w:rPr>
                <w:i/>
              </w:rPr>
              <w:t>Gazette</w:t>
            </w:r>
            <w:r>
              <w:t xml:space="preserve"> 27 Jun 1969 p. 1873)</w:t>
            </w:r>
          </w:p>
        </w:tc>
      </w:tr>
      <w:tr>
        <w:trPr>
          <w:cantSplit/>
        </w:trPr>
        <w:tc>
          <w:tcPr>
            <w:tcW w:w="2273" w:type="dxa"/>
          </w:tcPr>
          <w:p>
            <w:pPr>
              <w:pStyle w:val="nTable"/>
              <w:spacing w:after="40"/>
              <w:ind w:right="170"/>
            </w:pPr>
            <w:r>
              <w:rPr>
                <w:i/>
              </w:rPr>
              <w:t>Wills Act 1970</w:t>
            </w:r>
            <w:r>
              <w:t xml:space="preserve"> s. 3</w:t>
            </w:r>
          </w:p>
        </w:tc>
        <w:tc>
          <w:tcPr>
            <w:tcW w:w="1138" w:type="dxa"/>
          </w:tcPr>
          <w:p>
            <w:pPr>
              <w:pStyle w:val="nTable"/>
              <w:spacing w:after="40"/>
            </w:pPr>
            <w:r>
              <w:t>12 of 1970</w:t>
            </w:r>
          </w:p>
        </w:tc>
        <w:tc>
          <w:tcPr>
            <w:tcW w:w="1135" w:type="dxa"/>
          </w:tcPr>
          <w:p>
            <w:pPr>
              <w:pStyle w:val="nTable"/>
              <w:spacing w:after="40"/>
            </w:pPr>
            <w:r>
              <w:t>29 Apr 1970</w:t>
            </w:r>
          </w:p>
        </w:tc>
        <w:tc>
          <w:tcPr>
            <w:tcW w:w="2553" w:type="dxa"/>
          </w:tcPr>
          <w:p>
            <w:pPr>
              <w:pStyle w:val="nTable"/>
              <w:spacing w:after="40"/>
            </w:pPr>
            <w:r>
              <w:t>1 Jul 1970 (see s. 2 and </w:t>
            </w:r>
            <w:r>
              <w:rPr>
                <w:i/>
              </w:rPr>
              <w:t>Gazette</w:t>
            </w:r>
            <w:r>
              <w:t xml:space="preserve"> 5 Jun 1970 p. 1521)</w:t>
            </w:r>
          </w:p>
        </w:tc>
      </w:tr>
      <w:tr>
        <w:trPr>
          <w:cantSplit/>
        </w:trPr>
        <w:tc>
          <w:tcPr>
            <w:tcW w:w="2273" w:type="dxa"/>
          </w:tcPr>
          <w:p>
            <w:pPr>
              <w:pStyle w:val="nTable"/>
              <w:spacing w:after="40"/>
              <w:ind w:right="170"/>
            </w:pPr>
            <w:r>
              <w:rPr>
                <w:i/>
              </w:rPr>
              <w:t>Property Law Act Amendment Act 1971</w:t>
            </w:r>
          </w:p>
        </w:tc>
        <w:tc>
          <w:tcPr>
            <w:tcW w:w="1138" w:type="dxa"/>
          </w:tcPr>
          <w:p>
            <w:pPr>
              <w:pStyle w:val="nTable"/>
              <w:spacing w:after="40"/>
            </w:pPr>
            <w:r>
              <w:t>19 of 1971</w:t>
            </w:r>
          </w:p>
        </w:tc>
        <w:tc>
          <w:tcPr>
            <w:tcW w:w="1135" w:type="dxa"/>
          </w:tcPr>
          <w:p>
            <w:pPr>
              <w:pStyle w:val="nTable"/>
              <w:spacing w:after="40"/>
            </w:pPr>
            <w:r>
              <w:t>1 Dec 1971</w:t>
            </w:r>
          </w:p>
        </w:tc>
        <w:tc>
          <w:tcPr>
            <w:tcW w:w="2553" w:type="dxa"/>
          </w:tcPr>
          <w:p>
            <w:pPr>
              <w:pStyle w:val="nTable"/>
              <w:spacing w:after="40"/>
            </w:pPr>
            <w:r>
              <w:t>1 Dec 1971</w:t>
            </w:r>
          </w:p>
        </w:tc>
      </w:tr>
      <w:tr>
        <w:trPr>
          <w:cantSplit/>
        </w:trPr>
        <w:tc>
          <w:tcPr>
            <w:tcW w:w="2273" w:type="dxa"/>
          </w:tcPr>
          <w:p>
            <w:pPr>
              <w:pStyle w:val="nTable"/>
              <w:spacing w:after="40"/>
              <w:ind w:right="170"/>
            </w:pPr>
            <w:r>
              <w:rPr>
                <w:i/>
              </w:rPr>
              <w:t>Property Law Act Amendment Act (No. 2) 1971</w:t>
            </w:r>
          </w:p>
        </w:tc>
        <w:tc>
          <w:tcPr>
            <w:tcW w:w="1138" w:type="dxa"/>
          </w:tcPr>
          <w:p>
            <w:pPr>
              <w:pStyle w:val="nTable"/>
              <w:spacing w:after="40"/>
            </w:pPr>
            <w:r>
              <w:t>25 of 1971</w:t>
            </w:r>
          </w:p>
        </w:tc>
        <w:tc>
          <w:tcPr>
            <w:tcW w:w="1135" w:type="dxa"/>
          </w:tcPr>
          <w:p>
            <w:pPr>
              <w:pStyle w:val="nTable"/>
              <w:spacing w:after="40"/>
            </w:pPr>
            <w:r>
              <w:t>1 Dec 1971</w:t>
            </w:r>
          </w:p>
        </w:tc>
        <w:tc>
          <w:tcPr>
            <w:tcW w:w="2553" w:type="dxa"/>
          </w:tcPr>
          <w:p>
            <w:pPr>
              <w:pStyle w:val="nTable"/>
              <w:spacing w:after="40"/>
            </w:pPr>
            <w:r>
              <w:t xml:space="preserve">22 Dec 1972 (see s. 2 and </w:t>
            </w:r>
            <w:r>
              <w:rPr>
                <w:i/>
              </w:rPr>
              <w:t xml:space="preserve">Gazette </w:t>
            </w:r>
            <w:r>
              <w:t>22 Dec 1972 p. 4755)</w:t>
            </w:r>
          </w:p>
        </w:tc>
      </w:tr>
      <w:tr>
        <w:trPr>
          <w:cantSplit/>
        </w:trPr>
        <w:tc>
          <w:tcPr>
            <w:tcW w:w="2273" w:type="dxa"/>
          </w:tcPr>
          <w:p>
            <w:pPr>
              <w:pStyle w:val="nTable"/>
              <w:spacing w:after="40"/>
              <w:ind w:right="170"/>
            </w:pPr>
            <w:r>
              <w:rPr>
                <w:i/>
              </w:rPr>
              <w:t>Property Law Act Amendment Act 1973</w:t>
            </w:r>
          </w:p>
        </w:tc>
        <w:tc>
          <w:tcPr>
            <w:tcW w:w="1138" w:type="dxa"/>
          </w:tcPr>
          <w:p>
            <w:pPr>
              <w:pStyle w:val="nTable"/>
              <w:spacing w:after="40"/>
            </w:pPr>
            <w:r>
              <w:t>35 of 1973</w:t>
            </w:r>
          </w:p>
        </w:tc>
        <w:tc>
          <w:tcPr>
            <w:tcW w:w="1135" w:type="dxa"/>
          </w:tcPr>
          <w:p>
            <w:pPr>
              <w:pStyle w:val="nTable"/>
              <w:spacing w:after="40"/>
            </w:pPr>
            <w:r>
              <w:t>18 Oct 1973</w:t>
            </w:r>
          </w:p>
        </w:tc>
        <w:tc>
          <w:tcPr>
            <w:tcW w:w="2553" w:type="dxa"/>
          </w:tcPr>
          <w:p>
            <w:pPr>
              <w:pStyle w:val="nTable"/>
              <w:spacing w:after="40"/>
            </w:pPr>
            <w:r>
              <w:t>18 Oct 1973</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approved 1 Apr 1976</w:t>
            </w:r>
            <w:r>
              <w:t xml:space="preserve"> (includes amendments listed above)</w:t>
            </w:r>
          </w:p>
        </w:tc>
      </w:tr>
      <w:tr>
        <w:trPr>
          <w:cantSplit/>
        </w:trPr>
        <w:tc>
          <w:tcPr>
            <w:tcW w:w="2273" w:type="dxa"/>
          </w:tcPr>
          <w:p>
            <w:pPr>
              <w:pStyle w:val="nTable"/>
              <w:spacing w:after="40"/>
              <w:ind w:right="170"/>
            </w:pPr>
            <w:r>
              <w:rPr>
                <w:i/>
              </w:rPr>
              <w:t>Property Law Act Amendment Act 1979</w:t>
            </w:r>
          </w:p>
        </w:tc>
        <w:tc>
          <w:tcPr>
            <w:tcW w:w="1138" w:type="dxa"/>
          </w:tcPr>
          <w:p>
            <w:pPr>
              <w:pStyle w:val="nTable"/>
              <w:spacing w:after="40"/>
            </w:pPr>
            <w:r>
              <w:t>102 of 1979</w:t>
            </w:r>
          </w:p>
        </w:tc>
        <w:tc>
          <w:tcPr>
            <w:tcW w:w="1135" w:type="dxa"/>
          </w:tcPr>
          <w:p>
            <w:pPr>
              <w:pStyle w:val="nTable"/>
              <w:spacing w:after="40"/>
            </w:pPr>
            <w:r>
              <w:t>17 Dec 1979</w:t>
            </w:r>
          </w:p>
        </w:tc>
        <w:tc>
          <w:tcPr>
            <w:tcW w:w="2553" w:type="dxa"/>
          </w:tcPr>
          <w:p>
            <w:pPr>
              <w:pStyle w:val="nTable"/>
              <w:spacing w:after="40"/>
            </w:pPr>
            <w:r>
              <w:t xml:space="preserve">24 Apr 1980 (see s. 2 and </w:t>
            </w:r>
            <w:r>
              <w:rPr>
                <w:i/>
              </w:rPr>
              <w:t>Gazette</w:t>
            </w:r>
            <w:r>
              <w:t> 24 Apr 1980 p. 1180)</w:t>
            </w:r>
          </w:p>
        </w:tc>
      </w:tr>
      <w:tr>
        <w:trPr>
          <w:cantSplit/>
        </w:trPr>
        <w:tc>
          <w:tcPr>
            <w:tcW w:w="2273" w:type="dxa"/>
          </w:tcPr>
          <w:p>
            <w:pPr>
              <w:pStyle w:val="nTable"/>
              <w:spacing w:after="40"/>
              <w:ind w:right="170"/>
            </w:pPr>
            <w:r>
              <w:rPr>
                <w:i/>
              </w:rPr>
              <w:t>Artificial Conception Act 1985</w:t>
            </w:r>
            <w:r>
              <w:t xml:space="preserve"> s. 8</w:t>
            </w:r>
          </w:p>
        </w:tc>
        <w:tc>
          <w:tcPr>
            <w:tcW w:w="1138" w:type="dxa"/>
          </w:tcPr>
          <w:p>
            <w:pPr>
              <w:pStyle w:val="nTable"/>
              <w:spacing w:after="40"/>
            </w:pPr>
            <w:r>
              <w:t>14 of 1985</w:t>
            </w:r>
          </w:p>
        </w:tc>
        <w:tc>
          <w:tcPr>
            <w:tcW w:w="1135" w:type="dxa"/>
          </w:tcPr>
          <w:p>
            <w:pPr>
              <w:pStyle w:val="nTable"/>
              <w:spacing w:after="40"/>
            </w:pPr>
            <w:r>
              <w:t>12 Apr 1985</w:t>
            </w:r>
          </w:p>
        </w:tc>
        <w:tc>
          <w:tcPr>
            <w:tcW w:w="2553" w:type="dxa"/>
          </w:tcPr>
          <w:p>
            <w:pPr>
              <w:pStyle w:val="nTable"/>
              <w:spacing w:after="40"/>
            </w:pPr>
            <w:r>
              <w:t xml:space="preserve">1 Jul 1985 (see s. 2 and </w:t>
            </w:r>
            <w:r>
              <w:rPr>
                <w:i/>
              </w:rPr>
              <w:t>Gazette</w:t>
            </w:r>
            <w:r>
              <w:t> 28 Jun 1985 p. 2291)</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as at 17 Mar 1987</w:t>
            </w:r>
            <w:r>
              <w:t xml:space="preserve"> (includes amendments listed above)</w:t>
            </w:r>
          </w:p>
        </w:tc>
      </w:tr>
      <w:tr>
        <w:trPr>
          <w:cantSplit/>
        </w:trPr>
        <w:tc>
          <w:tcPr>
            <w:tcW w:w="2273" w:type="dxa"/>
          </w:tcPr>
          <w:p>
            <w:pPr>
              <w:pStyle w:val="nTable"/>
              <w:spacing w:after="40"/>
              <w:ind w:right="170"/>
            </w:pPr>
            <w:r>
              <w:rPr>
                <w:i/>
              </w:rPr>
              <w:t>Residential Tenancies Act 1987</w:t>
            </w:r>
            <w:r>
              <w:t xml:space="preserve"> s. 89</w:t>
            </w:r>
          </w:p>
        </w:tc>
        <w:tc>
          <w:tcPr>
            <w:tcW w:w="1138" w:type="dxa"/>
          </w:tcPr>
          <w:p>
            <w:pPr>
              <w:pStyle w:val="nTable"/>
              <w:spacing w:after="40"/>
            </w:pPr>
            <w:r>
              <w:t>128 of 1987</w:t>
            </w:r>
          </w:p>
        </w:tc>
        <w:tc>
          <w:tcPr>
            <w:tcW w:w="1135" w:type="dxa"/>
          </w:tcPr>
          <w:p>
            <w:pPr>
              <w:pStyle w:val="nTable"/>
              <w:spacing w:after="40"/>
            </w:pPr>
            <w:r>
              <w:t>21 Jan 1988</w:t>
            </w:r>
          </w:p>
        </w:tc>
        <w:tc>
          <w:tcPr>
            <w:tcW w:w="2553" w:type="dxa"/>
          </w:tcPr>
          <w:p>
            <w:pPr>
              <w:pStyle w:val="nTable"/>
              <w:spacing w:after="40"/>
            </w:pPr>
            <w:r>
              <w:t xml:space="preserve">1 Oct 1989 (see s. 2 and </w:t>
            </w:r>
            <w:r>
              <w:rPr>
                <w:i/>
              </w:rPr>
              <w:t>Gazette</w:t>
            </w:r>
            <w:r>
              <w:t> 18 Aug 1989 p. 2748)</w:t>
            </w:r>
          </w:p>
        </w:tc>
      </w:tr>
      <w:tr>
        <w:trPr>
          <w:cantSplit/>
        </w:trPr>
        <w:tc>
          <w:tcPr>
            <w:tcW w:w="2273" w:type="dxa"/>
          </w:tcPr>
          <w:p>
            <w:pPr>
              <w:pStyle w:val="nTable"/>
              <w:spacing w:after="40"/>
              <w:ind w:right="170"/>
            </w:pPr>
            <w:r>
              <w:rPr>
                <w:i/>
              </w:rPr>
              <w:t>Guardianship and Administration Act 1990</w:t>
            </w:r>
            <w:r>
              <w:t xml:space="preserve"> s. 123</w:t>
            </w:r>
          </w:p>
        </w:tc>
        <w:tc>
          <w:tcPr>
            <w:tcW w:w="1138" w:type="dxa"/>
          </w:tcPr>
          <w:p>
            <w:pPr>
              <w:pStyle w:val="nTable"/>
              <w:keepNext/>
              <w:spacing w:after="40"/>
            </w:pPr>
            <w:r>
              <w:t>24 of 1990</w:t>
            </w:r>
          </w:p>
        </w:tc>
        <w:tc>
          <w:tcPr>
            <w:tcW w:w="1135" w:type="dxa"/>
          </w:tcPr>
          <w:p>
            <w:pPr>
              <w:pStyle w:val="nTable"/>
              <w:spacing w:after="40"/>
            </w:pPr>
            <w:r>
              <w:t>7 Sept 1990</w:t>
            </w:r>
          </w:p>
        </w:tc>
        <w:tc>
          <w:tcPr>
            <w:tcW w:w="2553" w:type="dxa"/>
          </w:tcPr>
          <w:p>
            <w:pPr>
              <w:pStyle w:val="nTable"/>
              <w:spacing w:after="40"/>
            </w:pPr>
            <w:r>
              <w:t xml:space="preserve">20 Oct 1992 (see s. 2 and </w:t>
            </w:r>
            <w:r>
              <w:rPr>
                <w:i/>
              </w:rPr>
              <w:t xml:space="preserve">Gazette </w:t>
            </w:r>
            <w:r>
              <w:t>2 Oct 1992 p. 4811)</w:t>
            </w:r>
          </w:p>
        </w:tc>
      </w:tr>
      <w:tr>
        <w:trPr>
          <w:cantSplit/>
        </w:trPr>
        <w:tc>
          <w:tcPr>
            <w:tcW w:w="2273" w:type="dxa"/>
          </w:tcPr>
          <w:p>
            <w:pPr>
              <w:pStyle w:val="nTable"/>
              <w:spacing w:after="40"/>
              <w:ind w:right="170"/>
            </w:pPr>
            <w:r>
              <w:rPr>
                <w:i/>
              </w:rPr>
              <w:t>Planning Legislation Amendment Act (No. 2) 1994</w:t>
            </w:r>
            <w:r>
              <w:t xml:space="preserve"> s. 46(11)</w:t>
            </w:r>
          </w:p>
        </w:tc>
        <w:tc>
          <w:tcPr>
            <w:tcW w:w="1138" w:type="dxa"/>
          </w:tcPr>
          <w:p>
            <w:pPr>
              <w:pStyle w:val="nTable"/>
              <w:spacing w:after="40"/>
            </w:pPr>
            <w:r>
              <w:t>84 of 1994</w:t>
            </w:r>
          </w:p>
        </w:tc>
        <w:tc>
          <w:tcPr>
            <w:tcW w:w="1135" w:type="dxa"/>
          </w:tcPr>
          <w:p>
            <w:pPr>
              <w:pStyle w:val="nTable"/>
              <w:spacing w:after="40"/>
            </w:pPr>
            <w:r>
              <w:t>13 Jan 1995</w:t>
            </w:r>
          </w:p>
        </w:tc>
        <w:tc>
          <w:tcPr>
            <w:tcW w:w="2553" w:type="dxa"/>
          </w:tcPr>
          <w:p>
            <w:pPr>
              <w:pStyle w:val="nTable"/>
              <w:spacing w:after="40"/>
            </w:pPr>
            <w:r>
              <w:t xml:space="preserve">1 Mar 1995 (see s. 2 and </w:t>
            </w:r>
            <w:r>
              <w:rPr>
                <w:i/>
              </w:rPr>
              <w:t>Gazette</w:t>
            </w:r>
            <w:r>
              <w:t> 21 Feb 1995 p. 567)</w:t>
            </w:r>
          </w:p>
        </w:tc>
      </w:tr>
      <w:tr>
        <w:trPr>
          <w:cantSplit/>
        </w:trPr>
        <w:tc>
          <w:tcPr>
            <w:tcW w:w="2273" w:type="dxa"/>
          </w:tcPr>
          <w:p>
            <w:pPr>
              <w:pStyle w:val="nTable"/>
              <w:spacing w:after="40"/>
              <w:ind w:right="17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3" w:type="dxa"/>
          </w:tcPr>
          <w:p>
            <w:pPr>
              <w:pStyle w:val="nTable"/>
              <w:spacing w:after="40"/>
            </w:pPr>
            <w:r>
              <w:t>1 Jul 1996 (see s. 2)</w:t>
            </w:r>
          </w:p>
        </w:tc>
      </w:tr>
      <w:tr>
        <w:trPr>
          <w:cantSplit/>
        </w:trPr>
        <w:tc>
          <w:tcPr>
            <w:tcW w:w="2273" w:type="dxa"/>
          </w:tcPr>
          <w:p>
            <w:pPr>
              <w:pStyle w:val="nTable"/>
              <w:spacing w:after="40"/>
              <w:ind w:right="170"/>
            </w:pPr>
            <w:r>
              <w:rPr>
                <w:i/>
              </w:rPr>
              <w:lastRenderedPageBreak/>
              <w:t>Transfer of Land Amendment Act 1996</w:t>
            </w:r>
            <w:r>
              <w:t> s. 153(1)</w:t>
            </w:r>
          </w:p>
        </w:tc>
        <w:tc>
          <w:tcPr>
            <w:tcW w:w="1138" w:type="dxa"/>
          </w:tcPr>
          <w:p>
            <w:pPr>
              <w:pStyle w:val="nTable"/>
              <w:spacing w:after="40"/>
            </w:pPr>
            <w:r>
              <w:t>81 of 1996</w:t>
            </w:r>
          </w:p>
        </w:tc>
        <w:tc>
          <w:tcPr>
            <w:tcW w:w="1135" w:type="dxa"/>
          </w:tcPr>
          <w:p>
            <w:pPr>
              <w:pStyle w:val="nTable"/>
              <w:spacing w:after="40"/>
            </w:pPr>
            <w:r>
              <w:t>14 Nov 1996</w:t>
            </w:r>
          </w:p>
        </w:tc>
        <w:tc>
          <w:tcPr>
            <w:tcW w:w="2553" w:type="dxa"/>
          </w:tcPr>
          <w:p>
            <w:pPr>
              <w:pStyle w:val="nTable"/>
              <w:spacing w:after="40"/>
            </w:pPr>
            <w:r>
              <w:t>14 Nov 1996 (see s. 2(1))</w:t>
            </w:r>
          </w:p>
        </w:tc>
      </w:tr>
      <w:tr>
        <w:trPr>
          <w:cantSplit/>
        </w:trPr>
        <w:tc>
          <w:tcPr>
            <w:tcW w:w="2273" w:type="dxa"/>
          </w:tcPr>
          <w:p>
            <w:pPr>
              <w:pStyle w:val="nTable"/>
              <w:spacing w:after="40"/>
              <w:ind w:right="170"/>
            </w:pPr>
            <w:r>
              <w:rPr>
                <w:i/>
              </w:rPr>
              <w:t>Statutes (Repeals and Minor Amendments) Act (No. 2) 1998</w:t>
            </w:r>
            <w:r>
              <w:t xml:space="preserve"> s. 76</w:t>
            </w:r>
          </w:p>
        </w:tc>
        <w:tc>
          <w:tcPr>
            <w:tcW w:w="1138" w:type="dxa"/>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as at 21 May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(No. 2) 2003</w:t>
            </w:r>
            <w:r>
              <w:t xml:space="preserve"> Pt. 21</w:t>
            </w:r>
          </w:p>
        </w:tc>
        <w:tc>
          <w:tcPr>
            <w:tcW w:w="1138" w:type="dxa"/>
          </w:tcPr>
          <w:p>
            <w:pPr>
              <w:pStyle w:val="nTable"/>
              <w:spacing w:after="40"/>
            </w:pPr>
            <w:r>
              <w:t>20 of 2003</w:t>
            </w:r>
          </w:p>
        </w:tc>
        <w:tc>
          <w:tcPr>
            <w:tcW w:w="1135" w:type="dxa"/>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s. 125</w:t>
            </w:r>
            <w:r>
              <w:rPr>
                <w:vertAlign w:val="superscript"/>
              </w:rPr>
              <w:t> 6</w:t>
            </w:r>
            <w:r>
              <w:t> and Pt. 49</w:t>
            </w:r>
          </w:p>
        </w:tc>
        <w:tc>
          <w:tcPr>
            <w:tcW w:w="1138" w:type="dxa"/>
          </w:tcPr>
          <w:p>
            <w:pPr>
              <w:pStyle w:val="nTable"/>
              <w:spacing w:after="40"/>
            </w:pPr>
            <w:r>
              <w:t>28 of 2003</w:t>
            </w:r>
          </w:p>
        </w:tc>
        <w:tc>
          <w:tcPr>
            <w:tcW w:w="1135" w:type="dxa"/>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rPr>
                <w:i/>
              </w:rPr>
            </w:pPr>
            <w:r>
              <w:rPr>
                <w:i/>
                <w:snapToGrid w:val="0"/>
              </w:rPr>
              <w:t>Planning and Development (Consequential and Transitional Provisions) Act 2005</w:t>
            </w:r>
            <w:r>
              <w:rPr>
                <w:iCs/>
              </w:rPr>
              <w:t xml:space="preserve"> s. 15</w:t>
            </w:r>
          </w:p>
        </w:tc>
        <w:tc>
          <w:tcPr>
            <w:tcW w:w="1138" w:type="dxa"/>
          </w:tcPr>
          <w:p>
            <w:pPr>
              <w:pStyle w:val="nTable"/>
              <w:spacing w:after="40"/>
            </w:pPr>
            <w:r>
              <w:rPr>
                <w:snapToGrid w:val="0"/>
              </w:rPr>
              <w:t>38 of 2005</w:t>
            </w:r>
          </w:p>
        </w:tc>
        <w:tc>
          <w:tcPr>
            <w:tcW w:w="1135" w:type="dxa"/>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73" w:type="dxa"/>
          </w:tcPr>
          <w:p>
            <w:pPr>
              <w:pStyle w:val="nTable"/>
              <w:spacing w:after="40"/>
              <w:ind w:right="170"/>
              <w:rPr>
                <w:i/>
                <w:snapToGrid w:val="0"/>
              </w:rPr>
            </w:pPr>
            <w:r>
              <w:rPr>
                <w:i/>
                <w:iCs/>
                <w:snapToGrid w:val="0"/>
              </w:rPr>
              <w:t xml:space="preserve">Liquor and Gaming Legislation Amendment Act 2006 </w:t>
            </w:r>
            <w:r>
              <w:rPr>
                <w:snapToGrid w:val="0"/>
              </w:rPr>
              <w:t>s. 115</w:t>
            </w:r>
          </w:p>
        </w:tc>
        <w:tc>
          <w:tcPr>
            <w:tcW w:w="1138" w:type="dxa"/>
          </w:tcPr>
          <w:p>
            <w:pPr>
              <w:pStyle w:val="nTable"/>
              <w:spacing w:after="40"/>
              <w:rPr>
                <w:snapToGrid w:val="0"/>
              </w:rPr>
            </w:pPr>
            <w:r>
              <w:rPr>
                <w:snapToGrid w:val="0"/>
              </w:rPr>
              <w:t>73 of 2006</w:t>
            </w:r>
          </w:p>
        </w:tc>
        <w:tc>
          <w:tcPr>
            <w:tcW w:w="1135" w:type="dxa"/>
          </w:tcPr>
          <w:p>
            <w:pPr>
              <w:pStyle w:val="nTable"/>
              <w:spacing w:after="40"/>
            </w:pPr>
            <w:r>
              <w:rPr>
                <w:snapToGrid w:val="0"/>
              </w:rPr>
              <w:t>13 Dec 2006</w:t>
            </w:r>
          </w:p>
        </w:tc>
        <w:tc>
          <w:tcPr>
            <w:tcW w:w="2553" w:type="dxa"/>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cantSplit/>
        </w:trPr>
        <w:tc>
          <w:tcPr>
            <w:tcW w:w="7099" w:type="dxa"/>
            <w:gridSpan w:val="4"/>
          </w:tcPr>
          <w:p>
            <w:pPr>
              <w:pStyle w:val="nTable"/>
              <w:spacing w:after="40"/>
              <w:rPr>
                <w:snapToGrid w:val="0"/>
              </w:rPr>
            </w:pPr>
            <w:r>
              <w:rPr>
                <w:b/>
                <w:bCs/>
              </w:rPr>
              <w:t xml:space="preserve">Reprint 4: The </w:t>
            </w:r>
            <w:r>
              <w:rPr>
                <w:b/>
                <w:bCs/>
                <w:i/>
              </w:rPr>
              <w:t>Property Law Act 1969</w:t>
            </w:r>
            <w:r>
              <w:rPr>
                <w:b/>
                <w:bCs/>
              </w:rPr>
              <w:t xml:space="preserve"> as at 24 Aug 2007</w:t>
            </w:r>
            <w:r>
              <w:t xml:space="preserve"> (includes amendments listed above)</w:t>
            </w:r>
          </w:p>
        </w:tc>
      </w:tr>
      <w:tr>
        <w:trPr>
          <w:cantSplit/>
        </w:trPr>
        <w:tc>
          <w:tcPr>
            <w:tcW w:w="2273" w:type="dxa"/>
          </w:tcPr>
          <w:p>
            <w:pPr>
              <w:pStyle w:val="nTable"/>
              <w:spacing w:after="40"/>
              <w:rPr>
                <w:iCs/>
                <w:vertAlign w:val="superscript"/>
              </w:rPr>
            </w:pPr>
            <w:r>
              <w:rPr>
                <w:i/>
              </w:rPr>
              <w:t>Wills Amendment Act 2007</w:t>
            </w:r>
            <w:r>
              <w:rPr>
                <w:iCs/>
              </w:rPr>
              <w:t xml:space="preserve"> s. 25</w:t>
            </w:r>
          </w:p>
        </w:tc>
        <w:tc>
          <w:tcPr>
            <w:tcW w:w="1138" w:type="dxa"/>
          </w:tcPr>
          <w:p>
            <w:pPr>
              <w:pStyle w:val="nTable"/>
              <w:spacing w:after="40"/>
            </w:pPr>
            <w:r>
              <w:rPr>
                <w:snapToGrid w:val="0"/>
              </w:rPr>
              <w:t>27 of 2007</w:t>
            </w:r>
          </w:p>
        </w:tc>
        <w:tc>
          <w:tcPr>
            <w:tcW w:w="1135" w:type="dxa"/>
          </w:tcPr>
          <w:p>
            <w:pPr>
              <w:pStyle w:val="nTable"/>
              <w:spacing w:after="40"/>
            </w:pPr>
            <w:r>
              <w:rPr>
                <w:snapToGrid w:val="0"/>
              </w:rPr>
              <w:t>26 Oct 2007</w:t>
            </w:r>
          </w:p>
        </w:tc>
        <w:tc>
          <w:tcPr>
            <w:tcW w:w="2553" w:type="dxa"/>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26 and 51</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Pr>
          <w:p>
            <w:pPr>
              <w:pStyle w:val="nTable"/>
              <w:spacing w:after="40"/>
              <w:ind w:right="113"/>
              <w:rPr>
                <w:i/>
                <w:snapToGrid w:val="0"/>
              </w:rPr>
            </w:pPr>
            <w:r>
              <w:rPr>
                <w:i/>
                <w:snapToGrid w:val="0"/>
              </w:rPr>
              <w:t>Personal Property Securities (Consequential Repeals and Amendments) Act 2011</w:t>
            </w:r>
            <w:r>
              <w:rPr>
                <w:snapToGrid w:val="0"/>
              </w:rPr>
              <w:t xml:space="preserve"> Pt. 3 Div. 3</w:t>
            </w:r>
          </w:p>
        </w:tc>
        <w:tc>
          <w:tcPr>
            <w:tcW w:w="1138" w:type="dxa"/>
          </w:tcPr>
          <w:p>
            <w:pPr>
              <w:pStyle w:val="nTable"/>
              <w:spacing w:after="40"/>
              <w:rPr>
                <w:snapToGrid w:val="0"/>
              </w:rPr>
            </w:pPr>
            <w:r>
              <w:rPr>
                <w:snapToGrid w:val="0"/>
              </w:rPr>
              <w:t>42 of 2011</w:t>
            </w:r>
          </w:p>
        </w:tc>
        <w:tc>
          <w:tcPr>
            <w:tcW w:w="1135" w:type="dxa"/>
          </w:tcPr>
          <w:p>
            <w:pPr>
              <w:pStyle w:val="nTable"/>
              <w:spacing w:after="40"/>
              <w:rPr>
                <w:snapToGrid w:val="0"/>
              </w:rPr>
            </w:pPr>
            <w:r>
              <w:t>4 Oct 2011</w:t>
            </w:r>
          </w:p>
        </w:tc>
        <w:tc>
          <w:tcPr>
            <w:tcW w:w="2553"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73" w:type="dxa"/>
          </w:tcPr>
          <w:p>
            <w:pPr>
              <w:pStyle w:val="nTable"/>
              <w:spacing w:after="40"/>
              <w:ind w:right="113"/>
              <w:rPr>
                <w:i/>
                <w:snapToGrid w:val="0"/>
              </w:rPr>
            </w:pPr>
            <w:r>
              <w:rPr>
                <w:i/>
              </w:rPr>
              <w:t>Strata Titles Amendment Act 2018</w:t>
            </w:r>
            <w:r>
              <w:t xml:space="preserve"> Pt. 3 Div. 15</w:t>
            </w:r>
          </w:p>
        </w:tc>
        <w:tc>
          <w:tcPr>
            <w:tcW w:w="1138" w:type="dxa"/>
          </w:tcPr>
          <w:p>
            <w:pPr>
              <w:pStyle w:val="nTable"/>
              <w:spacing w:after="40"/>
              <w:rPr>
                <w:snapToGrid w:val="0"/>
              </w:rPr>
            </w:pPr>
            <w:r>
              <w:t>30 of 2018</w:t>
            </w:r>
          </w:p>
        </w:tc>
        <w:tc>
          <w:tcPr>
            <w:tcW w:w="1135" w:type="dxa"/>
          </w:tcPr>
          <w:p>
            <w:pPr>
              <w:pStyle w:val="nTable"/>
              <w:spacing w:after="40"/>
            </w:pPr>
            <w:r>
              <w:t>19 Nov 2018</w:t>
            </w:r>
          </w:p>
        </w:tc>
        <w:tc>
          <w:tcPr>
            <w:tcW w:w="2553" w:type="dxa"/>
          </w:tcPr>
          <w:p>
            <w:pPr>
              <w:pStyle w:val="nTable"/>
              <w:spacing w:after="40"/>
              <w:rPr>
                <w:snapToGrid w:val="0"/>
              </w:rPr>
            </w:pPr>
            <w:r>
              <w:rPr>
                <w:snapToGrid w:val="0"/>
              </w:rPr>
              <w:t>1 May 2020 (see s. 2(b) and SL 2020/39 cl. 2)</w:t>
            </w:r>
          </w:p>
        </w:tc>
      </w:tr>
      <w:tr>
        <w:trPr>
          <w:cantSplit/>
        </w:trPr>
        <w:tc>
          <w:tcPr>
            <w:tcW w:w="2273" w:type="dxa"/>
            <w:tcBorders>
              <w:bottom w:val="single" w:sz="4" w:space="0" w:color="auto"/>
            </w:tcBorders>
          </w:tcPr>
          <w:p>
            <w:pPr>
              <w:pStyle w:val="nTable"/>
              <w:spacing w:after="40"/>
              <w:ind w:right="113"/>
              <w:rPr>
                <w:i/>
              </w:rPr>
            </w:pPr>
            <w:r>
              <w:rPr>
                <w:i/>
              </w:rPr>
              <w:t>Community Titles Act 2018</w:t>
            </w:r>
            <w:r>
              <w:t xml:space="preserve"> Pt. 14 Div. 15</w:t>
            </w:r>
          </w:p>
        </w:tc>
        <w:tc>
          <w:tcPr>
            <w:tcW w:w="1138" w:type="dxa"/>
            <w:tcBorders>
              <w:bottom w:val="single" w:sz="4" w:space="0" w:color="auto"/>
            </w:tcBorders>
          </w:tcPr>
          <w:p>
            <w:pPr>
              <w:pStyle w:val="nTable"/>
              <w:spacing w:after="40"/>
            </w:pPr>
            <w:r>
              <w:t>32 of 2018</w:t>
            </w:r>
          </w:p>
        </w:tc>
        <w:tc>
          <w:tcPr>
            <w:tcW w:w="1135" w:type="dxa"/>
            <w:tcBorders>
              <w:bottom w:val="single" w:sz="4" w:space="0" w:color="auto"/>
            </w:tcBorders>
          </w:tcPr>
          <w:p>
            <w:pPr>
              <w:pStyle w:val="nTable"/>
              <w:spacing w:after="40"/>
            </w:pPr>
            <w:r>
              <w:t>19 Nov 2018</w:t>
            </w:r>
          </w:p>
        </w:tc>
        <w:tc>
          <w:tcPr>
            <w:tcW w:w="2553" w:type="dxa"/>
            <w:tcBorders>
              <w:bottom w:val="single" w:sz="4" w:space="0" w:color="auto"/>
            </w:tcBorders>
          </w:tcPr>
          <w:p>
            <w:pPr>
              <w:pStyle w:val="nTable"/>
              <w:spacing w:after="40"/>
              <w:rPr>
                <w:snapToGrid w:val="0"/>
              </w:rPr>
            </w:pPr>
            <w:r>
              <w:t>30 Jun 2021 (see s. 2(b) and SL 2021/69 cl. 2)</w:t>
            </w:r>
          </w:p>
        </w:tc>
      </w:tr>
    </w:tbl>
    <w:p>
      <w:pPr>
        <w:pStyle w:val="nHeading3"/>
      </w:pPr>
      <w:bookmarkStart w:id="443" w:name="_Toc216964044"/>
      <w:r>
        <w:lastRenderedPageBreak/>
        <w:t>Uncommenced provisions table</w:t>
      </w:r>
      <w:bookmarkEnd w:id="44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Assisted Reproductive Technology and Surrogacy Act 2025 </w:t>
            </w:r>
            <w:r>
              <w:rPr>
                <w:iCs/>
              </w:rPr>
              <w:t>Pt. 17 Div. 14</w:t>
            </w:r>
          </w:p>
        </w:tc>
        <w:tc>
          <w:tcPr>
            <w:tcW w:w="1134" w:type="dxa"/>
          </w:tcPr>
          <w:p>
            <w:pPr>
              <w:pStyle w:val="nTable"/>
              <w:spacing w:after="40"/>
            </w:pPr>
            <w:r>
              <w:t>19 of 2025</w:t>
            </w:r>
          </w:p>
        </w:tc>
        <w:tc>
          <w:tcPr>
            <w:tcW w:w="1134" w:type="dxa"/>
          </w:tcPr>
          <w:p>
            <w:pPr>
              <w:pStyle w:val="nTable"/>
              <w:spacing w:after="40"/>
            </w:pPr>
            <w:r>
              <w:t>18 Dec 2025</w:t>
            </w:r>
          </w:p>
        </w:tc>
        <w:tc>
          <w:tcPr>
            <w:tcW w:w="2552" w:type="dxa"/>
          </w:tcPr>
          <w:p>
            <w:pPr>
              <w:pStyle w:val="nTable"/>
              <w:spacing w:after="40"/>
            </w:pPr>
            <w:r>
              <w:t>To be proclaimed (see s. 2(c))</w:t>
            </w:r>
          </w:p>
        </w:tc>
      </w:tr>
    </w:tbl>
    <w:p>
      <w:pPr>
        <w:pStyle w:val="nHeading3"/>
      </w:pPr>
      <w:bookmarkStart w:id="444" w:name="_Toc216964045"/>
      <w:r>
        <w:t>Other notes</w:t>
      </w:r>
      <w:bookmarkEnd w:id="444"/>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pPr>
        <w:pStyle w:val="nNote"/>
        <w:spacing w:before="120"/>
        <w:rPr>
          <w:snapToGrid w:val="0"/>
        </w:rPr>
      </w:pPr>
      <w:r>
        <w:rPr>
          <w:snapToGrid w:val="0"/>
          <w:vertAlign w:val="superscript"/>
        </w:rPr>
        <w:t>2</w:t>
      </w:r>
      <w:r>
        <w:rPr>
          <w:snapToGrid w:val="0"/>
        </w:rPr>
        <w:tab/>
        <w:t xml:space="preserve">Section 31A proclaimed 21 January 1972, see </w:t>
      </w:r>
      <w:r>
        <w:rPr>
          <w:i/>
          <w:snapToGrid w:val="0"/>
        </w:rPr>
        <w:t>Gazette</w:t>
      </w:r>
      <w:r>
        <w:rPr>
          <w:snapToGrid w:val="0"/>
        </w:rPr>
        <w:t xml:space="preserve"> 21 January 1972 p 72.</w:t>
      </w:r>
    </w:p>
    <w:p>
      <w:pPr>
        <w:pStyle w:val="nNote"/>
        <w:spacing w:before="120"/>
        <w:rPr>
          <w:snapToGrid w:val="0"/>
        </w:rPr>
      </w:pPr>
      <w:r>
        <w:rPr>
          <w:snapToGrid w:val="0"/>
          <w:vertAlign w:val="superscript"/>
        </w:rPr>
        <w:t>3</w:t>
      </w:r>
      <w:r>
        <w:rPr>
          <w:snapToGrid w:val="0"/>
        </w:rPr>
        <w:tab/>
        <w:t xml:space="preserve">Repealed by the </w:t>
      </w:r>
      <w:r>
        <w:rPr>
          <w:i/>
          <w:snapToGrid w:val="0"/>
        </w:rPr>
        <w:t>Property Law Act 1969</w:t>
      </w:r>
      <w:r>
        <w:rPr>
          <w:snapToGrid w:val="0"/>
        </w:rPr>
        <w:t>.</w:t>
      </w:r>
    </w:p>
    <w:p>
      <w:pPr>
        <w:pStyle w:val="nNote"/>
        <w:spacing w:before="120"/>
        <w:rPr>
          <w:snapToGrid w:val="0"/>
        </w:rPr>
      </w:pPr>
      <w:r>
        <w:rPr>
          <w:snapToGrid w:val="0"/>
          <w:vertAlign w:val="superscript"/>
        </w:rPr>
        <w:t>4</w:t>
      </w:r>
      <w:r>
        <w:rPr>
          <w:snapToGrid w:val="0"/>
        </w:rPr>
        <w:tab/>
        <w:t xml:space="preserve">Section 117 repealed by the </w:t>
      </w:r>
      <w:r>
        <w:rPr>
          <w:i/>
          <w:snapToGrid w:val="0"/>
        </w:rPr>
        <w:t>Wills Act 1970</w:t>
      </w:r>
      <w:r>
        <w:rPr>
          <w:snapToGrid w:val="0"/>
        </w:rPr>
        <w:t xml:space="preserve"> s. 3.</w:t>
      </w:r>
    </w:p>
    <w:p>
      <w:pPr>
        <w:pStyle w:val="nNote"/>
        <w:spacing w:before="120"/>
        <w:rPr>
          <w:snapToGrid w:val="0"/>
        </w:rPr>
      </w:pPr>
      <w:r>
        <w:rPr>
          <w:snapToGrid w:val="0"/>
          <w:vertAlign w:val="superscript"/>
        </w:rPr>
        <w:t>5</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Note"/>
        <w:keepNext/>
        <w:keepLines/>
      </w:pPr>
      <w:r>
        <w:rPr>
          <w:vertAlign w:val="superscript"/>
        </w:rPr>
        <w:t>6</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446" w:name="_Toc75341025"/>
      <w:bookmarkStart w:id="447" w:name="_Toc75342046"/>
      <w:bookmarkStart w:id="448" w:name="_Toc75424047"/>
      <w:bookmarkStart w:id="449" w:name="_Toc216856371"/>
      <w:bookmarkStart w:id="450" w:name="_Toc216857048"/>
      <w:bookmarkStart w:id="451" w:name="_Toc216857221"/>
      <w:bookmarkStart w:id="452" w:name="_Toc216857921"/>
      <w:bookmarkStart w:id="453" w:name="_Toc216946549"/>
      <w:bookmarkStart w:id="454" w:name="_Toc216946722"/>
      <w:bookmarkStart w:id="455" w:name="_Toc216964046"/>
      <w:r>
        <w:rPr>
          <w:sz w:val="28"/>
        </w:rPr>
        <w:lastRenderedPageBreak/>
        <w:t>Defined terms</w:t>
      </w:r>
      <w:bookmarkEnd w:id="446"/>
      <w:bookmarkEnd w:id="447"/>
      <w:bookmarkEnd w:id="448"/>
      <w:bookmarkEnd w:id="449"/>
      <w:bookmarkEnd w:id="450"/>
      <w:bookmarkEnd w:id="451"/>
      <w:bookmarkEnd w:id="452"/>
      <w:bookmarkEnd w:id="453"/>
      <w:bookmarkEnd w:id="454"/>
      <w:bookmarkEnd w:id="4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purchaser in good faith</w:t>
      </w:r>
      <w:r>
        <w:tab/>
        <w:t>95(3)</w:t>
      </w:r>
    </w:p>
    <w:p>
      <w:pPr>
        <w:pStyle w:val="DefinedTerms"/>
      </w:pPr>
      <w:r>
        <w:t>annuities</w:t>
      </w:r>
      <w:r>
        <w:tab/>
        <w:t>130(1)</w:t>
      </w:r>
    </w:p>
    <w:p>
      <w:pPr>
        <w:pStyle w:val="DefinedTerms"/>
      </w:pPr>
      <w:r>
        <w:t>any debt or other legal chose in action</w:t>
      </w:r>
      <w:r>
        <w:tab/>
        <w:t>20(3)</w:t>
      </w:r>
    </w:p>
    <w:p>
      <w:pPr>
        <w:pStyle w:val="DefinedTerms"/>
      </w:pPr>
      <w:r>
        <w:t>bankruptcy</w:t>
      </w:r>
      <w:r>
        <w:tab/>
        <w:t>7</w:t>
      </w:r>
    </w:p>
    <w:p>
      <w:pPr>
        <w:pStyle w:val="DefinedTerms"/>
      </w:pPr>
      <w:r>
        <w:t>building</w:t>
      </w:r>
      <w:r>
        <w:tab/>
        <w:t>122(7)</w:t>
      </w:r>
    </w:p>
    <w:p>
      <w:pPr>
        <w:pStyle w:val="DefinedTerms"/>
      </w:pPr>
      <w:r>
        <w:t>convey</w:t>
      </w:r>
      <w:r>
        <w:tab/>
        <w:t>7</w:t>
      </w:r>
    </w:p>
    <w:p>
      <w:pPr>
        <w:pStyle w:val="DefinedTerms"/>
      </w:pPr>
      <w:r>
        <w:t>conveyance</w:t>
      </w:r>
      <w:r>
        <w:tab/>
        <w:t>7</w:t>
      </w:r>
    </w:p>
    <w:p>
      <w:pPr>
        <w:pStyle w:val="DefinedTerms"/>
      </w:pPr>
      <w:r>
        <w:t>Court</w:t>
      </w:r>
      <w:r>
        <w:tab/>
        <w:t>7, 100</w:t>
      </w:r>
    </w:p>
    <w:p>
      <w:pPr>
        <w:pStyle w:val="DefinedTerms"/>
      </w:pPr>
      <w:r>
        <w:t>decision of the Court</w:t>
      </w:r>
      <w:r>
        <w:tab/>
        <w:t>100</w:t>
      </w:r>
    </w:p>
    <w:p>
      <w:pPr>
        <w:pStyle w:val="DefinedTerms"/>
      </w:pPr>
      <w:r>
        <w:t>deed</w:t>
      </w:r>
      <w:r>
        <w:tab/>
        <w:t>7</w:t>
      </w:r>
    </w:p>
    <w:p>
      <w:pPr>
        <w:pStyle w:val="DefinedTerms"/>
      </w:pPr>
      <w:r>
        <w:t>dispose of</w:t>
      </w:r>
      <w:r>
        <w:tab/>
        <w:t>7</w:t>
      </w:r>
    </w:p>
    <w:p>
      <w:pPr>
        <w:pStyle w:val="DefinedTerms"/>
      </w:pPr>
      <w:r>
        <w:t>disposition</w:t>
      </w:r>
      <w:r>
        <w:tab/>
        <w:t>7</w:t>
      </w:r>
    </w:p>
    <w:p>
      <w:pPr>
        <w:pStyle w:val="DefinedTerms"/>
      </w:pPr>
      <w:r>
        <w:t>dividends</w:t>
      </w:r>
      <w:r>
        <w:tab/>
        <w:t>130(1)</w:t>
      </w:r>
    </w:p>
    <w:p>
      <w:pPr>
        <w:pStyle w:val="DefinedTerms"/>
      </w:pPr>
      <w:r>
        <w:t>employee</w:t>
      </w:r>
      <w:r>
        <w:tab/>
        <w:t>115(2)</w:t>
      </w:r>
    </w:p>
    <w:p>
      <w:pPr>
        <w:pStyle w:val="DefinedTerms"/>
      </w:pPr>
      <w:r>
        <w:t>employer</w:t>
      </w:r>
      <w:r>
        <w:tab/>
        <w:t>115(2)</w:t>
      </w:r>
    </w:p>
    <w:p>
      <w:pPr>
        <w:pStyle w:val="DefinedTerms"/>
      </w:pPr>
      <w:r>
        <w:t>encumbrance</w:t>
      </w:r>
      <w:r>
        <w:tab/>
        <w:t>7</w:t>
      </w:r>
    </w:p>
    <w:p>
      <w:pPr>
        <w:pStyle w:val="DefinedTerms"/>
      </w:pPr>
      <w:r>
        <w:t>encumbrancee</w:t>
      </w:r>
      <w:r>
        <w:tab/>
        <w:t>7</w:t>
      </w:r>
    </w:p>
    <w:p>
      <w:pPr>
        <w:pStyle w:val="DefinedTerms"/>
      </w:pPr>
      <w:r>
        <w:t>estate tail</w:t>
      </w:r>
      <w:r>
        <w:tab/>
        <w:t>23(3)</w:t>
      </w:r>
    </w:p>
    <w:p>
      <w:pPr>
        <w:pStyle w:val="DefinedTerms"/>
      </w:pPr>
      <w:r>
        <w:t>fine</w:t>
      </w:r>
      <w:r>
        <w:tab/>
        <w:t>7</w:t>
      </w:r>
    </w:p>
    <w:p>
      <w:pPr>
        <w:pStyle w:val="DefinedTerms"/>
      </w:pPr>
      <w:r>
        <w:t>income</w:t>
      </w:r>
      <w:r>
        <w:tab/>
        <w:t>7</w:t>
      </w:r>
    </w:p>
    <w:p>
      <w:pPr>
        <w:pStyle w:val="DefinedTerms"/>
      </w:pPr>
      <w:r>
        <w:t>instrument</w:t>
      </w:r>
      <w:r>
        <w:tab/>
        <w:t>7, 100</w:t>
      </w:r>
    </w:p>
    <w:p>
      <w:pPr>
        <w:pStyle w:val="DefinedTerms"/>
      </w:pPr>
      <w:r>
        <w:t>land</w:t>
      </w:r>
      <w:r>
        <w:tab/>
        <w:t>7, 49(2)</w:t>
      </w:r>
    </w:p>
    <w:p>
      <w:pPr>
        <w:pStyle w:val="DefinedTerms"/>
      </w:pPr>
      <w:r>
        <w:t>land under the Transfer of Land Act 1893</w:t>
      </w:r>
      <w:r>
        <w:tab/>
        <w:t>7</w:t>
      </w:r>
    </w:p>
    <w:p>
      <w:pPr>
        <w:pStyle w:val="DefinedTerms"/>
      </w:pPr>
      <w:r>
        <w:t>lease</w:t>
      </w:r>
      <w:r>
        <w:tab/>
        <w:t>7, 69, 81(5)</w:t>
      </w:r>
    </w:p>
    <w:p>
      <w:pPr>
        <w:pStyle w:val="DefinedTerms"/>
      </w:pPr>
      <w:r>
        <w:t>lessee</w:t>
      </w:r>
      <w:r>
        <w:tab/>
        <w:t>7, 81(5)</w:t>
      </w:r>
    </w:p>
    <w:p>
      <w:pPr>
        <w:pStyle w:val="DefinedTerms"/>
      </w:pPr>
      <w:r>
        <w:t>lessor</w:t>
      </w:r>
      <w:r>
        <w:tab/>
        <w:t>7, 81(5)</w:t>
      </w:r>
    </w:p>
    <w:p>
      <w:pPr>
        <w:pStyle w:val="DefinedTerms"/>
      </w:pPr>
      <w:r>
        <w:t>limitation</w:t>
      </w:r>
      <w:r>
        <w:tab/>
        <w:t>100</w:t>
      </w:r>
    </w:p>
    <w:p>
      <w:pPr>
        <w:pStyle w:val="DefinedTerms"/>
      </w:pPr>
      <w:r>
        <w:t>mines and minerals</w:t>
      </w:r>
      <w:r>
        <w:tab/>
        <w:t>7</w:t>
      </w:r>
    </w:p>
    <w:p>
      <w:pPr>
        <w:pStyle w:val="DefinedTerms"/>
      </w:pPr>
      <w:r>
        <w:t>month</w:t>
      </w:r>
      <w:r>
        <w:tab/>
        <w:t>8</w:t>
      </w:r>
    </w:p>
    <w:p>
      <w:pPr>
        <w:pStyle w:val="DefinedTerms"/>
      </w:pPr>
      <w:r>
        <w:t>mortgage</w:t>
      </w:r>
      <w:r>
        <w:tab/>
        <w:t>7, 7</w:t>
      </w:r>
    </w:p>
    <w:p>
      <w:pPr>
        <w:pStyle w:val="DefinedTerms"/>
      </w:pPr>
      <w:r>
        <w:t>mortgage money</w:t>
      </w:r>
      <w:r>
        <w:tab/>
        <w:t>7</w:t>
      </w:r>
    </w:p>
    <w:p>
      <w:pPr>
        <w:pStyle w:val="DefinedTerms"/>
      </w:pPr>
      <w:r>
        <w:t>mortgaged property</w:t>
      </w:r>
      <w:r>
        <w:tab/>
        <w:t>55(6)</w:t>
      </w:r>
    </w:p>
    <w:p>
      <w:pPr>
        <w:pStyle w:val="DefinedTerms"/>
      </w:pPr>
      <w:r>
        <w:t>mortgagee</w:t>
      </w:r>
      <w:r>
        <w:tab/>
        <w:t>7</w:t>
      </w:r>
    </w:p>
    <w:p>
      <w:pPr>
        <w:pStyle w:val="DefinedTerms"/>
      </w:pPr>
      <w:r>
        <w:t>mortgagee in possession</w:t>
      </w:r>
      <w:r>
        <w:tab/>
        <w:t>7</w:t>
      </w:r>
    </w:p>
    <w:p>
      <w:pPr>
        <w:pStyle w:val="DefinedTerms"/>
      </w:pPr>
      <w:r>
        <w:t>mortgagor</w:t>
      </w:r>
      <w:r>
        <w:tab/>
        <w:t>7</w:t>
      </w:r>
    </w:p>
    <w:p>
      <w:pPr>
        <w:pStyle w:val="DefinedTerms"/>
      </w:pPr>
      <w:r>
        <w:t>notice</w:t>
      </w:r>
      <w:r>
        <w:tab/>
        <w:t>7</w:t>
      </w:r>
    </w:p>
    <w:p>
      <w:pPr>
        <w:pStyle w:val="DefinedTerms"/>
      </w:pPr>
      <w:r>
        <w:t>order absolute</w:t>
      </w:r>
      <w:r>
        <w:tab/>
        <w:t>53(2)</w:t>
      </w:r>
    </w:p>
    <w:p>
      <w:pPr>
        <w:pStyle w:val="DefinedTerms"/>
      </w:pPr>
      <w:r>
        <w:t>periodic tenancy</w:t>
      </w:r>
      <w:r>
        <w:tab/>
        <w:t>7</w:t>
      </w:r>
    </w:p>
    <w:p>
      <w:pPr>
        <w:pStyle w:val="DefinedTerms"/>
      </w:pPr>
      <w:r>
        <w:t>person</w:t>
      </w:r>
      <w:r>
        <w:tab/>
        <w:t>8</w:t>
      </w:r>
    </w:p>
    <w:p>
      <w:pPr>
        <w:pStyle w:val="DefinedTerms"/>
      </w:pPr>
      <w:r>
        <w:t>personal representative</w:t>
      </w:r>
      <w:r>
        <w:tab/>
        <w:t>7</w:t>
      </w:r>
    </w:p>
    <w:p>
      <w:pPr>
        <w:pStyle w:val="DefinedTerms"/>
      </w:pPr>
      <w:r>
        <w:lastRenderedPageBreak/>
        <w:t>possession</w:t>
      </w:r>
      <w:r>
        <w:tab/>
        <w:t>7</w:t>
      </w:r>
    </w:p>
    <w:p>
      <w:pPr>
        <w:pStyle w:val="DefinedTerms"/>
      </w:pPr>
      <w:r>
        <w:t>prescribed notice</w:t>
      </w:r>
      <w:r>
        <w:tab/>
        <w:t>83C(1)</w:t>
      </w:r>
    </w:p>
    <w:p>
      <w:pPr>
        <w:pStyle w:val="DefinedTerms"/>
      </w:pPr>
      <w:r>
        <w:t>property</w:t>
      </w:r>
      <w:r>
        <w:tab/>
        <w:t>7, 100</w:t>
      </w:r>
    </w:p>
    <w:p>
      <w:pPr>
        <w:pStyle w:val="DefinedTerms"/>
      </w:pPr>
      <w:r>
        <w:t>purchase</w:t>
      </w:r>
      <w:r>
        <w:tab/>
        <w:t>7</w:t>
      </w:r>
    </w:p>
    <w:p>
      <w:pPr>
        <w:pStyle w:val="DefinedTerms"/>
      </w:pPr>
      <w:r>
        <w:t>purchaser</w:t>
      </w:r>
      <w:r>
        <w:tab/>
        <w:t>7</w:t>
      </w:r>
    </w:p>
    <w:p>
      <w:pPr>
        <w:pStyle w:val="DefinedTerms"/>
      </w:pPr>
      <w:r>
        <w:t>registered or duly registered</w:t>
      </w:r>
      <w:r>
        <w:tab/>
        <w:t>7</w:t>
      </w:r>
    </w:p>
    <w:p>
      <w:pPr>
        <w:pStyle w:val="DefinedTerms"/>
      </w:pPr>
      <w:r>
        <w:t>rent</w:t>
      </w:r>
      <w:r>
        <w:tab/>
        <w:t>7, 130(1)</w:t>
      </w:r>
    </w:p>
    <w:p>
      <w:pPr>
        <w:pStyle w:val="DefinedTerms"/>
      </w:pPr>
      <w:r>
        <w:t>represented person</w:t>
      </w:r>
      <w:r>
        <w:tab/>
        <w:t>7</w:t>
      </w:r>
    </w:p>
    <w:p>
      <w:pPr>
        <w:pStyle w:val="DefinedTerms"/>
      </w:pPr>
      <w:r>
        <w:t>reversionary interest</w:t>
      </w:r>
      <w:r>
        <w:tab/>
        <w:t>92(2)</w:t>
      </w:r>
    </w:p>
    <w:p>
      <w:pPr>
        <w:pStyle w:val="DefinedTerms"/>
      </w:pPr>
      <w:r>
        <w:t>right of redemption</w:t>
      </w:r>
      <w:r>
        <w:tab/>
        <w:t>7</w:t>
      </w:r>
    </w:p>
    <w:p>
      <w:pPr>
        <w:pStyle w:val="DefinedTerms"/>
      </w:pPr>
      <w:r>
        <w:t>right of re</w:t>
      </w:r>
      <w:r>
        <w:noBreakHyphen/>
        <w:t>entry</w:t>
      </w:r>
      <w:r>
        <w:tab/>
        <w:t>76(2)</w:t>
      </w:r>
    </w:p>
    <w:p>
      <w:pPr>
        <w:pStyle w:val="DefinedTerms"/>
      </w:pPr>
      <w:r>
        <w:t>sale</w:t>
      </w:r>
      <w:r>
        <w:tab/>
        <w:t>7</w:t>
      </w:r>
    </w:p>
    <w:p>
      <w:pPr>
        <w:pStyle w:val="DefinedTerms"/>
      </w:pPr>
      <w:r>
        <w:t>securities</w:t>
      </w:r>
      <w:r>
        <w:tab/>
        <w:t>7</w:t>
      </w:r>
    </w:p>
    <w:p>
      <w:pPr>
        <w:pStyle w:val="DefinedTerms"/>
      </w:pPr>
      <w:r>
        <w:t>successors in title</w:t>
      </w:r>
      <w:r>
        <w:tab/>
        <w:t>47(2), 48(3)</w:t>
      </w:r>
    </w:p>
    <w:p>
      <w:pPr>
        <w:pStyle w:val="DefinedTerms"/>
      </w:pPr>
      <w:r>
        <w:t>trust</w:t>
      </w:r>
      <w:r>
        <w:tab/>
        <w:t>100</w:t>
      </w:r>
    </w:p>
    <w:p>
      <w:pPr>
        <w:pStyle w:val="DefinedTerms"/>
      </w:pPr>
      <w:r>
        <w:t>trustee</w:t>
      </w:r>
      <w:r>
        <w:tab/>
        <w:t>100</w:t>
      </w:r>
    </w:p>
    <w:p>
      <w:pPr>
        <w:pStyle w:val="DefinedTerms"/>
      </w:pPr>
      <w:r>
        <w:t>under</w:t>
      </w:r>
      <w:r>
        <w:noBreakHyphen/>
        <w:t>lease</w:t>
      </w:r>
      <w:r>
        <w:tab/>
        <w:t>81(5)</w:t>
      </w:r>
    </w:p>
    <w:p>
      <w:pPr>
        <w:pStyle w:val="DefinedTerms"/>
      </w:pPr>
      <w:r>
        <w:t>under</w:t>
      </w:r>
      <w:r>
        <w:noBreakHyphen/>
        <w:t>lessee</w:t>
      </w:r>
      <w:r>
        <w:tab/>
        <w:t>81(5)</w:t>
      </w:r>
    </w:p>
    <w:p>
      <w:pPr>
        <w:pStyle w:val="DefinedTerms"/>
      </w:pPr>
      <w:r>
        <w:t>valuable consideration</w:t>
      </w:r>
      <w:r>
        <w:tab/>
        <w:t>7</w:t>
      </w:r>
    </w:p>
    <w:p>
      <w:pPr>
        <w:pStyle w:val="DefinedTerms"/>
      </w:pPr>
      <w:r>
        <w:t>will</w:t>
      </w:r>
      <w:r>
        <w:tab/>
        <w:t>7, 100</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7572270</wp:posOffset>
                </wp:positionV>
                <wp:extent cx="127000" cy="666000"/>
                <wp:effectExtent l="0" t="0" r="1905" b="1270"/>
                <wp:wrapNone/>
                <wp:docPr id="2"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864D8B" id="_x0000_t202" coordsize="21600,21600" o:spt="202" path="m,l,21600r21600,l21600,xe">
                <v:stroke joinstyle="miter"/>
                <v:path gradientshapeok="t" o:connecttype="rect"/>
              </v:shapetype>
              <v:shape id="Authority" o:spid="_x0000_s1026" type="#_x0000_t202" style="position:absolute;margin-left:0;margin-top:596.25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" stroked="f" strokeweight=".5pt">
                <v:textbox>
                  <w:txbxContent>
                    <w:p w14:paraId="17C7E4B6" w14:textId="340AF0CC" w:rsidR="00C95EA5" w:rsidRDefault="00C95EA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E6E6C">
                        <w:rPr>
                          <w:sz w:val="16"/>
                        </w:rPr>
                        <w:t>2025</w:t>
                      </w:r>
                      <w:r>
                        <w:rPr>
                          <w:sz w:val="16"/>
                        </w:rPr>
                        <w:fldChar w:fldCharType="end"/>
                      </w:r>
                      <w:r>
                        <w:rPr>
                          <w:sz w:val="16"/>
                        </w:rPr>
                        <w:t>.</w:t>
                      </w:r>
                    </w:p>
                    <w:p w14:paraId="6A9DE950" w14:textId="77777777" w:rsidR="00C95EA5" w:rsidRDefault="00C95EA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70CA20A" w14:textId="6B746CE3" w:rsidR="00C95EA5" w:rsidRDefault="00C95EA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E6E6C">
                        <w:rPr>
                          <w:sz w:val="16"/>
                        </w:rPr>
                        <w:t>2025</w:t>
                      </w:r>
                      <w:r>
                        <w:rPr>
                          <w:sz w:val="16"/>
                        </w:rPr>
                        <w:fldChar w:fldCharType="end"/>
                      </w:r>
                      <w:r>
                        <w:rPr>
                          <w:sz w:val="16"/>
                        </w:rPr>
                        <w:t>.</w:t>
                      </w:r>
                    </w:p>
                    <w:p w14:paraId="4AB13CC3" w14:textId="04A61763" w:rsidR="00C95EA5" w:rsidRDefault="00C95EA5">
                      <w:pPr>
                        <w:ind w:left="2438" w:right="2098"/>
                        <w:jc w:val="center"/>
                        <w:rPr>
                          <w:rFonts w:ascii="Arial" w:hAnsi="Arial" w:cs="Arial"/>
                          <w:sz w:val="12"/>
                        </w:rPr>
                      </w:pPr>
                      <w:r>
                        <w:rPr>
                          <w:rFonts w:ascii="Arial" w:hAnsi="Arial" w:cs="Arial"/>
                          <w:sz w:val="12"/>
                        </w:rPr>
                        <w:t xml:space="preserve">By Authority: </w:t>
                      </w:r>
                      <w:r w:rsidRPr="00C95EA5">
                        <w:rPr>
                          <w:rFonts w:ascii="Arial" w:hAnsi="Arial" w:cs="Arial"/>
                          <w:sz w:val="12"/>
                        </w:rPr>
                        <w:t>ROGER JACOBS, Acting</w:t>
                      </w:r>
                      <w:r w:rsidRPr="00C95EA5" w:rsidDel="00C95EA5">
                        <w:rPr>
                          <w:rFonts w:ascii="Arial" w:hAnsi="Arial" w:cs="Arial"/>
                          <w:sz w:val="12"/>
                        </w:rPr>
                        <w:t xml:space="preserve"> </w:t>
                      </w:r>
                      <w:r>
                        <w:rPr>
                          <w:rFonts w:ascii="Arial" w:hAnsi="Arial" w:cs="Arial"/>
                          <w:sz w:val="12"/>
                        </w:rPr>
                        <w:t>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rPr>
        <w:jc w:val="center"/>
      </w:trPr>
      <w:tc>
        <w:tcPr>
          <w:tcW w:w="1752" w:type="dxa"/>
        </w:tcPr>
        <w:p>
          <w:pPr>
            <w:pStyle w:val="Header"/>
            <w:spacing w:before="40"/>
          </w:pPr>
          <w:r>
            <w:rPr>
              <w:b/>
            </w:rPr>
            <w:fldChar w:fldCharType="begin"/>
          </w:r>
          <w:r>
            <w:rPr>
              <w:b/>
            </w:rPr>
            <w:instrText>styleref CharSchno</w:instrText>
          </w:r>
          <w:r>
            <w:rPr>
              <w:b/>
            </w:rPr>
            <w:fldChar w:fldCharType="end"/>
          </w:r>
        </w:p>
      </w:tc>
      <w:tc>
        <w:tcPr>
          <w:tcW w:w="5511" w:type="dxa"/>
        </w:tcPr>
        <w:p>
          <w:pPr>
            <w:pStyle w:val="Header"/>
            <w:spacing w:before="40"/>
          </w:pPr>
          <w:r>
            <w:fldChar w:fldCharType="begin"/>
          </w:r>
          <w:r>
            <w:instrText>styleref CharSchText</w:instrText>
          </w:r>
          <w:r>
            <w:fldChar w:fldCharType="end"/>
          </w:r>
        </w:p>
      </w:tc>
    </w:tr>
    <w:tr>
      <w:trPr>
        <w:jc w:val="center"/>
      </w:trPr>
      <w:tc>
        <w:tcPr>
          <w:tcW w:w="1752" w:type="dxa"/>
        </w:tcPr>
        <w:p>
          <w:pPr>
            <w:pStyle w:val="Header"/>
            <w:spacing w:before="40"/>
          </w:pPr>
          <w:r>
            <w:rPr>
              <w:b/>
            </w:rPr>
            <w:fldChar w:fldCharType="begin"/>
          </w:r>
          <w:r>
            <w:rPr>
              <w:b/>
            </w:rPr>
            <w:instrText xml:space="preserve"> STYLEREF CharSDivNo \* charformat</w:instrText>
          </w:r>
          <w:r>
            <w:rPr>
              <w:b/>
            </w:rPr>
            <w:fldChar w:fldCharType="end"/>
          </w:r>
        </w:p>
      </w:tc>
      <w:tc>
        <w:tcPr>
          <w:tcW w:w="5511" w:type="dxa"/>
        </w:tcPr>
        <w:p>
          <w:pPr>
            <w:pStyle w:val="Header"/>
            <w:spacing w:before="40"/>
          </w:pPr>
          <w:r>
            <w:fldChar w:fldCharType="begin"/>
          </w:r>
          <w:r>
            <w:instrText xml:space="preserve"> styleref CharSDivText </w:instrText>
          </w:r>
          <w:r>
            <w:fldChar w:fldCharType="end"/>
          </w:r>
        </w:p>
      </w:tc>
    </w:tr>
    <w:tr>
      <w:trPr>
        <w:jc w:val="center"/>
      </w:trPr>
      <w:tc>
        <w:tcPr>
          <w:tcW w:w="1752" w:type="dxa"/>
        </w:tcPr>
        <w:p>
          <w:pPr>
            <w:pStyle w:val="Header"/>
            <w:spacing w:before="40"/>
          </w:pPr>
        </w:p>
      </w:tc>
      <w:tc>
        <w:tcPr>
          <w:tcW w:w="551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31" w:name="Schedule"/>
    <w:bookmarkEnd w:id="4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5" w:name="Compilation"/>
    <w:bookmarkEnd w:id="44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6" w:name="DefinedTerms"/>
    <w:bookmarkEnd w:id="45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7" w:name="Coversheet"/>
    <w:bookmarkEnd w:id="4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5677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43EEE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22F6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88E5D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F4E9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E28D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0E15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4EE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A80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72C49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7FA47E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13920"/>
    <w:docVar w:name="WAFER_20140124120945" w:val="RemoveTocBookmarks,RemoveUnusedBookmarks,RemoveLanguageTags,UsedStyles,ResetPageSize,UpdateArrangement"/>
    <w:docVar w:name="WAFER_20140124120945_GUID" w:val="cabec77a-f4c3-4f5b-8671-759162653ef1"/>
    <w:docVar w:name="WAFER_20140124124439" w:val="RemoveTocBookmarks,RunningHeaders"/>
    <w:docVar w:name="WAFER_20140124124439_GUID" w:val="96f70cee-476a-429e-9d1b-b5a0c4e50b0a"/>
    <w:docVar w:name="WAFER_20150710113756" w:val="ResetPageSize,UpdateArrangement,UpdateNTable"/>
    <w:docVar w:name="WAFER_20150710113756_GUID" w:val="7aee50fd-0cde-47d9-9eed-74aab6308bb3"/>
    <w:docVar w:name="WAFER_20151109113019" w:val="UpdateStyles,UsedStyles"/>
    <w:docVar w:name="WAFER_20151109113019_GUID" w:val="f92ff3dd-2362-4c79-afa9-39b171852c12"/>
    <w:docVar w:name="WAFER_20151201103733" w:val="RemoveTrackChanges"/>
    <w:docVar w:name="WAFER_20151201103733_GUID" w:val="b6568331-6aa1-4539-82d0-127257f67c54"/>
    <w:docVar w:name="WAFER_20181121094742" w:val="RemoveTocBookmarks,RemoveUnusedBookmarks,RemoveLanguageTags,UsedStyles,ResetPageSize"/>
    <w:docVar w:name="WAFER_20181121094742_GUID" w:val="a5e1de1a-10fe-43f9-b273-c6418625daef"/>
    <w:docVar w:name="WAFER_202002111805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80534_GUID" w:val="e551f522-32ed-413d-a608-c3ae55422ed1"/>
    <w:docVar w:name="WAFER_20200220104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4226_GUID" w:val="c69f3e15-21f9-4308-ab61-1e435b82a0bc"/>
    <w:docVar w:name="WAFER_20210615121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42_GUID" w:val="13e09696-6300-4ba5-af0a-38a7fcc29b06"/>
    <w:docVar w:name="WAFER_2021062311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3920_GUID" w:val="1fee7a35-2d74-49ea-b79c-4effdf835e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32325</Words>
  <Characters>150961</Characters>
  <Application>Microsoft Office Word</Application>
  <DocSecurity>0</DocSecurity>
  <Lines>3774</Lines>
  <Paragraphs>1621</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181665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1969 - 04-k0-00</dc:title>
  <dc:subject/>
  <dc:creator/>
  <cp:keywords/>
  <dc:description/>
  <cp:lastModifiedBy>Master Repository Process</cp:lastModifiedBy>
  <cp:revision>4</cp:revision>
  <cp:lastPrinted>2007-08-30T02:37:00Z</cp:lastPrinted>
  <dcterms:created xsi:type="dcterms:W3CDTF">2025-12-19T01:13:00Z</dcterms:created>
  <dcterms:modified xsi:type="dcterms:W3CDTF">2025-12-19T01:13:00Z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DocumentType">
    <vt:lpwstr>Act</vt:lpwstr>
  </property>
  <property fmtid="{D5CDD505-2E9C-101B-9397-08002B2CF9AE}" pid="4" name="OwlsUID">
    <vt:i4>636</vt:i4>
  </property>
  <property fmtid="{D5CDD505-2E9C-101B-9397-08002B2CF9AE}" pid="5" name="ReprintNo">
    <vt:lpwstr>4</vt:lpwstr>
  </property>
  <property fmtid="{D5CDD505-2E9C-101B-9397-08002B2CF9AE}" pid="6" name="ThisVersion">
    <vt:lpwstr>04-e0-02</vt:lpwstr>
  </property>
  <property fmtid="{D5CDD505-2E9C-101B-9397-08002B2CF9AE}" pid="7" name="AsAtDate">
    <vt:lpwstr>18 Dec 2025</vt:lpwstr>
  </property>
  <property fmtid="{D5CDD505-2E9C-101B-9397-08002B2CF9AE}" pid="8" name="Suffix">
    <vt:lpwstr>04-k0-00</vt:lpwstr>
  </property>
  <property fmtid="{D5CDD505-2E9C-101B-9397-08002B2CF9AE}" pid="9" name="Official">
    <vt:lpwstr/>
  </property>
  <property fmtid="{D5CDD505-2E9C-101B-9397-08002B2CF9AE}" pid="10" name="CommencementDate">
    <vt:lpwstr>20251218</vt:lpwstr>
  </property>
  <property fmtid="{D5CDD505-2E9C-101B-9397-08002B2CF9AE}" pid="11" name="CommencementAsAt">
    <vt:filetime>2025-12-17T16:00:00Z</vt:filetime>
  </property>
  <property fmtid="{D5CDD505-2E9C-101B-9397-08002B2CF9AE}" pid="12" name="CommencementYear">
    <vt:lpwstr>2025</vt:lpwstr>
  </property>
</Properties>
</file>