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20)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20)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_Toc217395701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 xml:space="preserve">Notice </w:t>
      </w:r>
      <w:r>
        <w:rPr>
          <w:spacing w:val="-2"/>
        </w:rPr>
        <w:t>of publication</w:t>
      </w:r>
      <w:r>
        <w:tab/>
      </w:r>
      <w:r>
        <w:fldChar w:fldCharType="begin"/>
      </w:r>
      <w:r>
        <w:instrText xml:space="preserve"> PAGEREF _Toc217395702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20)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217394734"/>
      <w:bookmarkStart w:id="3" w:name="_Toc217394808"/>
      <w:bookmarkStart w:id="4" w:name="_Toc21739570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20) 2025</w:t>
      </w:r>
      <w:r>
        <w:t>.</w:t>
      </w:r>
    </w:p>
    <w:p>
      <w:pPr>
        <w:pStyle w:val="Heading5"/>
        <w:rPr>
          <w:snapToGrid w:val="0"/>
        </w:rPr>
      </w:pPr>
      <w:bookmarkStart w:id="6" w:name="_Toc217394735"/>
      <w:bookmarkStart w:id="7" w:name="_Toc217394809"/>
      <w:bookmarkStart w:id="8" w:name="_Toc21739570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 xml:space="preserve">Notice </w:t>
      </w:r>
      <w:r>
        <w:rPr>
          <w:spacing w:val="-2"/>
        </w:rPr>
        <w:t>of publication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 following therapeutic legislative instruments have been made and published on the Federal Register of Legislation website www.legislation.gov.au:</w:t>
      </w:r>
    </w:p>
    <w:p>
      <w:pPr>
        <w:pStyle w:val="MiscellaneousBody"/>
        <w:tabs>
          <w:tab w:val="left" w:pos="851"/>
          <w:tab w:val="left" w:pos="1276"/>
        </w:tabs>
        <w:spacing w:before="240"/>
        <w:ind w:left="1276" w:hanging="851"/>
        <w:rPr>
          <w:color w:val="000000" w:themeColor="text1"/>
          <w:szCs w:val="24"/>
        </w:rPr>
      </w:pPr>
      <w:r>
        <w:tab/>
        <w:t>1.</w:t>
      </w:r>
      <w:r>
        <w:tab/>
      </w:r>
      <w:r>
        <w:rPr>
          <w:color w:val="000000" w:themeColor="text1"/>
          <w:szCs w:val="24"/>
        </w:rPr>
        <w:t>Therapeutic Goods (Serious Scarcity and Substitutable Medicine) (Clonidine) Instrument 2025</w:t>
      </w:r>
    </w:p>
    <w:p>
      <w:pPr>
        <w:pStyle w:val="MiscellaneousBody"/>
        <w:tabs>
          <w:tab w:val="left" w:pos="851"/>
          <w:tab w:val="left" w:pos="1276"/>
        </w:tabs>
        <w:spacing w:before="40"/>
        <w:ind w:left="1276" w:hanging="851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  <w:t>2.</w:t>
      </w:r>
      <w:r>
        <w:rPr>
          <w:color w:val="000000" w:themeColor="text1"/>
          <w:szCs w:val="24"/>
        </w:rPr>
        <w:tab/>
        <w:t>Therapeutic Goods (Vaping Goods—Possession and Supply) Amendment Determination (No. 2) 2025</w:t>
      </w:r>
    </w:p>
    <w:p>
      <w:pPr>
        <w:pStyle w:val="MiscellaneousBody"/>
        <w:tabs>
          <w:tab w:val="left" w:pos="851"/>
          <w:tab w:val="left" w:pos="1276"/>
        </w:tabs>
        <w:spacing w:before="40"/>
        <w:ind w:left="1276" w:hanging="851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  <w:t>3.</w:t>
      </w:r>
      <w:r>
        <w:rPr>
          <w:color w:val="000000" w:themeColor="text1"/>
          <w:szCs w:val="24"/>
        </w:rPr>
        <w:tab/>
        <w:t>Therapeutic Goods (Information Specification—Database of Adverse Event Notifications) Amendment Instrument 2025</w:t>
      </w:r>
    </w:p>
    <w:p>
      <w:pPr>
        <w:pStyle w:val="PermNoteHeading"/>
      </w:pPr>
      <w:r>
        <w:tab/>
        <w:t>Note:</w:t>
      </w:r>
    </w:p>
    <w:p>
      <w:pPr>
        <w:pStyle w:val="PermNoteText"/>
        <w:keepNext/>
      </w:pPr>
      <w:r>
        <w:tab/>
      </w: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 xml:space="preserve">Therapeutic Goods Law </w:t>
      </w:r>
      <w:r>
        <w:rPr>
          <w:i/>
          <w:iCs/>
        </w:rPr>
        <w:lastRenderedPageBreak/>
        <w:t>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DAPHNE FERNANDES</w:t>
      </w:r>
      <w:r>
        <w:rPr>
          <w:b/>
          <w:bCs/>
          <w:sz w:val="22"/>
          <w:szCs w:val="22"/>
        </w:rPr>
        <w:br/>
        <w:t>A/DIRECTOR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7389628</wp:posOffset>
                </wp:positionV>
                <wp:extent cx="127000" cy="691116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11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81.85pt;width:10pt;height:54.4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20)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20)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20)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20)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231504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231433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23143344_GUID" w:val="f829e8cf-05e3-465b-a3c3-ededb29e9216"/>
    <w:docVar w:name="WAFER_202512231504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23150421_GUID" w:val="819d3462-4b08-42c5-848b-e5b81155304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1A68305B-6709-4D56-990F-733D940C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272</Words>
  <Characters>1677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20)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2025-12-23T07:23:00Z</dcterms:created>
  <dcterms:modified xsi:type="dcterms:W3CDTF">2025-12-23T07:23:00Z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55790</vt:lpwstr>
  </property>
  <property fmtid="{D5CDD505-2E9C-101B-9397-08002B2CF9AE}" pid="3" name="DocumentType">
    <vt:lpwstr>Reg</vt:lpwstr>
  </property>
  <property fmtid="{D5CDD505-2E9C-101B-9397-08002B2CF9AE}" pid="4" name="AsAtDate">
    <vt:lpwstr>24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2025/221</vt:lpwstr>
  </property>
  <property fmtid="{D5CDD505-2E9C-101B-9397-08002B2CF9AE}" pid="8" name="PublishDate">
    <vt:lpwstr>24 Dec 2025</vt:lpwstr>
  </property>
  <property fmtid="{D5CDD505-2E9C-101B-9397-08002B2CF9AE}" pid="9" name="CommencementDate">
    <vt:lpwstr>20251224</vt:lpwstr>
  </property>
  <property fmtid="{D5CDD505-2E9C-101B-9397-08002B2CF9AE}" pid="10" name="CommencementAsAt">
    <vt:filetime>2025-12-23T16:00:00Z</vt:filetime>
  </property>
  <property fmtid="{D5CDD505-2E9C-101B-9397-08002B2CF9AE}" pid="11" name="CommencementYear">
    <vt:lpwstr>2025</vt:lpwstr>
  </property>
</Properties>
</file>