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_Toc216943740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_Toc216943741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_Toc216943742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_Toc216943743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_Toc216943744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_Toc216943745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_Toc216943747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_Toc216943748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_Toc216943749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_Toc216943752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_Toc216943753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_Toc216943755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_Toc216943756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_Toc216943757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_Toc216943760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_Toc216943762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_Toc216943763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_Toc216943764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_Toc216943765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_Toc216943766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_Toc216943767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_Toc216943769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_Toc216943770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_Toc216943771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_Toc216943772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_Toc216943773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_Toc216943774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_Toc216943775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_Toc216943776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_Toc216943777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_Toc216943778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_Toc216943779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_Toc216943781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_Toc216943782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_Toc216943783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_Toc216943784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_Toc216943786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_Toc216943787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_Toc216943788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_Toc216943789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_Toc216943790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_Toc216943791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_Toc216943792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_Toc216943793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_Toc216943794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_Toc216943795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_Toc216943796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_Toc216943797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_Toc216943798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_Toc216943799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_Toc216943800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_Toc216943802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_Toc216943803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_Toc216943804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_Toc216943805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_Toc216943807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_Toc216943808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_Toc216943809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_Toc216943810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_Toc216943813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_Toc216943814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r>
      <w:r>
        <w:t>Cautions may be given except for certain offences</w:t>
      </w:r>
      <w:r>
        <w:tab/>
      </w:r>
      <w:r>
        <w:fldChar w:fldCharType="begin"/>
      </w:r>
      <w:r>
        <w:instrText xml:space="preserve"> PAGEREF _Toc216943815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_Toc216943816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_Toc216943817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_Toc216943818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_Toc216943820 \h </w:instrText>
      </w:r>
      <w:r>
        <w:fldChar w:fldCharType="separate"/>
      </w:r>
      <w:r>
        <w:t>59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_Toc216943821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_Toc216943822 \h </w:instrText>
      </w:r>
      <w:r>
        <w:fldChar w:fldCharType="separate"/>
      </w:r>
      <w:r>
        <w:t>61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_Toc216943823 \h </w:instrText>
      </w:r>
      <w:r>
        <w:fldChar w:fldCharType="separate"/>
      </w:r>
      <w:r>
        <w:t>61</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_Toc216943824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_Toc216943825 \h </w:instrText>
      </w:r>
      <w:r>
        <w:fldChar w:fldCharType="separate"/>
      </w:r>
      <w:r>
        <w:t>62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_Toc216943826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_Toc216943827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_Toc216943828 \h </w:instrText>
      </w:r>
      <w:r>
        <w:fldChar w:fldCharType="separate"/>
      </w:r>
      <w:r>
        <w:t>64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_Toc216943829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_Toc216943830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_Toc216943832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_Toc216943833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_Toc216943834 \h </w:instrText>
      </w:r>
      <w:r>
        <w:fldChar w:fldCharType="separate"/>
      </w:r>
      <w:r>
        <w:t>67</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_Toc216943835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_Toc216943836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_Toc216943837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_Toc216943838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_Toc216943840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_Toc216943841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_Toc216943842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_Toc216943843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_Toc216943844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_Toc216943847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_Toc216943848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_Toc216943849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_Toc216943850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_Toc216943851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_Toc216943852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_Toc216943853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_Toc216943854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_Toc216943855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_Toc216943856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_Toc216943857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_Toc216943858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_Toc216943859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_Toc216943860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_Toc216943861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_Toc216943862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_Toc216943863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_Toc216943864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_Toc216943865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_Toc216943866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_Toc216943867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_Toc216943868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_Toc216943869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_Toc216943870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_Toc216943872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_Toc216943874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_Toc216943875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_Toc216943877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_Toc216943878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_Toc216943880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_Toc216943881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_Toc216943883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_Toc216943884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_Toc216943885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_Toc216943886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_Toc216943887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_Toc216943888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_Toc216943889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_Toc216943890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_Toc216943891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_Toc216943892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_Toc216943893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_Toc216943894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_Toc216943895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_Toc216943896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_Toc216943897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_Toc216943899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_Toc216943901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_Toc216943902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_Toc216943903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_Toc216943904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_Toc216943905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_Toc216943906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_Toc216943908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_Toc216943909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_Toc216943910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_Toc216943912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_Toc216943913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_Toc216943914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_Toc216943915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_Toc216943916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_Toc216943917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_Toc216943918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_Toc216943919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_Toc216943920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_Toc216943921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_Toc216943922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_Toc216943923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_Toc216943924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_Toc216943925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_Toc216943926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_Toc216943927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_Toc216943928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_Toc216943929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_Toc216943930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_Toc216943931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_Toc216943932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_Toc216943933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_Toc216943935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_Toc216943936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_Toc216943937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_Toc216943938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_Toc216943939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_Toc216943940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_Toc216943941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_Toc216943942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_Toc216943944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_Toc216943945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_Toc216943946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_Toc216943947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_Toc216943948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_Toc216943949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_Toc216943950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_Toc216943953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_Toc216943955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_Toc216943956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_Toc216943957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_Toc216943958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_Toc216943959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_Toc216943960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_Toc216943961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_Toc216943962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_Toc216943963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_Toc216943964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_Toc216943965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_Toc216943966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_Toc216943967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_Toc216943968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_Toc216943969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_Toc216943970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_Toc216943971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_Toc216943972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_Toc216943973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_Toc216943974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_Toc216943975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_Toc216943976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_Toc216943977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_Toc216943978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_Toc216943981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_Toc216943983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_Toc216943984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_Toc216943985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_Toc216943986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_Toc216943988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_Toc216943990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_Toc216943992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_Toc216943993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_Toc216943994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_Toc216943995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_Toc216943996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_Toc216943997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_Toc216943998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_Toc216943999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_Toc216944000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_Toc216944001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_Toc216944002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_Toc216944003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_Toc216944004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_Toc216944005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_Toc216944006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_Toc216944007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_Toc216944009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_Toc216944010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_Toc216944011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_Toc216944012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_Toc216944013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_Toc216944014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_Toc216944015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_Toc216944016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_Toc216944017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_Toc216944018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_Toc216944019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_Toc216944020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_Toc216944021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_Toc216944022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_Toc216944023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_Toc216944024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_Toc216944025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_Toc216944027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_Toc216944028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_Toc216944029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_Toc216944030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_Toc216944031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_Toc216944032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_Toc216944033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_Toc216944034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_Toc216944035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_Toc216944036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_Toc216944037 \h </w:instrText>
      </w:r>
      <w:r>
        <w:fldChar w:fldCharType="separate"/>
      </w:r>
      <w:r>
        <w:t>173</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_Toc216944038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_Toc216944039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_Toc216944040 \h </w:instrText>
      </w:r>
      <w:r>
        <w:fldChar w:fldCharType="separate"/>
      </w:r>
      <w:r>
        <w:t>174</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_Toc216944041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_Toc216944042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_Toc216944043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_Toc216944044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_Toc216944048 \h </w:instrText>
      </w:r>
      <w:r>
        <w:fldChar w:fldCharType="separate"/>
      </w:r>
      <w:r>
        <w:t>178</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_Toc216944049 \h </w:instrText>
      </w:r>
      <w:r>
        <w:fldChar w:fldCharType="separate"/>
      </w:r>
      <w:r>
        <w:t>178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_Toc216944050 \h </w:instrText>
      </w:r>
      <w:r>
        <w:fldChar w:fldCharType="separate"/>
      </w:r>
      <w:r>
        <w:t>179</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_Toc216944051 \h </w:instrText>
      </w:r>
      <w:r>
        <w:fldChar w:fldCharType="separate"/>
      </w:r>
      <w:r>
        <w:t>179</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_Toc216944052 \h </w:instrText>
      </w:r>
      <w:r>
        <w:fldChar w:fldCharType="separate"/>
      </w:r>
      <w:r>
        <w:t>179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_Toc216944054 \h </w:instrText>
      </w:r>
      <w:r>
        <w:fldChar w:fldCharType="separate"/>
      </w:r>
      <w:r>
        <w:t>180</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_Toc216944055 \h </w:instrText>
      </w:r>
      <w:r>
        <w:fldChar w:fldCharType="separate"/>
      </w:r>
      <w:r>
        <w:t>180</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_Toc216944056 \h </w:instrText>
      </w:r>
      <w:r>
        <w:fldChar w:fldCharType="separate"/>
      </w:r>
      <w:r>
        <w:t>180</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_Toc216944057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_Toc216944059 \h </w:instrText>
      </w:r>
      <w:r>
        <w:fldChar w:fldCharType="separate"/>
      </w:r>
      <w:r>
        <w:t>181</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_Toc216944063 \h </w:instrText>
      </w:r>
      <w:r>
        <w:fldChar w:fldCharType="separate"/>
      </w:r>
      <w:r>
        <w:t>191</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_Toc216944064 \h </w:instrText>
      </w:r>
      <w:r>
        <w:fldChar w:fldCharType="separate"/>
      </w:r>
      <w:r>
        <w:t>191</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_Toc216944065 \h </w:instrText>
      </w:r>
      <w:r>
        <w:fldChar w:fldCharType="separate"/>
      </w:r>
      <w:r>
        <w:t>191</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_Toc216944066 \h </w:instrText>
      </w:r>
      <w:r>
        <w:fldChar w:fldCharType="separate"/>
      </w:r>
      <w:r>
        <w:t>191</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_Toc216944067 \h </w:instrText>
      </w:r>
      <w:r>
        <w:fldChar w:fldCharType="separate"/>
      </w:r>
      <w:r>
        <w:t>191</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_Toc216944068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_Toc216944070 \h </w:instrText>
      </w:r>
      <w:r>
        <w:fldChar w:fldCharType="separate"/>
      </w:r>
      <w:r>
        <w:t>193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_Toc216944071 \h </w:instrText>
      </w:r>
      <w:r>
        <w:fldChar w:fldCharType="separate"/>
      </w:r>
      <w:r>
        <w:t>198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_Toc216944072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216873018"/>
      <w:bookmarkStart w:id="3" w:name="_Toc216873540"/>
      <w:bookmarkStart w:id="4" w:name="_Toc216943739"/>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216943740"/>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216943741"/>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216943742"/>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216943743"/>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216943744"/>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216943745"/>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216873025"/>
      <w:bookmarkStart w:id="12" w:name="_Toc216873547"/>
      <w:bookmarkStart w:id="13" w:name="_Toc216943746"/>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216943747"/>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216943748"/>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216943749"/>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216873029"/>
      <w:bookmarkStart w:id="18" w:name="_Toc216873551"/>
      <w:bookmarkStart w:id="19" w:name="_Toc216943750"/>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216873030"/>
      <w:bookmarkStart w:id="21" w:name="_Toc216873552"/>
      <w:bookmarkStart w:id="22" w:name="_Toc216943751"/>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216943752"/>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216943753"/>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216873033"/>
      <w:bookmarkStart w:id="26" w:name="_Toc216873555"/>
      <w:bookmarkStart w:id="27" w:name="_Toc216943754"/>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216943755"/>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216943756"/>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216943757"/>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216873037"/>
      <w:bookmarkStart w:id="32" w:name="_Toc216873559"/>
      <w:bookmarkStart w:id="33" w:name="_Toc216943758"/>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216873038"/>
      <w:bookmarkStart w:id="35" w:name="_Toc216873560"/>
      <w:bookmarkStart w:id="36" w:name="_Toc216943759"/>
      <w:r>
        <w:t>Subdivision 1 — Preliminary</w:t>
      </w:r>
      <w:bookmarkEnd w:id="34"/>
      <w:bookmarkEnd w:id="35"/>
      <w:bookmarkEnd w:id="36"/>
    </w:p>
    <w:p>
      <w:pPr>
        <w:pStyle w:val="Footnoteheading"/>
      </w:pPr>
      <w:r>
        <w:tab/>
        <w:t>[Heading inserted: No. 29 of 2014 s. 16.]</w:t>
      </w:r>
    </w:p>
    <w:p>
      <w:pPr>
        <w:pStyle w:val="Heading5"/>
        <w:spacing w:before="180"/>
      </w:pPr>
      <w:bookmarkStart w:id="37" w:name="_Toc216943760"/>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216873040"/>
      <w:bookmarkStart w:id="39" w:name="_Toc216873562"/>
      <w:bookmarkStart w:id="40" w:name="_Toc216943761"/>
      <w:r>
        <w:t>Subdivision 2 — Removal of custodial officers</w:t>
      </w:r>
      <w:bookmarkEnd w:id="38"/>
      <w:bookmarkEnd w:id="39"/>
      <w:bookmarkEnd w:id="40"/>
    </w:p>
    <w:p>
      <w:pPr>
        <w:pStyle w:val="Footnoteheading"/>
      </w:pPr>
      <w:r>
        <w:tab/>
        <w:t>[Heading inserted: No. 29 of 2014 s. 16.]</w:t>
      </w:r>
    </w:p>
    <w:p>
      <w:pPr>
        <w:pStyle w:val="Heading5"/>
      </w:pPr>
      <w:bookmarkStart w:id="41" w:name="_Toc216943762"/>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216943763"/>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216943764"/>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216943765"/>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216943766"/>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216943767"/>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216873047"/>
      <w:bookmarkStart w:id="48" w:name="_Toc216873569"/>
      <w:bookmarkStart w:id="49" w:name="_Toc216943768"/>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216943769"/>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216943770"/>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216943771"/>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216943772"/>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216943773"/>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216943774"/>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216943775"/>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216943776"/>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216943777"/>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216943778"/>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216943779"/>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216873059"/>
      <w:bookmarkStart w:id="62" w:name="_Toc216873581"/>
      <w:bookmarkStart w:id="63" w:name="_Toc216943780"/>
      <w:r>
        <w:t>Subdivision 4 — General</w:t>
      </w:r>
      <w:bookmarkEnd w:id="61"/>
      <w:bookmarkEnd w:id="62"/>
      <w:bookmarkEnd w:id="63"/>
    </w:p>
    <w:p>
      <w:pPr>
        <w:pStyle w:val="Footnoteheading"/>
      </w:pPr>
      <w:r>
        <w:tab/>
        <w:t>[Heading inserted: No. 29 of 2014 s. 16.]</w:t>
      </w:r>
    </w:p>
    <w:p>
      <w:pPr>
        <w:pStyle w:val="Heading5"/>
        <w:spacing w:before="180"/>
      </w:pPr>
      <w:bookmarkStart w:id="64" w:name="_Toc216943781"/>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216943782"/>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216943783"/>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216943784"/>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216873064"/>
      <w:bookmarkStart w:id="69" w:name="_Toc216873586"/>
      <w:bookmarkStart w:id="70" w:name="_Toc216943785"/>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216943786"/>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216943787"/>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216943788"/>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216943789"/>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216943790"/>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216943791"/>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216943792"/>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216943793"/>
      <w:r>
        <w:rPr>
          <w:rStyle w:val="CharSectno"/>
        </w:rPr>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216943794"/>
      <w:r>
        <w:rPr>
          <w:rStyle w:val="CharSectno"/>
        </w:rPr>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80" w:name="_Toc216943795"/>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81" w:name="_Toc216943796"/>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216943797"/>
      <w:r>
        <w:rPr>
          <w:rStyle w:val="CharSectno"/>
        </w:rPr>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216943798"/>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216943799"/>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216943800"/>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216873080"/>
      <w:bookmarkStart w:id="87" w:name="_Toc216873602"/>
      <w:bookmarkStart w:id="88" w:name="_Toc216943801"/>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216943802"/>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keepNext/>
      </w:pPr>
      <w:r>
        <w:lastRenderedPageBreak/>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216943803"/>
      <w:r>
        <w:rPr>
          <w:rStyle w:val="CharSectno"/>
        </w:rPr>
        <w:t>17B</w:t>
      </w:r>
      <w:r>
        <w:t>.</w:t>
      </w:r>
      <w:r>
        <w:tab/>
        <w:t>Community supervision agreement</w:t>
      </w:r>
      <w:bookmarkEnd w:id="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216943804"/>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 xml:space="preserve">Whenever an appointment has to be made under subsection (1), the chief executive officer is to invite the council of an Aboriginal community to nominate a panel of persons suitable </w:t>
      </w:r>
      <w:r>
        <w:lastRenderedPageBreak/>
        <w:t>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216943805"/>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93" w:name="_Toc216873085"/>
      <w:bookmarkStart w:id="94" w:name="_Toc216873607"/>
      <w:bookmarkStart w:id="95" w:name="_Toc216943806"/>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216943807"/>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216943808"/>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216943809"/>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216943810"/>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216873090"/>
      <w:bookmarkStart w:id="101" w:name="_Toc216873612"/>
      <w:bookmarkStart w:id="102" w:name="_Toc216943811"/>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216873091"/>
      <w:bookmarkStart w:id="104" w:name="_Toc216873613"/>
      <w:bookmarkStart w:id="105" w:name="_Toc216943812"/>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216943813"/>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216943814"/>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216943815"/>
      <w:r>
        <w:rPr>
          <w:rStyle w:val="CharSectno"/>
        </w:rPr>
        <w:t>22</w:t>
      </w:r>
      <w:r>
        <w:rPr>
          <w:snapToGrid w:val="0"/>
        </w:rPr>
        <w:t>.</w:t>
      </w:r>
      <w:r>
        <w:rPr>
          <w:snapToGrid w:val="0"/>
        </w:rPr>
        <w:tab/>
      </w:r>
      <w:r>
        <w:t>Cautions may be given except for certain offences</w:t>
      </w:r>
      <w:bookmarkEnd w:id="108"/>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pPr>
      <w:r>
        <w:tab/>
        <w:t>(3)</w:t>
      </w:r>
      <w:r>
        <w:tab/>
        <w:t xml:space="preserve">Subsection (1) does not allow a member of the Police Force to caution a young person instead of laying a charge if the offence is — </w:t>
      </w:r>
    </w:p>
    <w:p>
      <w:pPr>
        <w:pStyle w:val="Indenta"/>
      </w:pPr>
      <w:r>
        <w:tab/>
        <w:t>(a)</w:t>
      </w:r>
      <w:r>
        <w:tab/>
        <w:t xml:space="preserve">a Schedule 1 offence or a Schedule 2 offence; or </w:t>
      </w:r>
    </w:p>
    <w:p>
      <w:pPr>
        <w:pStyle w:val="Indenta"/>
      </w:pPr>
      <w:r>
        <w:tab/>
        <w:t>(b)</w:t>
      </w:r>
      <w:r>
        <w:tab/>
        <w:t xml:space="preserve">an offence under the </w:t>
      </w:r>
      <w:r>
        <w:rPr>
          <w:i/>
        </w:rPr>
        <w:t>Weapons Act 1999</w:t>
      </w:r>
      <w:r>
        <w:t xml:space="preserve"> section 6(1), 6A(1) or (2) or 6B(1) or (2). </w:t>
      </w:r>
    </w:p>
    <w:p>
      <w:pPr>
        <w:pStyle w:val="Subsection"/>
        <w:rPr>
          <w:snapToGrid w:val="0"/>
        </w:rPr>
      </w:pPr>
      <w:r>
        <w:rPr>
          <w:snapToGrid w:val="0"/>
        </w:rPr>
        <w:lastRenderedPageBreak/>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Footnotesection"/>
      </w:pPr>
      <w:r>
        <w:tab/>
        <w:t>[Section 22 amended: No. 33 of 2024 s. 24.]</w:t>
      </w:r>
    </w:p>
    <w:p>
      <w:pPr>
        <w:pStyle w:val="Heading5"/>
        <w:rPr>
          <w:snapToGrid w:val="0"/>
        </w:rPr>
      </w:pPr>
      <w:bookmarkStart w:id="109" w:name="_Toc216943816"/>
      <w:r>
        <w:rPr>
          <w:rStyle w:val="CharSectno"/>
        </w:rPr>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216943817"/>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lastRenderedPageBreak/>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No. 47 of 1998 s. 8.]</w:t>
      </w:r>
    </w:p>
    <w:p>
      <w:pPr>
        <w:pStyle w:val="Heading5"/>
        <w:rPr>
          <w:snapToGrid w:val="0"/>
        </w:rPr>
      </w:pPr>
      <w:bookmarkStart w:id="111" w:name="_Toc216943818"/>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216873098"/>
      <w:bookmarkStart w:id="113" w:name="_Toc216873620"/>
      <w:bookmarkStart w:id="114" w:name="_Toc216943819"/>
      <w:r>
        <w:rPr>
          <w:rStyle w:val="CharDivNo"/>
        </w:rPr>
        <w:lastRenderedPageBreak/>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216943820"/>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216943821"/>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lastRenderedPageBreak/>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216943822"/>
      <w:r>
        <w:rPr>
          <w:rStyle w:val="CharSectno"/>
        </w:rPr>
        <w:lastRenderedPageBreak/>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216943823"/>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19" w:name="_Toc216943824"/>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 xml:space="preserve">A consideration under subsection (1) of whether or not it is appropriate to refer a matter for consideration by a juvenile </w:t>
      </w:r>
      <w:r>
        <w:lastRenderedPageBreak/>
        <w:t>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216943825"/>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216943826"/>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lastRenderedPageBreak/>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216943827"/>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lastRenderedPageBreak/>
        <w:tab/>
        <w:t>[Section 31 amended: No. 58 of 2004 s. 15.]</w:t>
      </w:r>
    </w:p>
    <w:p>
      <w:pPr>
        <w:pStyle w:val="Heading5"/>
        <w:rPr>
          <w:snapToGrid w:val="0"/>
        </w:rPr>
      </w:pPr>
      <w:bookmarkStart w:id="123" w:name="_Toc216943828"/>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lastRenderedPageBreak/>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216943829"/>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lastRenderedPageBreak/>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No. 84 of 2004 s. 80.]</w:t>
      </w:r>
    </w:p>
    <w:p>
      <w:pPr>
        <w:pStyle w:val="Heading5"/>
        <w:rPr>
          <w:snapToGrid w:val="0"/>
        </w:rPr>
      </w:pPr>
      <w:bookmarkStart w:id="125" w:name="_Toc216943830"/>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216873110"/>
      <w:bookmarkStart w:id="127" w:name="_Toc216873632"/>
      <w:bookmarkStart w:id="128" w:name="_Toc216943831"/>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216943832"/>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216943833"/>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 xml:space="preserve">The chief executive officer may appoint a member of an approved Aboriginal community to be a Juvenile Justice Team </w:t>
      </w:r>
      <w:r>
        <w:lastRenderedPageBreak/>
        <w:t>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216943834"/>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 xml:space="preserve">where the person to be dealt with by the team is a member of an ethnic or other minority group, a person </w:t>
      </w:r>
      <w:r>
        <w:rPr>
          <w:snapToGrid w:val="0"/>
        </w:rPr>
        <w:lastRenderedPageBreak/>
        <w:t>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216943835"/>
      <w:r>
        <w:rPr>
          <w:rStyle w:val="CharSectno"/>
        </w:rPr>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216943836"/>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216943837"/>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216943838"/>
      <w:r>
        <w:rPr>
          <w:rStyle w:val="CharSectno"/>
        </w:rPr>
        <w:lastRenderedPageBreak/>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216873118"/>
      <w:bookmarkStart w:id="137" w:name="_Toc216873640"/>
      <w:bookmarkStart w:id="138" w:name="_Toc216943839"/>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216943840"/>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216943841"/>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keepNext/>
        <w:spacing w:before="140"/>
        <w:rPr>
          <w:snapToGrid w:val="0"/>
        </w:rPr>
      </w:pPr>
      <w:r>
        <w:rPr>
          <w:snapToGrid w:val="0"/>
        </w:rPr>
        <w:lastRenderedPageBreak/>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216943842"/>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lastRenderedPageBreak/>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lastRenderedPageBreak/>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216943843"/>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w:t>
      </w:r>
      <w:r>
        <w:rPr>
          <w:snapToGrid w:val="0"/>
        </w:rPr>
        <w:lastRenderedPageBreak/>
        <w:t>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216943844"/>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216873124"/>
      <w:bookmarkStart w:id="145" w:name="_Toc216873646"/>
      <w:bookmarkStart w:id="146" w:name="_Toc216943845"/>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216873125"/>
      <w:bookmarkStart w:id="148" w:name="_Toc216873647"/>
      <w:bookmarkStart w:id="149" w:name="_Toc216943846"/>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216943847"/>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216943848"/>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216943849"/>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pPr>
      <w:r>
        <w:rPr>
          <w:snapToGrid w:val="0"/>
        </w:rPr>
        <w:tab/>
        <w:t>(2)</w:t>
      </w:r>
      <w:r>
        <w:rPr>
          <w:snapToGrid w:val="0"/>
        </w:rPr>
        <w:tab/>
        <w:t xml:space="preserve">The court may request the chief executive officer to cause to be prepared and submitted to it such reports concerning the young person as it considers </w:t>
      </w:r>
      <w:r>
        <w:t xml:space="preserve">relevant (including a report containing information relevant to the making of a juvenile offender reporting order under the </w:t>
      </w:r>
      <w:r>
        <w:rPr>
          <w:i/>
          <w:iCs/>
        </w:rPr>
        <w:t xml:space="preserve">Community Protection (Offender Reporting) Act 2004 </w:t>
      </w:r>
      <w:r>
        <w:t>section 14B).</w:t>
      </w:r>
    </w:p>
    <w:p>
      <w:pPr>
        <w:pStyle w:val="PermNoteHeading"/>
      </w:pPr>
      <w:r>
        <w:tab/>
        <w:t>Example for this subsection:</w:t>
      </w:r>
    </w:p>
    <w:p>
      <w:pPr>
        <w:pStyle w:val="PermNoteText"/>
      </w:pPr>
      <w:r>
        <w:tab/>
      </w:r>
      <w:r>
        <w:tab/>
        <w:t>A psychological or psychiatric report.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Footnotesection"/>
      </w:pPr>
      <w:r>
        <w:tab/>
        <w:t>[Section 47 amended: No. 35 of 2024 s. 100.]</w:t>
      </w:r>
    </w:p>
    <w:p>
      <w:pPr>
        <w:pStyle w:val="Heading5"/>
        <w:rPr>
          <w:snapToGrid w:val="0"/>
        </w:rPr>
      </w:pPr>
      <w:bookmarkStart w:id="153" w:name="_Toc216943850"/>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 xml:space="preserve">Before exercising powers given to it by section 83 or 114 in respect of a failure to comply with a condition or undertaking upon which a youth community based order or a conditional release order was made, the court is required to obtain from the </w:t>
      </w:r>
      <w:r>
        <w:rPr>
          <w:snapToGrid w:val="0"/>
        </w:rPr>
        <w:lastRenderedPageBreak/>
        <w:t>chief executive officer a report about matters relevant to the manner in which it should exercise those powers.</w:t>
      </w:r>
    </w:p>
    <w:p>
      <w:pPr>
        <w:pStyle w:val="Subsection"/>
        <w:keepNext/>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4" w:name="_Toc216943851"/>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216943852"/>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216943853"/>
      <w:r>
        <w:rPr>
          <w:rStyle w:val="CharSectno"/>
        </w:rPr>
        <w:lastRenderedPageBreak/>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216943854"/>
      <w:r>
        <w:rPr>
          <w:rStyle w:val="CharSectno"/>
        </w:rPr>
        <w:lastRenderedPageBreak/>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216943855"/>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216943856"/>
      <w:r>
        <w:rPr>
          <w:rStyle w:val="CharSectno"/>
        </w:rPr>
        <w:lastRenderedPageBreak/>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216943857"/>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216943858"/>
      <w:r>
        <w:rPr>
          <w:rStyle w:val="CharSectno"/>
        </w:rPr>
        <w:lastRenderedPageBreak/>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216943859"/>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216943860"/>
      <w:r>
        <w:rPr>
          <w:rStyle w:val="CharSectno"/>
        </w:rPr>
        <w:lastRenderedPageBreak/>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216943861"/>
      <w:r>
        <w:rPr>
          <w:rStyle w:val="CharSectno"/>
        </w:rPr>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5" w:name="_Toc216943862"/>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216943863"/>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216943864"/>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68" w:name="_Toc216943865"/>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216943866"/>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216943867"/>
      <w:r>
        <w:rPr>
          <w:rStyle w:val="CharSectno"/>
        </w:rPr>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216943868"/>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216943869"/>
      <w:r>
        <w:rPr>
          <w:rStyle w:val="CharSectno"/>
        </w:rPr>
        <w:lastRenderedPageBreak/>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216943870"/>
      <w:r>
        <w:rPr>
          <w:rStyle w:val="CharSectno"/>
        </w:rPr>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216873150"/>
      <w:bookmarkStart w:id="175" w:name="_Toc216873672"/>
      <w:bookmarkStart w:id="176" w:name="_Toc216943871"/>
      <w:r>
        <w:rPr>
          <w:rStyle w:val="CharDivNo"/>
        </w:rPr>
        <w:lastRenderedPageBreak/>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216943872"/>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216873152"/>
      <w:bookmarkStart w:id="179" w:name="_Toc216873674"/>
      <w:bookmarkStart w:id="180" w:name="_Toc216943873"/>
      <w:r>
        <w:rPr>
          <w:rStyle w:val="CharDivNo"/>
        </w:rPr>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216943874"/>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216943875"/>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216873155"/>
      <w:bookmarkStart w:id="184" w:name="_Toc216873677"/>
      <w:bookmarkStart w:id="185" w:name="_Toc216943876"/>
      <w:r>
        <w:rPr>
          <w:rStyle w:val="CharDivNo"/>
        </w:rPr>
        <w:lastRenderedPageBreak/>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216943877"/>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216943878"/>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8" w:name="_Toc216873158"/>
      <w:bookmarkStart w:id="189" w:name="_Toc216873680"/>
      <w:bookmarkStart w:id="190" w:name="_Toc216943879"/>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216943880"/>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216943881"/>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216873161"/>
      <w:bookmarkStart w:id="194" w:name="_Toc216873683"/>
      <w:bookmarkStart w:id="195" w:name="_Toc216943882"/>
      <w:r>
        <w:rPr>
          <w:rStyle w:val="CharDivNo"/>
        </w:rPr>
        <w:lastRenderedPageBreak/>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216943883"/>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7" w:name="_Toc216943884"/>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216943885"/>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216943886"/>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216943887"/>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216943888"/>
      <w:r>
        <w:rPr>
          <w:rStyle w:val="CharSectno"/>
        </w:rPr>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216943889"/>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216943890"/>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216943891"/>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216943892"/>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216943893"/>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216943894"/>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8" w:name="_Toc216943895"/>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216943896"/>
      <w:r>
        <w:rPr>
          <w:rStyle w:val="CharSectno"/>
        </w:rPr>
        <w:lastRenderedPageBreak/>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216943897"/>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216873177"/>
      <w:bookmarkStart w:id="212" w:name="_Toc216873699"/>
      <w:bookmarkStart w:id="213" w:name="_Toc216943898"/>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216943899"/>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216873179"/>
      <w:bookmarkStart w:id="216" w:name="_Toc216873701"/>
      <w:bookmarkStart w:id="217" w:name="_Toc216943900"/>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216943901"/>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216943902"/>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216943903"/>
      <w:r>
        <w:rPr>
          <w:rStyle w:val="CharSectno"/>
        </w:rPr>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216943904"/>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216943905"/>
      <w:r>
        <w:rPr>
          <w:rStyle w:val="CharSectno"/>
        </w:rPr>
        <w:lastRenderedPageBreak/>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216943906"/>
      <w:r>
        <w:rPr>
          <w:rStyle w:val="CharSectno"/>
        </w:rPr>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216873186"/>
      <w:bookmarkStart w:id="225" w:name="_Toc216873708"/>
      <w:bookmarkStart w:id="226" w:name="_Toc216943907"/>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216943908"/>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216943909"/>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216943910"/>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30" w:name="_Toc216873190"/>
      <w:bookmarkStart w:id="231" w:name="_Toc216873712"/>
      <w:bookmarkStart w:id="232" w:name="_Toc216943911"/>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216943912"/>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4" w:name="_Toc216943913"/>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216943914"/>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216943915"/>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216943916"/>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8" w:name="_Toc216943917"/>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216943918"/>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40" w:name="_Toc216943919"/>
      <w:r>
        <w:rPr>
          <w:rStyle w:val="CharSectno"/>
        </w:rPr>
        <w:lastRenderedPageBreak/>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216943920"/>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216943921"/>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216943922"/>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216943923"/>
      <w:r>
        <w:rPr>
          <w:rStyle w:val="CharSectno"/>
        </w:rPr>
        <w:lastRenderedPageBreak/>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5" w:name="_Toc216943924"/>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216943925"/>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216943926"/>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216943927"/>
      <w:r>
        <w:rPr>
          <w:rStyle w:val="CharSectno"/>
        </w:rPr>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216943928"/>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216943929"/>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216943930"/>
      <w:r>
        <w:rPr>
          <w:rStyle w:val="CharSectno"/>
        </w:rPr>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216943931"/>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216943932"/>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216943933"/>
      <w:r>
        <w:rPr>
          <w:rStyle w:val="CharSectno"/>
        </w:rPr>
        <w:lastRenderedPageBreak/>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216873213"/>
      <w:bookmarkStart w:id="256" w:name="_Toc216873735"/>
      <w:bookmarkStart w:id="257" w:name="_Toc216943934"/>
      <w:r>
        <w:rPr>
          <w:rStyle w:val="CharDivNo"/>
        </w:rPr>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216943935"/>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216943936"/>
      <w:r>
        <w:rPr>
          <w:rStyle w:val="CharSectno"/>
        </w:rPr>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216943937"/>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216943938"/>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216943939"/>
      <w:r>
        <w:rPr>
          <w:rStyle w:val="CharSectno"/>
        </w:rPr>
        <w:lastRenderedPageBreak/>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216943940"/>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216943941"/>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216943942"/>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216873222"/>
      <w:bookmarkStart w:id="267" w:name="_Toc216873744"/>
      <w:bookmarkStart w:id="268" w:name="_Toc216943943"/>
      <w:r>
        <w:rPr>
          <w:rStyle w:val="CharDivNo"/>
        </w:rPr>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216943944"/>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216943945"/>
      <w:r>
        <w:rPr>
          <w:rStyle w:val="CharSectno"/>
        </w:rPr>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216943946"/>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216943947"/>
      <w:r>
        <w:rPr>
          <w:rStyle w:val="CharSectno"/>
        </w:rPr>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216943948"/>
      <w:r>
        <w:rPr>
          <w:rStyle w:val="CharSectno"/>
        </w:rPr>
        <w:lastRenderedPageBreak/>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4" w:name="_Toc216943949"/>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216943950"/>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216873230"/>
      <w:bookmarkStart w:id="277" w:name="_Toc216873752"/>
      <w:bookmarkStart w:id="278" w:name="_Toc216943951"/>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216873231"/>
      <w:bookmarkStart w:id="280" w:name="_Toc216873753"/>
      <w:bookmarkStart w:id="281" w:name="_Toc216943952"/>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216943953"/>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216873233"/>
      <w:bookmarkStart w:id="284" w:name="_Toc216873755"/>
      <w:bookmarkStart w:id="285" w:name="_Toc216943954"/>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216943955"/>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216943956"/>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216943957"/>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216943958"/>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216943959"/>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216943960"/>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216943961"/>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216943962"/>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216943963"/>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216943964"/>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216943965"/>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216943966"/>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216943967"/>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216943968"/>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216943969"/>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216943970"/>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216943971"/>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216943972"/>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216943973"/>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216943974"/>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216943975"/>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216943976"/>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216943977"/>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216943978"/>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216873258"/>
      <w:bookmarkStart w:id="311" w:name="_Toc216873780"/>
      <w:bookmarkStart w:id="312" w:name="_Toc216943979"/>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216873259"/>
      <w:bookmarkStart w:id="314" w:name="_Toc216873781"/>
      <w:bookmarkStart w:id="315" w:name="_Toc216943980"/>
      <w:r>
        <w:t>Subdivision 1 — Preliminary</w:t>
      </w:r>
      <w:bookmarkEnd w:id="313"/>
      <w:bookmarkEnd w:id="314"/>
      <w:bookmarkEnd w:id="315"/>
    </w:p>
    <w:p>
      <w:pPr>
        <w:pStyle w:val="Footnoteheading"/>
      </w:pPr>
      <w:r>
        <w:tab/>
        <w:t>[Heading inserted: No. 14 of 2022 s. 36.]</w:t>
      </w:r>
    </w:p>
    <w:p>
      <w:pPr>
        <w:pStyle w:val="Heading5"/>
      </w:pPr>
      <w:bookmarkStart w:id="316" w:name="_Toc216943981"/>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216873261"/>
      <w:bookmarkStart w:id="318" w:name="_Toc216873783"/>
      <w:bookmarkStart w:id="319" w:name="_Toc216943982"/>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216943983"/>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216943984"/>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216943985"/>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216943986"/>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216873266"/>
      <w:bookmarkStart w:id="325" w:name="_Toc216873788"/>
      <w:bookmarkStart w:id="326" w:name="_Toc216943987"/>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216943988"/>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216873268"/>
      <w:bookmarkStart w:id="329" w:name="_Toc216873790"/>
      <w:bookmarkStart w:id="330" w:name="_Toc216943989"/>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216943990"/>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216873270"/>
      <w:bookmarkStart w:id="333" w:name="_Toc216873792"/>
      <w:bookmarkStart w:id="334" w:name="_Toc216943991"/>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216943992"/>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216943993"/>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216943994"/>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216943995"/>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216943996"/>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216943997"/>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216943998"/>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216943999"/>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216944000"/>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216944001"/>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216944002"/>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216944003"/>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216944004"/>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216944005"/>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216944006"/>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216944007"/>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216873287"/>
      <w:bookmarkStart w:id="352" w:name="_Toc216873809"/>
      <w:bookmarkStart w:id="353" w:name="_Toc216944008"/>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216944009"/>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216944010"/>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216944011"/>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216944012"/>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216944013"/>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216944014"/>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216944015"/>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216944016"/>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216944017"/>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216944018"/>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216944019"/>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216944020"/>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216944021"/>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216944022"/>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216944023"/>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216944024"/>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216944025"/>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216873305"/>
      <w:bookmarkStart w:id="372" w:name="_Toc216873827"/>
      <w:bookmarkStart w:id="373" w:name="_Toc216944026"/>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216944027"/>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216944028"/>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216944029"/>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216944030"/>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216944031"/>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216944032"/>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keepNext/>
        <w:rPr>
          <w:snapToGrid w:val="0"/>
        </w:rPr>
      </w:pPr>
      <w:r>
        <w:rPr>
          <w:snapToGrid w:val="0"/>
        </w:rPr>
        <w:tab/>
      </w:r>
      <w:r>
        <w:rPr>
          <w:snapToGrid w:val="0"/>
        </w:rPr>
        <w:tab/>
        <w:t xml:space="preserve">A certificate endorsed upon or annexed to an order for the detention of a person and signed by the superintendent of a detention centre stating that the person named in the order was </w:t>
      </w:r>
      <w:r>
        <w:rPr>
          <w:snapToGrid w:val="0"/>
        </w:rPr>
        <w:lastRenderedPageBreak/>
        <w:t>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216944033"/>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lastRenderedPageBreak/>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216944034"/>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 xml:space="preserve">In subsection (2), the reference to a sentence imposed as a result of a conviction includes a reference to an order made as a result </w:t>
      </w:r>
      <w:r>
        <w:rPr>
          <w:snapToGrid w:val="0"/>
        </w:rPr>
        <w:lastRenderedPageBreak/>
        <w:t>of the conviction, and when the order has been fully complied with the sentence is to be regarded as having been discharged.</w:t>
      </w:r>
    </w:p>
    <w:p>
      <w:pPr>
        <w:pStyle w:val="Subsection"/>
        <w:keepLines/>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lastRenderedPageBreak/>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216944035"/>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216944036"/>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216944037"/>
      <w:r>
        <w:rPr>
          <w:rStyle w:val="CharSectno"/>
        </w:rPr>
        <w:lastRenderedPageBreak/>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216944038"/>
      <w:r>
        <w:rPr>
          <w:rStyle w:val="CharSectno"/>
        </w:rPr>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216944039"/>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lastRenderedPageBreak/>
        <w:tab/>
        <w:t>[Section 193A inserted: No. 58 of 2004 s. 41.]</w:t>
      </w:r>
    </w:p>
    <w:p>
      <w:pPr>
        <w:pStyle w:val="Heading5"/>
        <w:spacing w:before="180"/>
        <w:rPr>
          <w:snapToGrid w:val="0"/>
        </w:rPr>
      </w:pPr>
      <w:bookmarkStart w:id="387" w:name="_Toc216944040"/>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216944041"/>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216944042"/>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lastRenderedPageBreak/>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 xml:space="preserve">to search a person or vehicle outside but near a detention centre, where in the opinion of the superintendent that search is necessary for the </w:t>
      </w:r>
      <w:r>
        <w:rPr>
          <w:snapToGrid w:val="0"/>
        </w:rPr>
        <w:lastRenderedPageBreak/>
        <w:t>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216944043"/>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216944044"/>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lastRenderedPageBreak/>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216873324"/>
      <w:bookmarkStart w:id="393" w:name="_Toc216873846"/>
      <w:bookmarkStart w:id="394" w:name="_Toc216944045"/>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216873325"/>
      <w:bookmarkStart w:id="396" w:name="_Toc216873847"/>
      <w:bookmarkStart w:id="397" w:name="_Toc216944046"/>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216873326"/>
      <w:bookmarkStart w:id="399" w:name="_Toc216873848"/>
      <w:bookmarkStart w:id="400" w:name="_Toc216944047"/>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216944048"/>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216944049"/>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216944050"/>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216944051"/>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216944052"/>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216873332"/>
      <w:bookmarkStart w:id="407" w:name="_Toc216873854"/>
      <w:bookmarkStart w:id="408" w:name="_Toc216944053"/>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216944054"/>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216944055"/>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216944056"/>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216944057"/>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216873337"/>
      <w:bookmarkStart w:id="414" w:name="_Toc216873859"/>
      <w:bookmarkStart w:id="415" w:name="_Toc216944058"/>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216944059"/>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216873339"/>
      <w:bookmarkStart w:id="418" w:name="_Toc216873861"/>
      <w:bookmarkStart w:id="419" w:name="_Toc216944060"/>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20" w:name="_Toc216873340"/>
      <w:bookmarkStart w:id="421" w:name="_Toc216873862"/>
      <w:bookmarkStart w:id="422" w:name="_Toc216944061"/>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216873341"/>
      <w:bookmarkStart w:id="425" w:name="_Toc216873863"/>
      <w:bookmarkStart w:id="426" w:name="_Toc216944062"/>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216944063"/>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216944064"/>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216944065"/>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216944066"/>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216944067"/>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216944068"/>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216873348"/>
      <w:bookmarkStart w:id="434" w:name="_Toc216873870"/>
      <w:bookmarkStart w:id="435" w:name="_Toc216944069"/>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216944070"/>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shd w:val="clear" w:color="auto" w:fill="auto"/>
          </w:tcPr>
          <w:p>
            <w:pPr>
              <w:pStyle w:val="nTable"/>
              <w:spacing w:after="40"/>
              <w:ind w:right="113"/>
              <w:rPr>
                <w:i/>
              </w:rPr>
            </w:pPr>
            <w:r>
              <w:rPr>
                <w:i/>
              </w:rPr>
              <w:t>Criminal Code Amendment Act 2024</w:t>
            </w:r>
            <w:r>
              <w:rPr>
                <w:iCs/>
              </w:rPr>
              <w:t xml:space="preserve"> s. 9</w:t>
            </w:r>
          </w:p>
        </w:tc>
        <w:tc>
          <w:tcPr>
            <w:tcW w:w="1134" w:type="dxa"/>
            <w:shd w:val="clear" w:color="auto" w:fill="auto"/>
          </w:tcPr>
          <w:p>
            <w:pPr>
              <w:pStyle w:val="nTable"/>
              <w:spacing w:after="40"/>
            </w:pPr>
            <w:r>
              <w:t>16 of 2024</w:t>
            </w:r>
          </w:p>
        </w:tc>
        <w:tc>
          <w:tcPr>
            <w:tcW w:w="1136" w:type="dxa"/>
            <w:shd w:val="clear" w:color="auto" w:fill="auto"/>
          </w:tcPr>
          <w:p>
            <w:pPr>
              <w:pStyle w:val="nTable"/>
              <w:spacing w:after="40"/>
            </w:pPr>
            <w:r>
              <w:t>14 May 2024</w:t>
            </w:r>
          </w:p>
        </w:tc>
        <w:tc>
          <w:tcPr>
            <w:tcW w:w="2551" w:type="dxa"/>
            <w:shd w:val="clear" w:color="auto" w:fill="auto"/>
          </w:tcPr>
          <w:p>
            <w:pPr>
              <w:pStyle w:val="nTable"/>
              <w:spacing w:after="40"/>
            </w:pPr>
            <w:r>
              <w:t>1 Jul 2024 (see s. 2(b) and SL 2024/125 cl. 2)</w:t>
            </w:r>
          </w:p>
        </w:tc>
      </w:tr>
      <w:tr>
        <w:trPr>
          <w:cantSplit/>
        </w:trPr>
        <w:tc>
          <w:tcPr>
            <w:tcW w:w="2267" w:type="dxa"/>
            <w:shd w:val="clear" w:color="auto" w:fill="auto"/>
          </w:tcPr>
          <w:p>
            <w:pPr>
              <w:pStyle w:val="nTable"/>
              <w:spacing w:after="40"/>
              <w:ind w:right="113"/>
              <w:rPr>
                <w:i/>
              </w:rPr>
            </w:pPr>
            <w:r>
              <w:rPr>
                <w:i/>
              </w:rPr>
              <w:t xml:space="preserve">Police Legislation Amendment Act 2024 </w:t>
            </w:r>
            <w:r>
              <w:rPr>
                <w:iCs/>
              </w:rPr>
              <w:t>Pt. 4</w:t>
            </w:r>
          </w:p>
        </w:tc>
        <w:tc>
          <w:tcPr>
            <w:tcW w:w="1134" w:type="dxa"/>
            <w:shd w:val="clear" w:color="auto" w:fill="auto"/>
          </w:tcPr>
          <w:p>
            <w:pPr>
              <w:pStyle w:val="nTable"/>
              <w:spacing w:after="40"/>
            </w:pPr>
            <w:r>
              <w:t>33 of 2024</w:t>
            </w:r>
          </w:p>
        </w:tc>
        <w:tc>
          <w:tcPr>
            <w:tcW w:w="1136" w:type="dxa"/>
            <w:shd w:val="clear" w:color="auto" w:fill="auto"/>
          </w:tcPr>
          <w:p>
            <w:pPr>
              <w:pStyle w:val="nTable"/>
              <w:spacing w:after="40"/>
            </w:pPr>
            <w:r>
              <w:t>26 Sep 2024</w:t>
            </w:r>
          </w:p>
        </w:tc>
        <w:tc>
          <w:tcPr>
            <w:tcW w:w="2551" w:type="dxa"/>
            <w:shd w:val="clear" w:color="auto" w:fill="auto"/>
          </w:tcPr>
          <w:p>
            <w:pPr>
              <w:pStyle w:val="nTable"/>
              <w:spacing w:after="40"/>
            </w:pPr>
            <w:r>
              <w:t>20 Dec 2024 (see s. 2(1)(b) and SL 2024/277 cl. 2)</w:t>
            </w:r>
          </w:p>
        </w:tc>
      </w:tr>
      <w:tr>
        <w:trPr>
          <w:cantSplit/>
        </w:trPr>
        <w:tc>
          <w:tcPr>
            <w:tcW w:w="2267" w:type="dxa"/>
            <w:tcBorders>
              <w:bottom w:val="single" w:sz="4" w:space="0" w:color="auto"/>
            </w:tcBorders>
            <w:shd w:val="clear" w:color="auto" w:fill="auto"/>
          </w:tcPr>
          <w:p>
            <w:pPr>
              <w:pStyle w:val="nTable"/>
              <w:spacing w:after="40"/>
              <w:ind w:right="113"/>
              <w:rPr>
                <w:i/>
              </w:rPr>
            </w:pPr>
            <w:r>
              <w:rPr>
                <w:i/>
              </w:rPr>
              <w:t xml:space="preserve">Community Protection (Offender Reporting) Amendment Act 2024 </w:t>
            </w:r>
            <w:r>
              <w:rPr>
                <w:iCs/>
              </w:rPr>
              <w:t>Pt. 3 Div. 2 Subdiv. 4</w:t>
            </w:r>
          </w:p>
        </w:tc>
        <w:tc>
          <w:tcPr>
            <w:tcW w:w="1134" w:type="dxa"/>
            <w:tcBorders>
              <w:bottom w:val="single" w:sz="4" w:space="0" w:color="auto"/>
            </w:tcBorders>
            <w:shd w:val="clear" w:color="auto" w:fill="auto"/>
          </w:tcPr>
          <w:p>
            <w:pPr>
              <w:pStyle w:val="nTable"/>
              <w:spacing w:after="40"/>
            </w:pPr>
            <w:r>
              <w:t>35 of 2024</w:t>
            </w:r>
          </w:p>
        </w:tc>
        <w:tc>
          <w:tcPr>
            <w:tcW w:w="1136" w:type="dxa"/>
            <w:tcBorders>
              <w:bottom w:val="single" w:sz="4" w:space="0" w:color="auto"/>
            </w:tcBorders>
            <w:shd w:val="clear" w:color="auto" w:fill="auto"/>
          </w:tcPr>
          <w:p>
            <w:pPr>
              <w:pStyle w:val="nTable"/>
              <w:spacing w:after="40"/>
            </w:pPr>
            <w:r>
              <w:t>22 Oct 2024</w:t>
            </w:r>
          </w:p>
        </w:tc>
        <w:tc>
          <w:tcPr>
            <w:tcW w:w="2551" w:type="dxa"/>
            <w:tcBorders>
              <w:bottom w:val="single" w:sz="4" w:space="0" w:color="auto"/>
            </w:tcBorders>
            <w:shd w:val="clear" w:color="auto" w:fill="auto"/>
          </w:tcPr>
          <w:p>
            <w:pPr>
              <w:pStyle w:val="nTable"/>
              <w:spacing w:after="40"/>
            </w:pPr>
            <w:r>
              <w:t>31 Dec 2025 (see s. 2(b) and SL 2025/201 cl. 2)</w:t>
            </w:r>
          </w:p>
        </w:tc>
      </w:tr>
    </w:tbl>
    <w:p>
      <w:pPr>
        <w:pStyle w:val="nHeading3"/>
      </w:pPr>
      <w:bookmarkStart w:id="437" w:name="_Toc216944071"/>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Young Offenders and Prisons Legislation Amendment Act 2024 </w:t>
            </w:r>
            <w:r>
              <w:rPr>
                <w:iCs/>
              </w:rPr>
              <w:t>Pt. 3</w:t>
            </w:r>
          </w:p>
        </w:tc>
        <w:tc>
          <w:tcPr>
            <w:tcW w:w="1134" w:type="dxa"/>
            <w:tcBorders>
              <w:top w:val="nil"/>
              <w:bottom w:val="single" w:sz="4" w:space="0" w:color="auto"/>
            </w:tcBorders>
          </w:tcPr>
          <w:p>
            <w:pPr>
              <w:pStyle w:val="nTable"/>
              <w:spacing w:after="40"/>
            </w:pPr>
            <w:r>
              <w:t>48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38" w:name="_Toc216944072"/>
      <w:r>
        <w:lastRenderedPageBreak/>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keepNext w:val="0"/>
        <w:rPr>
          <w:sz w:val="20"/>
          <w:szCs w:val="20"/>
        </w:rPr>
      </w:pPr>
    </w:p>
    <w:p>
      <w:pPr>
        <w:pStyle w:val="nzHeading5"/>
        <w:keepNext w:val="0"/>
        <w:spacing w:before="60"/>
        <w:rPr>
          <w:rStyle w:val="CharSectno"/>
        </w:rPr>
      </w:pPr>
      <w:r>
        <w:rPr>
          <w:rStyle w:val="CharSectno"/>
        </w:rPr>
        <w:t>56.</w:t>
      </w:r>
      <w:r>
        <w:rPr>
          <w:rStyle w:val="CharSectno"/>
        </w:rPr>
        <w:tab/>
        <w:t>Consequential amendments to other Acts and regulations</w:t>
      </w:r>
    </w:p>
    <w:p>
      <w:pPr>
        <w:pStyle w:val="nzSubsection"/>
        <w:keepLines/>
      </w:pPr>
      <w:r>
        <w:tab/>
        <w:t>(1)</w:t>
      </w:r>
      <w:r>
        <w:tab/>
        <w:t>Schedule 2 has effect.</w:t>
      </w:r>
    </w:p>
    <w:p>
      <w:pPr>
        <w:pStyle w:val="BlankClose"/>
        <w:rPr>
          <w:sz w:val="20"/>
          <w:szCs w:val="20"/>
        </w:rPr>
      </w:pPr>
    </w:p>
    <w:p>
      <w:pPr>
        <w:pStyle w:val="nNote"/>
        <w:keepLines/>
        <w:spacing w:before="0"/>
      </w:pPr>
      <w:r>
        <w:rPr>
          <w:snapToGrid w:val="0"/>
        </w:rPr>
        <w:tab/>
        <w:t>Schedule 2 cl. 7(3) reads as follows:</w:t>
      </w:r>
    </w:p>
    <w:p>
      <w:pPr>
        <w:pStyle w:val="BlankOpen"/>
        <w:keepNext w:val="0"/>
        <w:rPr>
          <w:sz w:val="20"/>
          <w:szCs w:val="20"/>
        </w:rPr>
      </w:pPr>
    </w:p>
    <w:p>
      <w:pPr>
        <w:pStyle w:val="nzHeading2"/>
        <w:keepNext w:val="0"/>
        <w:keepLines/>
        <w:rPr>
          <w:rStyle w:val="CharSchNo"/>
        </w:rPr>
      </w:pPr>
      <w:r>
        <w:rPr>
          <w:rStyle w:val="CharSchNo"/>
        </w:rPr>
        <w:t>Schedule 2 — Consequential amendments to Acts and regulations</w:t>
      </w:r>
    </w:p>
    <w:p>
      <w:pPr>
        <w:pStyle w:val="yShoulderClause"/>
        <w:keepLines/>
        <w:rPr>
          <w:sz w:val="20"/>
        </w:rPr>
      </w:pPr>
      <w:r>
        <w:rPr>
          <w:sz w:val="20"/>
        </w:rPr>
        <w:t>[s. 56]</w:t>
      </w:r>
    </w:p>
    <w:p>
      <w:pPr>
        <w:pStyle w:val="BlankOpen"/>
        <w:keepNext w:val="0"/>
        <w:rPr>
          <w:sz w:val="20"/>
          <w:szCs w:val="20"/>
        </w:rPr>
      </w:pPr>
    </w:p>
    <w:p>
      <w:pPr>
        <w:pStyle w:val="nzSubsection"/>
      </w:pPr>
      <w:r>
        <w:lastRenderedPageBreak/>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lastRenderedPageBreak/>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216873352"/>
      <w:bookmarkStart w:id="441" w:name="_Toc216873874"/>
      <w:bookmarkStart w:id="442" w:name="_Toc216944073"/>
      <w:r>
        <w:rPr>
          <w:sz w:val="28"/>
        </w:rPr>
        <w:lastRenderedPageBreak/>
        <w:t>Defined terms</w:t>
      </w:r>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ROGER JACOBS, Acting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59355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480B89D" w14:textId="191FB33C" w:rsidR="00A6152F" w:rsidRDefault="00DD7CB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57BEE">
                        <w:rPr>
                          <w:sz w:val="16"/>
                        </w:rPr>
                        <w:t>2025</w:t>
                      </w:r>
                      <w:r>
                        <w:rPr>
                          <w:sz w:val="16"/>
                        </w:rPr>
                        <w:fldChar w:fldCharType="end"/>
                      </w:r>
                      <w:r>
                        <w:rPr>
                          <w:sz w:val="16"/>
                        </w:rPr>
                        <w:t>.</w:t>
                      </w:r>
                    </w:p>
                    <w:p w14:paraId="093745C4" w14:textId="77777777" w:rsidR="00A6152F" w:rsidRDefault="00DD7CB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87C24E1" w14:textId="38010FB9" w:rsidR="00A6152F" w:rsidRDefault="00DD7CB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57BEE">
                        <w:rPr>
                          <w:sz w:val="16"/>
                        </w:rPr>
                        <w:t>2025</w:t>
                      </w:r>
                      <w:r>
                        <w:rPr>
                          <w:sz w:val="16"/>
                        </w:rPr>
                        <w:fldChar w:fldCharType="end"/>
                      </w:r>
                      <w:r>
                        <w:rPr>
                          <w:sz w:val="16"/>
                        </w:rPr>
                        <w:t>.</w:t>
                      </w:r>
                    </w:p>
                    <w:p w14:paraId="3D9F99D0" w14:textId="77777777" w:rsidR="00A6152F" w:rsidRDefault="00DD7CB0">
                      <w:pPr>
                        <w:ind w:left="2438" w:right="2098"/>
                        <w:jc w:val="center"/>
                        <w:rPr>
                          <w:rFonts w:ascii="Arial" w:hAnsi="Arial" w:cs="Arial"/>
                          <w:sz w:val="12"/>
                        </w:rPr>
                      </w:pPr>
                      <w:r>
                        <w:rPr>
                          <w:rFonts w:ascii="Arial" w:hAnsi="Arial" w:cs="Arial"/>
                          <w:sz w:val="12"/>
                        </w:rPr>
                        <w:t xml:space="preserve">By Authority: </w:t>
                      </w:r>
                      <w:r w:rsidR="00402AE4">
                        <w:rPr>
                          <w:rFonts w:ascii="Arial" w:hAnsi="Arial" w:cs="Arial"/>
                          <w:sz w:val="12"/>
                        </w:rPr>
                        <w:t>ROGER JACOBS</w:t>
                      </w:r>
                      <w:r>
                        <w:rPr>
                          <w:rFonts w:ascii="Arial" w:hAnsi="Arial" w:cs="Arial"/>
                          <w:sz w:val="12"/>
                        </w:rPr>
                        <w:t>,</w:t>
                      </w:r>
                      <w:r w:rsidR="00402AE4">
                        <w:rPr>
                          <w:rFonts w:ascii="Arial" w:hAnsi="Arial" w:cs="Arial"/>
                          <w:sz w:val="12"/>
                        </w:rPr>
                        <w:t xml:space="preserve"> Acting</w:t>
                      </w:r>
                      <w:r>
                        <w:rPr>
                          <w:rFonts w:ascii="Arial" w:hAnsi="Arial" w:cs="Arial"/>
                          <w:sz w:val="12"/>
                        </w:rPr>
                        <w:t xml:space="preserve">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Dec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38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1217140554"/>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 w:name="WAFER_20241129105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5612_GUID" w:val="8c653651-bdd6-4e16-a6b5-7f6825401702"/>
    <w:docVar w:name="WAFER_202412131439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143947_GUID" w:val="6ee9a144-58c5-4da9-b39b-4f97744eaf33"/>
    <w:docVar w:name="WAFER_20251215130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5130611_GUID" w:val="04174806-a234-4fd5-977f-1cf87c582cad"/>
    <w:docVar w:name="WAFER_202512171405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17140554_GUID" w:val="e187b02b-fc7e-4b76-9e8f-3ea9d61954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382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53738</Words>
  <Characters>254723</Characters>
  <Application>Microsoft Office Word</Application>
  <DocSecurity>0</DocSecurity>
  <Lines>7075</Lines>
  <Paragraphs>4168</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1994 - 07-w0-00</dc:title>
  <dc:subject/>
  <dc:creator/>
  <cp:keywords/>
  <dc:description/>
  <cp:lastModifiedBy>Master Repository Process</cp:lastModifiedBy>
  <cp:revision>4</cp:revision>
  <cp:lastPrinted>2018-12-13T07:18:00Z</cp:lastPrinted>
  <dcterms:created xsi:type="dcterms:W3CDTF">2025-12-30T00:21:00Z</dcterms:created>
  <dcterms:modified xsi:type="dcterms:W3CDTF">2025-12-30T00:22:00Z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31 Dec 2025</vt:lpwstr>
  </property>
  <property fmtid="{D5CDD505-2E9C-101B-9397-08002B2CF9AE}" pid="9" name="Suffix">
    <vt:lpwstr>07-w0-00</vt:lpwstr>
  </property>
  <property fmtid="{D5CDD505-2E9C-101B-9397-08002B2CF9AE}" pid="10" name="Official">
    <vt:lpwstr/>
  </property>
  <property fmtid="{D5CDD505-2E9C-101B-9397-08002B2CF9AE}" pid="11" name="CommencementDate">
    <vt:lpwstr>20251231</vt:lpwstr>
  </property>
  <property fmtid="{D5CDD505-2E9C-101B-9397-08002B2CF9AE}" pid="12" name="CommencementAsAt">
    <vt:filetime>2025-12-30T16:00:00Z</vt:filetime>
  </property>
  <property fmtid="{D5CDD505-2E9C-101B-9397-08002B2CF9AE}" pid="13" name="CommencementYear">
    <vt:lpwstr>2025</vt:lpwstr>
  </property>
</Properties>
</file>