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_Toc217296981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_Toc217296982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_Toc217296983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_Toc217296985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_Toc217296986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_Toc217296987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_Toc217296988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_Toc217296989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_Toc217296990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_Toc217296991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_Toc217296992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_Toc217296993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_Toc217296994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_Toc217296995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_Toc217296996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_Toc217296998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_Toc217296999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_Toc217297000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_Toc217297001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_Toc217297002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_Toc217297003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_Toc217297004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_Toc217297005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_Toc217297006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_Toc217297007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_Toc217297008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_Toc217297009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_Toc217297010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_Toc217297011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_Toc217297012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_Toc217297013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_Toc217297014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_Toc217297015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_Toc217297016 \h </w:instrText>
      </w:r>
      <w:r>
        <w:fldChar w:fldCharType="separate"/>
      </w:r>
      <w:r>
        <w:t>28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_Toc217297017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_Toc217297018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_Toc217297019 \h </w:instrText>
      </w:r>
      <w:r>
        <w:fldChar w:fldCharType="separate"/>
      </w:r>
      <w:r>
        <w:t>29</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_Toc217297020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_Toc217297021 \h </w:instrText>
      </w:r>
      <w:r>
        <w:fldChar w:fldCharType="separate"/>
      </w:r>
      <w:r>
        <w:t>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_Toc217297022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_Toc217297023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_Toc217297024 \h </w:instrText>
      </w:r>
      <w:r>
        <w:fldChar w:fldCharType="separate"/>
      </w:r>
      <w:r>
        <w:t>32</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_Toc217297025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_Toc217297026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_Toc217297027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_Toc217297028 \h </w:instrText>
      </w:r>
      <w:r>
        <w:fldChar w:fldCharType="separate"/>
      </w:r>
      <w:r>
        <w:t>36</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_Toc217297029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_Toc217297030 \h </w:instrText>
      </w:r>
      <w:r>
        <w:fldChar w:fldCharType="separate"/>
      </w:r>
      <w:r>
        <w:t>38</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_Toc217297031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_Toc217297032 \h </w:instrText>
      </w:r>
      <w:r>
        <w:fldChar w:fldCharType="separate"/>
      </w:r>
      <w:r>
        <w:t>39</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_Toc217297033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Consumer protection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77A.</w:t>
      </w:r>
      <w:r>
        <w:tab/>
        <w:t>Purpose of Part</w:t>
      </w:r>
      <w:r>
        <w:tab/>
      </w:r>
      <w:r>
        <w:fldChar w:fldCharType="begin"/>
      </w:r>
      <w:r>
        <w:instrText xml:space="preserve"> PAGEREF _Toc217297036 \h </w:instrText>
      </w:r>
      <w:r>
        <w:fldChar w:fldCharType="separate"/>
      </w:r>
      <w:r>
        <w:t>41</w:t>
      </w:r>
      <w:r>
        <w:fldChar w:fldCharType="end"/>
      </w:r>
    </w:p>
    <w:p>
      <w:pPr>
        <w:pStyle w:val="TOC8"/>
        <w:rPr>
          <w:rFonts w:asciiTheme="minorHAnsi" w:eastAsiaTheme="minorEastAsia" w:hAnsiTheme="minorHAnsi" w:cstheme="minorBidi"/>
          <w:szCs w:val="22"/>
        </w:rPr>
      </w:pPr>
      <w:r>
        <w:t>77B.</w:t>
      </w:r>
      <w:r>
        <w:tab/>
        <w:t>Application of Part</w:t>
      </w:r>
      <w:r>
        <w:tab/>
      </w:r>
      <w:r>
        <w:fldChar w:fldCharType="begin"/>
      </w:r>
      <w:r>
        <w:instrText xml:space="preserve"> PAGEREF _Toc217297037 \h </w:instrText>
      </w:r>
      <w:r>
        <w:fldChar w:fldCharType="separate"/>
      </w:r>
      <w:r>
        <w:t>41</w:t>
      </w:r>
      <w:r>
        <w:fldChar w:fldCharType="end"/>
      </w:r>
    </w:p>
    <w:p>
      <w:pPr>
        <w:pStyle w:val="TOC8"/>
        <w:rPr>
          <w:rFonts w:asciiTheme="minorHAnsi" w:eastAsiaTheme="minorEastAsia" w:hAnsiTheme="minorHAnsi" w:cstheme="minorBidi"/>
          <w:szCs w:val="22"/>
        </w:rPr>
      </w:pPr>
      <w:r>
        <w:t>77C.</w:t>
      </w:r>
      <w:r>
        <w:tab/>
        <w:t>Terms used</w:t>
      </w:r>
      <w:r>
        <w:tab/>
      </w:r>
      <w:r>
        <w:fldChar w:fldCharType="begin"/>
      </w:r>
      <w:r>
        <w:instrText xml:space="preserve"> PAGEREF _Toc217297038 \h </w:instrText>
      </w:r>
      <w:r>
        <w:fldChar w:fldCharType="separate"/>
      </w:r>
      <w:r>
        <w:t>41</w:t>
      </w:r>
      <w:r>
        <w:fldChar w:fldCharType="end"/>
      </w:r>
    </w:p>
    <w:p>
      <w:pPr>
        <w:pStyle w:val="TOC8"/>
        <w:rPr>
          <w:rFonts w:asciiTheme="minorHAnsi" w:eastAsiaTheme="minorEastAsia" w:hAnsiTheme="minorHAnsi" w:cstheme="minorBidi"/>
          <w:szCs w:val="22"/>
        </w:rPr>
      </w:pPr>
      <w:r>
        <w:t>77D.</w:t>
      </w:r>
      <w:r>
        <w:tab/>
        <w:t>Liability of provider</w:t>
      </w:r>
      <w:r>
        <w:tab/>
      </w:r>
      <w:r>
        <w:fldChar w:fldCharType="begin"/>
      </w:r>
      <w:r>
        <w:instrText xml:space="preserve"> PAGEREF _Toc217297039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Inducements and direct marketing</w:t>
      </w:r>
    </w:p>
    <w:p>
      <w:pPr>
        <w:pStyle w:val="TOC8"/>
        <w:rPr>
          <w:rFonts w:asciiTheme="minorHAnsi" w:eastAsiaTheme="minorEastAsia" w:hAnsiTheme="minorHAnsi" w:cstheme="minorBidi"/>
          <w:szCs w:val="22"/>
        </w:rPr>
      </w:pPr>
      <w:r>
        <w:t>77E.</w:t>
      </w:r>
      <w:r>
        <w:tab/>
        <w:t>Inducements prohibited in relation to establishing betting accounts</w:t>
      </w:r>
      <w:r>
        <w:tab/>
      </w:r>
      <w:r>
        <w:fldChar w:fldCharType="begin"/>
      </w:r>
      <w:r>
        <w:instrText xml:space="preserve"> PAGEREF _Toc217297041 \h </w:instrText>
      </w:r>
      <w:r>
        <w:fldChar w:fldCharType="separate"/>
      </w:r>
      <w:r>
        <w:t>43</w:t>
      </w:r>
      <w:r>
        <w:fldChar w:fldCharType="end"/>
      </w:r>
    </w:p>
    <w:p>
      <w:pPr>
        <w:pStyle w:val="TOC8"/>
        <w:rPr>
          <w:rFonts w:asciiTheme="minorHAnsi" w:eastAsiaTheme="minorEastAsia" w:hAnsiTheme="minorHAnsi" w:cstheme="minorBidi"/>
          <w:szCs w:val="22"/>
        </w:rPr>
      </w:pPr>
      <w:r>
        <w:t>77F.</w:t>
      </w:r>
      <w:r>
        <w:tab/>
        <w:t>Complimentary betting credits and tokens</w:t>
      </w:r>
      <w:r>
        <w:tab/>
      </w:r>
      <w:r>
        <w:fldChar w:fldCharType="begin"/>
      </w:r>
      <w:r>
        <w:instrText xml:space="preserve"> PAGEREF _Toc217297042 \h </w:instrText>
      </w:r>
      <w:r>
        <w:fldChar w:fldCharType="separate"/>
      </w:r>
      <w:r>
        <w:t>43</w:t>
      </w:r>
      <w:r>
        <w:fldChar w:fldCharType="end"/>
      </w:r>
    </w:p>
    <w:p>
      <w:pPr>
        <w:pStyle w:val="TOC8"/>
        <w:rPr>
          <w:rFonts w:asciiTheme="minorHAnsi" w:eastAsiaTheme="minorEastAsia" w:hAnsiTheme="minorHAnsi" w:cstheme="minorBidi"/>
          <w:szCs w:val="22"/>
        </w:rPr>
      </w:pPr>
      <w:r>
        <w:t>77G.</w:t>
      </w:r>
      <w:r>
        <w:tab/>
        <w:t>Direct marketing</w:t>
      </w:r>
      <w:r>
        <w:tab/>
      </w:r>
      <w:r>
        <w:fldChar w:fldCharType="begin"/>
      </w:r>
      <w:r>
        <w:instrText xml:space="preserve"> PAGEREF _Toc217297043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Closing betting accounts</w:t>
      </w:r>
    </w:p>
    <w:p>
      <w:pPr>
        <w:pStyle w:val="TOC8"/>
        <w:rPr>
          <w:rFonts w:asciiTheme="minorHAnsi" w:eastAsiaTheme="minorEastAsia" w:hAnsiTheme="minorHAnsi" w:cstheme="minorBidi"/>
          <w:szCs w:val="22"/>
        </w:rPr>
      </w:pPr>
      <w:r>
        <w:t>77H.</w:t>
      </w:r>
      <w:r>
        <w:tab/>
        <w:t>Process for closing betting accounts</w:t>
      </w:r>
      <w:r>
        <w:tab/>
      </w:r>
      <w:r>
        <w:fldChar w:fldCharType="begin"/>
      </w:r>
      <w:r>
        <w:instrText xml:space="preserve"> PAGEREF _Toc217297045 \h </w:instrText>
      </w:r>
      <w:r>
        <w:fldChar w:fldCharType="separate"/>
      </w:r>
      <w:r>
        <w:t>45</w:t>
      </w:r>
      <w:r>
        <w:fldChar w:fldCharType="end"/>
      </w:r>
    </w:p>
    <w:p>
      <w:pPr>
        <w:pStyle w:val="TOC8"/>
        <w:rPr>
          <w:rFonts w:asciiTheme="minorHAnsi" w:eastAsiaTheme="minorEastAsia" w:hAnsiTheme="minorHAnsi" w:cstheme="minorBidi"/>
          <w:szCs w:val="22"/>
        </w:rPr>
      </w:pPr>
      <w:r>
        <w:t>77I.</w:t>
      </w:r>
      <w:r>
        <w:tab/>
        <w:t>Betting account closure</w:t>
      </w:r>
      <w:r>
        <w:tab/>
      </w:r>
      <w:r>
        <w:fldChar w:fldCharType="begin"/>
      </w:r>
      <w:r>
        <w:instrText xml:space="preserve"> PAGEREF _Toc217297046 \h </w:instrText>
      </w:r>
      <w:r>
        <w:fldChar w:fldCharType="separate"/>
      </w:r>
      <w:r>
        <w:t>46</w:t>
      </w:r>
      <w:r>
        <w:fldChar w:fldCharType="end"/>
      </w:r>
    </w:p>
    <w:p>
      <w:pPr>
        <w:pStyle w:val="TOC8"/>
        <w:rPr>
          <w:rFonts w:asciiTheme="minorHAnsi" w:eastAsiaTheme="minorEastAsia" w:hAnsiTheme="minorHAnsi" w:cstheme="minorBidi"/>
          <w:szCs w:val="22"/>
        </w:rPr>
      </w:pPr>
      <w:r>
        <w:t>77J.</w:t>
      </w:r>
      <w:r>
        <w:tab/>
        <w:t>Inducements and encouragement prohibited in relation to closing betting accounts</w:t>
      </w:r>
      <w:r>
        <w:tab/>
      </w:r>
      <w:r>
        <w:fldChar w:fldCharType="begin"/>
      </w:r>
      <w:r>
        <w:instrText xml:space="preserve"> PAGEREF _Toc217297047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Deposit limits</w:t>
      </w:r>
    </w:p>
    <w:p>
      <w:pPr>
        <w:pStyle w:val="TOC8"/>
        <w:rPr>
          <w:rFonts w:asciiTheme="minorHAnsi" w:eastAsiaTheme="minorEastAsia" w:hAnsiTheme="minorHAnsi" w:cstheme="minorBidi"/>
          <w:szCs w:val="22"/>
        </w:rPr>
      </w:pPr>
      <w:r>
        <w:t>77K.</w:t>
      </w:r>
      <w:r>
        <w:tab/>
        <w:t>Deposit limits</w:t>
      </w:r>
      <w:r>
        <w:tab/>
      </w:r>
      <w:r>
        <w:fldChar w:fldCharType="begin"/>
      </w:r>
      <w:r>
        <w:instrText xml:space="preserve"> PAGEREF _Toc217297049 \h </w:instrText>
      </w:r>
      <w:r>
        <w:fldChar w:fldCharType="separate"/>
      </w:r>
      <w:r>
        <w:t>47</w:t>
      </w:r>
      <w:r>
        <w:fldChar w:fldCharType="end"/>
      </w:r>
    </w:p>
    <w:p>
      <w:pPr>
        <w:pStyle w:val="TOC8"/>
        <w:rPr>
          <w:rFonts w:asciiTheme="minorHAnsi" w:eastAsiaTheme="minorEastAsia" w:hAnsiTheme="minorHAnsi" w:cstheme="minorBidi"/>
          <w:szCs w:val="22"/>
        </w:rPr>
      </w:pPr>
      <w:r>
        <w:t>77L.</w:t>
      </w:r>
      <w:r>
        <w:tab/>
        <w:t>Review of deposit limits</w:t>
      </w:r>
      <w:r>
        <w:tab/>
      </w:r>
      <w:r>
        <w:fldChar w:fldCharType="begin"/>
      </w:r>
      <w:r>
        <w:instrText xml:space="preserve"> PAGEREF _Toc217297050 \h </w:instrText>
      </w:r>
      <w:r>
        <w:fldChar w:fldCharType="separate"/>
      </w:r>
      <w:r>
        <w:t>48</w:t>
      </w:r>
      <w:r>
        <w:fldChar w:fldCharType="end"/>
      </w:r>
    </w:p>
    <w:p>
      <w:pPr>
        <w:pStyle w:val="TOC8"/>
        <w:rPr>
          <w:rFonts w:asciiTheme="minorHAnsi" w:eastAsiaTheme="minorEastAsia" w:hAnsiTheme="minorHAnsi" w:cstheme="minorBidi"/>
          <w:szCs w:val="22"/>
        </w:rPr>
      </w:pPr>
      <w:r>
        <w:t>77M.</w:t>
      </w:r>
      <w:r>
        <w:tab/>
        <w:t>Process for account holder to set or change deposit limit</w:t>
      </w:r>
      <w:r>
        <w:tab/>
      </w:r>
      <w:r>
        <w:fldChar w:fldCharType="begin"/>
      </w:r>
      <w:r>
        <w:instrText xml:space="preserve"> PAGEREF _Toc217297051 \h </w:instrText>
      </w:r>
      <w:r>
        <w:fldChar w:fldCharType="separate"/>
      </w:r>
      <w:r>
        <w:t>49</w:t>
      </w:r>
      <w:r>
        <w:fldChar w:fldCharType="end"/>
      </w:r>
    </w:p>
    <w:p>
      <w:pPr>
        <w:pStyle w:val="TOC8"/>
        <w:rPr>
          <w:rFonts w:asciiTheme="minorHAnsi" w:eastAsiaTheme="minorEastAsia" w:hAnsiTheme="minorHAnsi" w:cstheme="minorBidi"/>
          <w:szCs w:val="22"/>
        </w:rPr>
      </w:pPr>
      <w:r>
        <w:t>77N.</w:t>
      </w:r>
      <w:r>
        <w:tab/>
        <w:t>Provider must give effect to changed deposit limit</w:t>
      </w:r>
      <w:r>
        <w:tab/>
      </w:r>
      <w:r>
        <w:fldChar w:fldCharType="begin"/>
      </w:r>
      <w:r>
        <w:instrText xml:space="preserve"> PAGEREF _Toc217297052 \h </w:instrText>
      </w:r>
      <w:r>
        <w:fldChar w:fldCharType="separate"/>
      </w:r>
      <w:r>
        <w:t>50</w:t>
      </w:r>
      <w:r>
        <w:fldChar w:fldCharType="end"/>
      </w:r>
    </w:p>
    <w:p>
      <w:pPr>
        <w:pStyle w:val="TOC8"/>
        <w:rPr>
          <w:rFonts w:asciiTheme="minorHAnsi" w:eastAsiaTheme="minorEastAsia" w:hAnsiTheme="minorHAnsi" w:cstheme="minorBidi"/>
          <w:szCs w:val="22"/>
        </w:rPr>
      </w:pPr>
      <w:r>
        <w:t>77O.</w:t>
      </w:r>
      <w:r>
        <w:tab/>
        <w:t>Provider must promote availability of deposit limits</w:t>
      </w:r>
      <w:r>
        <w:tab/>
      </w:r>
      <w:r>
        <w:fldChar w:fldCharType="begin"/>
      </w:r>
      <w:r>
        <w:instrText xml:space="preserve"> PAGEREF _Toc217297053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Activity statements</w:t>
      </w:r>
    </w:p>
    <w:p>
      <w:pPr>
        <w:pStyle w:val="TOC8"/>
        <w:rPr>
          <w:rFonts w:asciiTheme="minorHAnsi" w:eastAsiaTheme="minorEastAsia" w:hAnsiTheme="minorHAnsi" w:cstheme="minorBidi"/>
          <w:szCs w:val="22"/>
        </w:rPr>
      </w:pPr>
      <w:r>
        <w:t>77P.</w:t>
      </w:r>
      <w:r>
        <w:tab/>
        <w:t>Term used: activity statement</w:t>
      </w:r>
      <w:r>
        <w:tab/>
      </w:r>
      <w:r>
        <w:fldChar w:fldCharType="begin"/>
      </w:r>
      <w:r>
        <w:instrText xml:space="preserve"> PAGEREF _Toc217297055 \h </w:instrText>
      </w:r>
      <w:r>
        <w:fldChar w:fldCharType="separate"/>
      </w:r>
      <w:r>
        <w:t>51</w:t>
      </w:r>
      <w:r>
        <w:fldChar w:fldCharType="end"/>
      </w:r>
    </w:p>
    <w:p>
      <w:pPr>
        <w:pStyle w:val="TOC8"/>
        <w:rPr>
          <w:rFonts w:asciiTheme="minorHAnsi" w:eastAsiaTheme="minorEastAsia" w:hAnsiTheme="minorHAnsi" w:cstheme="minorBidi"/>
          <w:szCs w:val="22"/>
        </w:rPr>
      </w:pPr>
      <w:r>
        <w:t>77Q.</w:t>
      </w:r>
      <w:r>
        <w:tab/>
        <w:t>Provider must give activity statements</w:t>
      </w:r>
      <w:r>
        <w:tab/>
      </w:r>
      <w:r>
        <w:fldChar w:fldCharType="begin"/>
      </w:r>
      <w:r>
        <w:instrText xml:space="preserve"> PAGEREF _Toc217297056 \h </w:instrText>
      </w:r>
      <w:r>
        <w:fldChar w:fldCharType="separate"/>
      </w:r>
      <w:r>
        <w:t>53</w:t>
      </w:r>
      <w:r>
        <w:fldChar w:fldCharType="end"/>
      </w:r>
    </w:p>
    <w:p>
      <w:pPr>
        <w:pStyle w:val="TOC8"/>
        <w:rPr>
          <w:rFonts w:asciiTheme="minorHAnsi" w:eastAsiaTheme="minorEastAsia" w:hAnsiTheme="minorHAnsi" w:cstheme="minorBidi"/>
          <w:szCs w:val="22"/>
        </w:rPr>
      </w:pPr>
      <w:r>
        <w:t>77R.</w:t>
      </w:r>
      <w:r>
        <w:tab/>
        <w:t>Provider must make available and give copies of activity statements</w:t>
      </w:r>
      <w:r>
        <w:tab/>
      </w:r>
      <w:r>
        <w:fldChar w:fldCharType="begin"/>
      </w:r>
      <w:r>
        <w:instrText xml:space="preserve"> PAGEREF _Toc217297057 \h </w:instrText>
      </w:r>
      <w:r>
        <w:fldChar w:fldCharType="separate"/>
      </w:r>
      <w:r>
        <w:t>53</w:t>
      </w:r>
      <w:r>
        <w:fldChar w:fldCharType="end"/>
      </w:r>
    </w:p>
    <w:p>
      <w:pPr>
        <w:pStyle w:val="TOC8"/>
        <w:rPr>
          <w:rFonts w:asciiTheme="minorHAnsi" w:eastAsiaTheme="minorEastAsia" w:hAnsiTheme="minorHAnsi" w:cstheme="minorBidi"/>
          <w:szCs w:val="22"/>
        </w:rPr>
      </w:pPr>
      <w:r>
        <w:t>77S.</w:t>
      </w:r>
      <w:r>
        <w:tab/>
        <w:t>Form of activity statements</w:t>
      </w:r>
      <w:r>
        <w:tab/>
      </w:r>
      <w:r>
        <w:fldChar w:fldCharType="begin"/>
      </w:r>
      <w:r>
        <w:instrText xml:space="preserve"> PAGEREF _Toc217297058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 — Transaction histories</w:t>
      </w:r>
    </w:p>
    <w:p>
      <w:pPr>
        <w:pStyle w:val="TOC8"/>
        <w:rPr>
          <w:rFonts w:asciiTheme="minorHAnsi" w:eastAsiaTheme="minorEastAsia" w:hAnsiTheme="minorHAnsi" w:cstheme="minorBidi"/>
          <w:szCs w:val="22"/>
        </w:rPr>
      </w:pPr>
      <w:r>
        <w:t>77T.</w:t>
      </w:r>
      <w:r>
        <w:tab/>
        <w:t>Provider must make transaction histories available to account holders who use Internet</w:t>
      </w:r>
      <w:r>
        <w:tab/>
      </w:r>
      <w:r>
        <w:fldChar w:fldCharType="begin"/>
      </w:r>
      <w:r>
        <w:instrText xml:space="preserve"> PAGEREF _Toc217297060 \h </w:instrText>
      </w:r>
      <w:r>
        <w:fldChar w:fldCharType="separate"/>
      </w:r>
      <w:r>
        <w:t>54</w:t>
      </w:r>
      <w:r>
        <w:fldChar w:fldCharType="end"/>
      </w:r>
    </w:p>
    <w:p>
      <w:pPr>
        <w:pStyle w:val="TOC8"/>
        <w:rPr>
          <w:rFonts w:asciiTheme="minorHAnsi" w:eastAsiaTheme="minorEastAsia" w:hAnsiTheme="minorHAnsi" w:cstheme="minorBidi"/>
          <w:szCs w:val="22"/>
        </w:rPr>
      </w:pPr>
      <w:r>
        <w:t>77U.</w:t>
      </w:r>
      <w:r>
        <w:tab/>
        <w:t>Provider must give transaction histories on request to relevant persons</w:t>
      </w:r>
      <w:r>
        <w:tab/>
      </w:r>
      <w:r>
        <w:fldChar w:fldCharType="begin"/>
      </w:r>
      <w:r>
        <w:instrText xml:space="preserve"> PAGEREF _Toc217297061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 — Consistent gambling messaging</w:t>
      </w:r>
    </w:p>
    <w:p>
      <w:pPr>
        <w:pStyle w:val="TOC8"/>
        <w:rPr>
          <w:rFonts w:asciiTheme="minorHAnsi" w:eastAsiaTheme="minorEastAsia" w:hAnsiTheme="minorHAnsi" w:cstheme="minorBidi"/>
          <w:szCs w:val="22"/>
        </w:rPr>
      </w:pPr>
      <w:r>
        <w:t>77V.</w:t>
      </w:r>
      <w:r>
        <w:tab/>
        <w:t>Commission may set out and require use of consistent gambling messaging</w:t>
      </w:r>
      <w:r>
        <w:tab/>
      </w:r>
      <w:r>
        <w:fldChar w:fldCharType="begin"/>
      </w:r>
      <w:r>
        <w:instrText xml:space="preserve"> PAGEREF _Toc217297063 \h </w:instrText>
      </w:r>
      <w:r>
        <w:fldChar w:fldCharType="separate"/>
      </w:r>
      <w:r>
        <w:t>56</w:t>
      </w:r>
      <w:r>
        <w:fldChar w:fldCharType="end"/>
      </w:r>
    </w:p>
    <w:p>
      <w:pPr>
        <w:pStyle w:val="TOC8"/>
        <w:rPr>
          <w:rFonts w:asciiTheme="minorHAnsi" w:eastAsiaTheme="minorEastAsia" w:hAnsiTheme="minorHAnsi" w:cstheme="minorBidi"/>
          <w:szCs w:val="22"/>
        </w:rPr>
      </w:pPr>
      <w:r>
        <w:t>77W.</w:t>
      </w:r>
      <w:r>
        <w:tab/>
        <w:t>Provider must comply with notice published under r. 77V</w:t>
      </w:r>
      <w:r>
        <w:tab/>
      </w:r>
      <w:r>
        <w:fldChar w:fldCharType="begin"/>
      </w:r>
      <w:r>
        <w:instrText xml:space="preserve"> PAGEREF _Toc217297064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8 — Staff training</w:t>
      </w:r>
    </w:p>
    <w:p>
      <w:pPr>
        <w:pStyle w:val="TOC8"/>
        <w:rPr>
          <w:rFonts w:asciiTheme="minorHAnsi" w:eastAsiaTheme="minorEastAsia" w:hAnsiTheme="minorHAnsi" w:cstheme="minorBidi"/>
          <w:szCs w:val="22"/>
        </w:rPr>
      </w:pPr>
      <w:r>
        <w:t>77X.</w:t>
      </w:r>
      <w:r>
        <w:tab/>
        <w:t>Term used: relevant individual</w:t>
      </w:r>
      <w:r>
        <w:tab/>
      </w:r>
      <w:r>
        <w:fldChar w:fldCharType="begin"/>
      </w:r>
      <w:r>
        <w:instrText xml:space="preserve"> PAGEREF _Toc217297066 \h </w:instrText>
      </w:r>
      <w:r>
        <w:fldChar w:fldCharType="separate"/>
      </w:r>
      <w:r>
        <w:t>57</w:t>
      </w:r>
      <w:r>
        <w:fldChar w:fldCharType="end"/>
      </w:r>
    </w:p>
    <w:p>
      <w:pPr>
        <w:pStyle w:val="TOC8"/>
        <w:rPr>
          <w:rFonts w:asciiTheme="minorHAnsi" w:eastAsiaTheme="minorEastAsia" w:hAnsiTheme="minorHAnsi" w:cstheme="minorBidi"/>
          <w:szCs w:val="22"/>
        </w:rPr>
      </w:pPr>
      <w:r>
        <w:t>77Y.</w:t>
      </w:r>
      <w:r>
        <w:tab/>
        <w:t>Provider must ensure relevant individuals receive training</w:t>
      </w:r>
      <w:r>
        <w:tab/>
      </w:r>
      <w:r>
        <w:fldChar w:fldCharType="begin"/>
      </w:r>
      <w:r>
        <w:instrText xml:space="preserve"> PAGEREF _Toc217297067 \h </w:instrText>
      </w:r>
      <w:r>
        <w:fldChar w:fldCharType="separate"/>
      </w:r>
      <w:r>
        <w:t>57</w:t>
      </w:r>
      <w:r>
        <w:fldChar w:fldCharType="end"/>
      </w:r>
    </w:p>
    <w:p>
      <w:pPr>
        <w:pStyle w:val="TOC8"/>
        <w:rPr>
          <w:rFonts w:asciiTheme="minorHAnsi" w:eastAsiaTheme="minorEastAsia" w:hAnsiTheme="minorHAnsi" w:cstheme="minorBidi"/>
          <w:szCs w:val="22"/>
        </w:rPr>
      </w:pPr>
      <w:r>
        <w:lastRenderedPageBreak/>
        <w:t>77Z.</w:t>
      </w:r>
      <w:r>
        <w:tab/>
        <w:t>Provider must make and keep records of training</w:t>
      </w:r>
      <w:r>
        <w:tab/>
      </w:r>
      <w:r>
        <w:fldChar w:fldCharType="begin"/>
      </w:r>
      <w:r>
        <w:instrText xml:space="preserve"> PAGEREF _Toc217297068 \h </w:instrText>
      </w:r>
      <w:r>
        <w:fldChar w:fldCharType="separate"/>
      </w:r>
      <w:r>
        <w:t>58</w:t>
      </w:r>
      <w:r>
        <w:fldChar w:fldCharType="end"/>
      </w:r>
    </w:p>
    <w:p>
      <w:pPr>
        <w:pStyle w:val="TOC8"/>
        <w:rPr>
          <w:rFonts w:asciiTheme="minorHAnsi" w:eastAsiaTheme="minorEastAsia" w:hAnsiTheme="minorHAnsi" w:cstheme="minorBidi"/>
          <w:szCs w:val="22"/>
        </w:rPr>
      </w:pPr>
      <w:r>
        <w:t>77ZA.</w:t>
      </w:r>
      <w:r>
        <w:tab/>
        <w:t>Provider must produce records to authorised officers</w:t>
      </w:r>
      <w:r>
        <w:tab/>
      </w:r>
      <w:r>
        <w:fldChar w:fldCharType="begin"/>
      </w:r>
      <w:r>
        <w:instrText xml:space="preserve"> PAGEREF _Toc217297069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9 — Consumer protection plan</w:t>
      </w:r>
    </w:p>
    <w:p>
      <w:pPr>
        <w:pStyle w:val="TOC8"/>
        <w:rPr>
          <w:rFonts w:asciiTheme="minorHAnsi" w:eastAsiaTheme="minorEastAsia" w:hAnsiTheme="minorHAnsi" w:cstheme="minorBidi"/>
          <w:szCs w:val="22"/>
        </w:rPr>
      </w:pPr>
      <w:r>
        <w:t>77ZB.</w:t>
      </w:r>
      <w:r>
        <w:tab/>
        <w:t>Provider must have consumer protection plan</w:t>
      </w:r>
      <w:r>
        <w:tab/>
      </w:r>
      <w:r>
        <w:fldChar w:fldCharType="begin"/>
      </w:r>
      <w:r>
        <w:instrText xml:space="preserve"> PAGEREF _Toc217297071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_Toc217297074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_Toc217297076 \h </w:instrText>
      </w:r>
      <w:r>
        <w:fldChar w:fldCharType="separate"/>
      </w:r>
      <w:r>
        <w:t>62</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_Toc217297077 \h </w:instrText>
      </w:r>
      <w:r>
        <w:fldChar w:fldCharType="separate"/>
      </w:r>
      <w:r>
        <w:t>63</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_Toc217297078 \h </w:instrText>
      </w:r>
      <w:r>
        <w:fldChar w:fldCharType="separate"/>
      </w:r>
      <w:r>
        <w:t>63</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_Toc217297079 \h </w:instrText>
      </w:r>
      <w:r>
        <w:fldChar w:fldCharType="separate"/>
      </w:r>
      <w:r>
        <w:t>64</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_Toc217297080 \h </w:instrText>
      </w:r>
      <w:r>
        <w:fldChar w:fldCharType="separate"/>
      </w:r>
      <w:r>
        <w:t>65</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_Toc217297081 \h </w:instrText>
      </w:r>
      <w:r>
        <w:fldChar w:fldCharType="separate"/>
      </w:r>
      <w:r>
        <w:t>65</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_Toc217297082 \h </w:instrText>
      </w:r>
      <w:r>
        <w:fldChar w:fldCharType="separate"/>
      </w:r>
      <w:r>
        <w:t>66</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_Toc217297083 \h </w:instrText>
      </w:r>
      <w:r>
        <w:fldChar w:fldCharType="separate"/>
      </w:r>
      <w:r>
        <w:t>66</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_Toc217297084 \h </w:instrText>
      </w:r>
      <w:r>
        <w:fldChar w:fldCharType="separate"/>
      </w:r>
      <w:r>
        <w:t>67</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_Toc217297085 \h </w:instrText>
      </w:r>
      <w:r>
        <w:fldChar w:fldCharType="separate"/>
      </w:r>
      <w:r>
        <w:t>67</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_Toc217297086 \h </w:instrText>
      </w:r>
      <w:r>
        <w:fldChar w:fldCharType="separate"/>
      </w:r>
      <w:r>
        <w:t>68</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_Toc217297087 \h </w:instrText>
      </w:r>
      <w:r>
        <w:fldChar w:fldCharType="separate"/>
      </w:r>
      <w:r>
        <w:t>68</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_Toc217297088 \h </w:instrText>
      </w:r>
      <w:r>
        <w:fldChar w:fldCharType="separate"/>
      </w:r>
      <w:r>
        <w:t>69</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_Toc217297089 \h </w:instrText>
      </w:r>
      <w:r>
        <w:fldChar w:fldCharType="separate"/>
      </w:r>
      <w:r>
        <w:t>70</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_Toc217297090 \h </w:instrText>
      </w:r>
      <w:r>
        <w:fldChar w:fldCharType="separate"/>
      </w:r>
      <w:r>
        <w:t>72</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_Toc217297091 \h </w:instrText>
      </w:r>
      <w:r>
        <w:fldChar w:fldCharType="separate"/>
      </w:r>
      <w:r>
        <w:t>72</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_Toc217297092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_Toc217297094 \h </w:instrText>
      </w:r>
      <w:r>
        <w:fldChar w:fldCharType="separate"/>
      </w:r>
      <w:r>
        <w:t>75</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_Toc217297095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_Toc217297097 \h </w:instrText>
      </w:r>
      <w:r>
        <w:fldChar w:fldCharType="separate"/>
      </w:r>
      <w:r>
        <w:t>77</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_Toc217297098 \h </w:instrText>
      </w:r>
      <w:r>
        <w:fldChar w:fldCharType="separate"/>
      </w:r>
      <w:r>
        <w:t>77</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_Toc217297099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_Toc217297101 \h </w:instrText>
      </w:r>
      <w:r>
        <w:fldChar w:fldCharType="separate"/>
      </w:r>
      <w:r>
        <w:t>80</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_Toc217297102 \h </w:instrText>
      </w:r>
      <w:r>
        <w:fldChar w:fldCharType="separate"/>
      </w:r>
      <w:r>
        <w:t>80</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_Toc217297103 \h </w:instrText>
      </w:r>
      <w:r>
        <w:fldChar w:fldCharType="separate"/>
      </w:r>
      <w:r>
        <w:t>80</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_Toc217297104 \h </w:instrText>
      </w:r>
      <w:r>
        <w:fldChar w:fldCharType="separate"/>
      </w:r>
      <w:r>
        <w:t>80</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_Toc217297105 \h </w:instrText>
      </w:r>
      <w:r>
        <w:fldChar w:fldCharType="separate"/>
      </w:r>
      <w:r>
        <w:t>81</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_Toc217297106 \h </w:instrText>
      </w:r>
      <w:r>
        <w:fldChar w:fldCharType="separate"/>
      </w:r>
      <w:r>
        <w:t>83</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_Toc217297107 \h </w:instrText>
      </w:r>
      <w:r>
        <w:fldChar w:fldCharType="separate"/>
      </w:r>
      <w:r>
        <w:t>85</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_Toc217297108 \h </w:instrText>
      </w:r>
      <w:r>
        <w:fldChar w:fldCharType="separate"/>
      </w:r>
      <w:r>
        <w:t>88</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_Toc217297109 \h </w:instrText>
      </w:r>
      <w:r>
        <w:fldChar w:fldCharType="separate"/>
      </w:r>
      <w:r>
        <w:t>90</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_Toc217297110 \h </w:instrText>
      </w:r>
      <w:r>
        <w:fldChar w:fldCharType="separate"/>
      </w:r>
      <w:r>
        <w:t>90</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_Toc217297111 \h </w:instrText>
      </w:r>
      <w:r>
        <w:fldChar w:fldCharType="separate"/>
      </w:r>
      <w:r>
        <w:t>91</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_Toc217297112 \h </w:instrText>
      </w:r>
      <w:r>
        <w:fldChar w:fldCharType="separate"/>
      </w:r>
      <w:r>
        <w:t>93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_Toc217297113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111.</w:t>
      </w:r>
      <w:r>
        <w:tab/>
        <w:t>Prescribed offences and modified penalties</w:t>
      </w:r>
      <w:r>
        <w:tab/>
      </w:r>
      <w:r>
        <w:fldChar w:fldCharType="begin"/>
      </w:r>
      <w:r>
        <w:instrText xml:space="preserve"> PAGEREF _Toc217297115 \h </w:instrText>
      </w:r>
      <w:r>
        <w:fldChar w:fldCharType="separate"/>
      </w:r>
      <w:r>
        <w:t>95</w:t>
      </w:r>
      <w:r>
        <w:fldChar w:fldCharType="end"/>
      </w:r>
    </w:p>
    <w:p>
      <w:pPr>
        <w:pStyle w:val="TOC8"/>
        <w:rPr>
          <w:rFonts w:asciiTheme="minorHAnsi" w:eastAsiaTheme="minorEastAsia" w:hAnsiTheme="minorHAnsi" w:cstheme="minorBidi"/>
          <w:szCs w:val="22"/>
        </w:rPr>
      </w:pPr>
      <w:r>
        <w:t>112.</w:t>
      </w:r>
      <w:r>
        <w:tab/>
        <w:t>Forms for infringement notice and withdrawal notice</w:t>
      </w:r>
      <w:r>
        <w:tab/>
      </w:r>
      <w:r>
        <w:fldChar w:fldCharType="begin"/>
      </w:r>
      <w:r>
        <w:instrText xml:space="preserve"> PAGEREF _Toc217297116 \h </w:instrText>
      </w:r>
      <w:r>
        <w:fldChar w:fldCharType="separate"/>
      </w:r>
      <w:r>
        <w:t>95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lastRenderedPageBreak/>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_Toc217297120 \h </w:instrText>
      </w:r>
      <w:r>
        <w:fldChar w:fldCharType="separate"/>
      </w:r>
      <w:r>
        <w:t>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_Toc217297121 \h </w:instrText>
      </w:r>
      <w:r>
        <w:fldChar w:fldCharType="separate"/>
      </w:r>
      <w:r>
        <w:t>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_Toc217297122 \h </w:instrText>
      </w:r>
      <w:r>
        <w:fldChar w:fldCharType="separate"/>
      </w:r>
      <w:r>
        <w:t>97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_Toc217297123 \h </w:instrText>
      </w:r>
      <w:r>
        <w:fldChar w:fldCharType="separate"/>
      </w:r>
      <w:r>
        <w:t>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_Toc217297124 \h </w:instrText>
      </w:r>
      <w:r>
        <w:fldChar w:fldCharType="separate"/>
      </w:r>
      <w:r>
        <w:t>101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_Toc217297125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_Toc217297126 \h </w:instrText>
      </w:r>
      <w:r>
        <w:fldChar w:fldCharType="separate"/>
      </w:r>
      <w:r>
        <w:t>102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_Toc217297127 \h </w:instrText>
      </w:r>
      <w:r>
        <w:fldChar w:fldCharType="separate"/>
      </w:r>
      <w:r>
        <w:t>102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_Toc217297128 \h </w:instrText>
      </w:r>
      <w:r>
        <w:fldChar w:fldCharType="separate"/>
      </w:r>
      <w:r>
        <w:t>103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_Toc217297129 \h </w:instrText>
      </w:r>
      <w:r>
        <w:fldChar w:fldCharType="separate"/>
      </w:r>
      <w:r>
        <w:t>104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_Toc217297130 \h </w:instrText>
      </w:r>
      <w:r>
        <w:fldChar w:fldCharType="separate"/>
      </w:r>
      <w:r>
        <w:t>106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_Toc217297131 \h </w:instrText>
      </w:r>
      <w:r>
        <w:fldChar w:fldCharType="separate"/>
      </w:r>
      <w:r>
        <w:t>106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_Toc217297132 \h </w:instrText>
      </w:r>
      <w:r>
        <w:fldChar w:fldCharType="separate"/>
      </w:r>
      <w:r>
        <w:t>106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_Toc217297133 \h </w:instrText>
      </w:r>
      <w:r>
        <w:fldChar w:fldCharType="separate"/>
      </w:r>
      <w:r>
        <w:t>107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_Toc217297134 \h </w:instrText>
      </w:r>
      <w:r>
        <w:fldChar w:fldCharType="separate"/>
      </w:r>
      <w:r>
        <w:t>107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_Toc217297135 \h </w:instrText>
      </w:r>
      <w:r>
        <w:fldChar w:fldCharType="separate"/>
      </w:r>
      <w:r>
        <w:t>108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_Toc217297136 \h </w:instrText>
      </w:r>
      <w:r>
        <w:fldChar w:fldCharType="separate"/>
      </w:r>
      <w:r>
        <w:t>108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_Toc217297137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_Toc217297144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2" w:name="_Toc217039333"/>
      <w:bookmarkStart w:id="3" w:name="_Toc217040574"/>
      <w:bookmarkStart w:id="4" w:name="_Toc2172969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21 Jul 2006 p. 2671.]</w:t>
      </w:r>
    </w:p>
    <w:p>
      <w:pPr>
        <w:pStyle w:val="Heading5"/>
        <w:rPr>
          <w:snapToGrid w:val="0"/>
        </w:rPr>
      </w:pPr>
      <w:bookmarkStart w:id="5" w:name="_Toc217296981"/>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6" w:name="_Toc217296982"/>
      <w:r>
        <w:rPr>
          <w:rStyle w:val="CharSectno"/>
        </w:rPr>
        <w:t>2</w:t>
      </w:r>
      <w:r>
        <w:rPr>
          <w:snapToGrid w:val="0"/>
        </w:rPr>
        <w:t>.</w:t>
      </w:r>
      <w:r>
        <w:rPr>
          <w:snapToGrid w:val="0"/>
        </w:rPr>
        <w:tab/>
        <w:t>Transitional provision</w:t>
      </w:r>
      <w:bookmarkEnd w:id="6"/>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7" w:name="_Toc217296983"/>
      <w:r>
        <w:rPr>
          <w:rStyle w:val="CharSectno"/>
        </w:rPr>
        <w:t>3</w:t>
      </w:r>
      <w:r>
        <w:rPr>
          <w:snapToGrid w:val="0"/>
        </w:rPr>
        <w:t>.</w:t>
      </w:r>
      <w:r>
        <w:rPr>
          <w:snapToGrid w:val="0"/>
        </w:rPr>
        <w:tab/>
        <w:t>Terms used</w:t>
      </w:r>
      <w:bookmarkEnd w:id="7"/>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8" w:name="_Toc217039337"/>
      <w:bookmarkStart w:id="9" w:name="_Toc217040578"/>
      <w:bookmarkStart w:id="10" w:name="_Toc217296984"/>
      <w:r>
        <w:rPr>
          <w:rStyle w:val="CharPartNo"/>
        </w:rPr>
        <w:lastRenderedPageBreak/>
        <w:t>Part 2</w:t>
      </w:r>
      <w:r>
        <w:rPr>
          <w:b w:val="0"/>
        </w:rPr>
        <w:t> </w:t>
      </w:r>
      <w:r>
        <w:t>—</w:t>
      </w:r>
      <w:r>
        <w:rPr>
          <w:b w:val="0"/>
        </w:rPr>
        <w:t> </w:t>
      </w:r>
      <w:r>
        <w:rPr>
          <w:rStyle w:val="CharPartText"/>
        </w:rPr>
        <w:t>Licences, fees and commissions</w:t>
      </w:r>
      <w:bookmarkEnd w:id="8"/>
      <w:bookmarkEnd w:id="9"/>
      <w:bookmarkEnd w:id="10"/>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1" w:name="_Toc217296985"/>
      <w:r>
        <w:rPr>
          <w:rStyle w:val="CharSectno"/>
        </w:rPr>
        <w:t>9</w:t>
      </w:r>
      <w:r>
        <w:rPr>
          <w:snapToGrid w:val="0"/>
        </w:rPr>
        <w:t>.</w:t>
      </w:r>
      <w:r>
        <w:rPr>
          <w:snapToGrid w:val="0"/>
        </w:rPr>
        <w:tab/>
        <w:t>Application for licence</w:t>
      </w:r>
      <w:bookmarkEnd w:id="11"/>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2" w:name="_Toc217296986"/>
      <w:r>
        <w:rPr>
          <w:rStyle w:val="CharSectno"/>
        </w:rPr>
        <w:t>9A</w:t>
      </w:r>
      <w:r>
        <w:t>.</w:t>
      </w:r>
      <w:r>
        <w:tab/>
        <w:t>Application to conduct a designated sporting event</w:t>
      </w:r>
      <w:bookmarkEnd w:id="1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3" w:name="_Toc217296987"/>
      <w:r>
        <w:rPr>
          <w:rStyle w:val="CharSectno"/>
        </w:rPr>
        <w:t>10</w:t>
      </w:r>
      <w:r>
        <w:t>.</w:t>
      </w:r>
      <w:r>
        <w:tab/>
        <w:t>Application for approval</w:t>
      </w:r>
      <w:bookmarkEnd w:id="13"/>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4" w:name="_Toc217296988"/>
      <w:r>
        <w:rPr>
          <w:rStyle w:val="CharSectno"/>
        </w:rPr>
        <w:t>11</w:t>
      </w:r>
      <w:r>
        <w:rPr>
          <w:snapToGrid w:val="0"/>
        </w:rPr>
        <w:t>.</w:t>
      </w:r>
      <w:r>
        <w:rPr>
          <w:snapToGrid w:val="0"/>
        </w:rPr>
        <w:tab/>
        <w:t>When licence may be renewed</w:t>
      </w:r>
      <w:bookmarkEnd w:id="14"/>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5" w:name="_Toc217296989"/>
      <w:r>
        <w:rPr>
          <w:rStyle w:val="CharSectno"/>
        </w:rPr>
        <w:t>12</w:t>
      </w:r>
      <w:r>
        <w:rPr>
          <w:snapToGrid w:val="0"/>
        </w:rPr>
        <w:t>.</w:t>
      </w:r>
      <w:r>
        <w:rPr>
          <w:snapToGrid w:val="0"/>
        </w:rPr>
        <w:tab/>
        <w:t>Grant of licence</w:t>
      </w:r>
      <w:bookmarkEnd w:id="1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6" w:name="_Toc217296990"/>
      <w:r>
        <w:rPr>
          <w:rStyle w:val="CharSectno"/>
        </w:rPr>
        <w:t>14</w:t>
      </w:r>
      <w:r>
        <w:rPr>
          <w:snapToGrid w:val="0"/>
        </w:rPr>
        <w:t>.</w:t>
      </w:r>
      <w:r>
        <w:rPr>
          <w:snapToGrid w:val="0"/>
        </w:rPr>
        <w:tab/>
        <w:t>Effect of licence</w:t>
      </w:r>
      <w:bookmarkEnd w:id="1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17" w:name="_Toc217296991"/>
      <w:r>
        <w:rPr>
          <w:rStyle w:val="CharSectno"/>
        </w:rPr>
        <w:t>16</w:t>
      </w:r>
      <w:r>
        <w:rPr>
          <w:snapToGrid w:val="0"/>
        </w:rPr>
        <w:t>.</w:t>
      </w:r>
      <w:r>
        <w:rPr>
          <w:snapToGrid w:val="0"/>
        </w:rPr>
        <w:tab/>
        <w:t>Duplicate licences</w:t>
      </w:r>
      <w:bookmarkEnd w:id="17"/>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18" w:name="_Toc217296992"/>
      <w:r>
        <w:rPr>
          <w:rStyle w:val="CharSectno"/>
        </w:rPr>
        <w:t>17</w:t>
      </w:r>
      <w:r>
        <w:rPr>
          <w:snapToGrid w:val="0"/>
        </w:rPr>
        <w:t>.</w:t>
      </w:r>
      <w:r>
        <w:rPr>
          <w:snapToGrid w:val="0"/>
        </w:rPr>
        <w:tab/>
        <w:t>Fees and charges</w:t>
      </w:r>
      <w:bookmarkEnd w:id="18"/>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$57.50</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$81</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$374.50</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$87.50</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$751.50</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$39.50</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$203</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$107.50</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$197</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$39.50</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$751.50</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$128.50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$128.50</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 SL 2024/213 r. 4; SL 2025/187 r. 4.]</w:t>
      </w:r>
    </w:p>
    <w:p>
      <w:pPr>
        <w:pStyle w:val="Heading5"/>
        <w:rPr>
          <w:snapToGrid w:val="0"/>
        </w:rPr>
      </w:pPr>
      <w:bookmarkStart w:id="19" w:name="_Toc217296993"/>
      <w:r>
        <w:rPr>
          <w:rStyle w:val="CharSectno"/>
        </w:rPr>
        <w:lastRenderedPageBreak/>
        <w:t>17A</w:t>
      </w:r>
      <w:r>
        <w:rPr>
          <w:snapToGrid w:val="0"/>
        </w:rPr>
        <w:t>.</w:t>
      </w:r>
      <w:r>
        <w:rPr>
          <w:snapToGrid w:val="0"/>
        </w:rPr>
        <w:tab/>
        <w:t>Bookmakers’ annual licence fee</w:t>
      </w:r>
      <w:bookmarkEnd w:id="19"/>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$468;</w:t>
      </w:r>
    </w:p>
    <w:p>
      <w:pPr>
        <w:pStyle w:val="Indenti"/>
        <w:tabs>
          <w:tab w:val="right" w:leader="dot" w:pos="7088"/>
        </w:tabs>
      </w:pPr>
      <w:r>
        <w:tab/>
        <w:t>(ii)</w:t>
      </w:r>
      <w:r>
        <w:tab/>
        <w:t xml:space="preserve">on total turnover greater than </w:t>
      </w:r>
      <w:r>
        <w:br/>
        <w:t>$250 000 but not exceeding</w:t>
      </w:r>
      <w:r>
        <w:br/>
        <w:t xml:space="preserve">$1 000 000 </w:t>
      </w:r>
      <w:r>
        <w:tab/>
        <w:t>$956.50;</w:t>
      </w:r>
    </w:p>
    <w:p>
      <w:pPr>
        <w:pStyle w:val="Indenti"/>
        <w:tabs>
          <w:tab w:val="right" w:leader="dot" w:pos="7088"/>
        </w:tabs>
      </w:pPr>
      <w:r>
        <w:tab/>
        <w:t>(iii)</w:t>
      </w:r>
      <w:r>
        <w:tab/>
        <w:t>on total turnover greater than</w:t>
      </w:r>
      <w:r>
        <w:br/>
        <w:t xml:space="preserve">$1 000 000 </w:t>
      </w:r>
      <w:r>
        <w:tab/>
        <w:t>$1 437.50;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 SL 2024/213 r. 4; SL 2025/187 r. 4.]</w:t>
      </w:r>
    </w:p>
    <w:p>
      <w:pPr>
        <w:pStyle w:val="Heading5"/>
        <w:rPr>
          <w:snapToGrid w:val="0"/>
        </w:rPr>
      </w:pPr>
      <w:bookmarkStart w:id="20" w:name="_Toc217296994"/>
      <w:r>
        <w:rPr>
          <w:rStyle w:val="CharSectno"/>
        </w:rPr>
        <w:t>17B</w:t>
      </w:r>
      <w:r>
        <w:rPr>
          <w:snapToGrid w:val="0"/>
        </w:rPr>
        <w:t>.</w:t>
      </w:r>
      <w:r>
        <w:rPr>
          <w:snapToGrid w:val="0"/>
        </w:rPr>
        <w:tab/>
        <w:t>On</w:t>
      </w:r>
      <w:r>
        <w:rPr>
          <w:snapToGrid w:val="0"/>
        </w:rPr>
        <w:noBreakHyphen/>
        <w:t>course totalisator annual licence fee</w:t>
      </w:r>
      <w:bookmarkEnd w:id="2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$191 805 — $57.50;</w:t>
      </w:r>
    </w:p>
    <w:p>
      <w:pPr>
        <w:pStyle w:val="Indenti"/>
      </w:pPr>
      <w:r>
        <w:tab/>
        <w:t>(iii)</w:t>
      </w:r>
      <w:r>
        <w:tab/>
        <w:t>on total turnover greater than $191 805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 SL 2024/213 r. 4; SL 2025/187 r. 4.]</w:t>
      </w:r>
    </w:p>
    <w:p>
      <w:pPr>
        <w:pStyle w:val="Heading5"/>
      </w:pPr>
      <w:bookmarkStart w:id="21" w:name="_Toc217296995"/>
      <w:r>
        <w:rPr>
          <w:rStyle w:val="CharSectno"/>
        </w:rPr>
        <w:t>17C</w:t>
      </w:r>
      <w:r>
        <w:rPr>
          <w:spacing w:val="-2"/>
        </w:rPr>
        <w:t>.</w:t>
      </w:r>
      <w:r>
        <w:rPr>
          <w:spacing w:val="-2"/>
        </w:rPr>
        <w:tab/>
      </w:r>
      <w:r>
        <w:t>Percentage of bets to belong to RWWA</w:t>
      </w:r>
      <w:bookmarkEnd w:id="21"/>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keepNext/>
      </w:pPr>
      <w:r>
        <w:lastRenderedPageBreak/>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2" w:name="_Toc217296996"/>
      <w:r>
        <w:rPr>
          <w:rStyle w:val="CharSectno"/>
        </w:rPr>
        <w:t>17D</w:t>
      </w:r>
      <w:r>
        <w:t>.</w:t>
      </w:r>
      <w:r>
        <w:tab/>
        <w:t>Percentage of bets to belong to racing club</w:t>
      </w:r>
      <w:bookmarkEnd w:id="22"/>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3" w:name="_Toc217039350"/>
      <w:bookmarkStart w:id="24" w:name="_Toc217040591"/>
      <w:bookmarkStart w:id="25" w:name="_Toc217296997"/>
      <w:r>
        <w:rPr>
          <w:rStyle w:val="CharPartNo"/>
        </w:rPr>
        <w:lastRenderedPageBreak/>
        <w:t>Part 3</w:t>
      </w:r>
      <w:r>
        <w:rPr>
          <w:b w:val="0"/>
        </w:rPr>
        <w:t> </w:t>
      </w:r>
      <w:r>
        <w:t>—</w:t>
      </w:r>
      <w:r>
        <w:rPr>
          <w:b w:val="0"/>
        </w:rPr>
        <w:t> </w:t>
      </w:r>
      <w:r>
        <w:rPr>
          <w:rStyle w:val="CharPartText"/>
        </w:rPr>
        <w:t>Provisions relating to bookmakers</w:t>
      </w:r>
      <w:bookmarkEnd w:id="23"/>
      <w:bookmarkEnd w:id="24"/>
      <w:bookmarkEnd w:id="25"/>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26" w:name="_Toc217296998"/>
      <w:r>
        <w:rPr>
          <w:rStyle w:val="CharSectno"/>
        </w:rPr>
        <w:t>18</w:t>
      </w:r>
      <w:r>
        <w:t>.</w:t>
      </w:r>
      <w:r>
        <w:tab/>
        <w:t>Security to be given</w:t>
      </w:r>
      <w:bookmarkEnd w:id="2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27" w:name="_Toc217296999"/>
      <w:r>
        <w:rPr>
          <w:rStyle w:val="CharSectno"/>
        </w:rPr>
        <w:t>25</w:t>
      </w:r>
      <w:r>
        <w:rPr>
          <w:snapToGrid w:val="0"/>
        </w:rPr>
        <w:t>.</w:t>
      </w:r>
      <w:r>
        <w:rPr>
          <w:snapToGrid w:val="0"/>
        </w:rPr>
        <w:tab/>
        <w:t>Register</w:t>
      </w:r>
      <w:bookmarkEnd w:id="2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28" w:name="_Toc217297000"/>
      <w:r>
        <w:rPr>
          <w:rStyle w:val="CharSectno"/>
        </w:rPr>
        <w:t>27</w:t>
      </w:r>
      <w:r>
        <w:rPr>
          <w:snapToGrid w:val="0"/>
        </w:rPr>
        <w:t>.</w:t>
      </w:r>
      <w:r>
        <w:rPr>
          <w:snapToGrid w:val="0"/>
        </w:rPr>
        <w:tab/>
        <w:t>Change of address</w:t>
      </w:r>
      <w:bookmarkEnd w:id="2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r>
      <w:r>
        <w:t>Penalty for this subregulation: a fine of $500.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for this subregulation: a fine of $2 500.</w:t>
      </w:r>
    </w:p>
    <w:p>
      <w:pPr>
        <w:pStyle w:val="Footnotesection"/>
      </w:pPr>
      <w:r>
        <w:tab/>
        <w:t>[Regulation 27 amended: Gazette 24 Jun 1988 p. 2004; 10 Jul 1992 p. 3286 and 3289; 25 Jun 1996 p. 2977; 20 Sep 2002 p. 4700; 30 Jan 2004 p. 412; SL 2025/35 r. 10.]</w:t>
      </w:r>
    </w:p>
    <w:p>
      <w:pPr>
        <w:pStyle w:val="Heading5"/>
        <w:rPr>
          <w:snapToGrid w:val="0"/>
        </w:rPr>
      </w:pPr>
      <w:bookmarkStart w:id="29" w:name="_Toc217297001"/>
      <w:r>
        <w:rPr>
          <w:rStyle w:val="CharSectno"/>
        </w:rPr>
        <w:t>28</w:t>
      </w:r>
      <w:r>
        <w:rPr>
          <w:snapToGrid w:val="0"/>
        </w:rPr>
        <w:t>.</w:t>
      </w:r>
      <w:r>
        <w:rPr>
          <w:snapToGrid w:val="0"/>
        </w:rPr>
        <w:tab/>
        <w:t>Return of licence</w:t>
      </w:r>
      <w:bookmarkEnd w:id="2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r>
      <w:r>
        <w:t>Penalty for this subregulation: a fine of $500.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for this subregulation: a fine of $500.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r>
      <w:r>
        <w:t>Penalty for this subregulation: a fine of $2 000.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for this subregulation: a fine of $2 000.</w:t>
      </w:r>
    </w:p>
    <w:p>
      <w:pPr>
        <w:pStyle w:val="Footnotesection"/>
      </w:pPr>
      <w:r>
        <w:tab/>
        <w:t>[Regulation 28 amended: Gazette 24 Jun 1988 p. 2004; 10 Jul 1992 p. 3286 and 3289; 20 Sep 2002 p. 4700</w:t>
      </w:r>
      <w:r>
        <w:noBreakHyphen/>
        <w:t>1; 30 Jan 2004 p. 404 and 412; SL 2025/35 r. 10.]</w:t>
      </w:r>
    </w:p>
    <w:p>
      <w:pPr>
        <w:pStyle w:val="Heading5"/>
        <w:spacing w:before="180"/>
        <w:rPr>
          <w:snapToGrid w:val="0"/>
        </w:rPr>
      </w:pPr>
      <w:bookmarkStart w:id="30" w:name="_Toc217297002"/>
      <w:r>
        <w:rPr>
          <w:rStyle w:val="CharSectno"/>
        </w:rPr>
        <w:lastRenderedPageBreak/>
        <w:t>29</w:t>
      </w:r>
      <w:r>
        <w:rPr>
          <w:snapToGrid w:val="0"/>
        </w:rPr>
        <w:t>.</w:t>
      </w:r>
      <w:r>
        <w:rPr>
          <w:snapToGrid w:val="0"/>
        </w:rPr>
        <w:tab/>
        <w:t>Production of licence</w:t>
      </w:r>
      <w:bookmarkEnd w:id="30"/>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 xml:space="preserve">Penalty: </w:t>
      </w:r>
      <w:r>
        <w:t>a fine of $2 000.</w:t>
      </w:r>
      <w:r>
        <w:rPr>
          <w:snapToGrid w:val="0"/>
        </w:rPr>
        <w:t xml:space="preserve"> </w:t>
      </w:r>
    </w:p>
    <w:p>
      <w:pPr>
        <w:pStyle w:val="Footnotesection"/>
      </w:pPr>
      <w:r>
        <w:tab/>
        <w:t>[Regulation 29 amended: Gazette 24 Jun 1988 p. 2004; 10 Jul 1992 p. 3286 and 3289; 20 Sep 2002 p. 4701; 30 Jan 2004 p. 405 and 412; SL 2025/35 r. 10.]</w:t>
      </w:r>
    </w:p>
    <w:p>
      <w:pPr>
        <w:pStyle w:val="Heading5"/>
        <w:spacing w:before="180"/>
        <w:rPr>
          <w:snapToGrid w:val="0"/>
        </w:rPr>
      </w:pPr>
      <w:bookmarkStart w:id="31" w:name="_Toc217297003"/>
      <w:r>
        <w:rPr>
          <w:rStyle w:val="CharSectno"/>
        </w:rPr>
        <w:t>30</w:t>
      </w:r>
      <w:r>
        <w:rPr>
          <w:snapToGrid w:val="0"/>
        </w:rPr>
        <w:t>.</w:t>
      </w:r>
      <w:r>
        <w:rPr>
          <w:snapToGrid w:val="0"/>
        </w:rPr>
        <w:tab/>
        <w:t>Advertising</w:t>
      </w:r>
      <w:bookmarkEnd w:id="3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2" w:name="_Toc217297004"/>
      <w:r>
        <w:rPr>
          <w:rStyle w:val="CharSectno"/>
        </w:rPr>
        <w:t>36</w:t>
      </w:r>
      <w:r>
        <w:rPr>
          <w:snapToGrid w:val="0"/>
        </w:rPr>
        <w:t>.</w:t>
      </w:r>
      <w:r>
        <w:rPr>
          <w:snapToGrid w:val="0"/>
        </w:rPr>
        <w:tab/>
        <w:t>Betting tickets</w:t>
      </w:r>
      <w:bookmarkEnd w:id="3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r>
      <w:r>
        <w:t>Penalty for this subregulation: a fine of $5 000.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 SL 2025/35 r. 10.]</w:t>
      </w:r>
    </w:p>
    <w:p>
      <w:pPr>
        <w:pStyle w:val="Heading5"/>
        <w:rPr>
          <w:snapToGrid w:val="0"/>
        </w:rPr>
      </w:pPr>
      <w:bookmarkStart w:id="33" w:name="_Toc217297005"/>
      <w:r>
        <w:rPr>
          <w:rStyle w:val="CharSectno"/>
        </w:rPr>
        <w:t>37</w:t>
      </w:r>
      <w:r>
        <w:rPr>
          <w:snapToGrid w:val="0"/>
        </w:rPr>
        <w:t>.</w:t>
      </w:r>
      <w:r>
        <w:rPr>
          <w:snapToGrid w:val="0"/>
        </w:rPr>
        <w:tab/>
        <w:t>Written record of betting transactions</w:t>
      </w:r>
      <w:bookmarkEnd w:id="3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4" w:name="_Toc217297006"/>
      <w:r>
        <w:rPr>
          <w:rStyle w:val="CharSectno"/>
        </w:rPr>
        <w:t>38</w:t>
      </w:r>
      <w:r>
        <w:rPr>
          <w:snapToGrid w:val="0"/>
        </w:rPr>
        <w:t>.</w:t>
      </w:r>
      <w:r>
        <w:rPr>
          <w:snapToGrid w:val="0"/>
        </w:rPr>
        <w:tab/>
        <w:t>Supply of books</w:t>
      </w:r>
      <w:bookmarkEnd w:id="3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5" w:name="_Toc217297007"/>
      <w:r>
        <w:rPr>
          <w:rStyle w:val="CharSectno"/>
        </w:rPr>
        <w:t>39</w:t>
      </w:r>
      <w:r>
        <w:rPr>
          <w:snapToGrid w:val="0"/>
        </w:rPr>
        <w:t>.</w:t>
      </w:r>
      <w:r>
        <w:rPr>
          <w:snapToGrid w:val="0"/>
        </w:rPr>
        <w:tab/>
        <w:t>Loss of books etc.</w:t>
      </w:r>
      <w:bookmarkEnd w:id="3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36" w:name="_Toc217297008"/>
      <w:r>
        <w:rPr>
          <w:rStyle w:val="CharSectno"/>
        </w:rPr>
        <w:lastRenderedPageBreak/>
        <w:t>43</w:t>
      </w:r>
      <w:r>
        <w:rPr>
          <w:snapToGrid w:val="0"/>
        </w:rPr>
        <w:t>.</w:t>
      </w:r>
      <w:r>
        <w:rPr>
          <w:snapToGrid w:val="0"/>
        </w:rPr>
        <w:tab/>
        <w:t>Betting material</w:t>
      </w:r>
      <w:bookmarkEnd w:id="36"/>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37" w:name="_Toc217297009"/>
      <w:r>
        <w:rPr>
          <w:rStyle w:val="CharSectno"/>
        </w:rPr>
        <w:t>48</w:t>
      </w:r>
      <w:r>
        <w:rPr>
          <w:snapToGrid w:val="0"/>
        </w:rPr>
        <w:t>.</w:t>
      </w:r>
      <w:r>
        <w:rPr>
          <w:snapToGrid w:val="0"/>
        </w:rPr>
        <w:tab/>
        <w:t>Rules of Betting</w:t>
      </w:r>
      <w:bookmarkEnd w:id="3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38" w:name="_Toc217297010"/>
      <w:r>
        <w:rPr>
          <w:rStyle w:val="CharSectno"/>
        </w:rPr>
        <w:t>48A</w:t>
      </w:r>
      <w:r>
        <w:t>.</w:t>
      </w:r>
      <w:r>
        <w:tab/>
        <w:t>Minimum bet obligations</w:t>
      </w:r>
      <w:bookmarkEnd w:id="38"/>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39" w:name="_Toc217297011"/>
      <w:r>
        <w:rPr>
          <w:rStyle w:val="CharSectno"/>
        </w:rPr>
        <w:t>49</w:t>
      </w:r>
      <w:r>
        <w:t>.</w:t>
      </w:r>
      <w:r>
        <w:tab/>
        <w:t>Bets on more than one result</w:t>
      </w:r>
      <w:bookmarkEnd w:id="39"/>
    </w:p>
    <w:p>
      <w:pPr>
        <w:pStyle w:val="Subsection"/>
      </w:pPr>
      <w:r>
        <w:tab/>
      </w:r>
      <w:r>
        <w:tab/>
        <w:t xml:space="preserve">For the purposes of these regulations a bet for a win and a place, whether or not an each way bet, or a double or treble or other </w:t>
      </w:r>
      <w:r>
        <w:lastRenderedPageBreak/>
        <w:t>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0" w:name="_Toc217297012"/>
      <w:r>
        <w:rPr>
          <w:rStyle w:val="CharSectno"/>
        </w:rPr>
        <w:t>50</w:t>
      </w:r>
      <w:r>
        <w:t>.</w:t>
      </w:r>
      <w:r>
        <w:tab/>
        <w:t>Permitted bets</w:t>
      </w:r>
      <w:bookmarkEnd w:id="40"/>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1" w:name="_Toc217297013"/>
      <w:r>
        <w:rPr>
          <w:rStyle w:val="CharSectno"/>
        </w:rPr>
        <w:t>51</w:t>
      </w:r>
      <w:r>
        <w:rPr>
          <w:snapToGrid w:val="0"/>
        </w:rPr>
        <w:t>.</w:t>
      </w:r>
      <w:r>
        <w:rPr>
          <w:snapToGrid w:val="0"/>
        </w:rPr>
        <w:tab/>
        <w:t>Place betting</w:t>
      </w:r>
      <w:bookmarkEnd w:id="41"/>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lastRenderedPageBreak/>
        <w:tab/>
        <w:t>(c)</w:t>
      </w:r>
      <w:r>
        <w:rPr>
          <w:snapToGrid w:val="0"/>
        </w:rPr>
        <w:tab/>
        <w:t>the bookmaker is expressly permitted to do so by the committee or other authority controlling the racecourse on which the bookmaker is operating on that day.</w:t>
      </w:r>
    </w:p>
    <w:p>
      <w:pPr>
        <w:pStyle w:val="Penstart"/>
      </w:pPr>
      <w:r>
        <w:tab/>
        <w:t>Penalty for this subregulation: a fine of $2 000.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r>
      <w:r>
        <w:t>Penalty for this subregulation: a fine of $2 000.</w:t>
      </w:r>
    </w:p>
    <w:p>
      <w:pPr>
        <w:pStyle w:val="Footnotesection"/>
      </w:pPr>
      <w:r>
        <w:tab/>
        <w:t>[Regulation 51 amended: Gazette 24 Jun 1988 p. 2005; 14 Sep 1990 p. 4863; 10 Jul 1992 p. 3291; 21 Jul 1998 p. 3854 and 3855; 20 Sep 2002 p. 4702; 25 Jan 2019 p. 201</w:t>
      </w:r>
      <w:r>
        <w:noBreakHyphen/>
        <w:t>2; SL 2025/35 r. 10.]</w:t>
      </w:r>
    </w:p>
    <w:p>
      <w:pPr>
        <w:pStyle w:val="Heading5"/>
        <w:spacing w:before="260"/>
        <w:rPr>
          <w:snapToGrid w:val="0"/>
        </w:rPr>
      </w:pPr>
      <w:bookmarkStart w:id="42" w:name="_Toc217297014"/>
      <w:r>
        <w:rPr>
          <w:rStyle w:val="CharSectno"/>
        </w:rPr>
        <w:t>52</w:t>
      </w:r>
      <w:r>
        <w:rPr>
          <w:snapToGrid w:val="0"/>
        </w:rPr>
        <w:t>.</w:t>
      </w:r>
      <w:r>
        <w:rPr>
          <w:snapToGrid w:val="0"/>
        </w:rPr>
        <w:tab/>
        <w:t>Concession betting</w:t>
      </w:r>
      <w:bookmarkEnd w:id="4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 xml:space="preserve">Penalty: </w:t>
      </w:r>
      <w:r>
        <w:t>a fine of $2 000.</w:t>
      </w:r>
    </w:p>
    <w:p>
      <w:pPr>
        <w:pStyle w:val="Footnotesection"/>
      </w:pPr>
      <w:r>
        <w:tab/>
        <w:t>[Regulation 52 amended: Gazette 24 Jun 1988 p. 2005; 10 Jul 1992 p. 3291; SL 2025/35 r. 10.]</w:t>
      </w:r>
    </w:p>
    <w:p>
      <w:pPr>
        <w:pStyle w:val="Heading5"/>
        <w:rPr>
          <w:snapToGrid w:val="0"/>
        </w:rPr>
      </w:pPr>
      <w:bookmarkStart w:id="43" w:name="_Toc217297015"/>
      <w:r>
        <w:rPr>
          <w:rStyle w:val="CharSectno"/>
        </w:rPr>
        <w:t>53</w:t>
      </w:r>
      <w:r>
        <w:rPr>
          <w:snapToGrid w:val="0"/>
        </w:rPr>
        <w:t>.</w:t>
      </w:r>
      <w:r>
        <w:rPr>
          <w:snapToGrid w:val="0"/>
        </w:rPr>
        <w:tab/>
        <w:t>Doubles other than multiple doubles</w:t>
      </w:r>
      <w:bookmarkEnd w:id="43"/>
    </w:p>
    <w:p>
      <w:pPr>
        <w:pStyle w:val="Subsection"/>
        <w:keepNext/>
        <w:spacing w:before="180"/>
        <w:rPr>
          <w:snapToGrid w:val="0"/>
        </w:rPr>
      </w:pPr>
      <w:r>
        <w:rPr>
          <w:snapToGrid w:val="0"/>
        </w:rPr>
        <w:tab/>
      </w:r>
      <w:r>
        <w:rPr>
          <w:snapToGrid w:val="0"/>
        </w:rPr>
        <w:tab/>
        <w:t xml:space="preserve">No bookmaker shall make double event bets, other than multiple doubles, except in respect of such events or subject to </w:t>
      </w:r>
      <w:r>
        <w:rPr>
          <w:snapToGrid w:val="0"/>
        </w:rPr>
        <w:lastRenderedPageBreak/>
        <w:t>such conditions and the chart being in such form as the Commission may from time to time approve.</w:t>
      </w:r>
    </w:p>
    <w:p>
      <w:pPr>
        <w:pStyle w:val="Penstart"/>
        <w:keepNext/>
        <w:rPr>
          <w:snapToGrid w:val="0"/>
        </w:rPr>
      </w:pPr>
      <w:r>
        <w:rPr>
          <w:snapToGrid w:val="0"/>
        </w:rPr>
        <w:tab/>
        <w:t xml:space="preserve">Penalty: </w:t>
      </w:r>
      <w:r>
        <w:t>a fine of $2 000.</w:t>
      </w:r>
    </w:p>
    <w:p>
      <w:pPr>
        <w:pStyle w:val="Footnotesection"/>
      </w:pPr>
      <w:r>
        <w:tab/>
        <w:t>[Regulation 53 amended: Gazette 24 Jun 1988 p. 2005; 30 Jan 2004 p. 412; SL 2025/35 r. 10.]</w:t>
      </w:r>
    </w:p>
    <w:p>
      <w:pPr>
        <w:pStyle w:val="Heading5"/>
        <w:rPr>
          <w:snapToGrid w:val="0"/>
        </w:rPr>
      </w:pPr>
      <w:bookmarkStart w:id="44" w:name="_Toc217297016"/>
      <w:r>
        <w:rPr>
          <w:rStyle w:val="CharSectno"/>
        </w:rPr>
        <w:t>54</w:t>
      </w:r>
      <w:r>
        <w:rPr>
          <w:snapToGrid w:val="0"/>
        </w:rPr>
        <w:t>.</w:t>
      </w:r>
      <w:r>
        <w:rPr>
          <w:snapToGrid w:val="0"/>
        </w:rPr>
        <w:tab/>
        <w:t>Trebles</w:t>
      </w:r>
      <w:bookmarkEnd w:id="44"/>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 xml:space="preserve">Penalty: </w:t>
      </w:r>
      <w:r>
        <w:t>a fine of $2 000.</w:t>
      </w:r>
    </w:p>
    <w:p>
      <w:pPr>
        <w:pStyle w:val="Footnotesection"/>
      </w:pPr>
      <w:r>
        <w:tab/>
        <w:t>[Regulation 54 amended: Gazette 24 Jun 1988 p. 2005; 30 Jan 2004 p. 412; SL 2025/35 r. 10.]</w:t>
      </w:r>
    </w:p>
    <w:p>
      <w:pPr>
        <w:pStyle w:val="Heading5"/>
        <w:spacing w:before="260"/>
        <w:rPr>
          <w:snapToGrid w:val="0"/>
        </w:rPr>
      </w:pPr>
      <w:bookmarkStart w:id="45" w:name="_Toc217297017"/>
      <w:r>
        <w:rPr>
          <w:rStyle w:val="CharSectno"/>
        </w:rPr>
        <w:t>55</w:t>
      </w:r>
      <w:r>
        <w:rPr>
          <w:snapToGrid w:val="0"/>
        </w:rPr>
        <w:t>.</w:t>
      </w:r>
      <w:r>
        <w:rPr>
          <w:snapToGrid w:val="0"/>
        </w:rPr>
        <w:tab/>
        <w:t>All</w:t>
      </w:r>
      <w:r>
        <w:rPr>
          <w:snapToGrid w:val="0"/>
        </w:rPr>
        <w:noBreakHyphen/>
        <w:t>up</w:t>
      </w:r>
      <w:bookmarkEnd w:id="4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 xml:space="preserve">Penalty: </w:t>
      </w:r>
      <w:r>
        <w:t>a fine of $2 000.</w:t>
      </w:r>
    </w:p>
    <w:p>
      <w:pPr>
        <w:pStyle w:val="Footnotesection"/>
      </w:pPr>
      <w:r>
        <w:tab/>
        <w:t>[Regulation 55 amended: Gazette 24 Jun 1988 p. 2005; SL 2025/35 r. 10.]</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46" w:name="_Toc217297018"/>
      <w:r>
        <w:rPr>
          <w:rStyle w:val="CharSectno"/>
        </w:rPr>
        <w:t>57</w:t>
      </w:r>
      <w:r>
        <w:rPr>
          <w:snapToGrid w:val="0"/>
        </w:rPr>
        <w:t>.</w:t>
      </w:r>
      <w:r>
        <w:rPr>
          <w:snapToGrid w:val="0"/>
        </w:rPr>
        <w:tab/>
        <w:t>Stand</w:t>
      </w:r>
      <w:bookmarkEnd w:id="46"/>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 xml:space="preserve">Penalty: </w:t>
      </w:r>
      <w:r>
        <w:t>a fine of $2 000.</w:t>
      </w:r>
    </w:p>
    <w:p>
      <w:pPr>
        <w:pStyle w:val="Footnotesection"/>
        <w:keepLines w:val="0"/>
        <w:spacing w:before="100"/>
        <w:ind w:left="890" w:hanging="890"/>
      </w:pPr>
      <w:r>
        <w:tab/>
        <w:t>[Regulation 57 amended: Gazette 24 Jun 1988 p. 2005; 10 Jul 1992 p. 3291; 21 Jul 1998 p. 3854; SL 2025/35 r. 10.]</w:t>
      </w:r>
    </w:p>
    <w:p>
      <w:pPr>
        <w:pStyle w:val="Heading5"/>
        <w:spacing w:before="260"/>
        <w:rPr>
          <w:snapToGrid w:val="0"/>
        </w:rPr>
      </w:pPr>
      <w:bookmarkStart w:id="47" w:name="_Toc217297019"/>
      <w:r>
        <w:rPr>
          <w:rStyle w:val="CharSectno"/>
        </w:rPr>
        <w:lastRenderedPageBreak/>
        <w:t>58</w:t>
      </w:r>
      <w:r>
        <w:rPr>
          <w:snapToGrid w:val="0"/>
        </w:rPr>
        <w:t>.</w:t>
      </w:r>
      <w:r>
        <w:rPr>
          <w:snapToGrid w:val="0"/>
        </w:rPr>
        <w:tab/>
        <w:t>Use of stand</w:t>
      </w:r>
      <w:bookmarkEnd w:id="47"/>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r>
      <w:r>
        <w:t>Penalty for this subregulation: a fine of $2 000.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 SL 2025/35 r. 10.]</w:t>
      </w:r>
    </w:p>
    <w:p>
      <w:pPr>
        <w:pStyle w:val="Heading5"/>
        <w:keepLines w:val="0"/>
      </w:pPr>
      <w:bookmarkStart w:id="48" w:name="_Toc217297020"/>
      <w:r>
        <w:rPr>
          <w:rStyle w:val="CharSectno"/>
        </w:rPr>
        <w:t>59</w:t>
      </w:r>
      <w:r>
        <w:t>.</w:t>
      </w:r>
      <w:r>
        <w:tab/>
        <w:t>Name of bookmaker to be shown</w:t>
      </w:r>
      <w:bookmarkEnd w:id="48"/>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for this subregulation: a fine of $2 000.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for this subregulation: a fine of $2 000.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 SL 2025/35 r. 10.]</w:t>
      </w:r>
    </w:p>
    <w:p>
      <w:pPr>
        <w:pStyle w:val="Heading5"/>
        <w:spacing w:before="240"/>
        <w:rPr>
          <w:snapToGrid w:val="0"/>
        </w:rPr>
      </w:pPr>
      <w:bookmarkStart w:id="49" w:name="_Toc217297021"/>
      <w:r>
        <w:rPr>
          <w:rStyle w:val="CharSectno"/>
        </w:rPr>
        <w:lastRenderedPageBreak/>
        <w:t>60</w:t>
      </w:r>
      <w:r>
        <w:rPr>
          <w:snapToGrid w:val="0"/>
        </w:rPr>
        <w:t>.</w:t>
      </w:r>
      <w:r>
        <w:rPr>
          <w:snapToGrid w:val="0"/>
        </w:rPr>
        <w:tab/>
        <w:t>Betting boards etc. to be approved</w:t>
      </w:r>
      <w:bookmarkEnd w:id="4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0" w:name="_Toc217297022"/>
      <w:r>
        <w:rPr>
          <w:rStyle w:val="CharSectno"/>
        </w:rPr>
        <w:t>61</w:t>
      </w:r>
      <w:r>
        <w:rPr>
          <w:snapToGrid w:val="0"/>
        </w:rPr>
        <w:t>.</w:t>
      </w:r>
      <w:r>
        <w:rPr>
          <w:snapToGrid w:val="0"/>
        </w:rPr>
        <w:tab/>
        <w:t>Betting boards</w:t>
      </w:r>
      <w:bookmarkEnd w:id="50"/>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w:t>
      </w:r>
      <w:r>
        <w:rPr>
          <w:snapToGrid w:val="0"/>
        </w:rPr>
        <w:lastRenderedPageBreak/>
        <w:t>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1" w:name="_Toc217297023"/>
      <w:r>
        <w:rPr>
          <w:rStyle w:val="CharSectno"/>
        </w:rPr>
        <w:t>62</w:t>
      </w:r>
      <w:r>
        <w:rPr>
          <w:snapToGrid w:val="0"/>
        </w:rPr>
        <w:t>.</w:t>
      </w:r>
      <w:r>
        <w:rPr>
          <w:snapToGrid w:val="0"/>
        </w:rPr>
        <w:tab/>
        <w:t>Omissions from betting board etc.</w:t>
      </w:r>
      <w:bookmarkEnd w:id="51"/>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2" w:name="_Toc217297024"/>
      <w:r>
        <w:rPr>
          <w:rStyle w:val="CharSectno"/>
        </w:rPr>
        <w:lastRenderedPageBreak/>
        <w:t>63</w:t>
      </w:r>
      <w:r>
        <w:rPr>
          <w:snapToGrid w:val="0"/>
        </w:rPr>
        <w:t>.</w:t>
      </w:r>
      <w:r>
        <w:rPr>
          <w:snapToGrid w:val="0"/>
        </w:rPr>
        <w:tab/>
        <w:t>Bets with domestic betting operators and totalisators</w:t>
      </w:r>
      <w:bookmarkEnd w:id="52"/>
    </w:p>
    <w:p>
      <w:pPr>
        <w:pStyle w:val="Subsection"/>
        <w:keepNext/>
      </w:pPr>
      <w:r>
        <w:tab/>
        <w:t>(1A)</w:t>
      </w:r>
      <w:r>
        <w:tab/>
        <w:t xml:space="preserve">In this regulation — </w:t>
      </w:r>
    </w:p>
    <w:p>
      <w:pPr>
        <w:pStyle w:val="Defstart"/>
        <w:keepNex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keepNext/>
      </w:pPr>
      <w:r>
        <w:lastRenderedPageBreak/>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3" w:name="_Toc217297025"/>
      <w:r>
        <w:rPr>
          <w:rStyle w:val="CharSectno"/>
        </w:rPr>
        <w:t>64</w:t>
      </w:r>
      <w:r>
        <w:t>.</w:t>
      </w:r>
      <w:r>
        <w:tab/>
        <w:t>Bet back by means of a betting exchange</w:t>
      </w:r>
      <w:bookmarkEnd w:id="5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4" w:name="_Toc217297026"/>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4"/>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w:t>
      </w:r>
      <w:r>
        <w:rPr>
          <w:snapToGrid w:val="0"/>
        </w:rPr>
        <w:lastRenderedPageBreak/>
        <w:t xml:space="preserve">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5" w:name="_Toc217297027"/>
      <w:r>
        <w:rPr>
          <w:rStyle w:val="CharSectno"/>
        </w:rPr>
        <w:t>71</w:t>
      </w:r>
      <w:r>
        <w:rPr>
          <w:snapToGrid w:val="0"/>
        </w:rPr>
        <w:t>.</w:t>
      </w:r>
      <w:r>
        <w:rPr>
          <w:snapToGrid w:val="0"/>
        </w:rPr>
        <w:tab/>
        <w:t>Telephone betting on approved events</w:t>
      </w:r>
      <w:bookmarkEnd w:id="55"/>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keepNext/>
        <w:spacing w:before="60"/>
        <w:rPr>
          <w:snapToGrid w:val="0"/>
        </w:rPr>
      </w:pPr>
      <w:r>
        <w:rPr>
          <w:snapToGrid w:val="0"/>
        </w:rPr>
        <w:lastRenderedPageBreak/>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56" w:name="_Toc217297028"/>
      <w:r>
        <w:rPr>
          <w:rStyle w:val="CharSectno"/>
        </w:rPr>
        <w:lastRenderedPageBreak/>
        <w:t>72</w:t>
      </w:r>
      <w:r>
        <w:rPr>
          <w:snapToGrid w:val="0"/>
        </w:rPr>
        <w:t>.</w:t>
      </w:r>
      <w:r>
        <w:rPr>
          <w:snapToGrid w:val="0"/>
        </w:rPr>
        <w:tab/>
        <w:t>Telephone betting on racing</w:t>
      </w:r>
      <w:bookmarkEnd w:id="56"/>
    </w:p>
    <w:p>
      <w:pPr>
        <w:pStyle w:val="Subsection"/>
        <w:keepNext/>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lastRenderedPageBreak/>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57" w:name="_Toc217297029"/>
      <w:r>
        <w:rPr>
          <w:rStyle w:val="CharSectno"/>
        </w:rPr>
        <w:t>73</w:t>
      </w:r>
      <w:r>
        <w:t>.</w:t>
      </w:r>
      <w:r>
        <w:tab/>
        <w:t>Credit betting other than by telephone</w:t>
      </w:r>
      <w:bookmarkEnd w:id="5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58" w:name="_Toc217297030"/>
      <w:r>
        <w:rPr>
          <w:rStyle w:val="CharSectno"/>
        </w:rPr>
        <w:lastRenderedPageBreak/>
        <w:t>74</w:t>
      </w:r>
      <w:r>
        <w:t>.</w:t>
      </w:r>
      <w:r>
        <w:tab/>
        <w:t>Internet betting (approved events)</w:t>
      </w:r>
      <w:bookmarkEnd w:id="58"/>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59" w:name="_Toc217297031"/>
      <w:r>
        <w:rPr>
          <w:rStyle w:val="CharSectno"/>
        </w:rPr>
        <w:t>75</w:t>
      </w:r>
      <w:r>
        <w:t>.</w:t>
      </w:r>
      <w:r>
        <w:tab/>
        <w:t>Internet betting (racing)</w:t>
      </w:r>
      <w:bookmarkEnd w:id="59"/>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0" w:name="_Toc217297032"/>
      <w:r>
        <w:rPr>
          <w:rStyle w:val="CharSectno"/>
        </w:rPr>
        <w:lastRenderedPageBreak/>
        <w:t>76</w:t>
      </w:r>
      <w:r>
        <w:t>.</w:t>
      </w:r>
      <w:r>
        <w:tab/>
        <w:t>Procedures for internet betting</w:t>
      </w:r>
      <w:bookmarkEnd w:id="60"/>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1" w:name="_Toc217297033"/>
      <w:r>
        <w:rPr>
          <w:rStyle w:val="CharSectno"/>
        </w:rPr>
        <w:lastRenderedPageBreak/>
        <w:t>77</w:t>
      </w:r>
      <w:r>
        <w:t>.</w:t>
      </w:r>
      <w:r>
        <w:tab/>
        <w:t>Form of search warrant</w:t>
      </w:r>
      <w:bookmarkEnd w:id="61"/>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2" w:name="_Toc217039387"/>
      <w:bookmarkStart w:id="63" w:name="_Toc217040628"/>
      <w:bookmarkStart w:id="64" w:name="_Toc217297034"/>
      <w:r>
        <w:rPr>
          <w:rStyle w:val="CharPartNo"/>
        </w:rPr>
        <w:lastRenderedPageBreak/>
        <w:t>Part 3A</w:t>
      </w:r>
      <w:r>
        <w:t> —</w:t>
      </w:r>
      <w:r>
        <w:rPr>
          <w:rStyle w:val="CharPartText"/>
        </w:rPr>
        <w:t> Consumer protection</w:t>
      </w:r>
      <w:bookmarkEnd w:id="62"/>
      <w:bookmarkEnd w:id="63"/>
      <w:bookmarkEnd w:id="64"/>
    </w:p>
    <w:p>
      <w:pPr>
        <w:pStyle w:val="Footnoteheading"/>
      </w:pPr>
      <w:r>
        <w:tab/>
        <w:t>[Heading inserted: SL 2025/30 r. 4.]</w:t>
      </w:r>
    </w:p>
    <w:p>
      <w:pPr>
        <w:pStyle w:val="Heading3"/>
      </w:pPr>
      <w:bookmarkStart w:id="65" w:name="_Toc217039388"/>
      <w:bookmarkStart w:id="66" w:name="_Toc217040629"/>
      <w:bookmarkStart w:id="67" w:name="_Toc217297035"/>
      <w:r>
        <w:rPr>
          <w:rStyle w:val="CharDivNo"/>
        </w:rPr>
        <w:t>Division 1</w:t>
      </w:r>
      <w:r>
        <w:t> —</w:t>
      </w:r>
      <w:r>
        <w:rPr>
          <w:rStyle w:val="CharDivText"/>
        </w:rPr>
        <w:t> Preliminary</w:t>
      </w:r>
      <w:bookmarkEnd w:id="65"/>
      <w:bookmarkEnd w:id="66"/>
      <w:bookmarkEnd w:id="67"/>
    </w:p>
    <w:p>
      <w:pPr>
        <w:pStyle w:val="Footnoteheading"/>
      </w:pPr>
      <w:r>
        <w:tab/>
        <w:t>[Heading inserted: SL 2025/30 r. 4.]</w:t>
      </w:r>
    </w:p>
    <w:p>
      <w:pPr>
        <w:pStyle w:val="Heading5"/>
      </w:pPr>
      <w:bookmarkStart w:id="68" w:name="_Toc217297036"/>
      <w:r>
        <w:rPr>
          <w:rStyle w:val="CharSectno"/>
        </w:rPr>
        <w:t>77A</w:t>
      </w:r>
      <w:r>
        <w:t>.</w:t>
      </w:r>
      <w:r>
        <w:tab/>
        <w:t>Purpose of Part</w:t>
      </w:r>
      <w:bookmarkEnd w:id="68"/>
    </w:p>
    <w:p>
      <w:pPr>
        <w:pStyle w:val="Subsection"/>
        <w:rPr>
          <w:rStyle w:val="DraftersNotes"/>
          <w:b w:val="0"/>
          <w:i w:val="0"/>
        </w:rPr>
      </w:pPr>
      <w:r>
        <w:tab/>
      </w:r>
      <w:r>
        <w:tab/>
        <w:t>The purpose of this Part is to give effect to the National Consumer Protection Framework for Online Wagering in Australia — National Policy Statement.</w:t>
      </w:r>
    </w:p>
    <w:p>
      <w:pPr>
        <w:pStyle w:val="Footnotesection"/>
      </w:pPr>
      <w:r>
        <w:tab/>
        <w:t>[Regulation 77A inserted: SL 2025/30 r. 4.]</w:t>
      </w:r>
    </w:p>
    <w:p>
      <w:pPr>
        <w:pStyle w:val="Heading5"/>
      </w:pPr>
      <w:bookmarkStart w:id="69" w:name="_Toc217297037"/>
      <w:r>
        <w:rPr>
          <w:rStyle w:val="CharSectno"/>
        </w:rPr>
        <w:t>77B</w:t>
      </w:r>
      <w:r>
        <w:t>.</w:t>
      </w:r>
      <w:r>
        <w:tab/>
        <w:t>Application of Part</w:t>
      </w:r>
      <w:bookmarkEnd w:id="69"/>
    </w:p>
    <w:p>
      <w:pPr>
        <w:pStyle w:val="Subsection"/>
        <w:rPr>
          <w:rStyle w:val="DraftersNotes"/>
          <w:b w:val="0"/>
          <w:i w:val="0"/>
        </w:rPr>
      </w:pPr>
      <w:r>
        <w:tab/>
      </w:r>
      <w:r>
        <w:tab/>
        <w:t xml:space="preserve">This Part applies to a bookmaker (a </w:t>
      </w:r>
      <w:r>
        <w:rPr>
          <w:rStyle w:val="CharDefText"/>
        </w:rPr>
        <w:t>provider</w:t>
      </w:r>
      <w:r>
        <w:t>) who provides interactive wagering services, in relation to their provision of those services.</w:t>
      </w:r>
    </w:p>
    <w:p>
      <w:pPr>
        <w:pStyle w:val="Footnotesection"/>
      </w:pPr>
      <w:r>
        <w:tab/>
        <w:t>[Regulation 77B inserted: SL 2025/30 r. 4.]</w:t>
      </w:r>
    </w:p>
    <w:p>
      <w:pPr>
        <w:pStyle w:val="Heading5"/>
      </w:pPr>
      <w:bookmarkStart w:id="70" w:name="_Toc217297038"/>
      <w:r>
        <w:rPr>
          <w:rStyle w:val="CharSectno"/>
        </w:rPr>
        <w:t>77C</w:t>
      </w:r>
      <w:r>
        <w:t>.</w:t>
      </w:r>
      <w:r>
        <w:tab/>
        <w:t>Terms used</w:t>
      </w:r>
      <w:bookmarkEnd w:id="70"/>
    </w:p>
    <w:p>
      <w:pPr>
        <w:pStyle w:val="Subsection"/>
      </w:pPr>
      <w:r>
        <w:tab/>
      </w:r>
      <w:r>
        <w:tab/>
        <w:t xml:space="preserve">In this Part — </w:t>
      </w:r>
    </w:p>
    <w:p>
      <w:pPr>
        <w:pStyle w:val="Defstart"/>
      </w:pPr>
      <w:r>
        <w:tab/>
      </w:r>
      <w:r>
        <w:rPr>
          <w:rStyle w:val="CharDefText"/>
        </w:rPr>
        <w:t>account holder</w:t>
      </w:r>
      <w:r>
        <w:t>, in relation to a provider, means a person who holds a betting account with the provider;</w:t>
      </w:r>
    </w:p>
    <w:p>
      <w:pPr>
        <w:pStyle w:val="Defstart"/>
      </w:pPr>
      <w:r>
        <w:tab/>
      </w:r>
      <w:r>
        <w:rPr>
          <w:rStyle w:val="CharDefText"/>
        </w:rPr>
        <w:t>betting account</w:t>
      </w:r>
      <w:r>
        <w:t xml:space="preserve"> means an account established with a provider for the purposes of betting;</w:t>
      </w:r>
    </w:p>
    <w:p>
      <w:pPr>
        <w:pStyle w:val="Defstart"/>
      </w:pPr>
      <w:r>
        <w:tab/>
      </w:r>
      <w:r>
        <w:rPr>
          <w:rStyle w:val="CharDefText"/>
        </w:rPr>
        <w:t>deposit limit</w:t>
      </w:r>
      <w:r>
        <w:t>, in relation to a betting account, means the maximum amount of money the account holder may deposit into the account in a particular period;</w:t>
      </w:r>
    </w:p>
    <w:p>
      <w:pPr>
        <w:pStyle w:val="Defstart"/>
      </w:pPr>
      <w:r>
        <w:tab/>
      </w:r>
      <w:r>
        <w:rPr>
          <w:rStyle w:val="CharDefText"/>
        </w:rPr>
        <w:t>interactive wagering service</w:t>
      </w:r>
      <w:r>
        <w:t xml:space="preserve"> means a service that enables a person to place a bet using — </w:t>
      </w:r>
    </w:p>
    <w:p>
      <w:pPr>
        <w:pStyle w:val="Defpara"/>
      </w:pPr>
      <w:r>
        <w:tab/>
        <w:t>(a)</w:t>
      </w:r>
      <w:r>
        <w:tab/>
        <w:t>a telephone; or</w:t>
      </w:r>
    </w:p>
    <w:p>
      <w:pPr>
        <w:pStyle w:val="Defpara"/>
      </w:pPr>
      <w:r>
        <w:tab/>
        <w:t>(b)</w:t>
      </w:r>
      <w:r>
        <w:tab/>
        <w:t>an Internet application; or</w:t>
      </w:r>
    </w:p>
    <w:p>
      <w:pPr>
        <w:pStyle w:val="Defpara"/>
      </w:pPr>
      <w:r>
        <w:tab/>
        <w:t>(c)</w:t>
      </w:r>
      <w:r>
        <w:tab/>
        <w:t>a website; or</w:t>
      </w:r>
    </w:p>
    <w:p>
      <w:pPr>
        <w:pStyle w:val="Defpara"/>
      </w:pPr>
      <w:r>
        <w:lastRenderedPageBreak/>
        <w:tab/>
        <w:t>(d)</w:t>
      </w:r>
      <w:r>
        <w:tab/>
        <w:t>a datacasting service; or</w:t>
      </w:r>
    </w:p>
    <w:p>
      <w:pPr>
        <w:pStyle w:val="Defpara"/>
      </w:pPr>
      <w:r>
        <w:tab/>
        <w:t>(e)</w:t>
      </w:r>
      <w:r>
        <w:tab/>
        <w:t>a broadcasting service;</w:t>
      </w:r>
    </w:p>
    <w:p>
      <w:pPr>
        <w:pStyle w:val="Defstart"/>
        <w:rPr>
          <w:rStyle w:val="DraftersNotes"/>
          <w:b w:val="0"/>
          <w:i w:val="0"/>
        </w:rPr>
      </w:pPr>
      <w:r>
        <w:tab/>
      </w:r>
      <w:r>
        <w:rPr>
          <w:rStyle w:val="CharDefText"/>
        </w:rPr>
        <w:t>National Consumer Protection Framework for Online Wagering in Australia — National Policy Statement</w:t>
      </w:r>
      <w:r>
        <w:t xml:space="preserve"> means the document of that name dated 26 November 2018;</w:t>
      </w:r>
    </w:p>
    <w:p>
      <w:pPr>
        <w:pStyle w:val="PermNoteHeading"/>
      </w:pPr>
      <w:r>
        <w:tab/>
        <w:t>Note for this definition:</w:t>
      </w:r>
    </w:p>
    <w:p>
      <w:pPr>
        <w:pStyle w:val="PermNoteText"/>
        <w:rPr>
          <w:rStyle w:val="DraftersNotes"/>
          <w:b w:val="0"/>
          <w:i w:val="0"/>
        </w:rPr>
      </w:pPr>
      <w:r>
        <w:tab/>
      </w:r>
      <w:r>
        <w:tab/>
        <w:t>A copy of the National Consumer Protection Framework for Online Wagering in Australia — National Policy Statement is available on the Parliament of Western Australia’s website under Tabled Papers for the Legislative Council.</w:t>
      </w:r>
    </w:p>
    <w:p>
      <w:pPr>
        <w:pStyle w:val="Defstart"/>
      </w:pPr>
      <w:r>
        <w:tab/>
      </w:r>
      <w:r>
        <w:rPr>
          <w:rStyle w:val="CharDefText"/>
        </w:rPr>
        <w:t>provider</w:t>
      </w:r>
      <w:r>
        <w:t xml:space="preserve"> has the meaning given in regulation 77B;</w:t>
      </w:r>
    </w:p>
    <w:p>
      <w:pPr>
        <w:pStyle w:val="Defstart"/>
      </w:pPr>
      <w:r>
        <w:tab/>
      </w:r>
      <w:r>
        <w:rPr>
          <w:rStyle w:val="CharDefText"/>
        </w:rPr>
        <w:t>transaction</w:t>
      </w:r>
      <w:r>
        <w:t xml:space="preserve">, in relation to a betting account, means — </w:t>
      </w:r>
    </w:p>
    <w:p>
      <w:pPr>
        <w:pStyle w:val="Defpara"/>
      </w:pPr>
      <w:r>
        <w:tab/>
        <w:t>(a)</w:t>
      </w:r>
      <w:r>
        <w:tab/>
        <w:t>a deposit into the betting account; or</w:t>
      </w:r>
    </w:p>
    <w:p>
      <w:pPr>
        <w:pStyle w:val="Defpara"/>
      </w:pPr>
      <w:r>
        <w:tab/>
        <w:t>(b)</w:t>
      </w:r>
      <w:r>
        <w:tab/>
        <w:t>a withdrawal from the betting account; or</w:t>
      </w:r>
    </w:p>
    <w:p>
      <w:pPr>
        <w:pStyle w:val="Defpara"/>
      </w:pPr>
      <w:r>
        <w:tab/>
        <w:t>(c)</w:t>
      </w:r>
      <w:r>
        <w:tab/>
        <w:t>a bet placed using the betting account.</w:t>
      </w:r>
    </w:p>
    <w:p>
      <w:pPr>
        <w:pStyle w:val="Footnotesection"/>
      </w:pPr>
      <w:r>
        <w:tab/>
        <w:t>[Regulation 77C inserted: SL 2025/30 r. 4.]</w:t>
      </w:r>
    </w:p>
    <w:p>
      <w:pPr>
        <w:pStyle w:val="Heading5"/>
      </w:pPr>
      <w:bookmarkStart w:id="71" w:name="_Toc217297039"/>
      <w:r>
        <w:rPr>
          <w:rStyle w:val="CharSectno"/>
        </w:rPr>
        <w:t>77D</w:t>
      </w:r>
      <w:r>
        <w:t>.</w:t>
      </w:r>
      <w:r>
        <w:tab/>
        <w:t>Liability of provider</w:t>
      </w:r>
      <w:bookmarkEnd w:id="71"/>
    </w:p>
    <w:p>
      <w:pPr>
        <w:pStyle w:val="Subsection"/>
      </w:pPr>
      <w:r>
        <w:tab/>
        <w:t>(1)</w:t>
      </w:r>
      <w:r>
        <w:tab/>
        <w:t xml:space="preserve">In this regulation — </w:t>
      </w:r>
    </w:p>
    <w:p>
      <w:pPr>
        <w:pStyle w:val="Defstart"/>
      </w:pPr>
      <w:r>
        <w:tab/>
      </w:r>
      <w:r>
        <w:rPr>
          <w:rStyle w:val="CharDefText"/>
        </w:rPr>
        <w:t>responsible person</w:t>
      </w:r>
      <w:r>
        <w:t xml:space="preserve">, of a provider, means — </w:t>
      </w:r>
    </w:p>
    <w:p>
      <w:pPr>
        <w:pStyle w:val="Defpara"/>
      </w:pPr>
      <w:r>
        <w:tab/>
        <w:t>(a)</w:t>
      </w:r>
      <w:r>
        <w:tab/>
        <w:t>a person who is a director, partner, employee or contractor of the provider; or</w:t>
      </w:r>
    </w:p>
    <w:p>
      <w:pPr>
        <w:pStyle w:val="Defpara"/>
      </w:pPr>
      <w:r>
        <w:tab/>
        <w:t>(b)</w:t>
      </w:r>
      <w:r>
        <w:tab/>
        <w:t>a person, other than a person referred to in paragraph (a), who is engaged in providing the provider’s interactive wagering services, including being involved in decisions affecting the provision of those services.</w:t>
      </w:r>
    </w:p>
    <w:p>
      <w:pPr>
        <w:pStyle w:val="Subsection"/>
      </w:pPr>
      <w:r>
        <w:tab/>
        <w:t>(2)</w:t>
      </w:r>
      <w:r>
        <w:tab/>
        <w:t>If a responsible person of a provider does an act or makes an omission that would constitute an offence under this Part if the act or omission were done or made by the provider, the provider is taken to have committed the offence and is liable to the penalty prescribed for the offence.</w:t>
      </w:r>
    </w:p>
    <w:p>
      <w:pPr>
        <w:pStyle w:val="Footnotesection"/>
      </w:pPr>
      <w:r>
        <w:tab/>
        <w:t>[Regulation 77D inserted: SL 2025/30 r. 4.]</w:t>
      </w:r>
    </w:p>
    <w:p>
      <w:pPr>
        <w:pStyle w:val="Heading3"/>
      </w:pPr>
      <w:bookmarkStart w:id="72" w:name="_Toc217039393"/>
      <w:bookmarkStart w:id="73" w:name="_Toc217040634"/>
      <w:bookmarkStart w:id="74" w:name="_Toc217297040"/>
      <w:r>
        <w:rPr>
          <w:rStyle w:val="CharDivNo"/>
        </w:rPr>
        <w:lastRenderedPageBreak/>
        <w:t>Division 2</w:t>
      </w:r>
      <w:r>
        <w:t> —</w:t>
      </w:r>
      <w:r>
        <w:rPr>
          <w:rStyle w:val="CharDivText"/>
        </w:rPr>
        <w:t> Inducements and direct marketing</w:t>
      </w:r>
      <w:bookmarkEnd w:id="72"/>
      <w:bookmarkEnd w:id="73"/>
      <w:bookmarkEnd w:id="74"/>
    </w:p>
    <w:p>
      <w:pPr>
        <w:pStyle w:val="Footnoteheading"/>
      </w:pPr>
      <w:r>
        <w:tab/>
        <w:t>[Heading inserted: SL 2025/30 r. 4.]</w:t>
      </w:r>
    </w:p>
    <w:p>
      <w:pPr>
        <w:pStyle w:val="Heading5"/>
        <w:rPr>
          <w:rStyle w:val="DraftersNotes"/>
          <w:b/>
          <w:i w:val="0"/>
        </w:rPr>
      </w:pPr>
      <w:bookmarkStart w:id="75" w:name="_Toc217297041"/>
      <w:r>
        <w:rPr>
          <w:rStyle w:val="CharSectno"/>
        </w:rPr>
        <w:t>77E</w:t>
      </w:r>
      <w:r>
        <w:t>.</w:t>
      </w:r>
      <w:r>
        <w:tab/>
        <w:t>Inducements prohibited in relation to establishing betting accounts</w:t>
      </w:r>
      <w:bookmarkEnd w:id="75"/>
    </w:p>
    <w:p>
      <w:pPr>
        <w:pStyle w:val="Subsection"/>
        <w:rPr>
          <w:rStyle w:val="DraftersNotes"/>
          <w:b w:val="0"/>
          <w:i w:val="0"/>
        </w:rPr>
      </w:pPr>
      <w:r>
        <w:tab/>
      </w:r>
      <w:r>
        <w:tab/>
        <w:t xml:space="preserve">The provider must not offer any credit, voucher, reward or other benefit as an inducement for a person — </w:t>
      </w:r>
    </w:p>
    <w:p>
      <w:pPr>
        <w:pStyle w:val="Indenta"/>
      </w:pPr>
      <w:r>
        <w:tab/>
        <w:t>(a)</w:t>
      </w:r>
      <w:r>
        <w:tab/>
        <w:t>to establish a betting account with the provider; or</w:t>
      </w:r>
    </w:p>
    <w:p>
      <w:pPr>
        <w:pStyle w:val="Indenta"/>
      </w:pPr>
      <w:r>
        <w:tab/>
        <w:t>(b)</w:t>
      </w:r>
      <w:r>
        <w:tab/>
        <w:t>to refer another person to establish a betting account with the provider.</w:t>
      </w:r>
    </w:p>
    <w:p>
      <w:pPr>
        <w:pStyle w:val="Penstart"/>
      </w:pPr>
      <w:r>
        <w:tab/>
        <w:t>Penalty: for an individual or a body corporate, a fine of $1 000.</w:t>
      </w:r>
    </w:p>
    <w:p>
      <w:pPr>
        <w:pStyle w:val="Footnotesection"/>
      </w:pPr>
      <w:r>
        <w:tab/>
        <w:t>[Regulation 77E inserted: SL 2025/30 r. 4.]</w:t>
      </w:r>
    </w:p>
    <w:p>
      <w:pPr>
        <w:pStyle w:val="Heading5"/>
        <w:rPr>
          <w:rStyle w:val="DraftersNotes"/>
          <w:b/>
          <w:i w:val="0"/>
        </w:rPr>
      </w:pPr>
      <w:bookmarkStart w:id="76" w:name="_Toc217297042"/>
      <w:r>
        <w:rPr>
          <w:rStyle w:val="CharSectno"/>
        </w:rPr>
        <w:t>77F</w:t>
      </w:r>
      <w:r>
        <w:t>.</w:t>
      </w:r>
      <w:r>
        <w:tab/>
        <w:t>Complimentary betting credits and tokens</w:t>
      </w:r>
      <w:bookmarkEnd w:id="76"/>
    </w:p>
    <w:p>
      <w:pPr>
        <w:pStyle w:val="Subsection"/>
      </w:pPr>
      <w:r>
        <w:tab/>
      </w:r>
      <w:r>
        <w:tab/>
        <w:t xml:space="preserve">The provider must not offer or give a complimentary betting credit or token (including a thing commonly known as a bonus bet or matched bet) to an account holder unless — </w:t>
      </w:r>
    </w:p>
    <w:p>
      <w:pPr>
        <w:pStyle w:val="Indenta"/>
      </w:pPr>
      <w:r>
        <w:tab/>
        <w:t>(a)</w:t>
      </w:r>
      <w:r>
        <w:tab/>
        <w:t>the holder can withdraw from their betting account winnings from a bet placed with the credit or token; and</w:t>
      </w:r>
    </w:p>
    <w:p>
      <w:pPr>
        <w:pStyle w:val="Indenta"/>
      </w:pPr>
      <w:r>
        <w:tab/>
        <w:t>(b)</w:t>
      </w:r>
      <w:r>
        <w:tab/>
        <w:t>the withdrawal is not subject to a requirement that the holder continue to bet with the winnings.</w:t>
      </w:r>
    </w:p>
    <w:p>
      <w:pPr>
        <w:pStyle w:val="Penstart"/>
      </w:pPr>
      <w:r>
        <w:tab/>
        <w:t>Penalty: for an individual or a body corporate, a fine of $1 000.</w:t>
      </w:r>
    </w:p>
    <w:p>
      <w:pPr>
        <w:pStyle w:val="Footnotesection"/>
      </w:pPr>
      <w:r>
        <w:tab/>
        <w:t>[Regulation 77F inserted: SL 2025/30 r. 4.]</w:t>
      </w:r>
    </w:p>
    <w:p>
      <w:pPr>
        <w:pStyle w:val="Heading5"/>
      </w:pPr>
      <w:bookmarkStart w:id="77" w:name="_Toc217297043"/>
      <w:r>
        <w:rPr>
          <w:rStyle w:val="CharSectno"/>
        </w:rPr>
        <w:t>77G</w:t>
      </w:r>
      <w:r>
        <w:t>.</w:t>
      </w:r>
      <w:r>
        <w:tab/>
        <w:t>Direct marketing</w:t>
      </w:r>
      <w:bookmarkEnd w:id="77"/>
    </w:p>
    <w:p>
      <w:pPr>
        <w:pStyle w:val="Subsection"/>
      </w:pPr>
      <w:r>
        <w:tab/>
        <w:t>(1)</w:t>
      </w:r>
      <w:r>
        <w:tab/>
        <w:t xml:space="preserve">The provider must not send promotional or advertising material directly to an account holder unless — </w:t>
      </w:r>
    </w:p>
    <w:p>
      <w:pPr>
        <w:pStyle w:val="Indenta"/>
      </w:pPr>
      <w:r>
        <w:tab/>
        <w:t>(a)</w:t>
      </w:r>
      <w:r>
        <w:tab/>
        <w:t>the holder has given the provider express consent to receive promotional or advertising material directly and has not withdrawn their consent; and</w:t>
      </w:r>
    </w:p>
    <w:p>
      <w:pPr>
        <w:pStyle w:val="Indenta"/>
      </w:pPr>
      <w:r>
        <w:tab/>
        <w:t>(b)</w:t>
      </w:r>
      <w:r>
        <w:tab/>
        <w:t xml:space="preserve">if the promotional or advertising material is sent by email — the holder can withdraw their consent or opt </w:t>
      </w:r>
      <w:r>
        <w:lastRenderedPageBreak/>
        <w:t>out of receiving promotional or advertising material directly by clicking on a single link that is prominently displayed in the email; and</w:t>
      </w:r>
    </w:p>
    <w:p>
      <w:pPr>
        <w:pStyle w:val="Indenta"/>
      </w:pPr>
      <w:r>
        <w:tab/>
        <w:t>(c)</w:t>
      </w:r>
      <w:r>
        <w:tab/>
        <w:t>if the promotional or advertising material is sent other than by email — the provider gives the holder a means by which the holder can easily withdraw their consent or opt out of receiving promotional or advertising material directly.</w:t>
      </w:r>
    </w:p>
    <w:p>
      <w:pPr>
        <w:pStyle w:val="Penstart"/>
        <w:rPr>
          <w:rStyle w:val="DraftersNotes"/>
          <w:b w:val="0"/>
          <w:i w:val="0"/>
        </w:rPr>
      </w:pPr>
      <w:r>
        <w:tab/>
        <w:t>Penalty for this subregulation: for an individual or a body corporate, a fine of $1 000.</w:t>
      </w:r>
    </w:p>
    <w:p>
      <w:pPr>
        <w:pStyle w:val="Subsection"/>
      </w:pPr>
      <w:r>
        <w:tab/>
        <w:t>(2)</w:t>
      </w:r>
      <w:r>
        <w:tab/>
        <w:t xml:space="preserve">For the purposes of subregulation (1)(a), an account holder is taken to have withdrawn their consent — </w:t>
      </w:r>
    </w:p>
    <w:p>
      <w:pPr>
        <w:pStyle w:val="Indenta"/>
      </w:pPr>
      <w:r>
        <w:tab/>
        <w:t>(a)</w:t>
      </w:r>
      <w:r>
        <w:tab/>
        <w:t>if the holder requests the provider to close their betting account — 24 hours after the request was made; or</w:t>
      </w:r>
    </w:p>
    <w:p>
      <w:pPr>
        <w:pStyle w:val="Indenta"/>
      </w:pPr>
      <w:r>
        <w:tab/>
        <w:t>(b)</w:t>
      </w:r>
      <w:r>
        <w:tab/>
        <w:t>if the holder does not access their betting account for a period of 12 months — at the end of that period.</w:t>
      </w:r>
    </w:p>
    <w:p>
      <w:pPr>
        <w:pStyle w:val="Subsection"/>
      </w:pPr>
      <w:r>
        <w:tab/>
        <w:t>(3)</w:t>
      </w:r>
      <w:r>
        <w:tab/>
        <w:t xml:space="preserve">The provider must not offer any credit, voucher, reward or other benefit as an inducement for an account holder to — </w:t>
      </w:r>
    </w:p>
    <w:p>
      <w:pPr>
        <w:pStyle w:val="Indenta"/>
      </w:pPr>
      <w:r>
        <w:tab/>
        <w:t>(a)</w:t>
      </w:r>
      <w:r>
        <w:tab/>
        <w:t>consent to receive promotional or advertising material directly; or</w:t>
      </w:r>
    </w:p>
    <w:p>
      <w:pPr>
        <w:pStyle w:val="Indenta"/>
      </w:pPr>
      <w:r>
        <w:tab/>
        <w:t>(b)</w:t>
      </w:r>
      <w:r>
        <w:tab/>
        <w:t>not withdraw their consent to receive promotional or advertising material directly or opt out of receiving promotional or advertising material directly.</w:t>
      </w:r>
    </w:p>
    <w:p>
      <w:pPr>
        <w:pStyle w:val="Penstart"/>
      </w:pPr>
      <w:r>
        <w:tab/>
        <w:t>Penalty for this subregulation: for an individual or a body corporate, a fine of $1 000.</w:t>
      </w:r>
    </w:p>
    <w:p>
      <w:pPr>
        <w:pStyle w:val="Subsection"/>
      </w:pPr>
      <w:r>
        <w:tab/>
        <w:t>(4)</w:t>
      </w:r>
      <w:r>
        <w:tab/>
        <w:t xml:space="preserve">The provider must not require a person to consent to receive promotional or advertising material directly in order to — </w:t>
      </w:r>
    </w:p>
    <w:p>
      <w:pPr>
        <w:pStyle w:val="Indenta"/>
      </w:pPr>
      <w:r>
        <w:tab/>
        <w:t>(a)</w:t>
      </w:r>
      <w:r>
        <w:tab/>
        <w:t>establish a betting account with the provider; or</w:t>
      </w:r>
    </w:p>
    <w:p>
      <w:pPr>
        <w:pStyle w:val="Indenta"/>
      </w:pPr>
      <w:r>
        <w:tab/>
        <w:t>(b)</w:t>
      </w:r>
      <w:r>
        <w:tab/>
        <w:t xml:space="preserve">if the person is an account holder — </w:t>
      </w:r>
    </w:p>
    <w:p>
      <w:pPr>
        <w:pStyle w:val="Indenti"/>
      </w:pPr>
      <w:r>
        <w:tab/>
        <w:t>(i)</w:t>
      </w:r>
      <w:r>
        <w:tab/>
        <w:t>access their betting account; or</w:t>
      </w:r>
    </w:p>
    <w:p>
      <w:pPr>
        <w:pStyle w:val="Indenti"/>
      </w:pPr>
      <w:r>
        <w:tab/>
        <w:t>(ii)</w:t>
      </w:r>
      <w:r>
        <w:tab/>
        <w:t>use their betting account; or</w:t>
      </w:r>
    </w:p>
    <w:p>
      <w:pPr>
        <w:pStyle w:val="Indenti"/>
      </w:pPr>
      <w:r>
        <w:lastRenderedPageBreak/>
        <w:tab/>
        <w:t>(iii)</w:t>
      </w:r>
      <w:r>
        <w:tab/>
        <w:t>use a function associated with their betting account.</w:t>
      </w:r>
    </w:p>
    <w:p>
      <w:pPr>
        <w:pStyle w:val="Penstart"/>
      </w:pPr>
      <w:r>
        <w:tab/>
        <w:t>Penalty for this subregulation: for an individual or a body corporate, a fine of $1 000.</w:t>
      </w:r>
    </w:p>
    <w:p>
      <w:pPr>
        <w:pStyle w:val="Subsection"/>
      </w:pPr>
      <w:r>
        <w:tab/>
        <w:t>(5)</w:t>
      </w:r>
      <w:r>
        <w:tab/>
        <w:t xml:space="preserve">In this regulation — </w:t>
      </w:r>
    </w:p>
    <w:p>
      <w:pPr>
        <w:pStyle w:val="Indenta"/>
      </w:pPr>
      <w:r>
        <w:tab/>
        <w:t>(a)</w:t>
      </w:r>
      <w:r>
        <w:tab/>
        <w:t>a reference to the provider sending promotional or advertising material directly to an account holder includes a reference to the provider, by using the holder’s social media platform account name in a post or comment on the platform (commonly known as tagging or mentioning), causing a notification to be sent to the holder that directs the holder to promotional or advertising material; and</w:t>
      </w:r>
    </w:p>
    <w:p>
      <w:pPr>
        <w:pStyle w:val="Indenta"/>
      </w:pPr>
      <w:r>
        <w:tab/>
        <w:t>(b)</w:t>
      </w:r>
      <w:r>
        <w:tab/>
        <w:t>a reference to an account holder receiving promotional or advertising material directly includes a reference to the holder receiving a notification referred to in paragraph (a).</w:t>
      </w:r>
    </w:p>
    <w:p>
      <w:pPr>
        <w:pStyle w:val="Footnotesection"/>
      </w:pPr>
      <w:r>
        <w:tab/>
        <w:t>[Regulation 77G inserted: SL 2025/30 r. 4.]</w:t>
      </w:r>
    </w:p>
    <w:p>
      <w:pPr>
        <w:pStyle w:val="Heading3"/>
      </w:pPr>
      <w:bookmarkStart w:id="78" w:name="_Toc217039397"/>
      <w:bookmarkStart w:id="79" w:name="_Toc217040638"/>
      <w:bookmarkStart w:id="80" w:name="_Toc217297044"/>
      <w:r>
        <w:rPr>
          <w:rStyle w:val="CharDivNo"/>
        </w:rPr>
        <w:t>Division 3</w:t>
      </w:r>
      <w:r>
        <w:t> —</w:t>
      </w:r>
      <w:r>
        <w:rPr>
          <w:rStyle w:val="CharDivText"/>
        </w:rPr>
        <w:t> Closing betting accounts</w:t>
      </w:r>
      <w:bookmarkEnd w:id="78"/>
      <w:bookmarkEnd w:id="79"/>
      <w:bookmarkEnd w:id="80"/>
    </w:p>
    <w:p>
      <w:pPr>
        <w:pStyle w:val="Footnoteheading"/>
      </w:pPr>
      <w:r>
        <w:tab/>
        <w:t>[Heading inserted: SL 2025/30 r. 4.]</w:t>
      </w:r>
    </w:p>
    <w:p>
      <w:pPr>
        <w:pStyle w:val="Heading5"/>
      </w:pPr>
      <w:bookmarkStart w:id="81" w:name="_Toc217297045"/>
      <w:r>
        <w:rPr>
          <w:rStyle w:val="CharSectno"/>
        </w:rPr>
        <w:t>77H</w:t>
      </w:r>
      <w:r>
        <w:t>.</w:t>
      </w:r>
      <w:r>
        <w:tab/>
        <w:t>Process for closing betting accounts</w:t>
      </w:r>
      <w:bookmarkEnd w:id="81"/>
    </w:p>
    <w:p>
      <w:pPr>
        <w:pStyle w:val="Subsection"/>
      </w:pPr>
      <w:r>
        <w:tab/>
        <w:t>(1)</w:t>
      </w:r>
      <w:r>
        <w:tab/>
        <w:t>The provider must ensure that the process for closing a betting account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closing a betting account allows the holder to close the betting account by — </w:t>
      </w:r>
    </w:p>
    <w:p>
      <w:pPr>
        <w:pStyle w:val="Indenta"/>
      </w:pPr>
      <w:r>
        <w:tab/>
        <w:t>(a)</w:t>
      </w:r>
      <w:r>
        <w:tab/>
        <w:t>telephone; or</w:t>
      </w:r>
    </w:p>
    <w:p>
      <w:pPr>
        <w:pStyle w:val="Indenta"/>
      </w:pPr>
      <w:r>
        <w:tab/>
        <w:t>(b)</w:t>
      </w:r>
      <w:r>
        <w:tab/>
        <w:t>email; or</w:t>
      </w:r>
    </w:p>
    <w:p>
      <w:pPr>
        <w:pStyle w:val="Indenta"/>
        <w:keepNext/>
      </w:pPr>
      <w:r>
        <w:lastRenderedPageBreak/>
        <w:tab/>
        <w:t>(c)</w:t>
      </w:r>
      <w:r>
        <w:tab/>
        <w:t xml:space="preserve">any other means by which the holder may use the betting account to place a bet. </w:t>
      </w:r>
    </w:p>
    <w:p>
      <w:pPr>
        <w:pStyle w:val="Penstart"/>
        <w:rPr>
          <w:rStyle w:val="DraftersNotes"/>
          <w:b w:val="0"/>
          <w:i w:val="0"/>
        </w:rPr>
      </w:pPr>
      <w:r>
        <w:tab/>
        <w:t>Penalty for this subregulation: for an individual or a body corporate, a fine of $1 000.</w:t>
      </w:r>
    </w:p>
    <w:p>
      <w:pPr>
        <w:pStyle w:val="Subsection"/>
      </w:pPr>
      <w:r>
        <w:tab/>
        <w:t>(3)</w:t>
      </w:r>
      <w:r>
        <w:tab/>
        <w:t xml:space="preserve">The provider must prominently display the process for closing a betting account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rPr>
          <w:rStyle w:val="DraftersNotes"/>
          <w:b w:val="0"/>
          <w:i w:val="0"/>
        </w:rPr>
      </w:pPr>
      <w:r>
        <w:tab/>
        <w:t>Penalty for this subregulation: for an individual or a body corporate, a fine of $1 000.</w:t>
      </w:r>
    </w:p>
    <w:p>
      <w:pPr>
        <w:pStyle w:val="Subsection"/>
      </w:pPr>
      <w:r>
        <w:tab/>
        <w:t>(4)</w:t>
      </w:r>
      <w:r>
        <w:tab/>
        <w:t xml:space="preserve">Subregulation (5) applies if — </w:t>
      </w:r>
    </w:p>
    <w:p>
      <w:pPr>
        <w:pStyle w:val="Indenta"/>
      </w:pPr>
      <w:r>
        <w:tab/>
        <w:t>(a)</w:t>
      </w:r>
      <w:r>
        <w:tab/>
        <w:t>the provider does not maintain a website; and</w:t>
      </w:r>
    </w:p>
    <w:p>
      <w:pPr>
        <w:pStyle w:val="Indenta"/>
      </w:pPr>
      <w:r>
        <w:tab/>
        <w:t>(b)</w:t>
      </w:r>
      <w:r>
        <w:tab/>
        <w:t>an account holder’s betting account only allows the holder to use the betting account to place a bet using a telephone.</w:t>
      </w:r>
    </w:p>
    <w:p>
      <w:pPr>
        <w:pStyle w:val="Subsection"/>
        <w:rPr>
          <w:rStyle w:val="DraftersNotes"/>
          <w:b w:val="0"/>
          <w:i w:val="0"/>
        </w:rPr>
      </w:pPr>
      <w:r>
        <w:tab/>
        <w:t>(5)</w:t>
      </w:r>
      <w:r>
        <w:tab/>
        <w:t>If the account holder so requests by telephone, the provider must, by telephone, give the holder details of the process for closing the betting account.</w:t>
      </w:r>
    </w:p>
    <w:p>
      <w:pPr>
        <w:pStyle w:val="Penstart"/>
      </w:pPr>
      <w:r>
        <w:tab/>
        <w:t>Penalty for this subregulation: for an individual or a body corporate, a fine of $1 000.</w:t>
      </w:r>
    </w:p>
    <w:p>
      <w:pPr>
        <w:pStyle w:val="Footnotesection"/>
      </w:pPr>
      <w:r>
        <w:tab/>
        <w:t>[Regulation 77H inserted: SL 2025/30 r. 4.]</w:t>
      </w:r>
    </w:p>
    <w:p>
      <w:pPr>
        <w:pStyle w:val="Heading5"/>
      </w:pPr>
      <w:bookmarkStart w:id="82" w:name="_Toc217297046"/>
      <w:r>
        <w:rPr>
          <w:rStyle w:val="CharSectno"/>
        </w:rPr>
        <w:t>77I</w:t>
      </w:r>
      <w:r>
        <w:t>.</w:t>
      </w:r>
      <w:r>
        <w:tab/>
        <w:t>Betting account closure</w:t>
      </w:r>
      <w:bookmarkEnd w:id="82"/>
    </w:p>
    <w:p>
      <w:pPr>
        <w:pStyle w:val="Subsection"/>
      </w:pPr>
      <w:r>
        <w:tab/>
      </w:r>
      <w:r>
        <w:tab/>
        <w:t xml:space="preserve">If an account holder requests that the provider close their betting account, the provider must — </w:t>
      </w:r>
    </w:p>
    <w:p>
      <w:pPr>
        <w:pStyle w:val="Indenta"/>
      </w:pPr>
      <w:r>
        <w:tab/>
        <w:t>(a)</w:t>
      </w:r>
      <w:r>
        <w:tab/>
        <w:t>immediately cease to accept new bets from the holder; and</w:t>
      </w:r>
    </w:p>
    <w:p>
      <w:pPr>
        <w:pStyle w:val="Indenta"/>
        <w:keepNext/>
      </w:pPr>
      <w:r>
        <w:lastRenderedPageBreak/>
        <w:tab/>
        <w:t>(b)</w:t>
      </w:r>
      <w:r>
        <w:tab/>
        <w:t>close the betting account as soon as practicable after any existing bet is settled.</w:t>
      </w:r>
    </w:p>
    <w:p>
      <w:pPr>
        <w:pStyle w:val="Penstart"/>
      </w:pPr>
      <w:r>
        <w:tab/>
        <w:t>Penalty: for an individual or a body corporate, a fine of $1 000.</w:t>
      </w:r>
    </w:p>
    <w:p>
      <w:pPr>
        <w:pStyle w:val="Footnotesection"/>
      </w:pPr>
      <w:r>
        <w:tab/>
        <w:t>[Regulation 77I inserted: SL 2025/30 r. 4.]</w:t>
      </w:r>
    </w:p>
    <w:p>
      <w:pPr>
        <w:pStyle w:val="Heading5"/>
      </w:pPr>
      <w:bookmarkStart w:id="83" w:name="_Toc217297047"/>
      <w:r>
        <w:rPr>
          <w:rStyle w:val="CharSectno"/>
        </w:rPr>
        <w:t>77J</w:t>
      </w:r>
      <w:r>
        <w:t>.</w:t>
      </w:r>
      <w:r>
        <w:tab/>
        <w:t>Inducements and encouragement prohibited in relation to closing betting accounts</w:t>
      </w:r>
      <w:bookmarkEnd w:id="83"/>
    </w:p>
    <w:p>
      <w:pPr>
        <w:pStyle w:val="Subsection"/>
      </w:pPr>
      <w:r>
        <w:tab/>
        <w:t>(1)</w:t>
      </w:r>
      <w:r>
        <w:tab/>
        <w:t xml:space="preserve">If an account holder asks the provider to close their betting account, the provider must not — </w:t>
      </w:r>
    </w:p>
    <w:p>
      <w:pPr>
        <w:pStyle w:val="Indenta"/>
      </w:pPr>
      <w:r>
        <w:tab/>
        <w:t>(a)</w:t>
      </w:r>
      <w:r>
        <w:tab/>
        <w:t>offer any credit, voucher, reward or other benefit as an inducement for the holder to not close their betting account; or</w:t>
      </w:r>
    </w:p>
    <w:p>
      <w:pPr>
        <w:pStyle w:val="Indenta"/>
      </w:pPr>
      <w:r>
        <w:tab/>
        <w:t>(b)</w:t>
      </w:r>
      <w:r>
        <w:tab/>
        <w:t>encourage the holder to not close their betting account.</w:t>
      </w:r>
    </w:p>
    <w:p>
      <w:pPr>
        <w:pStyle w:val="Penstart"/>
      </w:pPr>
      <w:r>
        <w:tab/>
        <w:t>Penalty for this subregulation: for an individual or a body corporate, a fine of $1 000.</w:t>
      </w:r>
    </w:p>
    <w:p>
      <w:pPr>
        <w:pStyle w:val="Subsection"/>
      </w:pPr>
      <w:r>
        <w:tab/>
        <w:t>(2)</w:t>
      </w:r>
      <w:r>
        <w:tab/>
        <w:t xml:space="preserve">The provider does not contravene subregulation (1) if the provider merely — </w:t>
      </w:r>
    </w:p>
    <w:p>
      <w:pPr>
        <w:pStyle w:val="Indenta"/>
      </w:pPr>
      <w:r>
        <w:tab/>
        <w:t>(a)</w:t>
      </w:r>
      <w:r>
        <w:tab/>
        <w:t>explains to the account holder the consequences of closing the betting account; and</w:t>
      </w:r>
    </w:p>
    <w:p>
      <w:pPr>
        <w:pStyle w:val="Indenta"/>
      </w:pPr>
      <w:r>
        <w:tab/>
        <w:t>(b)</w:t>
      </w:r>
      <w:r>
        <w:tab/>
        <w:t>asks if the holder wishes to proceed with closing the betting account.</w:t>
      </w:r>
    </w:p>
    <w:p>
      <w:pPr>
        <w:pStyle w:val="Footnotesection"/>
      </w:pPr>
      <w:r>
        <w:tab/>
        <w:t>[Regulation 77J inserted: SL 2025/30 r. 4.]</w:t>
      </w:r>
    </w:p>
    <w:p>
      <w:pPr>
        <w:pStyle w:val="Heading3"/>
      </w:pPr>
      <w:bookmarkStart w:id="84" w:name="_Toc217039401"/>
      <w:bookmarkStart w:id="85" w:name="_Toc217040642"/>
      <w:bookmarkStart w:id="86" w:name="_Toc217297048"/>
      <w:r>
        <w:rPr>
          <w:rStyle w:val="CharDivNo"/>
        </w:rPr>
        <w:t>Division 4</w:t>
      </w:r>
      <w:r>
        <w:t> —</w:t>
      </w:r>
      <w:r>
        <w:rPr>
          <w:rStyle w:val="CharDivText"/>
        </w:rPr>
        <w:t> Deposit limits</w:t>
      </w:r>
      <w:bookmarkEnd w:id="84"/>
      <w:bookmarkEnd w:id="85"/>
      <w:bookmarkEnd w:id="86"/>
    </w:p>
    <w:p>
      <w:pPr>
        <w:pStyle w:val="Footnoteheading"/>
      </w:pPr>
      <w:r>
        <w:tab/>
        <w:t>[Heading inserted: SL 2025/30 r. 4.]</w:t>
      </w:r>
    </w:p>
    <w:p>
      <w:pPr>
        <w:pStyle w:val="Heading5"/>
      </w:pPr>
      <w:bookmarkStart w:id="87" w:name="_Toc217297049"/>
      <w:r>
        <w:rPr>
          <w:rStyle w:val="CharSectno"/>
        </w:rPr>
        <w:t>77K</w:t>
      </w:r>
      <w:r>
        <w:t>.</w:t>
      </w:r>
      <w:r>
        <w:tab/>
        <w:t>Deposit limits</w:t>
      </w:r>
      <w:bookmarkEnd w:id="87"/>
    </w:p>
    <w:p>
      <w:pPr>
        <w:pStyle w:val="Subsection"/>
      </w:pPr>
      <w:r>
        <w:tab/>
        <w:t>(1)</w:t>
      </w:r>
      <w:r>
        <w:tab/>
        <w:t xml:space="preserve">Before the provider establishes a betting account for a person, the provider must — </w:t>
      </w:r>
    </w:p>
    <w:p>
      <w:pPr>
        <w:pStyle w:val="Indenta"/>
      </w:pPr>
      <w:r>
        <w:tab/>
        <w:t>(a)</w:t>
      </w:r>
      <w:r>
        <w:tab/>
        <w:t>require the person to set a deposit limit for the betting account or indicate they do not wish to set a deposit limit for the betting account; and</w:t>
      </w:r>
    </w:p>
    <w:p>
      <w:pPr>
        <w:pStyle w:val="Indenta"/>
      </w:pPr>
      <w:r>
        <w:lastRenderedPageBreak/>
        <w:tab/>
        <w:t>(b)</w:t>
      </w:r>
      <w:r>
        <w:tab/>
        <w:t xml:space="preserve">if the person indicates they do not wish to set a deposit limit for the betting account — </w:t>
      </w:r>
    </w:p>
    <w:p>
      <w:pPr>
        <w:pStyle w:val="Indenti"/>
      </w:pPr>
      <w:r>
        <w:tab/>
        <w:t>(i)</w:t>
      </w:r>
      <w:r>
        <w:tab/>
        <w:t>give the person information about the benefits of setting a deposit limit for a betting account; and</w:t>
      </w:r>
    </w:p>
    <w:p>
      <w:pPr>
        <w:pStyle w:val="Indenti"/>
      </w:pPr>
      <w:r>
        <w:tab/>
        <w:t>(ii)</w:t>
      </w:r>
      <w:r>
        <w:tab/>
        <w:t>ask the person if they wish to proceed with not setting a deposit limit for the betting account.</w:t>
      </w:r>
    </w:p>
    <w:p>
      <w:pPr>
        <w:pStyle w:val="Penstart"/>
        <w:rPr>
          <w:rStyle w:val="DraftersNotes"/>
          <w:b w:val="0"/>
          <w:i w:val="0"/>
        </w:rPr>
      </w:pPr>
      <w:r>
        <w:tab/>
        <w:t>Penalty for this subregulation: for an individual or a body corporate, a fine of $1 000.</w:t>
      </w:r>
    </w:p>
    <w:p>
      <w:pPr>
        <w:pStyle w:val="Subsection"/>
      </w:pPr>
      <w:r>
        <w:tab/>
        <w:t>(2)</w:t>
      </w:r>
      <w:r>
        <w:tab/>
        <w:t>If a person sets a deposit limit for a betting account established for the person, the provider must make the betting account subject to the deposit limit.</w:t>
      </w:r>
    </w:p>
    <w:p>
      <w:pPr>
        <w:pStyle w:val="Penstart"/>
      </w:pPr>
      <w:r>
        <w:tab/>
        <w:t>Penalty for this subregulation: for an individual or a body corporate, a fine of $1 000.</w:t>
      </w:r>
    </w:p>
    <w:p>
      <w:pPr>
        <w:pStyle w:val="Subsection"/>
      </w:pPr>
      <w:r>
        <w:tab/>
        <w:t>(3)</w:t>
      </w:r>
      <w:r>
        <w:tab/>
        <w:t xml:space="preserve">The provider must not allow an account holder to deposit money into their betting account if the betting account is subject to a deposit limit and — </w:t>
      </w:r>
    </w:p>
    <w:p>
      <w:pPr>
        <w:pStyle w:val="Indenta"/>
      </w:pPr>
      <w:r>
        <w:tab/>
        <w:t>(a)</w:t>
      </w:r>
      <w:r>
        <w:tab/>
        <w:t>the deposit limit has been reached; or</w:t>
      </w:r>
    </w:p>
    <w:p>
      <w:pPr>
        <w:pStyle w:val="Indenta"/>
      </w:pPr>
      <w:r>
        <w:tab/>
        <w:t>(b)</w:t>
      </w:r>
      <w:r>
        <w:tab/>
        <w:t>the deposit limit would be exceeded if the money were deposited.</w:t>
      </w:r>
    </w:p>
    <w:p>
      <w:pPr>
        <w:pStyle w:val="Penstart"/>
      </w:pPr>
      <w:r>
        <w:tab/>
        <w:t>Penalty for this subregulation: for an individual or a body corporate, a fine of $1 000.</w:t>
      </w:r>
    </w:p>
    <w:p>
      <w:pPr>
        <w:pStyle w:val="Footnotesection"/>
      </w:pPr>
      <w:r>
        <w:tab/>
        <w:t>[Regulation 77K inserted: SL 2025/30 r. 4.]</w:t>
      </w:r>
    </w:p>
    <w:p>
      <w:pPr>
        <w:pStyle w:val="Heading5"/>
      </w:pPr>
      <w:bookmarkStart w:id="88" w:name="_Toc217297050"/>
      <w:r>
        <w:rPr>
          <w:rStyle w:val="CharSectno"/>
        </w:rPr>
        <w:t>77L</w:t>
      </w:r>
      <w:r>
        <w:t>.</w:t>
      </w:r>
      <w:r>
        <w:tab/>
        <w:t>Review of deposit limits</w:t>
      </w:r>
      <w:bookmarkEnd w:id="88"/>
    </w:p>
    <w:p>
      <w:pPr>
        <w:pStyle w:val="Subsection"/>
      </w:pPr>
      <w:r>
        <w:tab/>
        <w:t>(1)</w:t>
      </w:r>
      <w:r>
        <w:tab/>
        <w:t xml:space="preserve">In this regulation — </w:t>
      </w:r>
    </w:p>
    <w:p>
      <w:pPr>
        <w:pStyle w:val="Defstart"/>
      </w:pPr>
      <w:r>
        <w:tab/>
      </w:r>
      <w:r>
        <w:rPr>
          <w:rStyle w:val="CharDefText"/>
        </w:rPr>
        <w:t>relevant time</w:t>
      </w:r>
      <w:r>
        <w:t>, for asking an account holder, means at the time the holder places their first bet with the provider after each anniversary of the day on which the holder placed their first bet with the provider using their betting account;</w:t>
      </w:r>
    </w:p>
    <w:p>
      <w:pPr>
        <w:pStyle w:val="Defstart"/>
      </w:pPr>
      <w:r>
        <w:tab/>
      </w:r>
      <w:r>
        <w:rPr>
          <w:rStyle w:val="CharDefText"/>
        </w:rPr>
        <w:t>relevant way</w:t>
      </w:r>
      <w:r>
        <w:t xml:space="preserve">, for asking an account holder, means — </w:t>
      </w:r>
    </w:p>
    <w:p>
      <w:pPr>
        <w:pStyle w:val="Defpara"/>
      </w:pPr>
      <w:r>
        <w:tab/>
        <w:t>(a)</w:t>
      </w:r>
      <w:r>
        <w:tab/>
        <w:t>if the holder is placing their bet using a telephone — by telephone; or</w:t>
      </w:r>
    </w:p>
    <w:p>
      <w:pPr>
        <w:pStyle w:val="Defpara"/>
      </w:pPr>
      <w:r>
        <w:lastRenderedPageBreak/>
        <w:tab/>
        <w:t>(b)</w:t>
      </w:r>
      <w:r>
        <w:tab/>
        <w:t>if the holder is placing their bet using another means — in writing using that other means.</w:t>
      </w:r>
    </w:p>
    <w:p>
      <w:pPr>
        <w:pStyle w:val="Subsection"/>
      </w:pPr>
      <w:r>
        <w:tab/>
        <w:t>(2)</w:t>
      </w:r>
      <w:r>
        <w:tab/>
        <w:t>The provider must, at the relevant time and in the relevant way, ask an account holder whether the holder wishes to set a deposit limit or change the deposit limit (as the case may be) for the holder’s betting account.</w:t>
      </w:r>
    </w:p>
    <w:p>
      <w:pPr>
        <w:pStyle w:val="Penstart"/>
      </w:pPr>
      <w:r>
        <w:tab/>
        <w:t>Penalty for this subregulation: for an individual or a body corporate, a fine of $1 000.</w:t>
      </w:r>
    </w:p>
    <w:p>
      <w:pPr>
        <w:pStyle w:val="Subsection"/>
      </w:pPr>
      <w:r>
        <w:tab/>
        <w:t>(3)</w:t>
      </w:r>
      <w:r>
        <w:tab/>
        <w:t>Subregulation (2) does not apply if the account holder has not used their betting account to place a bet within the previous 12 months.</w:t>
      </w:r>
    </w:p>
    <w:p>
      <w:pPr>
        <w:pStyle w:val="Footnotesection"/>
      </w:pPr>
      <w:r>
        <w:tab/>
        <w:t>[Regulation 77L inserted: SL 2025/30 r. 4.]</w:t>
      </w:r>
    </w:p>
    <w:p>
      <w:pPr>
        <w:pStyle w:val="Heading5"/>
      </w:pPr>
      <w:bookmarkStart w:id="89" w:name="_Toc217297051"/>
      <w:r>
        <w:rPr>
          <w:rStyle w:val="CharSectno"/>
        </w:rPr>
        <w:t>77M</w:t>
      </w:r>
      <w:r>
        <w:t>.</w:t>
      </w:r>
      <w:r>
        <w:tab/>
        <w:t>Process for account holder to set or change deposit limit</w:t>
      </w:r>
      <w:bookmarkEnd w:id="89"/>
    </w:p>
    <w:p>
      <w:pPr>
        <w:pStyle w:val="Subsection"/>
      </w:pPr>
      <w:r>
        <w:tab/>
        <w:t>(1)</w:t>
      </w:r>
      <w:r>
        <w:tab/>
        <w:t>The provider must ensure that the process for an account holder to set or change the deposit limit to which their betting account is subject is simple and easy for a reasonable person to use.</w:t>
      </w:r>
    </w:p>
    <w:p>
      <w:pPr>
        <w:pStyle w:val="Penstart"/>
      </w:pPr>
      <w:r>
        <w:tab/>
        <w:t>Penalty for this subregulation: for an individual or a body corporate, a fine of $1 000.</w:t>
      </w:r>
    </w:p>
    <w:p>
      <w:pPr>
        <w:pStyle w:val="Subsection"/>
      </w:pPr>
      <w:r>
        <w:tab/>
        <w:t>(2)</w:t>
      </w:r>
      <w:r>
        <w:tab/>
        <w:t xml:space="preserve">The provider must ensure that the process for an account holder to set or change the deposit limit to which their betting account is subject — </w:t>
      </w:r>
    </w:p>
    <w:p>
      <w:pPr>
        <w:pStyle w:val="Indenta"/>
      </w:pPr>
      <w:r>
        <w:tab/>
        <w:t>(a)</w:t>
      </w:r>
      <w:r>
        <w:tab/>
        <w:t xml:space="preserve">allows the holder to choose the duration for which the deposit limit applies from at least 2 options offered by the provider, including, for example, the following — </w:t>
      </w:r>
    </w:p>
    <w:p>
      <w:pPr>
        <w:pStyle w:val="Indenti"/>
      </w:pPr>
      <w:r>
        <w:tab/>
        <w:t>(i)</w:t>
      </w:r>
      <w:r>
        <w:tab/>
        <w:t>1 day;</w:t>
      </w:r>
    </w:p>
    <w:p>
      <w:pPr>
        <w:pStyle w:val="Indenti"/>
      </w:pPr>
      <w:r>
        <w:tab/>
        <w:t>(ii)</w:t>
      </w:r>
      <w:r>
        <w:tab/>
        <w:t>1 week;</w:t>
      </w:r>
    </w:p>
    <w:p>
      <w:pPr>
        <w:pStyle w:val="Indenti"/>
      </w:pPr>
      <w:r>
        <w:tab/>
        <w:t>(iii)</w:t>
      </w:r>
      <w:r>
        <w:tab/>
        <w:t>1 fortnight;</w:t>
      </w:r>
    </w:p>
    <w:p>
      <w:pPr>
        <w:pStyle w:val="Indenti"/>
      </w:pPr>
      <w:r>
        <w:tab/>
        <w:t>(iv)</w:t>
      </w:r>
      <w:r>
        <w:tab/>
        <w:t>1 month;</w:t>
      </w:r>
    </w:p>
    <w:p>
      <w:pPr>
        <w:pStyle w:val="Indenta"/>
      </w:pPr>
      <w:r>
        <w:tab/>
      </w:r>
      <w:r>
        <w:tab/>
        <w:t>and</w:t>
      </w:r>
    </w:p>
    <w:p>
      <w:pPr>
        <w:pStyle w:val="Indenta"/>
      </w:pPr>
      <w:r>
        <w:tab/>
        <w:t>(b)</w:t>
      </w:r>
      <w:r>
        <w:tab/>
        <w:t>does not allow the holder to choose a duration for which the deposit limit applies of more than 1 month; and</w:t>
      </w:r>
    </w:p>
    <w:p>
      <w:pPr>
        <w:pStyle w:val="Indenta"/>
      </w:pPr>
      <w:r>
        <w:lastRenderedPageBreak/>
        <w:tab/>
        <w:t>(c)</w:t>
      </w:r>
      <w:r>
        <w:tab/>
        <w:t>allows the holder to set or change the deposit limit themselves by any means by which the holder may use the betting account to place a bet; and</w:t>
      </w:r>
    </w:p>
    <w:p>
      <w:pPr>
        <w:pStyle w:val="Indenta"/>
      </w:pPr>
      <w:r>
        <w:tab/>
        <w:t>(d)</w:t>
      </w:r>
      <w:r>
        <w:tab/>
        <w:t>allows the holder to request, in person or by telephone or email, that the provider set or change the deposit limit.</w:t>
      </w:r>
    </w:p>
    <w:p>
      <w:pPr>
        <w:pStyle w:val="Penstart"/>
      </w:pPr>
      <w:r>
        <w:tab/>
        <w:t>Penalty for this subregulation: for an individual or a body corporate, a fine of $1 000.</w:t>
      </w:r>
    </w:p>
    <w:p>
      <w:pPr>
        <w:pStyle w:val="Subsection"/>
      </w:pPr>
      <w:r>
        <w:tab/>
        <w:t>(3)</w:t>
      </w:r>
      <w:r>
        <w:tab/>
        <w:t xml:space="preserve">The provider must prominently display the process for an account holder to set or change the deposit limit to which their betting account is subject — </w:t>
      </w:r>
    </w:p>
    <w:p>
      <w:pPr>
        <w:pStyle w:val="Indenta"/>
      </w:pPr>
      <w:r>
        <w:tab/>
        <w:t>(a)</w:t>
      </w:r>
      <w:r>
        <w:tab/>
        <w:t>if the provider maintains a website — on the website; and</w:t>
      </w:r>
    </w:p>
    <w:p>
      <w:pPr>
        <w:pStyle w:val="Indenta"/>
      </w:pPr>
      <w:r>
        <w:tab/>
        <w:t>(b)</w:t>
      </w:r>
      <w:r>
        <w:tab/>
        <w:t>if an account holder is able to access their betting account using the Internet — at the location on the Internet at which the holder accesses the betting account.</w:t>
      </w:r>
    </w:p>
    <w:p>
      <w:pPr>
        <w:pStyle w:val="Penstart"/>
      </w:pPr>
      <w:r>
        <w:tab/>
        <w:t>Penalty for this subregulation: for an individual or a body corporate, a fine of $1 000.</w:t>
      </w:r>
    </w:p>
    <w:p>
      <w:pPr>
        <w:pStyle w:val="Footnotesection"/>
      </w:pPr>
      <w:r>
        <w:tab/>
        <w:t>[Regulation 77M inserted: SL 2025/30 r. 4.]</w:t>
      </w:r>
    </w:p>
    <w:p>
      <w:pPr>
        <w:pStyle w:val="Heading5"/>
      </w:pPr>
      <w:bookmarkStart w:id="90" w:name="_Toc217297052"/>
      <w:r>
        <w:rPr>
          <w:rStyle w:val="CharSectno"/>
        </w:rPr>
        <w:t>77N</w:t>
      </w:r>
      <w:r>
        <w:t>.</w:t>
      </w:r>
      <w:r>
        <w:tab/>
        <w:t>Provider must give effect to changed deposit limit</w:t>
      </w:r>
      <w:bookmarkEnd w:id="90"/>
    </w:p>
    <w:p>
      <w:pPr>
        <w:pStyle w:val="Subsection"/>
      </w:pPr>
      <w:r>
        <w:tab/>
        <w:t>(1)</w:t>
      </w:r>
      <w:r>
        <w:tab/>
        <w:t>If an account holder requests that the provider decrease the deposit limit to which their betting account is subject, the provider must give immediate effect to the request.</w:t>
      </w:r>
    </w:p>
    <w:p>
      <w:pPr>
        <w:pStyle w:val="Penstart"/>
      </w:pPr>
      <w:r>
        <w:tab/>
        <w:t>Penalty for this subregulation: for an individual or a body corporate, a fine of $1 000.</w:t>
      </w:r>
    </w:p>
    <w:p>
      <w:pPr>
        <w:pStyle w:val="Subsection"/>
      </w:pPr>
      <w:r>
        <w:tab/>
        <w:t>(2)</w:t>
      </w:r>
      <w:r>
        <w:tab/>
        <w:t>If an account holder requests that the provider increase the deposit limit to which their betting account is subject, the provider must give effect to the request, but no earlier than 7 days after the request is made.</w:t>
      </w:r>
    </w:p>
    <w:p>
      <w:pPr>
        <w:pStyle w:val="Penstart"/>
      </w:pPr>
      <w:r>
        <w:tab/>
        <w:t>Penalty for this subregulation: for an individual or a body corporate, a fine of $1 000.</w:t>
      </w:r>
    </w:p>
    <w:p>
      <w:pPr>
        <w:pStyle w:val="Footnotesection"/>
      </w:pPr>
      <w:r>
        <w:tab/>
        <w:t>[Regulation 77N inserted: SL 2025/30 r. 4.]</w:t>
      </w:r>
    </w:p>
    <w:p>
      <w:pPr>
        <w:pStyle w:val="Heading5"/>
      </w:pPr>
      <w:bookmarkStart w:id="91" w:name="_Toc217297053"/>
      <w:r>
        <w:rPr>
          <w:rStyle w:val="CharSectno"/>
        </w:rPr>
        <w:lastRenderedPageBreak/>
        <w:t>77O</w:t>
      </w:r>
      <w:r>
        <w:t>.</w:t>
      </w:r>
      <w:r>
        <w:tab/>
        <w:t>Provider must promote availability of deposit limits</w:t>
      </w:r>
      <w:bookmarkEnd w:id="91"/>
    </w:p>
    <w:p>
      <w:pPr>
        <w:pStyle w:val="Subsection"/>
      </w:pPr>
      <w:r>
        <w:tab/>
      </w:r>
      <w:r>
        <w:tab/>
        <w:t xml:space="preserve">The provider must promote the availability of deposit limits for betting accounts — </w:t>
      </w:r>
    </w:p>
    <w:p>
      <w:pPr>
        <w:pStyle w:val="Indenta"/>
      </w:pPr>
      <w:r>
        <w:tab/>
        <w:t>(a)</w:t>
      </w:r>
      <w:r>
        <w:tab/>
        <w:t>on any brochure, pamphlet or other marketing material (other than an advertisement) that gives information about how to establish a betting account with the provider; and</w:t>
      </w:r>
    </w:p>
    <w:p>
      <w:pPr>
        <w:pStyle w:val="Indenta"/>
        <w:rPr>
          <w:rStyle w:val="DraftersNotes"/>
          <w:b w:val="0"/>
          <w:i w:val="0"/>
        </w:rPr>
      </w:pPr>
      <w:r>
        <w:tab/>
        <w:t>(b)</w:t>
      </w:r>
      <w:r>
        <w:tab/>
        <w:t>as part of any “welcome pack” (however described) given to an account holder upon the establishment of the holder’s betting account; and</w:t>
      </w:r>
    </w:p>
    <w:p>
      <w:pPr>
        <w:pStyle w:val="Indenta"/>
      </w:pPr>
      <w:r>
        <w:tab/>
        <w:t>(c)</w:t>
      </w:r>
      <w:r>
        <w:tab/>
        <w:t>if the provider maintains a website — on the website’s home page and any point</w:t>
      </w:r>
      <w:r>
        <w:noBreakHyphen/>
        <w:t>of</w:t>
      </w:r>
      <w:r>
        <w:noBreakHyphen/>
        <w:t>sale page; and</w:t>
      </w:r>
    </w:p>
    <w:p>
      <w:pPr>
        <w:pStyle w:val="Indenta"/>
      </w:pPr>
      <w:r>
        <w:tab/>
        <w:t>(d)</w:t>
      </w:r>
      <w:r>
        <w:tab/>
        <w:t>on any activity statement or transaction history for a betting account that the provider gives, or makes available to, the account holder under Division 5 or 6.</w:t>
      </w:r>
    </w:p>
    <w:p>
      <w:pPr>
        <w:pStyle w:val="Penstart"/>
      </w:pPr>
      <w:r>
        <w:tab/>
        <w:t>Penalty: for an individual or a body corporate, a fine of $1 000.</w:t>
      </w:r>
    </w:p>
    <w:p>
      <w:pPr>
        <w:pStyle w:val="Footnotesection"/>
      </w:pPr>
      <w:r>
        <w:tab/>
        <w:t>[Regulation 77O inserted: SL 2025/30 r. 4.]</w:t>
      </w:r>
    </w:p>
    <w:p>
      <w:pPr>
        <w:pStyle w:val="Heading3"/>
      </w:pPr>
      <w:bookmarkStart w:id="92" w:name="_Toc217039407"/>
      <w:bookmarkStart w:id="93" w:name="_Toc217040648"/>
      <w:bookmarkStart w:id="94" w:name="_Toc217297054"/>
      <w:r>
        <w:rPr>
          <w:rStyle w:val="CharDivNo"/>
        </w:rPr>
        <w:t>Division 5</w:t>
      </w:r>
      <w:r>
        <w:t> —</w:t>
      </w:r>
      <w:r>
        <w:rPr>
          <w:rStyle w:val="CharDivText"/>
        </w:rPr>
        <w:t> Activity statements</w:t>
      </w:r>
      <w:bookmarkEnd w:id="92"/>
      <w:bookmarkEnd w:id="93"/>
      <w:bookmarkEnd w:id="94"/>
    </w:p>
    <w:p>
      <w:pPr>
        <w:pStyle w:val="Footnoteheading"/>
      </w:pPr>
      <w:r>
        <w:tab/>
        <w:t>[Heading inserted: SL 2025/30 r. 4.]</w:t>
      </w:r>
    </w:p>
    <w:p>
      <w:pPr>
        <w:pStyle w:val="Heading5"/>
      </w:pPr>
      <w:bookmarkStart w:id="95" w:name="_Toc217297055"/>
      <w:r>
        <w:rPr>
          <w:rStyle w:val="CharSectno"/>
        </w:rPr>
        <w:t>77P</w:t>
      </w:r>
      <w:r>
        <w:t>.</w:t>
      </w:r>
      <w:r>
        <w:tab/>
        <w:t>Term used: activity statement</w:t>
      </w:r>
      <w:bookmarkEnd w:id="95"/>
    </w:p>
    <w:p>
      <w:pPr>
        <w:pStyle w:val="Subsection"/>
      </w:pPr>
      <w:r>
        <w:tab/>
      </w:r>
      <w:r>
        <w:tab/>
        <w:t xml:space="preserve">In this Division — </w:t>
      </w:r>
    </w:p>
    <w:p>
      <w:pPr>
        <w:pStyle w:val="Defstart"/>
      </w:pPr>
      <w:r>
        <w:tab/>
      </w:r>
      <w:r>
        <w:rPr>
          <w:rStyle w:val="CharDefText"/>
        </w:rPr>
        <w:t>activity statement</w:t>
      </w:r>
      <w:r>
        <w:t xml:space="preserve">, for a betting account, for a month, means a document about the betting account that — </w:t>
      </w:r>
    </w:p>
    <w:p>
      <w:pPr>
        <w:pStyle w:val="Indenta"/>
      </w:pPr>
      <w:r>
        <w:tab/>
        <w:t>(a)</w:t>
      </w:r>
      <w:r>
        <w:tab/>
        <w:t xml:space="preserve">sets out the following for the month — </w:t>
      </w:r>
    </w:p>
    <w:p>
      <w:pPr>
        <w:pStyle w:val="Indenti"/>
      </w:pPr>
      <w:r>
        <w:tab/>
        <w:t>(i)</w:t>
      </w:r>
      <w:r>
        <w:tab/>
        <w:t>the amount spent;</w:t>
      </w:r>
    </w:p>
    <w:p>
      <w:pPr>
        <w:pStyle w:val="Indenti"/>
      </w:pPr>
      <w:r>
        <w:tab/>
        <w:t>(ii)</w:t>
      </w:r>
      <w:r>
        <w:tab/>
        <w:t>the number of bets placed;</w:t>
      </w:r>
    </w:p>
    <w:p>
      <w:pPr>
        <w:pStyle w:val="Indenti"/>
      </w:pPr>
      <w:r>
        <w:tab/>
        <w:t>(iii)</w:t>
      </w:r>
      <w:r>
        <w:tab/>
        <w:t>the wins and losses;</w:t>
      </w:r>
    </w:p>
    <w:p>
      <w:pPr>
        <w:pStyle w:val="Indenti"/>
      </w:pPr>
      <w:r>
        <w:tab/>
        <w:t>(iv)</w:t>
      </w:r>
      <w:r>
        <w:tab/>
        <w:t>the overall net win/loss;</w:t>
      </w:r>
    </w:p>
    <w:p>
      <w:pPr>
        <w:pStyle w:val="Indenti"/>
      </w:pPr>
      <w:r>
        <w:tab/>
        <w:t>(v)</w:t>
      </w:r>
      <w:r>
        <w:tab/>
        <w:t>the opening balance and closing balance;</w:t>
      </w:r>
    </w:p>
    <w:p>
      <w:pPr>
        <w:pStyle w:val="Indenti"/>
      </w:pPr>
      <w:r>
        <w:lastRenderedPageBreak/>
        <w:tab/>
        <w:t>(vi)</w:t>
      </w:r>
      <w:r>
        <w:tab/>
        <w:t>the deposits and withdrawals;</w:t>
      </w:r>
    </w:p>
    <w:p>
      <w:pPr>
        <w:pStyle w:val="Indenta"/>
      </w:pPr>
      <w:r>
        <w:tab/>
      </w:r>
      <w:r>
        <w:tab/>
        <w:t>and</w:t>
      </w:r>
    </w:p>
    <w:p>
      <w:pPr>
        <w:pStyle w:val="Indenta"/>
      </w:pPr>
      <w:r>
        <w:tab/>
        <w:t>(b)</w:t>
      </w:r>
      <w:r>
        <w:tab/>
        <w:t xml:space="preserve">includes a column graph that illustrates — </w:t>
      </w:r>
    </w:p>
    <w:p>
      <w:pPr>
        <w:pStyle w:val="Indenti"/>
        <w:rPr>
          <w:rStyle w:val="DraftersNotes"/>
          <w:b w:val="0"/>
          <w:i w:val="0"/>
        </w:rPr>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pPr>
        <w:pStyle w:val="Indenti"/>
      </w:pPr>
      <w:r>
        <w:tab/>
        <w:t>(ii)</w:t>
      </w:r>
      <w:r>
        <w:tab/>
        <w:t>the overall net win/loss for the 6</w:t>
      </w:r>
      <w:r>
        <w:noBreakHyphen/>
        <w:t>month period; and</w:t>
      </w:r>
    </w:p>
    <w:p>
      <w:pPr>
        <w:pStyle w:val="Indenti"/>
      </w:pPr>
      <w:r>
        <w:tab/>
        <w:t>(iii)</w:t>
      </w:r>
      <w:r>
        <w:tab/>
        <w:t>the information referred to in subparagraphs (i) and (ii) compared to the same 6</w:t>
      </w:r>
      <w:r>
        <w:noBreakHyphen/>
        <w:t>month period in the previous year;</w:t>
      </w:r>
    </w:p>
    <w:p>
      <w:pPr>
        <w:pStyle w:val="Indenta"/>
      </w:pPr>
      <w:r>
        <w:tab/>
      </w:r>
      <w:r>
        <w:tab/>
        <w:t>and</w:t>
      </w:r>
    </w:p>
    <w:p>
      <w:pPr>
        <w:pStyle w:val="Indenta"/>
      </w:pPr>
      <w:r>
        <w:tab/>
        <w:t>(c)</w:t>
      </w:r>
      <w:r>
        <w:tab/>
        <w:t>if the activity statement is given by email — includes a link to a list of transactions for the betting account for the month; and</w:t>
      </w:r>
    </w:p>
    <w:p>
      <w:pPr>
        <w:pStyle w:val="Indenta"/>
      </w:pPr>
      <w:r>
        <w:tab/>
        <w:t>(d)</w:t>
      </w:r>
      <w:r>
        <w:tab/>
        <w:t>only uses red text or red shading to show losses; and</w:t>
      </w:r>
    </w:p>
    <w:p>
      <w:pPr>
        <w:pStyle w:val="Indenta"/>
      </w:pPr>
      <w:r>
        <w:tab/>
        <w:t>(e)</w:t>
      </w:r>
      <w:r>
        <w:tab/>
        <w:t>only uses black text to show wins; and</w:t>
      </w:r>
    </w:p>
    <w:p>
      <w:pPr>
        <w:pStyle w:val="Indenta"/>
      </w:pPr>
      <w:r>
        <w:tab/>
        <w:t>(f)</w:t>
      </w:r>
      <w:r>
        <w:tab/>
        <w:t>does not use any shading to show wins; and</w:t>
      </w:r>
    </w:p>
    <w:p>
      <w:pPr>
        <w:pStyle w:val="Indenta"/>
        <w:rPr>
          <w:rStyle w:val="DraftersNotes"/>
          <w:b w:val="0"/>
          <w:i w:val="0"/>
        </w:rPr>
      </w:pPr>
      <w:r>
        <w:tab/>
        <w:t>(g)</w:t>
      </w:r>
      <w:r>
        <w:tab/>
        <w:t>includes information, or if the activity statement is given by email, a link to information, about support services for gambling; and</w:t>
      </w:r>
    </w:p>
    <w:p>
      <w:pPr>
        <w:pStyle w:val="Indenta"/>
      </w:pPr>
      <w:r>
        <w:tab/>
        <w:t>(h)</w:t>
      </w:r>
      <w:r>
        <w:tab/>
        <w:t>includes a message that promotes consumer protection tools; and</w:t>
      </w:r>
    </w:p>
    <w:p>
      <w:pPr>
        <w:pStyle w:val="Indenta"/>
        <w:rPr>
          <w:rStyle w:val="DraftersNotes"/>
          <w:b w:val="0"/>
          <w:i w:val="0"/>
        </w:rPr>
      </w:pPr>
      <w:r>
        <w:tab/>
        <w:t>(i)</w:t>
      </w:r>
      <w:r>
        <w:tab/>
        <w:t>does not include any promotional or advertising material.</w:t>
      </w:r>
    </w:p>
    <w:p>
      <w:pPr>
        <w:pStyle w:val="PermNoteHeading"/>
      </w:pPr>
      <w:r>
        <w:tab/>
        <w:t>Examples for this definition:</w:t>
      </w:r>
    </w:p>
    <w:p>
      <w:pPr>
        <w:pStyle w:val="PermNoteText"/>
      </w:pPr>
      <w:r>
        <w:tab/>
      </w:r>
      <w:r>
        <w:tab/>
        <w:t>For the purposes of paragraph (h), examples of consumer protection tools are —</w:t>
      </w:r>
    </w:p>
    <w:p>
      <w:pPr>
        <w:pStyle w:val="PermNotePara"/>
      </w:pPr>
      <w:r>
        <w:tab/>
        <w:t>(a)</w:t>
      </w:r>
      <w:r>
        <w:tab/>
        <w:t>a self</w:t>
      </w:r>
      <w:r>
        <w:noBreakHyphen/>
        <w:t>exclusion register;</w:t>
      </w:r>
    </w:p>
    <w:p>
      <w:pPr>
        <w:pStyle w:val="PermNotePara"/>
      </w:pPr>
      <w:r>
        <w:tab/>
        <w:t>(b)</w:t>
      </w:r>
      <w:r>
        <w:tab/>
        <w:t>a deposit limit on a betting account.</w:t>
      </w:r>
    </w:p>
    <w:p>
      <w:pPr>
        <w:pStyle w:val="Footnotesection"/>
      </w:pPr>
      <w:r>
        <w:tab/>
        <w:t>[Regulation 77P inserted: SL 2025/30 r. 4.]</w:t>
      </w:r>
    </w:p>
    <w:p>
      <w:pPr>
        <w:pStyle w:val="Heading5"/>
      </w:pPr>
      <w:bookmarkStart w:id="96" w:name="_Toc217297056"/>
      <w:r>
        <w:rPr>
          <w:rStyle w:val="CharSectno"/>
        </w:rPr>
        <w:lastRenderedPageBreak/>
        <w:t>77Q</w:t>
      </w:r>
      <w:r>
        <w:t>.</w:t>
      </w:r>
      <w:r>
        <w:tab/>
        <w:t>Provider must give activity statements</w:t>
      </w:r>
      <w:bookmarkEnd w:id="96"/>
    </w:p>
    <w:p>
      <w:pPr>
        <w:pStyle w:val="Subsection"/>
      </w:pPr>
      <w:r>
        <w:tab/>
        <w:t>(1)</w:t>
      </w:r>
      <w:r>
        <w:tab/>
        <w:t xml:space="preserve">The provider must give an account holder who is active in a month an activity statement for their betting account for the month — </w:t>
      </w:r>
    </w:p>
    <w:p>
      <w:pPr>
        <w:pStyle w:val="Indenta"/>
      </w:pPr>
      <w:r>
        <w:tab/>
        <w:t>(a)</w:t>
      </w:r>
      <w:r>
        <w:tab/>
        <w:t>if the holder accesses their betting account using the Internet — by email within 7 days after the month ends; or</w:t>
      </w:r>
    </w:p>
    <w:p>
      <w:pPr>
        <w:pStyle w:val="Indenta"/>
      </w:pPr>
      <w:r>
        <w:tab/>
        <w:t>(b)</w:t>
      </w:r>
      <w:r>
        <w:tab/>
        <w:t>otherwise — by email or post within 7 days after the month ends.</w:t>
      </w:r>
    </w:p>
    <w:p>
      <w:pPr>
        <w:pStyle w:val="Penstart"/>
      </w:pPr>
      <w:r>
        <w:tab/>
        <w:t>Penalty for this subregulation: for an individual or a body corporate, a fine of $1 000.</w:t>
      </w:r>
    </w:p>
    <w:p>
      <w:pPr>
        <w:pStyle w:val="Subsection"/>
      </w:pPr>
      <w:r>
        <w:tab/>
        <w:t>(2)</w:t>
      </w:r>
      <w:r>
        <w:tab/>
        <w:t>The provider must not give an account holder an activity statement for their betting account for a month if the holder is not active in that month.</w:t>
      </w:r>
    </w:p>
    <w:p>
      <w:pPr>
        <w:pStyle w:val="Penstart"/>
      </w:pPr>
      <w:r>
        <w:tab/>
        <w:t>Penalty for this subregulation: for an individual or a body corporate, a fine of $1 000.</w:t>
      </w:r>
    </w:p>
    <w:p>
      <w:pPr>
        <w:pStyle w:val="Subsection"/>
      </w:pPr>
      <w:r>
        <w:tab/>
        <w:t>(3)</w:t>
      </w:r>
      <w:r>
        <w:tab/>
        <w:t>For the purposes of subregulations (1) and (2), an account holder is active in a month if the holder has made at least 1 transaction in their betting account during the month.</w:t>
      </w:r>
    </w:p>
    <w:p>
      <w:pPr>
        <w:pStyle w:val="Footnotesection"/>
      </w:pPr>
      <w:r>
        <w:tab/>
        <w:t>[Regulation 77Q inserted: SL 2025/30 r. 4.]</w:t>
      </w:r>
    </w:p>
    <w:p>
      <w:pPr>
        <w:pStyle w:val="Heading5"/>
      </w:pPr>
      <w:bookmarkStart w:id="97" w:name="_Toc217297057"/>
      <w:r>
        <w:rPr>
          <w:rStyle w:val="CharSectno"/>
        </w:rPr>
        <w:t>77R</w:t>
      </w:r>
      <w:r>
        <w:t>.</w:t>
      </w:r>
      <w:r>
        <w:tab/>
        <w:t>Provider must make available and give copies of activity statements</w:t>
      </w:r>
      <w:bookmarkEnd w:id="97"/>
    </w:p>
    <w:p>
      <w:pPr>
        <w:pStyle w:val="Subsection"/>
      </w:pPr>
      <w:r>
        <w:tab/>
        <w:t>(1)</w:t>
      </w:r>
      <w:r>
        <w:tab/>
        <w:t>If an account holder accesses their betting account using the Internet, the provider must make all activity statements for the betting account easily available to be viewed at any time through the betting account.</w:t>
      </w:r>
    </w:p>
    <w:p>
      <w:pPr>
        <w:pStyle w:val="Penstart"/>
      </w:pPr>
      <w:r>
        <w:tab/>
        <w:t>Penalty for this subregulation: for an individual or a body corporate, a fine of $1 000.</w:t>
      </w:r>
    </w:p>
    <w:p>
      <w:pPr>
        <w:pStyle w:val="Subsection"/>
      </w:pPr>
      <w:r>
        <w:tab/>
        <w:t>(2)</w:t>
      </w:r>
      <w:r>
        <w:tab/>
        <w:t xml:space="preserve">For the purposes of subregulation (1), an activity statement is not </w:t>
      </w:r>
      <w:r>
        <w:rPr>
          <w:bCs/>
          <w:iCs/>
        </w:rPr>
        <w:t>easily available</w:t>
      </w:r>
      <w:r>
        <w:t xml:space="preserve"> to be viewed if the account holder must </w:t>
      </w:r>
      <w:r>
        <w:lastRenderedPageBreak/>
        <w:t xml:space="preserve">enter a password to view the statement once the holder has accessed the betting account. </w:t>
      </w:r>
    </w:p>
    <w:p>
      <w:pPr>
        <w:pStyle w:val="Subsection"/>
      </w:pPr>
      <w:r>
        <w:tab/>
        <w:t>(3)</w:t>
      </w:r>
      <w:r>
        <w:tab/>
        <w:t xml:space="preserve">If an account holder requests a copy of an activity statement for their betting account, the provider must give the holder the copy — </w:t>
      </w:r>
    </w:p>
    <w:p>
      <w:pPr>
        <w:pStyle w:val="Indenta"/>
      </w:pPr>
      <w:r>
        <w:tab/>
        <w:t>(a)</w:t>
      </w:r>
      <w:r>
        <w:tab/>
        <w:t>by email within 2 days after the request; or</w:t>
      </w:r>
    </w:p>
    <w:p>
      <w:pPr>
        <w:pStyle w:val="Indenta"/>
        <w:rPr>
          <w:rStyle w:val="DraftersNotes"/>
          <w:b w:val="0"/>
          <w:i w:val="0"/>
        </w:rPr>
      </w:pPr>
      <w:r>
        <w:tab/>
        <w:t>(b)</w:t>
      </w:r>
      <w:r>
        <w:tab/>
        <w:t>by post within 7 days after the request.</w:t>
      </w:r>
    </w:p>
    <w:p>
      <w:pPr>
        <w:pStyle w:val="Penstart"/>
      </w:pPr>
      <w:r>
        <w:tab/>
        <w:t>Penalty for this subregulation: for an individual or a body corporate, a fine of $1 000.</w:t>
      </w:r>
    </w:p>
    <w:p>
      <w:pPr>
        <w:pStyle w:val="Subsection"/>
      </w:pPr>
      <w:r>
        <w:tab/>
        <w:t>(4)</w:t>
      </w:r>
      <w:r>
        <w:tab/>
        <w:t>If the provider gives the copy of the activity statement to the account holder by post, the provider may charge the holder the costs associated with the postage.</w:t>
      </w:r>
    </w:p>
    <w:p>
      <w:pPr>
        <w:pStyle w:val="Footnotesection"/>
      </w:pPr>
      <w:r>
        <w:tab/>
        <w:t>[Regulation 77R inserted: SL 2025/30 r. 4.]</w:t>
      </w:r>
    </w:p>
    <w:p>
      <w:pPr>
        <w:pStyle w:val="Heading5"/>
      </w:pPr>
      <w:bookmarkStart w:id="98" w:name="_Toc217297058"/>
      <w:r>
        <w:rPr>
          <w:rStyle w:val="CharSectno"/>
        </w:rPr>
        <w:t>77S</w:t>
      </w:r>
      <w:r>
        <w:t>.</w:t>
      </w:r>
      <w:r>
        <w:tab/>
        <w:t>Form of activity statements</w:t>
      </w:r>
      <w:bookmarkEnd w:id="98"/>
    </w:p>
    <w:p>
      <w:pPr>
        <w:pStyle w:val="Subsection"/>
      </w:pPr>
      <w:r>
        <w:tab/>
      </w:r>
      <w:r>
        <w:tab/>
        <w:t>The provider must ensure that an activity statement is written in a way that is simple and easy for a reasonable person to understand.</w:t>
      </w:r>
    </w:p>
    <w:p>
      <w:pPr>
        <w:pStyle w:val="Penstart"/>
      </w:pPr>
      <w:r>
        <w:tab/>
        <w:t>Penalty: for an individual or a body corporate, a fine of $1 000.</w:t>
      </w:r>
    </w:p>
    <w:p>
      <w:pPr>
        <w:pStyle w:val="Footnotesection"/>
      </w:pPr>
      <w:r>
        <w:tab/>
        <w:t>[Regulation 77S inserted: SL 2025/30 r. 4.]</w:t>
      </w:r>
    </w:p>
    <w:p>
      <w:pPr>
        <w:pStyle w:val="Heading3"/>
      </w:pPr>
      <w:bookmarkStart w:id="99" w:name="_Toc217039412"/>
      <w:bookmarkStart w:id="100" w:name="_Toc217040653"/>
      <w:bookmarkStart w:id="101" w:name="_Toc217297059"/>
      <w:r>
        <w:rPr>
          <w:rStyle w:val="CharDivNo"/>
        </w:rPr>
        <w:t>Division 6 </w:t>
      </w:r>
      <w:r>
        <w:t>—</w:t>
      </w:r>
      <w:r>
        <w:rPr>
          <w:rStyle w:val="CharDivText"/>
        </w:rPr>
        <w:t> Transaction histories</w:t>
      </w:r>
      <w:bookmarkEnd w:id="99"/>
      <w:bookmarkEnd w:id="100"/>
      <w:bookmarkEnd w:id="101"/>
    </w:p>
    <w:p>
      <w:pPr>
        <w:pStyle w:val="Footnoteheading"/>
      </w:pPr>
      <w:r>
        <w:tab/>
        <w:t>[Heading inserted: SL 2025/30 r. 4.]</w:t>
      </w:r>
    </w:p>
    <w:p>
      <w:pPr>
        <w:pStyle w:val="Heading5"/>
      </w:pPr>
      <w:bookmarkStart w:id="102" w:name="_Toc217297060"/>
      <w:r>
        <w:rPr>
          <w:rStyle w:val="CharSectno"/>
        </w:rPr>
        <w:t>77T</w:t>
      </w:r>
      <w:r>
        <w:t>.</w:t>
      </w:r>
      <w:r>
        <w:tab/>
        <w:t>Provider must make transaction histories available to account holders who use Internet</w:t>
      </w:r>
      <w:bookmarkEnd w:id="102"/>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a period is specified by the account holder — that period; or</w:t>
      </w:r>
    </w:p>
    <w:p>
      <w:pPr>
        <w:pStyle w:val="Defpara"/>
        <w:rPr>
          <w:rStyle w:val="DraftersNotes"/>
          <w:b w:val="0"/>
          <w:i w:val="0"/>
        </w:rPr>
      </w:pPr>
      <w:r>
        <w:lastRenderedPageBreak/>
        <w:tab/>
        <w:t>(b)</w:t>
      </w:r>
      <w:r>
        <w:tab/>
        <w:t>otherwise — the period beginning on the day on which the betting account was established and ending at the time at which the transaction history is being viewed.</w:t>
      </w:r>
    </w:p>
    <w:p>
      <w:pPr>
        <w:pStyle w:val="Subsection"/>
        <w:rPr>
          <w:rStyle w:val="DraftersNotes"/>
          <w:b w:val="0"/>
          <w:i w:val="0"/>
        </w:rPr>
      </w:pPr>
      <w:r>
        <w:tab/>
        <w:t>(2)</w:t>
      </w:r>
      <w:r>
        <w:tab/>
        <w:t xml:space="preserve">If an account holder accesses their betting account using the Internet, the provider must make a list of transactions (a </w:t>
      </w:r>
      <w:r>
        <w:rPr>
          <w:rStyle w:val="CharDefText"/>
        </w:rPr>
        <w:t>transaction history</w:t>
      </w:r>
      <w:r>
        <w:t>) for the betting account for the relevant period easily available to be viewed at any time through the betting account.</w:t>
      </w:r>
    </w:p>
    <w:p>
      <w:pPr>
        <w:pStyle w:val="Penstart"/>
      </w:pPr>
      <w:r>
        <w:tab/>
        <w:t>Penalty for this subregulation: for an individual or a body corporate, a fine of $1 000.</w:t>
      </w:r>
    </w:p>
    <w:p>
      <w:pPr>
        <w:pStyle w:val="Subsection"/>
      </w:pPr>
      <w:r>
        <w:tab/>
        <w:t>(3)</w:t>
      </w:r>
      <w:r>
        <w:tab/>
        <w:t>For the purposes of subregulation (2), a transaction history is not easily available to be viewed if the account holder must enter a password to view the history once the holder has accessed the betting account.</w:t>
      </w:r>
    </w:p>
    <w:p>
      <w:pPr>
        <w:pStyle w:val="Subsection"/>
      </w:pPr>
      <w:r>
        <w:tab/>
        <w:t>(4)</w:t>
      </w:r>
      <w:r>
        <w:tab/>
        <w:t>Nothing in this regulation requires the provider to provide a transaction history for a period that begins more than 7 years before the time at which the transaction history is being viewed.</w:t>
      </w:r>
    </w:p>
    <w:p>
      <w:pPr>
        <w:pStyle w:val="Footnotesection"/>
      </w:pPr>
      <w:r>
        <w:tab/>
        <w:t>[Regulation 77T inserted: SL 2025/30 r. 4.]</w:t>
      </w:r>
    </w:p>
    <w:p>
      <w:pPr>
        <w:pStyle w:val="Heading5"/>
      </w:pPr>
      <w:bookmarkStart w:id="103" w:name="_Toc217297061"/>
      <w:r>
        <w:rPr>
          <w:rStyle w:val="CharSectno"/>
        </w:rPr>
        <w:t>77U</w:t>
      </w:r>
      <w:r>
        <w:t>.</w:t>
      </w:r>
      <w:r>
        <w:tab/>
        <w:t>Provider must give transaction histories on request to relevant persons</w:t>
      </w:r>
      <w:bookmarkEnd w:id="103"/>
    </w:p>
    <w:p>
      <w:pPr>
        <w:pStyle w:val="Subsection"/>
      </w:pPr>
      <w:r>
        <w:tab/>
        <w:t>(1)</w:t>
      </w:r>
      <w:r>
        <w:tab/>
        <w:t xml:space="preserve">In this regulation — </w:t>
      </w:r>
    </w:p>
    <w:p>
      <w:pPr>
        <w:pStyle w:val="Defstart"/>
      </w:pPr>
      <w:r>
        <w:tab/>
      </w:r>
      <w:r>
        <w:rPr>
          <w:rStyle w:val="CharDefText"/>
        </w:rPr>
        <w:t>relevant period</w:t>
      </w:r>
      <w:r>
        <w:t xml:space="preserve">, for a betting account, means — </w:t>
      </w:r>
    </w:p>
    <w:p>
      <w:pPr>
        <w:pStyle w:val="Defpara"/>
      </w:pPr>
      <w:r>
        <w:tab/>
        <w:t>(a)</w:t>
      </w:r>
      <w:r>
        <w:tab/>
        <w:t>if a period is specified by the relevant person — that period; or</w:t>
      </w:r>
    </w:p>
    <w:p>
      <w:pPr>
        <w:pStyle w:val="Defpara"/>
        <w:rPr>
          <w:rStyle w:val="DraftersNotes"/>
          <w:b w:val="0"/>
          <w:i w:val="0"/>
        </w:rPr>
      </w:pPr>
      <w:r>
        <w:tab/>
        <w:t>(b)</w:t>
      </w:r>
      <w:r>
        <w:tab/>
        <w:t>otherwise — the period beginning on the day on which the betting account was established and ending on the day of the request;</w:t>
      </w:r>
    </w:p>
    <w:p>
      <w:pPr>
        <w:pStyle w:val="Defstart"/>
      </w:pPr>
      <w:r>
        <w:tab/>
      </w:r>
      <w:r>
        <w:rPr>
          <w:rStyle w:val="CharDefText"/>
        </w:rPr>
        <w:t>relevant person</w:t>
      </w:r>
      <w:r>
        <w:t xml:space="preserve"> means — </w:t>
      </w:r>
    </w:p>
    <w:p>
      <w:pPr>
        <w:pStyle w:val="Defpara"/>
      </w:pPr>
      <w:r>
        <w:tab/>
        <w:t>(a)</w:t>
      </w:r>
      <w:r>
        <w:tab/>
        <w:t>an account holder who accesses their betting account other than by using the Internet; or</w:t>
      </w:r>
    </w:p>
    <w:p>
      <w:pPr>
        <w:pStyle w:val="Defpara"/>
      </w:pPr>
      <w:r>
        <w:lastRenderedPageBreak/>
        <w:tab/>
        <w:t>(b)</w:t>
      </w:r>
      <w:r>
        <w:tab/>
        <w:t>a person who was formerly an account holder, but whose betting account has been closed.</w:t>
      </w:r>
    </w:p>
    <w:p>
      <w:pPr>
        <w:pStyle w:val="Subsection"/>
        <w:rPr>
          <w:rStyle w:val="DraftersNotes"/>
          <w:b w:val="0"/>
          <w:i w:val="0"/>
        </w:rPr>
      </w:pPr>
      <w:r>
        <w:tab/>
        <w:t>(2)</w:t>
      </w:r>
      <w:r>
        <w:tab/>
        <w:t xml:space="preserve">If a relevant person so requests, the provider must give the person a list of transactions (a </w:t>
      </w:r>
      <w:r>
        <w:rPr>
          <w:rStyle w:val="CharDefText"/>
        </w:rPr>
        <w:t>transaction history</w:t>
      </w:r>
      <w:r>
        <w:t xml:space="preserve">) for their betting account for the relevant period by email or post within 14 days after the request. </w:t>
      </w:r>
    </w:p>
    <w:p>
      <w:pPr>
        <w:pStyle w:val="Penstart"/>
      </w:pPr>
      <w:r>
        <w:tab/>
        <w:t>Penalty for this subregulation: for an individual or a body corporate, a fine of $1 000.</w:t>
      </w:r>
    </w:p>
    <w:p>
      <w:pPr>
        <w:pStyle w:val="Subsection"/>
      </w:pPr>
      <w:r>
        <w:tab/>
        <w:t>(3)</w:t>
      </w:r>
      <w:r>
        <w:tab/>
        <w:t>Nothing in this regulation requires the provider to provide a transaction history for a period that begins more than 7 years before the request.</w:t>
      </w:r>
    </w:p>
    <w:p>
      <w:pPr>
        <w:pStyle w:val="Footnotesection"/>
      </w:pPr>
      <w:r>
        <w:tab/>
        <w:t>[Regulation 77U inserted: SL 2025/30 r. 4.]</w:t>
      </w:r>
    </w:p>
    <w:p>
      <w:pPr>
        <w:pStyle w:val="Heading3"/>
      </w:pPr>
      <w:bookmarkStart w:id="104" w:name="_Toc217039415"/>
      <w:bookmarkStart w:id="105" w:name="_Toc217040656"/>
      <w:bookmarkStart w:id="106" w:name="_Toc217297062"/>
      <w:r>
        <w:rPr>
          <w:rStyle w:val="CharDivNo"/>
        </w:rPr>
        <w:t>Division 7</w:t>
      </w:r>
      <w:r>
        <w:t> —</w:t>
      </w:r>
      <w:r>
        <w:rPr>
          <w:rStyle w:val="CharDivText"/>
        </w:rPr>
        <w:t> Consistent gambling messaging</w:t>
      </w:r>
      <w:bookmarkEnd w:id="104"/>
      <w:bookmarkEnd w:id="105"/>
      <w:bookmarkEnd w:id="106"/>
    </w:p>
    <w:p>
      <w:pPr>
        <w:pStyle w:val="Footnoteheading"/>
      </w:pPr>
      <w:r>
        <w:tab/>
        <w:t>[Heading inserted: SL 2025/30 r. 4.]</w:t>
      </w:r>
    </w:p>
    <w:p>
      <w:pPr>
        <w:pStyle w:val="Heading5"/>
      </w:pPr>
      <w:bookmarkStart w:id="107" w:name="_Toc217297063"/>
      <w:r>
        <w:rPr>
          <w:rStyle w:val="CharSectno"/>
        </w:rPr>
        <w:t>77V</w:t>
      </w:r>
      <w:r>
        <w:t>.</w:t>
      </w:r>
      <w:r>
        <w:tab/>
        <w:t>Commission may set out and require use of consistent gambling messaging</w:t>
      </w:r>
      <w:bookmarkEnd w:id="107"/>
    </w:p>
    <w:p>
      <w:pPr>
        <w:pStyle w:val="Subsection"/>
      </w:pPr>
      <w:r>
        <w:tab/>
        <w:t>(1)</w:t>
      </w:r>
      <w:r>
        <w:tab/>
        <w:t xml:space="preserve">In this regulation — </w:t>
      </w:r>
    </w:p>
    <w:p>
      <w:pPr>
        <w:pStyle w:val="Defstart"/>
      </w:pPr>
      <w:r>
        <w:tab/>
      </w:r>
      <w:r>
        <w:rPr>
          <w:rStyle w:val="CharDefText"/>
        </w:rPr>
        <w:t>consistent gambling messaging</w:t>
      </w:r>
      <w:r>
        <w:t xml:space="preserve"> means statements about the risks of, and potential harm from, gambling. </w:t>
      </w:r>
    </w:p>
    <w:p>
      <w:pPr>
        <w:pStyle w:val="Subsection"/>
      </w:pPr>
      <w:r>
        <w:tab/>
        <w:t>(2)</w:t>
      </w:r>
      <w:r>
        <w:tab/>
        <w:t xml:space="preserve">The Commission may, by notice published in the </w:t>
      </w:r>
      <w:r>
        <w:rPr>
          <w:i/>
          <w:iCs/>
        </w:rPr>
        <w:t>Gazette</w:t>
      </w:r>
      <w:r>
        <w:t xml:space="preserve"> or on the Department’s website — </w:t>
      </w:r>
    </w:p>
    <w:p>
      <w:pPr>
        <w:pStyle w:val="Indenta"/>
      </w:pPr>
      <w:r>
        <w:tab/>
        <w:t>(a)</w:t>
      </w:r>
      <w:r>
        <w:tab/>
        <w:t>set out consistent gambling messaging; and</w:t>
      </w:r>
    </w:p>
    <w:p>
      <w:pPr>
        <w:pStyle w:val="Indenta"/>
        <w:rPr>
          <w:rStyle w:val="DraftersNotes"/>
          <w:b w:val="0"/>
          <w:i w:val="0"/>
        </w:rPr>
      </w:pPr>
      <w:r>
        <w:tab/>
        <w:t>(b)</w:t>
      </w:r>
      <w:r>
        <w:tab/>
        <w:t>specify the circumstances in which providers are required to use consistent gambling messaging.</w:t>
      </w:r>
    </w:p>
    <w:p>
      <w:pPr>
        <w:pStyle w:val="Subsection"/>
        <w:rPr>
          <w:rStyle w:val="DraftersNotes"/>
          <w:b w:val="0"/>
          <w:i w:val="0"/>
        </w:rPr>
      </w:pPr>
      <w:r>
        <w:tab/>
        <w:t>(3)</w:t>
      </w:r>
      <w:r>
        <w:tab/>
        <w:t xml:space="preserve">In acting under subregulation (2), the Commission must have regard to — </w:t>
      </w:r>
    </w:p>
    <w:p>
      <w:pPr>
        <w:pStyle w:val="Indenta"/>
        <w:rPr>
          <w:rStyle w:val="DraftersNotes"/>
          <w:b w:val="0"/>
          <w:i w:val="0"/>
        </w:rPr>
      </w:pPr>
      <w:r>
        <w:tab/>
        <w:t>(a)</w:t>
      </w:r>
      <w:r>
        <w:tab/>
        <w:t>Part 8 of the National Consumer Protection Framework for Online Wagering in Australia — National Policy Statement; and</w:t>
      </w:r>
    </w:p>
    <w:p>
      <w:pPr>
        <w:pStyle w:val="Indenta"/>
      </w:pPr>
      <w:r>
        <w:lastRenderedPageBreak/>
        <w:tab/>
        <w:t>(b)</w:t>
      </w:r>
      <w:r>
        <w:tab/>
        <w:t>consistent gambling messaging that other States and Territories have adopted in giving effect to that Part.</w:t>
      </w:r>
    </w:p>
    <w:p>
      <w:pPr>
        <w:pStyle w:val="Footnotesection"/>
      </w:pPr>
      <w:r>
        <w:tab/>
        <w:t>[Regulation 77V inserted: SL 2025/30 r. 4.]</w:t>
      </w:r>
    </w:p>
    <w:p>
      <w:pPr>
        <w:pStyle w:val="Heading5"/>
      </w:pPr>
      <w:bookmarkStart w:id="108" w:name="_Toc217297064"/>
      <w:r>
        <w:rPr>
          <w:rStyle w:val="CharSectno"/>
        </w:rPr>
        <w:t>77W</w:t>
      </w:r>
      <w:r>
        <w:t>.</w:t>
      </w:r>
      <w:r>
        <w:tab/>
        <w:t>Provider must comply with notice published under r. 77V</w:t>
      </w:r>
      <w:bookmarkEnd w:id="108"/>
    </w:p>
    <w:p>
      <w:pPr>
        <w:pStyle w:val="Subsection"/>
        <w:rPr>
          <w:rStyle w:val="DraftersNotes"/>
          <w:b w:val="0"/>
          <w:i w:val="0"/>
        </w:rPr>
      </w:pPr>
      <w:r>
        <w:tab/>
      </w:r>
      <w:r>
        <w:tab/>
        <w:t>The provider must comply with any requirement that applies to the provider under a notice published by the Commission under regulation 77V(2).</w:t>
      </w:r>
    </w:p>
    <w:p>
      <w:pPr>
        <w:pStyle w:val="Penstart"/>
      </w:pPr>
      <w:r>
        <w:tab/>
        <w:t>Penalty: for an individual or a body corporate, a fine of $1 000.</w:t>
      </w:r>
    </w:p>
    <w:p>
      <w:pPr>
        <w:pStyle w:val="Footnotesection"/>
      </w:pPr>
      <w:r>
        <w:tab/>
        <w:t>[Regulation 77W inserted: SL 2025/30 r. 4.]</w:t>
      </w:r>
    </w:p>
    <w:p>
      <w:pPr>
        <w:pStyle w:val="Heading3"/>
      </w:pPr>
      <w:bookmarkStart w:id="109" w:name="_Toc217039418"/>
      <w:bookmarkStart w:id="110" w:name="_Toc217040659"/>
      <w:bookmarkStart w:id="111" w:name="_Toc217297065"/>
      <w:r>
        <w:rPr>
          <w:rStyle w:val="CharDivNo"/>
        </w:rPr>
        <w:t>Division 8</w:t>
      </w:r>
      <w:r>
        <w:t> —</w:t>
      </w:r>
      <w:r>
        <w:rPr>
          <w:rStyle w:val="CharDivText"/>
        </w:rPr>
        <w:t> Staff training</w:t>
      </w:r>
      <w:bookmarkEnd w:id="109"/>
      <w:bookmarkEnd w:id="110"/>
      <w:bookmarkEnd w:id="111"/>
    </w:p>
    <w:p>
      <w:pPr>
        <w:pStyle w:val="Footnoteheading"/>
      </w:pPr>
      <w:r>
        <w:tab/>
        <w:t>[Heading inserted: SL 2025/30 r. 4.]</w:t>
      </w:r>
    </w:p>
    <w:p>
      <w:pPr>
        <w:pStyle w:val="Heading5"/>
      </w:pPr>
      <w:bookmarkStart w:id="112" w:name="_Toc217297066"/>
      <w:r>
        <w:rPr>
          <w:rStyle w:val="CharSectno"/>
        </w:rPr>
        <w:t>77X</w:t>
      </w:r>
      <w:r>
        <w:t>.</w:t>
      </w:r>
      <w:r>
        <w:tab/>
        <w:t>Term used: relevant individual</w:t>
      </w:r>
      <w:bookmarkEnd w:id="112"/>
    </w:p>
    <w:p>
      <w:pPr>
        <w:pStyle w:val="Subsection"/>
      </w:pPr>
      <w:r>
        <w:tab/>
      </w:r>
      <w:r>
        <w:tab/>
        <w:t xml:space="preserve">In this Division — </w:t>
      </w:r>
    </w:p>
    <w:p>
      <w:pPr>
        <w:pStyle w:val="Defstart"/>
      </w:pPr>
      <w:r>
        <w:tab/>
      </w:r>
      <w:r>
        <w:rPr>
          <w:rStyle w:val="CharDefText"/>
        </w:rPr>
        <w:t>relevant individual</w:t>
      </w:r>
      <w:r>
        <w:t xml:space="preserve">, of a provider, means — </w:t>
      </w:r>
    </w:p>
    <w:p>
      <w:pPr>
        <w:pStyle w:val="Defpara"/>
      </w:pPr>
      <w:r>
        <w:tab/>
        <w:t>(a)</w:t>
      </w:r>
      <w:r>
        <w:tab/>
        <w:t>an individual who is a director, partner or employee of the provider; or</w:t>
      </w:r>
    </w:p>
    <w:p>
      <w:pPr>
        <w:pStyle w:val="Defpara"/>
      </w:pPr>
      <w:r>
        <w:tab/>
        <w:t>(b)</w:t>
      </w:r>
      <w:r>
        <w:tab/>
        <w:t xml:space="preserve">an individual, other than an individual referred to in paragraph (a), who — </w:t>
      </w:r>
    </w:p>
    <w:p>
      <w:pPr>
        <w:pStyle w:val="Defsubpara"/>
      </w:pPr>
      <w:r>
        <w:tab/>
        <w:t>(i)</w:t>
      </w:r>
      <w:r>
        <w:tab/>
        <w:t>is engaged in providing the provider’s interactive wagering services; or</w:t>
      </w:r>
    </w:p>
    <w:p>
      <w:pPr>
        <w:pStyle w:val="Defsubpara"/>
      </w:pPr>
      <w:r>
        <w:tab/>
        <w:t>(ii)</w:t>
      </w:r>
      <w:r>
        <w:tab/>
        <w:t>has the capacity to influence the provision of those services.</w:t>
      </w:r>
    </w:p>
    <w:p>
      <w:pPr>
        <w:pStyle w:val="Footnotesection"/>
      </w:pPr>
      <w:r>
        <w:tab/>
        <w:t>[Regulation 77X inserted: SL 2025/30 r. 4.]</w:t>
      </w:r>
    </w:p>
    <w:p>
      <w:pPr>
        <w:pStyle w:val="Heading5"/>
      </w:pPr>
      <w:bookmarkStart w:id="113" w:name="_Toc217297067"/>
      <w:r>
        <w:rPr>
          <w:rStyle w:val="CharSectno"/>
        </w:rPr>
        <w:t>77Y</w:t>
      </w:r>
      <w:r>
        <w:t>.</w:t>
      </w:r>
      <w:r>
        <w:tab/>
        <w:t>Provider must ensure relevant individuals receive training</w:t>
      </w:r>
      <w:bookmarkEnd w:id="113"/>
    </w:p>
    <w:p>
      <w:pPr>
        <w:pStyle w:val="Subsection"/>
      </w:pPr>
      <w:r>
        <w:tab/>
        <w:t>(1)</w:t>
      </w:r>
      <w:r>
        <w:tab/>
        <w:t xml:space="preserve">In this regulation — </w:t>
      </w:r>
    </w:p>
    <w:p>
      <w:pPr>
        <w:pStyle w:val="Defstart"/>
      </w:pPr>
      <w:r>
        <w:tab/>
      </w:r>
      <w:r>
        <w:rPr>
          <w:rStyle w:val="CharDefText"/>
        </w:rPr>
        <w:t>responsible gambling training</w:t>
      </w:r>
      <w:r>
        <w:t xml:space="preserve"> means training approved by the Commission under subregulation (4).</w:t>
      </w:r>
    </w:p>
    <w:p>
      <w:pPr>
        <w:pStyle w:val="Subsection"/>
      </w:pPr>
      <w:r>
        <w:lastRenderedPageBreak/>
        <w:tab/>
        <w:t>(2)</w:t>
      </w:r>
      <w:r>
        <w:tab/>
        <w:t>The provider must ensure that each relevant individual of the provider receives responsible gambling training that comprises —</w:t>
      </w:r>
    </w:p>
    <w:p>
      <w:pPr>
        <w:pStyle w:val="Indenta"/>
      </w:pPr>
      <w:r>
        <w:tab/>
        <w:t>(a)</w:t>
      </w:r>
      <w:r>
        <w:tab/>
        <w:t>initial training within 1 month after the individual becomes a relevant individual of the provider; and</w:t>
      </w:r>
    </w:p>
    <w:p>
      <w:pPr>
        <w:pStyle w:val="Indenta"/>
      </w:pPr>
      <w:r>
        <w:tab/>
        <w:t>(b)</w:t>
      </w:r>
      <w:r>
        <w:tab/>
        <w:t xml:space="preserve">refresher training within 12 months after — </w:t>
      </w:r>
    </w:p>
    <w:p>
      <w:pPr>
        <w:pStyle w:val="Indenti"/>
      </w:pPr>
      <w:r>
        <w:tab/>
        <w:t>(i)</w:t>
      </w:r>
      <w:r>
        <w:tab/>
        <w:t>the initial training; or</w:t>
      </w:r>
    </w:p>
    <w:p>
      <w:pPr>
        <w:pStyle w:val="Indenti"/>
      </w:pPr>
      <w:r>
        <w:tab/>
        <w:t>(ii)</w:t>
      </w:r>
      <w:r>
        <w:tab/>
        <w:t>for an individual who has received refresher training — the previous refresher training.</w:t>
      </w:r>
    </w:p>
    <w:p>
      <w:pPr>
        <w:pStyle w:val="Penstart"/>
      </w:pPr>
      <w:r>
        <w:tab/>
        <w:t>Penalty for this subregulation: for an individual or a body corporate, a fine of $1 000.</w:t>
      </w:r>
    </w:p>
    <w:p>
      <w:pPr>
        <w:pStyle w:val="Subsection"/>
      </w:pPr>
      <w:r>
        <w:tab/>
        <w:t>(3)</w:t>
      </w:r>
      <w:r>
        <w:tab/>
        <w:t>The provider must ensure that a relevant individual of the provider does not interact with an account holder unless the individual has received initial training under subregulation (2)(a).</w:t>
      </w:r>
    </w:p>
    <w:p>
      <w:pPr>
        <w:pStyle w:val="Penstart"/>
      </w:pPr>
      <w:r>
        <w:tab/>
        <w:t>Penalty for this subregulation: for an individual or a body corporate, a fine of $1 000.</w:t>
      </w:r>
    </w:p>
    <w:p>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pPr>
        <w:pStyle w:val="Footnotesection"/>
      </w:pPr>
      <w:r>
        <w:tab/>
        <w:t>[Regulation 77Y inserted: SL 2025/30 r. 4.]</w:t>
      </w:r>
    </w:p>
    <w:p>
      <w:pPr>
        <w:pStyle w:val="Heading5"/>
      </w:pPr>
      <w:bookmarkStart w:id="114" w:name="_Toc217297068"/>
      <w:r>
        <w:rPr>
          <w:rStyle w:val="CharSectno"/>
        </w:rPr>
        <w:t>77Z</w:t>
      </w:r>
      <w:r>
        <w:t>.</w:t>
      </w:r>
      <w:r>
        <w:tab/>
        <w:t>Provider must make and keep records of training</w:t>
      </w:r>
      <w:bookmarkEnd w:id="114"/>
    </w:p>
    <w:p>
      <w:pPr>
        <w:pStyle w:val="Subsection"/>
      </w:pPr>
      <w:r>
        <w:tab/>
        <w:t>(1)</w:t>
      </w:r>
      <w:r>
        <w:tab/>
        <w:t xml:space="preserve">The provider must make a record in relation to each relevant individual of the provider that — </w:t>
      </w:r>
    </w:p>
    <w:p>
      <w:pPr>
        <w:pStyle w:val="Indenta"/>
      </w:pPr>
      <w:r>
        <w:tab/>
        <w:t>(a)</w:t>
      </w:r>
      <w:r>
        <w:tab/>
        <w:t xml:space="preserve">specifies — </w:t>
      </w:r>
    </w:p>
    <w:p>
      <w:pPr>
        <w:pStyle w:val="Indenti"/>
      </w:pPr>
      <w:r>
        <w:tab/>
        <w:t>(i)</w:t>
      </w:r>
      <w:r>
        <w:tab/>
        <w:t>the date the individual became a relevant individual of the provider; and</w:t>
      </w:r>
    </w:p>
    <w:p>
      <w:pPr>
        <w:pStyle w:val="Indenti"/>
      </w:pPr>
      <w:r>
        <w:tab/>
        <w:t>(ii)</w:t>
      </w:r>
      <w:r>
        <w:tab/>
        <w:t>the training the individual has completed under regulation 77Y; and</w:t>
      </w:r>
    </w:p>
    <w:p>
      <w:pPr>
        <w:pStyle w:val="Indenti"/>
      </w:pPr>
      <w:r>
        <w:tab/>
        <w:t>(iii)</w:t>
      </w:r>
      <w:r>
        <w:tab/>
        <w:t>the date the training was completed;</w:t>
      </w:r>
    </w:p>
    <w:p>
      <w:pPr>
        <w:pStyle w:val="Indenta"/>
      </w:pPr>
      <w:r>
        <w:tab/>
      </w:r>
      <w:r>
        <w:tab/>
        <w:t>and</w:t>
      </w:r>
    </w:p>
    <w:p>
      <w:pPr>
        <w:pStyle w:val="Indenta"/>
      </w:pPr>
      <w:r>
        <w:lastRenderedPageBreak/>
        <w:tab/>
        <w:t>(b)</w:t>
      </w:r>
      <w:r>
        <w:tab/>
        <w:t>is written; and</w:t>
      </w:r>
    </w:p>
    <w:p>
      <w:pPr>
        <w:pStyle w:val="Indenta"/>
      </w:pPr>
      <w:r>
        <w:tab/>
        <w:t>(c)</w:t>
      </w:r>
      <w:r>
        <w:tab/>
        <w:t>is accurate; and</w:t>
      </w:r>
    </w:p>
    <w:p>
      <w:pPr>
        <w:pStyle w:val="Indenta"/>
      </w:pPr>
      <w:r>
        <w:tab/>
        <w:t>(d)</w:t>
      </w:r>
      <w:r>
        <w:tab/>
        <w:t>as far as practicable, is up to date; and</w:t>
      </w:r>
    </w:p>
    <w:p>
      <w:pPr>
        <w:pStyle w:val="Indenta"/>
      </w:pPr>
      <w:r>
        <w:tab/>
        <w:t>(e)</w:t>
      </w:r>
      <w:r>
        <w:tab/>
        <w:t>is kept in a form that can be reasonably inspected and copied by an authorised officer.</w:t>
      </w:r>
    </w:p>
    <w:p>
      <w:pPr>
        <w:pStyle w:val="Penstart"/>
      </w:pPr>
      <w:r>
        <w:tab/>
        <w:t>Penalty for this subregulation: for an individual or a body corporate, a fine of $1 000.</w:t>
      </w:r>
    </w:p>
    <w:p>
      <w:pPr>
        <w:pStyle w:val="Subsection"/>
      </w:pPr>
      <w:r>
        <w:tab/>
        <w:t>(2)</w:t>
      </w:r>
      <w:r>
        <w:tab/>
        <w:t>The provider must keep a record made under subregulation (1) for at least 7 years after the training to which the record relates was completed.</w:t>
      </w:r>
    </w:p>
    <w:p>
      <w:pPr>
        <w:pStyle w:val="Penstart"/>
      </w:pPr>
      <w:r>
        <w:tab/>
        <w:t>Penalty for this subregulation: for an individual or a body corporate, a fine of $1 000.</w:t>
      </w:r>
    </w:p>
    <w:p>
      <w:pPr>
        <w:pStyle w:val="Footnotesection"/>
      </w:pPr>
      <w:r>
        <w:tab/>
        <w:t>[Regulation 77Z inserted: SL 2025/30 r. 4.]</w:t>
      </w:r>
    </w:p>
    <w:p>
      <w:pPr>
        <w:pStyle w:val="Heading5"/>
      </w:pPr>
      <w:bookmarkStart w:id="115" w:name="_Toc217297069"/>
      <w:r>
        <w:rPr>
          <w:rStyle w:val="CharSectno"/>
        </w:rPr>
        <w:t>77ZA</w:t>
      </w:r>
      <w:r>
        <w:t>.</w:t>
      </w:r>
      <w:r>
        <w:tab/>
        <w:t>Provider must produce records to authorised officers</w:t>
      </w:r>
      <w:bookmarkEnd w:id="115"/>
    </w:p>
    <w:p>
      <w:pPr>
        <w:pStyle w:val="Subsection"/>
      </w:pPr>
      <w:r>
        <w:tab/>
        <w:t>(1)</w:t>
      </w:r>
      <w:r>
        <w:tab/>
        <w:t>An authorised officer may require the provider to produce a record made under regulation 77Z(1) to the officer for inspection and copying.</w:t>
      </w:r>
    </w:p>
    <w:p>
      <w:pPr>
        <w:pStyle w:val="Subsection"/>
      </w:pPr>
      <w:r>
        <w:tab/>
        <w:t>(2)</w:t>
      </w:r>
      <w:r>
        <w:tab/>
        <w:t>The provider must comply with a requirement made of the provider under subregulation (1).</w:t>
      </w:r>
    </w:p>
    <w:p>
      <w:pPr>
        <w:pStyle w:val="Penstart"/>
      </w:pPr>
      <w:r>
        <w:tab/>
        <w:t>Penalty for this subregulation: for an individual or a body corporate, a fine of $1 000.</w:t>
      </w:r>
    </w:p>
    <w:p>
      <w:pPr>
        <w:pStyle w:val="Footnotesection"/>
      </w:pPr>
      <w:r>
        <w:tab/>
        <w:t>[Regulation 77ZA inserted: SL 2025/30 r. 4.]</w:t>
      </w:r>
    </w:p>
    <w:p>
      <w:pPr>
        <w:pStyle w:val="Heading3"/>
      </w:pPr>
      <w:bookmarkStart w:id="116" w:name="_Toc217039423"/>
      <w:bookmarkStart w:id="117" w:name="_Toc217040664"/>
      <w:bookmarkStart w:id="118" w:name="_Toc217297070"/>
      <w:r>
        <w:rPr>
          <w:rStyle w:val="CharDivNo"/>
        </w:rPr>
        <w:t>Division 9</w:t>
      </w:r>
      <w:r>
        <w:t> —</w:t>
      </w:r>
      <w:r>
        <w:rPr>
          <w:rStyle w:val="CharDivText"/>
        </w:rPr>
        <w:t> Consumer protection plan</w:t>
      </w:r>
      <w:bookmarkEnd w:id="116"/>
      <w:bookmarkEnd w:id="117"/>
      <w:bookmarkEnd w:id="118"/>
    </w:p>
    <w:p>
      <w:pPr>
        <w:pStyle w:val="Footnoteheading"/>
      </w:pPr>
      <w:r>
        <w:tab/>
        <w:t>[Heading inserted: SL 2025/30 r. 4.]</w:t>
      </w:r>
    </w:p>
    <w:p>
      <w:pPr>
        <w:pStyle w:val="Heading5"/>
      </w:pPr>
      <w:bookmarkStart w:id="119" w:name="_Toc217297071"/>
      <w:r>
        <w:rPr>
          <w:rStyle w:val="CharSectno"/>
        </w:rPr>
        <w:t>77ZB</w:t>
      </w:r>
      <w:r>
        <w:t>.</w:t>
      </w:r>
      <w:r>
        <w:tab/>
        <w:t>Provider must have consumer protection plan</w:t>
      </w:r>
      <w:bookmarkEnd w:id="119"/>
    </w:p>
    <w:p>
      <w:pPr>
        <w:pStyle w:val="Subsection"/>
        <w:rPr>
          <w:rStyle w:val="DraftersNotes"/>
          <w:b w:val="0"/>
          <w:i w:val="0"/>
        </w:rPr>
      </w:pPr>
      <w:r>
        <w:tab/>
      </w:r>
      <w:r>
        <w:tab/>
        <w:t xml:space="preserve">The provider must develop and maintain a plan, to be called a consumer protection plan, that includes — </w:t>
      </w:r>
    </w:p>
    <w:p>
      <w:pPr>
        <w:pStyle w:val="Indenta"/>
        <w:rPr>
          <w:rStyle w:val="DraftersNotes"/>
          <w:b w:val="0"/>
          <w:i w:val="0"/>
        </w:rPr>
      </w:pPr>
      <w:r>
        <w:tab/>
        <w:t>(a)</w:t>
      </w:r>
      <w:r>
        <w:tab/>
        <w:t xml:space="preserve">a statement of the provider’s commitment to following the National Consumer Protection Framework for </w:t>
      </w:r>
      <w:r>
        <w:lastRenderedPageBreak/>
        <w:t>Online Wagering in Australia — National Policy Statement; and</w:t>
      </w:r>
    </w:p>
    <w:p>
      <w:pPr>
        <w:pStyle w:val="Indenta"/>
      </w:pPr>
      <w:r>
        <w:tab/>
        <w:t>(b)</w:t>
      </w:r>
      <w:r>
        <w:tab/>
        <w:t>a statement of the provider’s commitment to complying with this Part; and</w:t>
      </w:r>
    </w:p>
    <w:p>
      <w:pPr>
        <w:pStyle w:val="Indenta"/>
      </w:pPr>
      <w:r>
        <w:tab/>
        <w:t>(c)</w:t>
      </w:r>
      <w:r>
        <w:tab/>
        <w:t>a description of the measures and systems the provider has established to enable the provider to follow the National Consumer Protection Framework for Online Wagering in Australia — National Policy Statement and comply with this Part.</w:t>
      </w:r>
    </w:p>
    <w:p>
      <w:pPr>
        <w:pStyle w:val="Penstart"/>
      </w:pPr>
      <w:r>
        <w:tab/>
        <w:t>Penalty: for an individual or a body corporate, a fine of $1 000.</w:t>
      </w:r>
    </w:p>
    <w:p>
      <w:pPr>
        <w:pStyle w:val="Footnotesection"/>
      </w:pPr>
      <w:r>
        <w:tab/>
        <w:t>[Regulation 77ZB inserted: SL 2025/30 r. 4.]</w:t>
      </w:r>
    </w:p>
    <w:p>
      <w:pPr>
        <w:pStyle w:val="Heading2"/>
      </w:pPr>
      <w:bookmarkStart w:id="120" w:name="_Toc217039425"/>
      <w:bookmarkStart w:id="121" w:name="_Toc217040666"/>
      <w:bookmarkStart w:id="122" w:name="_Toc217297072"/>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0"/>
      <w:bookmarkEnd w:id="121"/>
      <w:bookmarkEnd w:id="122"/>
    </w:p>
    <w:p>
      <w:pPr>
        <w:pStyle w:val="Footnoteheading"/>
      </w:pPr>
      <w:r>
        <w:tab/>
        <w:t>[Heading inserted: Gazette 21 Jul 2006 p. 2673.]</w:t>
      </w:r>
    </w:p>
    <w:p>
      <w:pPr>
        <w:pStyle w:val="Heading3"/>
      </w:pPr>
      <w:bookmarkStart w:id="123" w:name="_Toc217039426"/>
      <w:bookmarkStart w:id="124" w:name="_Toc217040667"/>
      <w:bookmarkStart w:id="125" w:name="_Toc217297073"/>
      <w:r>
        <w:rPr>
          <w:rStyle w:val="CharDivNo"/>
        </w:rPr>
        <w:t>Division 1</w:t>
      </w:r>
      <w:r>
        <w:t> — </w:t>
      </w:r>
      <w:r>
        <w:rPr>
          <w:rStyle w:val="CharDivText"/>
        </w:rPr>
        <w:t>Preliminary</w:t>
      </w:r>
      <w:bookmarkEnd w:id="123"/>
      <w:bookmarkEnd w:id="124"/>
      <w:bookmarkEnd w:id="125"/>
    </w:p>
    <w:p>
      <w:pPr>
        <w:pStyle w:val="Footnoteheading"/>
      </w:pPr>
      <w:r>
        <w:tab/>
        <w:t>[Heading inserted: Gazette 21 Jul 2006 p. 2673.]</w:t>
      </w:r>
    </w:p>
    <w:p>
      <w:pPr>
        <w:pStyle w:val="Heading5"/>
      </w:pPr>
      <w:bookmarkStart w:id="126" w:name="_Toc217297074"/>
      <w:r>
        <w:rPr>
          <w:rStyle w:val="CharSectno"/>
        </w:rPr>
        <w:t>78</w:t>
      </w:r>
      <w:r>
        <w:t>.</w:t>
      </w:r>
      <w:r>
        <w:tab/>
        <w:t>Terms used</w:t>
      </w:r>
      <w:bookmarkEnd w:id="126"/>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27" w:name="_Toc217039428"/>
      <w:bookmarkStart w:id="128" w:name="_Toc217040669"/>
      <w:bookmarkStart w:id="129" w:name="_Toc217297075"/>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127"/>
      <w:bookmarkEnd w:id="128"/>
      <w:bookmarkEnd w:id="129"/>
    </w:p>
    <w:p>
      <w:pPr>
        <w:pStyle w:val="Footnoteheading"/>
      </w:pPr>
      <w:r>
        <w:tab/>
        <w:t>[Heading inserted: Gazette 21 Jul 2006 p. 2674.]</w:t>
      </w:r>
    </w:p>
    <w:p>
      <w:pPr>
        <w:pStyle w:val="Heading5"/>
      </w:pPr>
      <w:bookmarkStart w:id="130" w:name="_Toc217297076"/>
      <w:r>
        <w:rPr>
          <w:rStyle w:val="CharSectno"/>
        </w:rPr>
        <w:t>79</w:t>
      </w:r>
      <w:r>
        <w:t>.</w:t>
      </w:r>
      <w:r>
        <w:tab/>
        <w:t>On</w:t>
      </w:r>
      <w:r>
        <w:noBreakHyphen/>
        <w:t>course totalisator bets accepted subject to the rules and these regulations</w:t>
      </w:r>
      <w:bookmarkEnd w:id="13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31" w:name="_Toc217297077"/>
      <w:r>
        <w:rPr>
          <w:rStyle w:val="CharSectno"/>
        </w:rPr>
        <w:t>80</w:t>
      </w:r>
      <w:r>
        <w:t>.</w:t>
      </w:r>
      <w:r>
        <w:tab/>
        <w:t>Local on</w:t>
      </w:r>
      <w:r>
        <w:noBreakHyphen/>
        <w:t>course totalisator bets accepted subject to the rules and these regulations</w:t>
      </w:r>
      <w:bookmarkEnd w:id="13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32" w:name="_Toc217297078"/>
      <w:r>
        <w:rPr>
          <w:rStyle w:val="CharSectno"/>
        </w:rPr>
        <w:t>81</w:t>
      </w:r>
      <w:r>
        <w:t>.</w:t>
      </w:r>
      <w:r>
        <w:tab/>
        <w:t>All bets to be 50 cents or multiples of 50 cents</w:t>
      </w:r>
      <w:bookmarkEnd w:id="13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33" w:name="_Toc217297079"/>
      <w:r>
        <w:rPr>
          <w:rStyle w:val="CharSectno"/>
        </w:rPr>
        <w:lastRenderedPageBreak/>
        <w:t>82</w:t>
      </w:r>
      <w:r>
        <w:t>.</w:t>
      </w:r>
      <w:r>
        <w:tab/>
        <w:t>On</w:t>
      </w:r>
      <w:r>
        <w:noBreakHyphen/>
        <w:t>course totalisator dividend as declared</w:t>
      </w:r>
      <w:bookmarkEnd w:id="13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34" w:name="_Toc217297080"/>
      <w:r>
        <w:rPr>
          <w:rStyle w:val="CharSectno"/>
        </w:rPr>
        <w:lastRenderedPageBreak/>
        <w:t>83</w:t>
      </w:r>
      <w:r>
        <w:t>.</w:t>
      </w:r>
      <w:r>
        <w:tab/>
        <w:t>Local on</w:t>
      </w:r>
      <w:r>
        <w:noBreakHyphen/>
        <w:t>course totalisator dividend as declared</w:t>
      </w:r>
      <w:bookmarkEnd w:id="13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35" w:name="_Toc217297081"/>
      <w:r>
        <w:rPr>
          <w:rStyle w:val="CharSectno"/>
        </w:rPr>
        <w:t>84</w:t>
      </w:r>
      <w:r>
        <w:t>.</w:t>
      </w:r>
      <w:r>
        <w:tab/>
        <w:t>Bets may be refused</w:t>
      </w:r>
      <w:bookmarkEnd w:id="13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36" w:name="_Toc217297082"/>
      <w:r>
        <w:rPr>
          <w:rStyle w:val="CharSectno"/>
        </w:rPr>
        <w:t>85</w:t>
      </w:r>
      <w:r>
        <w:t>.</w:t>
      </w:r>
      <w:r>
        <w:tab/>
        <w:t>Only authorised bets to be accepted</w:t>
      </w:r>
      <w:bookmarkEnd w:id="136"/>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37" w:name="_Toc217297083"/>
      <w:r>
        <w:rPr>
          <w:rStyle w:val="CharSectno"/>
        </w:rPr>
        <w:t>86</w:t>
      </w:r>
      <w:r>
        <w:t>.</w:t>
      </w:r>
      <w:r>
        <w:tab/>
        <w:t>Hours for opening</w:t>
      </w:r>
      <w:bookmarkEnd w:id="137"/>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38" w:name="_Toc217297084"/>
      <w:r>
        <w:rPr>
          <w:rStyle w:val="CharSectno"/>
        </w:rPr>
        <w:lastRenderedPageBreak/>
        <w:t>87</w:t>
      </w:r>
      <w:r>
        <w:t>.</w:t>
      </w:r>
      <w:r>
        <w:tab/>
        <w:t>Bets may be made by various methods</w:t>
      </w:r>
      <w:bookmarkEnd w:id="13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39" w:name="_Toc217297085"/>
      <w:r>
        <w:rPr>
          <w:rStyle w:val="CharSectno"/>
        </w:rPr>
        <w:t>88</w:t>
      </w:r>
      <w:r>
        <w:t>.</w:t>
      </w:r>
      <w:r>
        <w:tab/>
        <w:t>On</w:t>
      </w:r>
      <w:r>
        <w:noBreakHyphen/>
        <w:t>course totalisator bets to be properly marked</w:t>
      </w:r>
      <w:bookmarkEnd w:id="13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140" w:name="_Toc217297086"/>
      <w:r>
        <w:rPr>
          <w:rStyle w:val="CharSectno"/>
        </w:rPr>
        <w:t>89</w:t>
      </w:r>
      <w:r>
        <w:t>.</w:t>
      </w:r>
      <w:r>
        <w:tab/>
        <w:t>Local on</w:t>
      </w:r>
      <w:r>
        <w:noBreakHyphen/>
        <w:t>course totalisator bets to be properly marked</w:t>
      </w:r>
      <w:bookmarkEnd w:id="14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141" w:name="_Toc217297087"/>
      <w:r>
        <w:rPr>
          <w:rStyle w:val="CharSectno"/>
        </w:rPr>
        <w:t>90</w:t>
      </w:r>
      <w:r>
        <w:t>.</w:t>
      </w:r>
      <w:r>
        <w:tab/>
        <w:t>Tickets to be properly marked</w:t>
      </w:r>
      <w:bookmarkEnd w:id="14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142" w:name="_Toc217297088"/>
      <w:r>
        <w:rPr>
          <w:rStyle w:val="CharSectno"/>
        </w:rPr>
        <w:t>91</w:t>
      </w:r>
      <w:r>
        <w:t>.</w:t>
      </w:r>
      <w:r>
        <w:tab/>
        <w:t>Host racing club to exhibit notices at on</w:t>
      </w:r>
      <w:r>
        <w:noBreakHyphen/>
        <w:t>course totalisator and local on</w:t>
      </w:r>
      <w:r>
        <w:noBreakHyphen/>
        <w:t>course totalisator</w:t>
      </w:r>
      <w:bookmarkEnd w:id="14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143" w:name="_Toc217297089"/>
      <w:r>
        <w:rPr>
          <w:rStyle w:val="CharSectno"/>
        </w:rPr>
        <w:t>92</w:t>
      </w:r>
      <w:r>
        <w:t>.</w:t>
      </w:r>
      <w:r>
        <w:tab/>
        <w:t>Correction of errors and omissions and the giving of certain refunds</w:t>
      </w:r>
      <w:bookmarkEnd w:id="14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144" w:name="_Toc217297090"/>
      <w:r>
        <w:rPr>
          <w:rStyle w:val="CharSectno"/>
        </w:rPr>
        <w:t>93</w:t>
      </w:r>
      <w:r>
        <w:t>.</w:t>
      </w:r>
      <w:r>
        <w:tab/>
        <w:t>Time for payment of dividends or refunds for cash bets</w:t>
      </w:r>
      <w:bookmarkEnd w:id="14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145" w:name="_Toc217297091"/>
      <w:r>
        <w:rPr>
          <w:rStyle w:val="CharSectno"/>
        </w:rPr>
        <w:t>94</w:t>
      </w:r>
      <w:r>
        <w:t>.</w:t>
      </w:r>
      <w:r>
        <w:tab/>
        <w:t>Presentation of tickets or claims</w:t>
      </w:r>
      <w:bookmarkEnd w:id="145"/>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146" w:name="_Toc217297092"/>
      <w:r>
        <w:rPr>
          <w:rStyle w:val="CharSectno"/>
        </w:rPr>
        <w:t>95</w:t>
      </w:r>
      <w:r>
        <w:t>.</w:t>
      </w:r>
      <w:r>
        <w:tab/>
        <w:t>When refunds of bets are payable</w:t>
      </w:r>
      <w:bookmarkEnd w:id="146"/>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147" w:name="_Toc217039446"/>
      <w:bookmarkStart w:id="148" w:name="_Toc217040687"/>
      <w:bookmarkStart w:id="149" w:name="_Toc217297093"/>
      <w:r>
        <w:rPr>
          <w:rStyle w:val="CharDivNo"/>
        </w:rPr>
        <w:t>Division 3</w:t>
      </w:r>
      <w:r>
        <w:t> — </w:t>
      </w:r>
      <w:r>
        <w:rPr>
          <w:rStyle w:val="CharDivText"/>
        </w:rPr>
        <w:t>Miscellaneous discipline and offence provisions</w:t>
      </w:r>
      <w:bookmarkEnd w:id="147"/>
      <w:bookmarkEnd w:id="148"/>
      <w:bookmarkEnd w:id="149"/>
    </w:p>
    <w:p>
      <w:pPr>
        <w:pStyle w:val="Footnoteheading"/>
        <w:spacing w:before="100"/>
      </w:pPr>
      <w:r>
        <w:tab/>
        <w:t>[Heading inserted: Gazette 21 Jul 2006 p. 2688.]</w:t>
      </w:r>
    </w:p>
    <w:p>
      <w:pPr>
        <w:pStyle w:val="Heading5"/>
      </w:pPr>
      <w:bookmarkStart w:id="150" w:name="_Toc217297094"/>
      <w:r>
        <w:rPr>
          <w:rStyle w:val="CharSectno"/>
        </w:rPr>
        <w:t>96</w:t>
      </w:r>
      <w:r>
        <w:t>.</w:t>
      </w:r>
      <w:r>
        <w:tab/>
        <w:t>Person making bet bound by these regulations, the rules of wagering and instructions</w:t>
      </w:r>
      <w:bookmarkEnd w:id="15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51" w:name="_Toc217297095"/>
      <w:r>
        <w:rPr>
          <w:rStyle w:val="CharSectno"/>
        </w:rPr>
        <w:t>97</w:t>
      </w:r>
      <w:r>
        <w:t>.</w:t>
      </w:r>
      <w:r>
        <w:tab/>
        <w:t>Offences relating to making and accepting wagers</w:t>
      </w:r>
      <w:bookmarkEnd w:id="15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for this subregulation: a fine of $5 000.</w:t>
      </w:r>
    </w:p>
    <w:p>
      <w:pPr>
        <w:pStyle w:val="Subsection"/>
      </w:pPr>
      <w:r>
        <w:tab/>
        <w:t>(3)</w:t>
      </w:r>
      <w:r>
        <w:tab/>
        <w:t>A person who accepts a cheque as part or full payment for a wager commits an offence.</w:t>
      </w:r>
    </w:p>
    <w:p>
      <w:pPr>
        <w:pStyle w:val="Penstart"/>
      </w:pPr>
      <w:r>
        <w:tab/>
        <w:t>Penalty for this subregulation: a fine of $5 000.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for this subregulation: a fine of $5 000.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for this subregulation: a fine of $5 000.</w:t>
      </w:r>
    </w:p>
    <w:p>
      <w:pPr>
        <w:pStyle w:val="Footnotesection"/>
      </w:pPr>
      <w:r>
        <w:tab/>
        <w:t>[Regulation 97 inserted: Gazette 21 Jul 2006 p. 2688</w:t>
      </w:r>
      <w:r>
        <w:noBreakHyphen/>
        <w:t>9; amended: SL 2025/35 r. 10.]</w:t>
      </w:r>
    </w:p>
    <w:p>
      <w:pPr>
        <w:pStyle w:val="Heading2"/>
      </w:pPr>
      <w:bookmarkStart w:id="152" w:name="_Toc217039449"/>
      <w:bookmarkStart w:id="153" w:name="_Toc217040690"/>
      <w:bookmarkStart w:id="154" w:name="_Toc217297096"/>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152"/>
      <w:bookmarkEnd w:id="153"/>
      <w:bookmarkEnd w:id="154"/>
    </w:p>
    <w:p>
      <w:pPr>
        <w:pStyle w:val="Footnoteheading"/>
      </w:pPr>
      <w:r>
        <w:tab/>
        <w:t>[Heading inserted: Gazette 22 Jun 2007 p. 2863.]</w:t>
      </w:r>
    </w:p>
    <w:p>
      <w:pPr>
        <w:pStyle w:val="Heading5"/>
      </w:pPr>
      <w:bookmarkStart w:id="155" w:name="_Toc217297097"/>
      <w:r>
        <w:rPr>
          <w:rStyle w:val="CharSectno"/>
        </w:rPr>
        <w:t>98</w:t>
      </w:r>
      <w:r>
        <w:t>.</w:t>
      </w:r>
      <w:r>
        <w:tab/>
        <w:t>Terms used</w:t>
      </w:r>
      <w:bookmarkEnd w:id="15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56" w:name="_Toc217297098"/>
      <w:r>
        <w:rPr>
          <w:rStyle w:val="CharSectno"/>
        </w:rPr>
        <w:t>99</w:t>
      </w:r>
      <w:r>
        <w:t>.</w:t>
      </w:r>
      <w:r>
        <w:tab/>
        <w:t>Prescribed criteria: section 27D(5)</w:t>
      </w:r>
      <w:bookmarkEnd w:id="15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57" w:name="_Toc217297099"/>
      <w:r>
        <w:rPr>
          <w:rStyle w:val="CharSectno"/>
        </w:rPr>
        <w:lastRenderedPageBreak/>
        <w:t>100</w:t>
      </w:r>
      <w:r>
        <w:t>.</w:t>
      </w:r>
      <w:r>
        <w:tab/>
        <w:t>Application for approval</w:t>
      </w:r>
      <w:bookmarkEnd w:id="15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58" w:name="_Toc217039453"/>
      <w:bookmarkStart w:id="159" w:name="_Toc217040694"/>
      <w:bookmarkStart w:id="160" w:name="_Toc217297100"/>
      <w:r>
        <w:rPr>
          <w:rStyle w:val="CharPartNo"/>
        </w:rPr>
        <w:lastRenderedPageBreak/>
        <w:t>Part 6</w:t>
      </w:r>
      <w:r>
        <w:rPr>
          <w:b w:val="0"/>
        </w:rPr>
        <w:t> </w:t>
      </w:r>
      <w:r>
        <w:t>—</w:t>
      </w:r>
      <w:r>
        <w:rPr>
          <w:b w:val="0"/>
        </w:rPr>
        <w:t> </w:t>
      </w:r>
      <w:r>
        <w:rPr>
          <w:rStyle w:val="CharPartText"/>
        </w:rPr>
        <w:t>Racing bets levy</w:t>
      </w:r>
      <w:bookmarkEnd w:id="158"/>
      <w:bookmarkEnd w:id="159"/>
      <w:bookmarkEnd w:id="160"/>
    </w:p>
    <w:p>
      <w:pPr>
        <w:pStyle w:val="Footnoteheading"/>
        <w:spacing w:before="100"/>
      </w:pPr>
      <w:r>
        <w:tab/>
        <w:t>[Heading inserted: Gazette 8 Jan 2010 p. 22.]</w:t>
      </w:r>
    </w:p>
    <w:p>
      <w:pPr>
        <w:pStyle w:val="Heading5"/>
        <w:spacing w:before="200"/>
      </w:pPr>
      <w:bookmarkStart w:id="161" w:name="_Toc217297101"/>
      <w:r>
        <w:rPr>
          <w:rStyle w:val="CharSectno"/>
        </w:rPr>
        <w:t>101</w:t>
      </w:r>
      <w:r>
        <w:t>.</w:t>
      </w:r>
      <w:r>
        <w:tab/>
        <w:t>Term used: approved offshore betting operator</w:t>
      </w:r>
      <w:bookmarkEnd w:id="16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pPr>
      <w:bookmarkStart w:id="162" w:name="_Toc217297102"/>
      <w:r>
        <w:rPr>
          <w:rStyle w:val="CharSectno"/>
        </w:rPr>
        <w:t>102</w:t>
      </w:r>
      <w:r>
        <w:t>.</w:t>
      </w:r>
      <w:r>
        <w:tab/>
        <w:t>Prescribed period: section 14A(2)(a)</w:t>
      </w:r>
      <w:bookmarkEnd w:id="162"/>
    </w:p>
    <w:p>
      <w:pPr>
        <w:pStyle w:val="Subsection"/>
      </w:pPr>
      <w:r>
        <w:tab/>
      </w:r>
      <w:r>
        <w:tab/>
        <w:t>For the purposes of section 14A(2)(a) of the Act, the period is 14 days beginning on the first day of each month.</w:t>
      </w:r>
    </w:p>
    <w:p>
      <w:pPr>
        <w:pStyle w:val="Footnotesection"/>
        <w:spacing w:before="100"/>
      </w:pPr>
      <w:r>
        <w:tab/>
        <w:t>[Regulation 102 inserted: SL 2025/35 r. 4.]</w:t>
      </w:r>
    </w:p>
    <w:p>
      <w:pPr>
        <w:pStyle w:val="Heading5"/>
        <w:spacing w:before="200"/>
      </w:pPr>
      <w:bookmarkStart w:id="163" w:name="_Toc217297103"/>
      <w:r>
        <w:rPr>
          <w:rStyle w:val="CharSectno"/>
        </w:rPr>
        <w:t>103</w:t>
      </w:r>
      <w:r>
        <w:t>.</w:t>
      </w:r>
      <w:r>
        <w:tab/>
        <w:t>Information prescribed: section 27D(4A)(a)</w:t>
      </w:r>
      <w:bookmarkEnd w:id="16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w:t>
      </w:r>
    </w:p>
    <w:p>
      <w:pPr>
        <w:pStyle w:val="Footnotesection"/>
      </w:pPr>
      <w:r>
        <w:tab/>
        <w:t>[Regulation 103 inserted: Gazette 8 Jan 2010 p. 22; amended: SL 2025/35 r. 5.]</w:t>
      </w:r>
    </w:p>
    <w:p>
      <w:pPr>
        <w:pStyle w:val="Heading5"/>
        <w:spacing w:before="200"/>
      </w:pPr>
      <w:bookmarkStart w:id="164" w:name="_Toc217297104"/>
      <w:r>
        <w:rPr>
          <w:rStyle w:val="CharSectno"/>
        </w:rPr>
        <w:t>104</w:t>
      </w:r>
      <w:r>
        <w:t>.</w:t>
      </w:r>
      <w:r>
        <w:tab/>
        <w:t>Manner of access to prescribed information: section 27D(4A)(a)</w:t>
      </w:r>
      <w:bookmarkEnd w:id="164"/>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keepNext/>
      </w:pPr>
      <w:r>
        <w:tab/>
        <w:t>(2)</w:t>
      </w:r>
      <w:r>
        <w:tab/>
        <w:t xml:space="preserve">An approved offshore betting operator must give the Commission or an officer of RWWA approved under </w:t>
      </w:r>
      <w:r>
        <w:lastRenderedPageBreak/>
        <w:t xml:space="preserve">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65" w:name="_Toc217297105"/>
      <w:r>
        <w:rPr>
          <w:rStyle w:val="CharSectno"/>
        </w:rPr>
        <w:t>105</w:t>
      </w:r>
      <w:r>
        <w:t>.</w:t>
      </w:r>
      <w:r>
        <w:tab/>
        <w:t>Prescribed conditions: section 27D(4A)(b)</w:t>
      </w:r>
      <w:bookmarkEnd w:id="16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 xml:space="preserve">An approved offshore betting operator must give authorised officers of the Commission or the Chief Steward of RWWA, at such times or locations as requested by an authorised officer or </w:t>
      </w:r>
      <w:r>
        <w:lastRenderedPageBreak/>
        <w:t>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lastRenderedPageBreak/>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66" w:name="_Toc217297106"/>
      <w:r>
        <w:rPr>
          <w:rStyle w:val="CharSectno"/>
        </w:rPr>
        <w:t>105A</w:t>
      </w:r>
      <w:r>
        <w:t>.</w:t>
      </w:r>
      <w:r>
        <w:tab/>
        <w:t>Prescribed conditions for greyhound and harness races: section 27F(1)</w:t>
      </w:r>
      <w:bookmarkEnd w:id="166"/>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lastRenderedPageBreak/>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lastRenderedPageBreak/>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67" w:name="_Toc217297107"/>
      <w:r>
        <w:rPr>
          <w:rStyle w:val="CharSectno"/>
        </w:rPr>
        <w:t>105B</w:t>
      </w:r>
      <w:r>
        <w:t>.</w:t>
      </w:r>
      <w:r>
        <w:tab/>
        <w:t>Prescribed conditions for thoroughbred races: section 27F(1)</w:t>
      </w:r>
      <w:bookmarkEnd w:id="167"/>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lastRenderedPageBreak/>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lastRenderedPageBreak/>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68" w:name="_Toc217297108"/>
      <w:r>
        <w:rPr>
          <w:rStyle w:val="CharSectno"/>
        </w:rPr>
        <w:lastRenderedPageBreak/>
        <w:t>105C</w:t>
      </w:r>
      <w:r>
        <w:t>.</w:t>
      </w:r>
      <w:r>
        <w:tab/>
        <w:t>Prescribed conditions under regulations 105A and 105B do not apply to certain bets</w:t>
      </w:r>
      <w:bookmarkEnd w:id="168"/>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69" w:name="_Toc217297109"/>
      <w:r>
        <w:rPr>
          <w:rStyle w:val="CharSectno"/>
        </w:rPr>
        <w:t>106</w:t>
      </w:r>
      <w:r>
        <w:t>.</w:t>
      </w:r>
      <w:r>
        <w:tab/>
        <w:t>Information prescribed: section 27F(2)(a)</w:t>
      </w:r>
      <w:bookmarkEnd w:id="169"/>
    </w:p>
    <w:p>
      <w:pPr>
        <w:pStyle w:val="Subsection"/>
      </w:pPr>
      <w:r>
        <w:tab/>
      </w:r>
      <w:r>
        <w:tab/>
        <w:t>For the purposes of section 27F(2)(a) of the Act, the prescribed information is information in documents, records or accounts relating to racing bets placed with, or placed or accepted through, a domestic betting operator.</w:t>
      </w:r>
    </w:p>
    <w:p>
      <w:pPr>
        <w:pStyle w:val="Footnotesection"/>
      </w:pPr>
      <w:r>
        <w:tab/>
        <w:t>[Regulation 106 inserted: Gazette 8 Jan 2010 p. 24; amended: SL 2025/35 r. 6.]</w:t>
      </w:r>
    </w:p>
    <w:p>
      <w:pPr>
        <w:pStyle w:val="Heading5"/>
      </w:pPr>
      <w:bookmarkStart w:id="170" w:name="_Toc217297110"/>
      <w:r>
        <w:rPr>
          <w:rStyle w:val="CharSectno"/>
        </w:rPr>
        <w:t>107</w:t>
      </w:r>
      <w:r>
        <w:t>.</w:t>
      </w:r>
      <w:r>
        <w:tab/>
        <w:t>Manner of access to prescribed information: section 27F(2)(a)</w:t>
      </w:r>
      <w:bookmarkEnd w:id="17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71" w:name="_Toc217297111"/>
      <w:r>
        <w:rPr>
          <w:rStyle w:val="CharSectno"/>
        </w:rPr>
        <w:t>108</w:t>
      </w:r>
      <w:r>
        <w:t>.</w:t>
      </w:r>
      <w:r>
        <w:tab/>
        <w:t>Prescribed conditions: section 27F(2)(b)</w:t>
      </w:r>
      <w:bookmarkEnd w:id="17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72" w:name="_Toc217297112"/>
      <w:r>
        <w:rPr>
          <w:rStyle w:val="CharSectno"/>
        </w:rPr>
        <w:lastRenderedPageBreak/>
        <w:t>109</w:t>
      </w:r>
      <w:r>
        <w:t>.</w:t>
      </w:r>
      <w:r>
        <w:tab/>
        <w:t>Prescribed criteria: section 27F(4)</w:t>
      </w:r>
      <w:bookmarkEnd w:id="17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73" w:name="_Toc217297113"/>
      <w:r>
        <w:rPr>
          <w:rStyle w:val="CharSectno"/>
        </w:rPr>
        <w:t>110</w:t>
      </w:r>
      <w:r>
        <w:t>.</w:t>
      </w:r>
      <w:r>
        <w:tab/>
        <w:t>Audited return</w:t>
      </w:r>
      <w:bookmarkEnd w:id="17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for this subregulation: a fine of $5 000.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 amended: SL 2025/35 r. 10.]</w:t>
      </w:r>
    </w:p>
    <w:p>
      <w:pPr>
        <w:pStyle w:val="Heading2"/>
      </w:pPr>
      <w:bookmarkStart w:id="174" w:name="_Toc217039467"/>
      <w:bookmarkStart w:id="175" w:name="_Toc217040708"/>
      <w:bookmarkStart w:id="176" w:name="_Toc217297114"/>
      <w:r>
        <w:rPr>
          <w:rStyle w:val="CharPartNo"/>
        </w:rPr>
        <w:lastRenderedPageBreak/>
        <w:t>Part 7</w:t>
      </w:r>
      <w:r>
        <w:t> —</w:t>
      </w:r>
      <w:r>
        <w:rPr>
          <w:rStyle w:val="CharPartText"/>
        </w:rPr>
        <w:t> Infringement notices</w:t>
      </w:r>
      <w:bookmarkEnd w:id="174"/>
      <w:bookmarkEnd w:id="175"/>
      <w:bookmarkEnd w:id="176"/>
    </w:p>
    <w:p>
      <w:pPr>
        <w:pStyle w:val="Footnoteheading"/>
        <w:spacing w:before="100"/>
      </w:pPr>
      <w:r>
        <w:tab/>
        <w:t>[Heading inserted: SL 2025/35 r. 7.]</w:t>
      </w:r>
    </w:p>
    <w:p>
      <w:pPr>
        <w:pStyle w:val="Heading5"/>
      </w:pPr>
      <w:bookmarkStart w:id="177" w:name="_Toc217297115"/>
      <w:r>
        <w:rPr>
          <w:rStyle w:val="CharSectno"/>
        </w:rPr>
        <w:t>111</w:t>
      </w:r>
      <w:r>
        <w:t>.</w:t>
      </w:r>
      <w:r>
        <w:tab/>
        <w:t>Prescribed offences and modified penalties</w:t>
      </w:r>
      <w:bookmarkEnd w:id="177"/>
    </w:p>
    <w:p>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xml:space="preserve"> Part 2 as modified by the </w:t>
      </w:r>
      <w:r>
        <w:rPr>
          <w:i/>
          <w:szCs w:val="24"/>
        </w:rPr>
        <w:t>Gaming and Wagering Commission Act 1987</w:t>
      </w:r>
      <w:r>
        <w:rPr>
          <w:szCs w:val="24"/>
        </w:rPr>
        <w:t xml:space="preserve"> section 36.</w:t>
      </w:r>
    </w:p>
    <w:p>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pPr>
        <w:pStyle w:val="Subsection"/>
        <w:rPr>
          <w:szCs w:val="24"/>
        </w:rPr>
      </w:pPr>
      <w:r>
        <w:rPr>
          <w:szCs w:val="24"/>
        </w:rPr>
        <w:tab/>
        <w:t>(3)</w:t>
      </w:r>
      <w:r>
        <w:rPr>
          <w:szCs w:val="24"/>
        </w:rPr>
        <w:tab/>
        <w:t xml:space="preserve">However, the modified penalty specified for each offence specified in Schedule 2 Division 2 items 19 to 50 is not applicable in a case where regulation 77D(2) is relied on in relation to a person described in paragraph (b) of the definition of </w:t>
      </w:r>
      <w:r>
        <w:rPr>
          <w:b/>
          <w:i/>
          <w:szCs w:val="24"/>
        </w:rPr>
        <w:t>responsible person</w:t>
      </w:r>
      <w:r>
        <w:rPr>
          <w:szCs w:val="24"/>
        </w:rPr>
        <w:t xml:space="preserve"> in regulation 77D(1).</w:t>
      </w:r>
    </w:p>
    <w:p>
      <w:pPr>
        <w:pStyle w:val="Footnotesection"/>
        <w:spacing w:before="100"/>
      </w:pPr>
      <w:r>
        <w:tab/>
        <w:t>[Regulation 111 inserted: SL 2025/35 r. 7.]</w:t>
      </w:r>
    </w:p>
    <w:p>
      <w:pPr>
        <w:pStyle w:val="Heading5"/>
      </w:pPr>
      <w:bookmarkStart w:id="178" w:name="_Toc217297116"/>
      <w:r>
        <w:rPr>
          <w:rStyle w:val="CharSectno"/>
        </w:rPr>
        <w:t>112</w:t>
      </w:r>
      <w:r>
        <w:t>.</w:t>
      </w:r>
      <w:r>
        <w:tab/>
        <w:t>Forms for infringement notice and withdrawal notice</w:t>
      </w:r>
      <w:bookmarkEnd w:id="178"/>
    </w:p>
    <w:p>
      <w:pPr>
        <w:pStyle w:val="Subsection"/>
      </w:pPr>
      <w:r>
        <w:rPr>
          <w:szCs w:val="24"/>
        </w:rPr>
        <w:tab/>
        <w:t>(1)</w:t>
      </w:r>
      <w:r>
        <w:rPr>
          <w:szCs w:val="24"/>
        </w:rPr>
        <w:tab/>
      </w:r>
      <w:r>
        <w:t xml:space="preserve">For the purposes of the </w:t>
      </w:r>
      <w:r>
        <w:rPr>
          <w:i/>
        </w:rPr>
        <w:t>Criminal Procedure Act </w:t>
      </w:r>
      <w:r>
        <w:rPr>
          <w:i/>
          <w:iCs/>
        </w:rPr>
        <w:t>2004</w:t>
      </w:r>
      <w:r>
        <w:t xml:space="preserve"> section 6(d), the form of an infringement notice is Schedule 1 Form 2.</w:t>
      </w:r>
    </w:p>
    <w:p>
      <w:pPr>
        <w:pStyle w:val="Subsection"/>
      </w:pPr>
      <w:r>
        <w:rPr>
          <w:szCs w:val="24"/>
        </w:rPr>
        <w:tab/>
        <w:t>(2)</w:t>
      </w:r>
      <w:r>
        <w:rPr>
          <w:szCs w:val="24"/>
        </w:rPr>
        <w:tab/>
      </w:r>
      <w:r>
        <w:t xml:space="preserve">For the purposes of the </w:t>
      </w:r>
      <w:r>
        <w:rPr>
          <w:i/>
          <w:iCs/>
        </w:rPr>
        <w:t>Criminal Procedure Act 2004</w:t>
      </w:r>
      <w:r>
        <w:t xml:space="preserve"> section 15(2), the form stating that an infringement notice has been withdrawn is Schedule 1 Form 3.</w:t>
      </w:r>
    </w:p>
    <w:p>
      <w:pPr>
        <w:pStyle w:val="Footnotesection"/>
        <w:spacing w:before="100"/>
      </w:pPr>
      <w:r>
        <w:tab/>
        <w:t>[Regulation 112 inserted: SL 2025/35 r. 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79" w:name="_Toc217039470"/>
      <w:bookmarkStart w:id="180" w:name="_Toc217040711"/>
      <w:bookmarkStart w:id="181" w:name="_Toc217297117"/>
      <w:r>
        <w:rPr>
          <w:rStyle w:val="CharSchNo"/>
        </w:rPr>
        <w:lastRenderedPageBreak/>
        <w:t>Appendix</w:t>
      </w:r>
      <w:bookmarkEnd w:id="179"/>
      <w:bookmarkEnd w:id="180"/>
      <w:bookmarkEnd w:id="181"/>
    </w:p>
    <w:p>
      <w:pPr>
        <w:pStyle w:val="yHeading2"/>
        <w:spacing w:before="120"/>
      </w:pPr>
      <w:bookmarkStart w:id="182" w:name="_Toc217039471"/>
      <w:bookmarkStart w:id="183" w:name="_Toc217040712"/>
      <w:bookmarkStart w:id="184" w:name="_Toc217297118"/>
      <w:r>
        <w:rPr>
          <w:rStyle w:val="CharSchText"/>
        </w:rPr>
        <w:t>Rules of Betting</w:t>
      </w:r>
      <w:bookmarkEnd w:id="182"/>
      <w:bookmarkEnd w:id="183"/>
      <w:bookmarkEnd w:id="184"/>
    </w:p>
    <w:p>
      <w:pPr>
        <w:pStyle w:val="yFootnoteheading"/>
      </w:pPr>
      <w:r>
        <w:tab/>
        <w:t>[Heading inserted: Gazette 14 Sep 1990 p. 4864.]</w:t>
      </w:r>
    </w:p>
    <w:p>
      <w:pPr>
        <w:pStyle w:val="yHeading3"/>
        <w:rPr>
          <w:sz w:val="22"/>
        </w:rPr>
      </w:pPr>
      <w:bookmarkStart w:id="185" w:name="_Toc217039472"/>
      <w:bookmarkStart w:id="186" w:name="_Toc217040713"/>
      <w:bookmarkStart w:id="187" w:name="_Toc217297119"/>
      <w:r>
        <w:rPr>
          <w:rStyle w:val="CharSDivNo"/>
        </w:rPr>
        <w:t>Part 1</w:t>
      </w:r>
      <w:r>
        <w:rPr>
          <w:sz w:val="22"/>
        </w:rPr>
        <w:t> — </w:t>
      </w:r>
      <w:r>
        <w:rPr>
          <w:rStyle w:val="CharSDivText"/>
        </w:rPr>
        <w:t>Betting under the rules of racing</w:t>
      </w:r>
      <w:bookmarkEnd w:id="185"/>
      <w:bookmarkEnd w:id="186"/>
      <w:bookmarkEnd w:id="187"/>
    </w:p>
    <w:p>
      <w:pPr>
        <w:pStyle w:val="yFootnoteheading"/>
        <w:rPr>
          <w:snapToGrid w:val="0"/>
        </w:rPr>
      </w:pPr>
      <w:r>
        <w:rPr>
          <w:snapToGrid w:val="0"/>
        </w:rPr>
        <w:tab/>
        <w:t>[Heading inserted: Gazette 21 Jul 1998 p. 3856.]</w:t>
      </w:r>
    </w:p>
    <w:p>
      <w:pPr>
        <w:pStyle w:val="yHeading5"/>
        <w:spacing w:before="260"/>
        <w:rPr>
          <w:snapToGrid w:val="0"/>
        </w:rPr>
      </w:pPr>
      <w:bookmarkStart w:id="188" w:name="_Toc217297120"/>
      <w:r>
        <w:rPr>
          <w:rStyle w:val="CharSClsNo"/>
        </w:rPr>
        <w:t>1</w:t>
      </w:r>
      <w:r>
        <w:rPr>
          <w:snapToGrid w:val="0"/>
        </w:rPr>
        <w:t>.</w:t>
      </w:r>
      <w:r>
        <w:rPr>
          <w:snapToGrid w:val="0"/>
        </w:rPr>
        <w:tab/>
        <w:t>Terms used</w:t>
      </w:r>
      <w:bookmarkEnd w:id="18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89" w:name="_Toc217297121"/>
      <w:r>
        <w:rPr>
          <w:rStyle w:val="CharSClsNo"/>
        </w:rPr>
        <w:lastRenderedPageBreak/>
        <w:t>2</w:t>
      </w:r>
      <w:r>
        <w:rPr>
          <w:snapToGrid w:val="0"/>
        </w:rPr>
        <w:t>.</w:t>
      </w:r>
      <w:r>
        <w:rPr>
          <w:snapToGrid w:val="0"/>
        </w:rPr>
        <w:tab/>
        <w:t>Bets void in certain circumstances</w:t>
      </w:r>
      <w:bookmarkEnd w:id="18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90" w:name="_Toc217297122"/>
      <w:r>
        <w:rPr>
          <w:rStyle w:val="CharSClsNo"/>
        </w:rPr>
        <w:t>3</w:t>
      </w:r>
      <w:r>
        <w:rPr>
          <w:snapToGrid w:val="0"/>
        </w:rPr>
        <w:t>.</w:t>
      </w:r>
      <w:r>
        <w:rPr>
          <w:snapToGrid w:val="0"/>
        </w:rPr>
        <w:tab/>
        <w:t>When bets are off</w:t>
      </w:r>
      <w:bookmarkEnd w:id="19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91" w:name="_Toc217297123"/>
      <w:r>
        <w:rPr>
          <w:rStyle w:val="CharSClsNo"/>
        </w:rPr>
        <w:t>4A</w:t>
      </w:r>
      <w:r>
        <w:t>.</w:t>
      </w:r>
      <w:r>
        <w:tab/>
        <w:t>Determination of bets where runner withdrawn</w:t>
      </w:r>
      <w:bookmarkEnd w:id="19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92" w:name="_Toc217297124"/>
      <w:r>
        <w:rPr>
          <w:rStyle w:val="CharSClsNo"/>
        </w:rPr>
        <w:t>4</w:t>
      </w:r>
      <w:r>
        <w:rPr>
          <w:snapToGrid w:val="0"/>
        </w:rPr>
        <w:t>.</w:t>
      </w:r>
      <w:r>
        <w:rPr>
          <w:snapToGrid w:val="0"/>
        </w:rPr>
        <w:tab/>
        <w:t>Determination and settlement of bets</w:t>
      </w:r>
      <w:bookmarkEnd w:id="19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93" w:name="_Toc217297125"/>
      <w:r>
        <w:rPr>
          <w:rStyle w:val="CharSClsNo"/>
        </w:rPr>
        <w:lastRenderedPageBreak/>
        <w:t>5</w:t>
      </w:r>
      <w:r>
        <w:rPr>
          <w:snapToGrid w:val="0"/>
        </w:rPr>
        <w:t>.</w:t>
      </w:r>
      <w:r>
        <w:rPr>
          <w:snapToGrid w:val="0"/>
        </w:rPr>
        <w:tab/>
        <w:t>Bets in respect of postponed race or race meeting</w:t>
      </w:r>
      <w:bookmarkEnd w:id="19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94" w:name="_Toc217297126"/>
      <w:r>
        <w:rPr>
          <w:rStyle w:val="CharSClsNo"/>
        </w:rPr>
        <w:t>6</w:t>
      </w:r>
      <w:r>
        <w:rPr>
          <w:snapToGrid w:val="0"/>
        </w:rPr>
        <w:t>.</w:t>
      </w:r>
      <w:r>
        <w:rPr>
          <w:snapToGrid w:val="0"/>
        </w:rPr>
        <w:tab/>
        <w:t>Each way bets</w:t>
      </w:r>
      <w:bookmarkEnd w:id="19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95" w:name="_Toc217297127"/>
      <w:r>
        <w:rPr>
          <w:rStyle w:val="CharSClsNo"/>
        </w:rPr>
        <w:t>7</w:t>
      </w:r>
      <w:r>
        <w:rPr>
          <w:snapToGrid w:val="0"/>
        </w:rPr>
        <w:t>.</w:t>
      </w:r>
      <w:r>
        <w:rPr>
          <w:snapToGrid w:val="0"/>
        </w:rPr>
        <w:tab/>
        <w:t>All bets to be “play or pay” except in certain circumstances</w:t>
      </w:r>
      <w:bookmarkEnd w:id="19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96" w:name="_Toc217297128"/>
      <w:r>
        <w:rPr>
          <w:rStyle w:val="CharSClsNo"/>
        </w:rPr>
        <w:t>8</w:t>
      </w:r>
      <w:r>
        <w:rPr>
          <w:snapToGrid w:val="0"/>
        </w:rPr>
        <w:t>.</w:t>
      </w:r>
      <w:r>
        <w:rPr>
          <w:snapToGrid w:val="0"/>
        </w:rPr>
        <w:tab/>
        <w:t>Provisions as to settlement of bets following dead heat</w:t>
      </w:r>
      <w:bookmarkEnd w:id="19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97" w:name="_Toc217297129"/>
      <w:r>
        <w:rPr>
          <w:rStyle w:val="CharSClsNo"/>
        </w:rPr>
        <w:t>9</w:t>
      </w:r>
      <w:r>
        <w:rPr>
          <w:snapToGrid w:val="0"/>
        </w:rPr>
        <w:t>.</w:t>
      </w:r>
      <w:r>
        <w:rPr>
          <w:snapToGrid w:val="0"/>
        </w:rPr>
        <w:tab/>
        <w:t>Doubles</w:t>
      </w:r>
      <w:bookmarkEnd w:id="19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98" w:name="_Toc217297130"/>
      <w:r>
        <w:rPr>
          <w:rStyle w:val="CharSClsNo"/>
        </w:rPr>
        <w:lastRenderedPageBreak/>
        <w:t>10</w:t>
      </w:r>
      <w:r>
        <w:rPr>
          <w:snapToGrid w:val="0"/>
        </w:rPr>
        <w:t>.</w:t>
      </w:r>
      <w:r>
        <w:rPr>
          <w:snapToGrid w:val="0"/>
        </w:rPr>
        <w:tab/>
        <w:t>Multiple doubles</w:t>
      </w:r>
      <w:bookmarkEnd w:id="19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99" w:name="_Toc217297131"/>
      <w:r>
        <w:rPr>
          <w:rStyle w:val="CharSClsNo"/>
        </w:rPr>
        <w:t>11</w:t>
      </w:r>
      <w:r>
        <w:rPr>
          <w:snapToGrid w:val="0"/>
        </w:rPr>
        <w:t>.</w:t>
      </w:r>
      <w:r>
        <w:rPr>
          <w:snapToGrid w:val="0"/>
        </w:rPr>
        <w:tab/>
        <w:t>“All up” bets</w:t>
      </w:r>
      <w:bookmarkEnd w:id="19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00" w:name="_Toc217297132"/>
      <w:r>
        <w:rPr>
          <w:rStyle w:val="CharSClsNo"/>
        </w:rPr>
        <w:t>12</w:t>
      </w:r>
      <w:r>
        <w:rPr>
          <w:snapToGrid w:val="0"/>
        </w:rPr>
        <w:t>.</w:t>
      </w:r>
      <w:r>
        <w:rPr>
          <w:snapToGrid w:val="0"/>
        </w:rPr>
        <w:tab/>
        <w:t>Provisions as to races that are re</w:t>
      </w:r>
      <w:r>
        <w:rPr>
          <w:snapToGrid w:val="0"/>
        </w:rPr>
        <w:noBreakHyphen/>
        <w:t>run</w:t>
      </w:r>
      <w:bookmarkEnd w:id="200"/>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201" w:name="_Toc217297133"/>
      <w:r>
        <w:rPr>
          <w:rStyle w:val="CharSClsNo"/>
        </w:rPr>
        <w:t>13</w:t>
      </w:r>
      <w:r>
        <w:rPr>
          <w:snapToGrid w:val="0"/>
        </w:rPr>
        <w:t>.</w:t>
      </w:r>
      <w:r>
        <w:rPr>
          <w:snapToGrid w:val="0"/>
        </w:rPr>
        <w:tab/>
        <w:t>Provisions as to bets on runners that are entered for 2 or more races on same day</w:t>
      </w:r>
      <w:bookmarkEnd w:id="20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202" w:name="_Toc217297134"/>
      <w:r>
        <w:rPr>
          <w:rStyle w:val="CharSClsNo"/>
        </w:rPr>
        <w:t>14</w:t>
      </w:r>
      <w:r>
        <w:rPr>
          <w:snapToGrid w:val="0"/>
        </w:rPr>
        <w:t>.</w:t>
      </w:r>
      <w:r>
        <w:rPr>
          <w:snapToGrid w:val="0"/>
        </w:rPr>
        <w:tab/>
        <w:t>Prohibition on betting after race</w:t>
      </w:r>
      <w:bookmarkEnd w:id="20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203" w:name="_Toc217297135"/>
      <w:r>
        <w:rPr>
          <w:rStyle w:val="CharSClsNo"/>
        </w:rPr>
        <w:lastRenderedPageBreak/>
        <w:t>15</w:t>
      </w:r>
      <w:r>
        <w:rPr>
          <w:snapToGrid w:val="0"/>
        </w:rPr>
        <w:t>.</w:t>
      </w:r>
      <w:r>
        <w:rPr>
          <w:snapToGrid w:val="0"/>
        </w:rPr>
        <w:tab/>
        <w:t>Settlement of bets on deaths of parties thereto</w:t>
      </w:r>
      <w:bookmarkEnd w:id="203"/>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04" w:name="_Toc217297136"/>
      <w:r>
        <w:rPr>
          <w:rStyle w:val="CharSClsNo"/>
        </w:rPr>
        <w:t>16</w:t>
      </w:r>
      <w:r>
        <w:rPr>
          <w:snapToGrid w:val="0"/>
        </w:rPr>
        <w:t>.</w:t>
      </w:r>
      <w:r>
        <w:rPr>
          <w:snapToGrid w:val="0"/>
        </w:rPr>
        <w:tab/>
        <w:t>Settlement of bets on suspension or cancellation of licence of bookmaker</w:t>
      </w:r>
      <w:bookmarkEnd w:id="20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205" w:name="_Toc217297137"/>
      <w:r>
        <w:rPr>
          <w:rStyle w:val="CharSClsNo"/>
        </w:rPr>
        <w:t>17</w:t>
      </w:r>
      <w:r>
        <w:rPr>
          <w:snapToGrid w:val="0"/>
        </w:rPr>
        <w:t>.</w:t>
      </w:r>
      <w:r>
        <w:rPr>
          <w:snapToGrid w:val="0"/>
        </w:rPr>
        <w:tab/>
        <w:t>Settling</w:t>
      </w:r>
      <w:bookmarkEnd w:id="205"/>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207" w:name="_Toc217039491"/>
      <w:bookmarkStart w:id="208" w:name="_Toc217040732"/>
      <w:bookmarkStart w:id="209" w:name="_Toc217297138"/>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207"/>
      <w:bookmarkEnd w:id="208"/>
      <w:bookmarkEnd w:id="209"/>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210" w:name="_Toc217039492"/>
      <w:bookmarkStart w:id="211" w:name="_Toc217040733"/>
      <w:bookmarkStart w:id="212" w:name="_Toc217297139"/>
      <w:r>
        <w:rPr>
          <w:rStyle w:val="CharSchNo"/>
        </w:rPr>
        <w:lastRenderedPageBreak/>
        <w:t>Schedule 1</w:t>
      </w:r>
      <w:r>
        <w:rPr>
          <w:rStyle w:val="CharSDivNo"/>
        </w:rPr>
        <w:t> </w:t>
      </w:r>
      <w:r>
        <w:t>—</w:t>
      </w:r>
      <w:r>
        <w:rPr>
          <w:rStyle w:val="CharSDivText"/>
        </w:rPr>
        <w:t> </w:t>
      </w:r>
      <w:r>
        <w:rPr>
          <w:rStyle w:val="CharSchText"/>
        </w:rPr>
        <w:t>Forms</w:t>
      </w:r>
      <w:bookmarkEnd w:id="210"/>
      <w:bookmarkEnd w:id="211"/>
      <w:bookmarkEnd w:id="212"/>
    </w:p>
    <w:p>
      <w:pPr>
        <w:pStyle w:val="yShoulderClause"/>
      </w:pPr>
      <w:r>
        <w:t>[r. 77 and 112(1) and (2)]</w:t>
      </w:r>
    </w:p>
    <w:p>
      <w:pPr>
        <w:pStyle w:val="yFootnoteheading"/>
        <w:rPr>
          <w:b/>
          <w:snapToGrid w:val="0"/>
        </w:rPr>
      </w:pPr>
      <w:r>
        <w:tab/>
        <w:t>[Heading inserted: Gazette 30 Jan 2004 p. 411; amended: SL 2025/35 r. 8(1).]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MiscellaneousHeading"/>
        <w:pageBreakBefore/>
        <w:spacing w:after="60"/>
        <w:rPr>
          <w:b/>
          <w:bCs/>
        </w:rPr>
      </w:pPr>
      <w:r>
        <w:rPr>
          <w:rStyle w:val="CharSClsNo"/>
          <w:b/>
          <w:bCs/>
        </w:rPr>
        <w:lastRenderedPageBreak/>
        <w:t>Form 2</w:t>
      </w:r>
      <w:r>
        <w:rPr>
          <w:b/>
          <w:bCs/>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59"/>
        <w:gridCol w:w="29"/>
        <w:gridCol w:w="2098"/>
        <w:gridCol w:w="1984"/>
      </w:tblGrid>
      <w:tr>
        <w:trPr>
          <w:trHeight w:val="282"/>
        </w:trPr>
        <w:tc>
          <w:tcPr>
            <w:tcW w:w="4820" w:type="dxa"/>
            <w:gridSpan w:val="4"/>
            <w:tcBorders>
              <w:top w:val="single" w:sz="4" w:space="0" w:color="auto"/>
              <w:left w:val="single" w:sz="4" w:space="0" w:color="auto"/>
              <w:bottom w:val="single" w:sz="4" w:space="0" w:color="auto"/>
              <w:right w:val="single" w:sz="4" w:space="0" w:color="auto"/>
            </w:tcBorders>
            <w:noWrap/>
            <w:hideMark/>
          </w:tcPr>
          <w:p>
            <w:pPr>
              <w:pStyle w:val="yTableNAm"/>
              <w:jc w:val="center"/>
              <w:rPr>
                <w:i/>
              </w:rPr>
            </w:pPr>
            <w:r>
              <w:br w:type="page"/>
            </w:r>
            <w:r>
              <w:rPr>
                <w:i/>
              </w:rPr>
              <w:t>Betting Control Act 1954</w:t>
            </w:r>
          </w:p>
          <w:p>
            <w:pPr>
              <w:pStyle w:val="yTableNAm"/>
              <w:jc w:val="center"/>
              <w:rPr>
                <w:b/>
                <w:sz w:val="28"/>
              </w:rPr>
            </w:pPr>
            <w:r>
              <w:rPr>
                <w:b/>
                <w:sz w:val="28"/>
              </w:rPr>
              <w:t>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pPr>
            <w:r>
              <w:t xml:space="preserve">Infringement </w:t>
            </w:r>
            <w:r>
              <w:br/>
              <w:t>notice no.</w:t>
            </w: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Details of offence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10"/>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306"/>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Modified penalty</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w:t>
            </w:r>
          </w:p>
        </w:tc>
      </w:tr>
      <w:t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Date of notice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Issuing officer</w:t>
            </w: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59"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4111" w:type="dxa"/>
            <w:gridSpan w:val="3"/>
            <w:tcBorders>
              <w:top w:val="single" w:sz="4" w:space="0" w:color="auto"/>
              <w:left w:val="single" w:sz="4" w:space="0" w:color="auto"/>
              <w:bottom w:val="single" w:sz="4" w:space="0" w:color="auto"/>
              <w:right w:val="single" w:sz="4" w:space="0" w:color="auto"/>
            </w:tcBorders>
            <w:noWrap/>
          </w:tcPr>
          <w:p>
            <w:pPr>
              <w:pStyle w:val="yTableNAm"/>
            </w:pPr>
          </w:p>
        </w:tc>
      </w:tr>
      <w:tr>
        <w:trPr>
          <w:trHeight w:val="401"/>
        </w:trPr>
        <w:tc>
          <w:tcPr>
            <w:tcW w:w="1134"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TAKE NOTICE</w:t>
            </w:r>
          </w:p>
        </w:tc>
        <w:tc>
          <w:tcPr>
            <w:tcW w:w="5670" w:type="dxa"/>
            <w:gridSpan w:val="4"/>
            <w:tcBorders>
              <w:top w:val="single" w:sz="4" w:space="0" w:color="auto"/>
              <w:left w:val="single" w:sz="4" w:space="0" w:color="auto"/>
              <w:bottom w:val="single" w:sz="4" w:space="0" w:color="auto"/>
              <w:right w:val="single" w:sz="4" w:space="0" w:color="auto"/>
            </w:tcBorders>
            <w:noWrap/>
            <w:hideMark/>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xml:space="preserve">. Under that Act, some or all of the following action may be taken — your </w:t>
            </w:r>
            <w:r>
              <w:lastRenderedPageBreak/>
              <w:t>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Gaming and Wagering Commission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trPr>
          <w:trHeight w:val="401"/>
        </w:trPr>
        <w:tc>
          <w:tcPr>
            <w:tcW w:w="1134"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How to pay</w:t>
            </w: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By post</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by post]</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In person</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in person]</w:t>
            </w:r>
          </w:p>
        </w:tc>
      </w:tr>
      <w:tr>
        <w:trPr>
          <w:trHeight w:val="447"/>
        </w:trPr>
        <w:tc>
          <w:tcPr>
            <w:tcW w:w="4820"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88" w:type="dxa"/>
            <w:gridSpan w:val="2"/>
            <w:tcBorders>
              <w:top w:val="single" w:sz="4" w:space="0" w:color="auto"/>
              <w:left w:val="single" w:sz="4" w:space="0" w:color="auto"/>
              <w:bottom w:val="single" w:sz="4" w:space="0" w:color="auto"/>
              <w:right w:val="single" w:sz="4" w:space="0" w:color="auto"/>
            </w:tcBorders>
            <w:noWrap/>
            <w:hideMark/>
          </w:tcPr>
          <w:p>
            <w:pPr>
              <w:pStyle w:val="yTableNAm"/>
              <w:rPr>
                <w:szCs w:val="22"/>
              </w:rPr>
            </w:pPr>
            <w:r>
              <w:rPr>
                <w:szCs w:val="22"/>
              </w:rPr>
              <w:t>Electronically</w:t>
            </w:r>
          </w:p>
        </w:tc>
        <w:tc>
          <w:tcPr>
            <w:tcW w:w="4082" w:type="dxa"/>
            <w:gridSpan w:val="2"/>
            <w:tcBorders>
              <w:top w:val="single" w:sz="4" w:space="0" w:color="auto"/>
              <w:left w:val="single" w:sz="4" w:space="0" w:color="auto"/>
              <w:bottom w:val="single" w:sz="4" w:space="0" w:color="auto"/>
              <w:right w:val="single" w:sz="4" w:space="0" w:color="auto"/>
            </w:tcBorders>
            <w:noWrap/>
            <w:hideMark/>
          </w:tcPr>
          <w:p>
            <w:pPr>
              <w:pStyle w:val="yTableNAm"/>
              <w:rPr>
                <w:i/>
                <w:szCs w:val="22"/>
              </w:rPr>
            </w:pPr>
            <w:r>
              <w:rPr>
                <w:i/>
                <w:szCs w:val="22"/>
              </w:rPr>
              <w:t>[Insert details for paying electronically]</w:t>
            </w:r>
          </w:p>
        </w:tc>
      </w:tr>
    </w:tbl>
    <w:p>
      <w:pPr>
        <w:pStyle w:val="yMiscellaneousHeading"/>
        <w:spacing w:after="60"/>
        <w:rPr>
          <w:b/>
          <w:bCs/>
        </w:rPr>
      </w:pPr>
      <w:r>
        <w:rPr>
          <w:rStyle w:val="CharSClsNo"/>
          <w:b/>
          <w:bCs/>
        </w:rPr>
        <w:t>Form 3</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560"/>
        <w:gridCol w:w="1701"/>
        <w:gridCol w:w="1984"/>
      </w:tblGrid>
      <w:tr>
        <w:trPr>
          <w:trHeight w:val="282"/>
        </w:trPr>
        <w:tc>
          <w:tcPr>
            <w:tcW w:w="4820" w:type="dxa"/>
            <w:gridSpan w:val="3"/>
            <w:tcBorders>
              <w:top w:val="single" w:sz="4" w:space="0" w:color="auto"/>
              <w:left w:val="single" w:sz="4" w:space="0" w:color="auto"/>
              <w:bottom w:val="single" w:sz="4" w:space="0" w:color="auto"/>
              <w:right w:val="single" w:sz="4" w:space="0" w:color="auto"/>
            </w:tcBorders>
            <w:noWrap/>
            <w:hideMark/>
          </w:tcPr>
          <w:p>
            <w:pPr>
              <w:pStyle w:val="yTableNAm"/>
              <w:keepNext/>
              <w:jc w:val="center"/>
            </w:pPr>
            <w:r>
              <w:br w:type="page"/>
            </w:r>
            <w:r>
              <w:rPr>
                <w:i/>
              </w:rPr>
              <w:t>Betting Control Act 1954</w:t>
            </w:r>
          </w:p>
          <w:p>
            <w:pPr>
              <w:pStyle w:val="yTableNAm"/>
              <w:keepNext/>
              <w:jc w:val="center"/>
              <w:rPr>
                <w:b/>
                <w:sz w:val="28"/>
              </w:rPr>
            </w:pPr>
            <w:r>
              <w:rPr>
                <w:b/>
                <w:sz w:val="28"/>
              </w:rPr>
              <w:t>WITHDRAWAL OF INFRINGEMENT NOTICE</w:t>
            </w:r>
          </w:p>
        </w:tc>
        <w:tc>
          <w:tcPr>
            <w:tcW w:w="1984" w:type="dxa"/>
            <w:tcBorders>
              <w:top w:val="single" w:sz="4" w:space="0" w:color="auto"/>
              <w:left w:val="single" w:sz="4" w:space="0" w:color="auto"/>
              <w:bottom w:val="single" w:sz="4" w:space="0" w:color="auto"/>
              <w:right w:val="single" w:sz="4" w:space="0" w:color="auto"/>
            </w:tcBorders>
            <w:noWrap/>
            <w:hideMark/>
          </w:tcPr>
          <w:p>
            <w:pPr>
              <w:pStyle w:val="yTableNAm"/>
              <w:keepNext/>
            </w:pPr>
            <w:r>
              <w:t>Withdrawal no.</w:t>
            </w: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offender</w:t>
            </w: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Address</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lastRenderedPageBreak/>
              <w:t>Details of infringement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Infringement notice no.</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issue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Alleged offence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or period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Time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Place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 xml:space="preserve">Details of offence </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5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val="restart"/>
            <w:tcBorders>
              <w:top w:val="single" w:sz="4" w:space="0" w:color="auto"/>
              <w:left w:val="single" w:sz="4" w:space="0" w:color="auto"/>
              <w:bottom w:val="single" w:sz="4" w:space="0" w:color="auto"/>
              <w:right w:val="single" w:sz="4" w:space="0" w:color="auto"/>
            </w:tcBorders>
            <w:noWrap/>
            <w:hideMark/>
          </w:tcPr>
          <w:p>
            <w:pPr>
              <w:pStyle w:val="yTableNAm"/>
            </w:pPr>
            <w:r>
              <w:t>Written law contravened</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282"/>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pPr>
              <w:rPr>
                <w:sz w:val="22"/>
              </w:rPr>
            </w:pP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vMerge w:val="restart"/>
            <w:tcBorders>
              <w:top w:val="single" w:sz="4" w:space="0" w:color="auto"/>
              <w:left w:val="single" w:sz="4" w:space="0" w:color="auto"/>
              <w:bottom w:val="single" w:sz="4" w:space="0" w:color="auto"/>
              <w:right w:val="single" w:sz="4" w:space="0" w:color="auto"/>
            </w:tcBorders>
            <w:noWrap/>
            <w:hideMark/>
          </w:tcPr>
          <w:p>
            <w:pPr>
              <w:pStyle w:val="yTableNAm"/>
              <w:rPr>
                <w:b/>
              </w:rPr>
            </w:pPr>
            <w:r>
              <w:rPr>
                <w:b/>
              </w:rPr>
              <w:t>Officer of the Commission withdrawing notice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Name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rPr>
                <w:rStyle w:val="DraftersNotes"/>
              </w:rPr>
            </w:pPr>
          </w:p>
        </w:tc>
      </w:tr>
      <w:tr>
        <w:trPr>
          <w:trHeight w:val="370"/>
        </w:trPr>
        <w:tc>
          <w:tcPr>
            <w:tcW w:w="1559" w:type="dxa"/>
            <w:vMerge/>
            <w:tcBorders>
              <w:top w:val="single" w:sz="4" w:space="0" w:color="auto"/>
              <w:left w:val="single" w:sz="4" w:space="0" w:color="auto"/>
              <w:bottom w:val="single" w:sz="4" w:space="0" w:color="auto"/>
              <w:right w:val="single" w:sz="4" w:space="0" w:color="auto"/>
            </w:tcBorders>
            <w:vAlign w:val="center"/>
            <w:hideMark/>
          </w:tcPr>
          <w:p>
            <w:pPr>
              <w:rPr>
                <w:b/>
                <w:sz w:val="22"/>
              </w:rPr>
            </w:pP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Signature</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c>
          <w:tcPr>
            <w:tcW w:w="1559" w:type="dxa"/>
            <w:tcBorders>
              <w:top w:val="single" w:sz="4" w:space="0" w:color="auto"/>
              <w:left w:val="single" w:sz="4" w:space="0" w:color="auto"/>
              <w:bottom w:val="single" w:sz="4" w:space="0" w:color="auto"/>
              <w:right w:val="single" w:sz="4" w:space="0" w:color="auto"/>
            </w:tcBorders>
            <w:noWrap/>
            <w:hideMark/>
          </w:tcPr>
          <w:p>
            <w:pPr>
              <w:pStyle w:val="yTableNAm"/>
              <w:rPr>
                <w:b/>
              </w:rPr>
            </w:pPr>
            <w:r>
              <w:rPr>
                <w:b/>
              </w:rPr>
              <w:t>Date</w:t>
            </w:r>
          </w:p>
        </w:tc>
        <w:tc>
          <w:tcPr>
            <w:tcW w:w="1560" w:type="dxa"/>
            <w:tcBorders>
              <w:top w:val="single" w:sz="4" w:space="0" w:color="auto"/>
              <w:left w:val="single" w:sz="4" w:space="0" w:color="auto"/>
              <w:bottom w:val="single" w:sz="4" w:space="0" w:color="auto"/>
              <w:right w:val="single" w:sz="4" w:space="0" w:color="auto"/>
            </w:tcBorders>
            <w:noWrap/>
            <w:hideMark/>
          </w:tcPr>
          <w:p>
            <w:pPr>
              <w:pStyle w:val="yTableNAm"/>
            </w:pPr>
            <w:r>
              <w:t>Date of withdrawal</w:t>
            </w:r>
          </w:p>
        </w:tc>
        <w:tc>
          <w:tcPr>
            <w:tcW w:w="368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trHeight w:val="1097"/>
        </w:trPr>
        <w:tc>
          <w:tcPr>
            <w:tcW w:w="1559" w:type="dxa"/>
            <w:tcBorders>
              <w:top w:val="single" w:sz="4" w:space="0" w:color="auto"/>
              <w:left w:val="single" w:sz="4" w:space="0" w:color="auto"/>
              <w:bottom w:val="single" w:sz="4" w:space="0" w:color="auto"/>
              <w:right w:val="single" w:sz="4" w:space="0" w:color="auto"/>
            </w:tcBorders>
            <w:noWrap/>
          </w:tcPr>
          <w:p>
            <w:pPr>
              <w:pStyle w:val="yTableNAm"/>
              <w:keepNext/>
              <w:rPr>
                <w:b/>
              </w:rPr>
            </w:pPr>
            <w:r>
              <w:rPr>
                <w:b/>
              </w:rPr>
              <w:t>Withdrawal of infringement notice</w:t>
            </w:r>
          </w:p>
          <w:p>
            <w:pPr>
              <w:pStyle w:val="yTableNAm"/>
              <w:keepNext/>
              <w:rPr>
                <w:i/>
              </w:rPr>
            </w:pPr>
          </w:p>
        </w:tc>
        <w:tc>
          <w:tcPr>
            <w:tcW w:w="5245" w:type="dxa"/>
            <w:gridSpan w:val="3"/>
            <w:tcBorders>
              <w:top w:val="single" w:sz="4" w:space="0" w:color="auto"/>
              <w:left w:val="single" w:sz="4" w:space="0" w:color="auto"/>
              <w:bottom w:val="single" w:sz="4" w:space="0" w:color="auto"/>
              <w:right w:val="single" w:sz="4" w:space="0" w:color="auto"/>
            </w:tcBorders>
            <w:noWrap/>
            <w:hideMark/>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rPr>
                <w:rStyle w:val="DraftersNotes"/>
                <w:b w:val="0"/>
                <w:iCs/>
              </w:rPr>
            </w:pPr>
            <w:r>
              <w:rPr>
                <w:i/>
                <w:iCs/>
              </w:rPr>
              <w:t>[Insert details for processing of refund.]</w:t>
            </w:r>
          </w:p>
        </w:tc>
      </w:tr>
    </w:tbl>
    <w:p>
      <w:pPr>
        <w:pStyle w:val="yFootnotesection"/>
      </w:pPr>
      <w:r>
        <w:tab/>
        <w:t>[Schedule 1 inserted: Gazette 30 Jan 2004 p. 411; amended: Gazette 14 Jun 2013 p. 2243; SL 2025/35 r. 8(2).]</w:t>
      </w:r>
    </w:p>
    <w:p>
      <w:pPr>
        <w:pStyle w:val="yScheduleHeading"/>
      </w:pPr>
      <w:bookmarkStart w:id="213" w:name="_Toc217039493"/>
      <w:bookmarkStart w:id="214" w:name="_Toc217040734"/>
      <w:bookmarkStart w:id="215" w:name="_Toc217297140"/>
      <w:r>
        <w:rPr>
          <w:rStyle w:val="CharSchNo"/>
        </w:rPr>
        <w:lastRenderedPageBreak/>
        <w:t>Schedule 2</w:t>
      </w:r>
      <w:r>
        <w:t> —</w:t>
      </w:r>
      <w:r>
        <w:rPr>
          <w:rStyle w:val="CharSchText"/>
        </w:rPr>
        <w:t> Prescribed offences and modified penalties</w:t>
      </w:r>
      <w:bookmarkEnd w:id="213"/>
      <w:bookmarkEnd w:id="214"/>
      <w:bookmarkEnd w:id="215"/>
    </w:p>
    <w:p>
      <w:pPr>
        <w:pStyle w:val="yShoulderClause"/>
      </w:pPr>
      <w:r>
        <w:t>[r. 111]</w:t>
      </w:r>
    </w:p>
    <w:p>
      <w:pPr>
        <w:pStyle w:val="yFootnoteheading"/>
        <w:rPr>
          <w:b/>
          <w:snapToGrid w:val="0"/>
        </w:rPr>
      </w:pPr>
      <w:r>
        <w:tab/>
        <w:t>[Heading inserted: SL 2025/35 r. 9.]</w:t>
      </w:r>
    </w:p>
    <w:p>
      <w:pPr>
        <w:pStyle w:val="yHeading3"/>
        <w:rPr>
          <w:rStyle w:val="CharDivText"/>
        </w:rPr>
      </w:pPr>
      <w:bookmarkStart w:id="216" w:name="_Toc217039494"/>
      <w:bookmarkStart w:id="217" w:name="_Toc217040735"/>
      <w:bookmarkStart w:id="218" w:name="_Toc217297141"/>
      <w:r>
        <w:rPr>
          <w:rStyle w:val="CharSDivNo"/>
        </w:rPr>
        <w:t>Division 1</w:t>
      </w:r>
      <w:r>
        <w:t> —</w:t>
      </w:r>
      <w:r>
        <w:rPr>
          <w:rStyle w:val="CharDivText"/>
        </w:rPr>
        <w:t> </w:t>
      </w:r>
      <w:r>
        <w:rPr>
          <w:rStyle w:val="CharSDivText"/>
        </w:rPr>
        <w:t>Offences under Act</w:t>
      </w:r>
      <w:bookmarkEnd w:id="216"/>
      <w:bookmarkEnd w:id="217"/>
      <w:bookmarkEnd w:id="218"/>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Section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4A(6)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4B(3A)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11(6C)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11B(14)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rPr>
                <w:highlight w:val="yellow"/>
              </w:rPr>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11C(13)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 xml:space="preserve">s. 11E(5) to the extent that it applies to records as the Commission specifies in writing </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11F(2)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14A(2)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tabs>
                <w:tab w:val="left" w:pos="369"/>
              </w:tabs>
              <w:ind w:left="369" w:hanging="369"/>
            </w:pPr>
            <w:r>
              <w:t>(a)</w:t>
            </w:r>
            <w:r>
              <w:tab/>
              <w:t xml:space="preserve">for a first offence, $500; </w:t>
            </w:r>
          </w:p>
          <w:p>
            <w:pPr>
              <w:pStyle w:val="yTableNAm"/>
              <w:tabs>
                <w:tab w:val="left" w:pos="369"/>
              </w:tabs>
              <w:ind w:left="369" w:hanging="369"/>
            </w:pPr>
            <w:r>
              <w:t>(b)</w:t>
            </w:r>
            <w:r>
              <w:tab/>
              <w:t xml:space="preserve">for each separate and further offence committed by the betting operator under the </w:t>
            </w:r>
            <w:r>
              <w:rPr>
                <w:i/>
                <w:iCs/>
              </w:rPr>
              <w:t>Interpretation Act 1984</w:t>
            </w:r>
            <w:r>
              <w:t xml:space="preserve"> s. 71, $100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20A(2)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22(2)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26A(3)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26C(5)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27D(2A)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$5 000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28C</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s. 28E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bl>
    <w:p>
      <w:pPr>
        <w:pStyle w:val="yFootnotesection"/>
      </w:pPr>
      <w:r>
        <w:tab/>
        <w:t>[Division 1 inserted: SL 2025/35 r. 9.]</w:t>
      </w:r>
    </w:p>
    <w:p>
      <w:pPr>
        <w:pStyle w:val="yHeading3"/>
        <w:rPr>
          <w:rStyle w:val="CharDivText"/>
        </w:rPr>
      </w:pPr>
      <w:bookmarkStart w:id="219" w:name="_Toc217039495"/>
      <w:bookmarkStart w:id="220" w:name="_Toc217040736"/>
      <w:bookmarkStart w:id="221" w:name="_Toc217297142"/>
      <w:r>
        <w:rPr>
          <w:rStyle w:val="CharSDivNo"/>
        </w:rPr>
        <w:t>Division 2</w:t>
      </w:r>
      <w:r>
        <w:t> —</w:t>
      </w:r>
      <w:r>
        <w:rPr>
          <w:rStyle w:val="CharDivText"/>
        </w:rPr>
        <w:t> </w:t>
      </w:r>
      <w:r>
        <w:rPr>
          <w:rStyle w:val="CharSDivText"/>
        </w:rPr>
        <w:t>Offences under regulations</w:t>
      </w:r>
      <w:bookmarkEnd w:id="219"/>
      <w:bookmarkEnd w:id="220"/>
      <w:bookmarkEnd w:id="221"/>
    </w:p>
    <w:p>
      <w:pPr>
        <w:pStyle w:val="yFootnoteheading"/>
        <w:spacing w:after="60"/>
        <w:rPr>
          <w:snapToGrid w:val="0"/>
        </w:rPr>
      </w:pPr>
      <w:r>
        <w:tab/>
        <w:t>[Heading inserted: SL 2025/35 r. 9.]</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1072"/>
        <w:gridCol w:w="3685"/>
        <w:gridCol w:w="1905"/>
      </w:tblGrid>
      <w:tr>
        <w:trPr>
          <w:cantSplit/>
          <w:tblHeader/>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
              </w:rPr>
            </w:pPr>
            <w:r>
              <w:rPr>
                <w:b/>
              </w:rPr>
              <w:t>Item</w:t>
            </w:r>
          </w:p>
        </w:tc>
        <w:tc>
          <w:tcPr>
            <w:tcW w:w="3685" w:type="dxa"/>
            <w:tcBorders>
              <w:top w:val="single" w:sz="4" w:space="0" w:color="auto"/>
              <w:left w:val="single" w:sz="4" w:space="0" w:color="auto"/>
              <w:bottom w:val="single" w:sz="4" w:space="0" w:color="auto"/>
              <w:right w:val="single" w:sz="4" w:space="0" w:color="auto"/>
            </w:tcBorders>
            <w:hideMark/>
          </w:tcPr>
          <w:p>
            <w:pPr>
              <w:pStyle w:val="yTableNAm"/>
              <w:jc w:val="center"/>
              <w:rPr>
                <w:b/>
              </w:rPr>
            </w:pPr>
            <w:r>
              <w:rPr>
                <w:b/>
              </w:rPr>
              <w:t>Regulation</w:t>
            </w:r>
          </w:p>
        </w:tc>
        <w:tc>
          <w:tcPr>
            <w:tcW w:w="1905" w:type="dxa"/>
            <w:tcBorders>
              <w:top w:val="single" w:sz="4" w:space="0" w:color="auto"/>
              <w:left w:val="single" w:sz="4" w:space="0" w:color="auto"/>
              <w:bottom w:val="single" w:sz="4" w:space="0" w:color="auto"/>
              <w:right w:val="single" w:sz="4" w:space="0" w:color="auto"/>
            </w:tcBorders>
            <w:noWrap/>
            <w:hideMark/>
          </w:tcPr>
          <w:p>
            <w:pPr>
              <w:pStyle w:val="yTableNAm"/>
              <w:jc w:val="center"/>
              <w:rPr>
                <w:b/>
              </w:rPr>
            </w:pPr>
            <w:r>
              <w:rPr>
                <w:b/>
              </w:rPr>
              <w:t>Modified penalty</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27(2)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3"/>
              <w:jc w:val="right"/>
            </w:pPr>
            <w:r>
              <w:t>$250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28(1a)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28(2a)</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29</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36(3)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51(3)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15.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57</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58(1)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59(2)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19.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77E</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77F</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77G(4)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77H(5)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77I</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77J(1)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29.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77K(3)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77L(2)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34.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77M(3)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77N(2)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77O</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39.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77Q(2)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77R(3)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77T(2)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77U(2)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77W</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45.</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46.</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77Y(3)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47.</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48.</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49.</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77ZA(2)</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50.</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77ZB</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$200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51.</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97(3)</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52.</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97(4)</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lastRenderedPageBreak/>
              <w:t>53.</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97(5)</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$500</w:t>
            </w:r>
          </w:p>
        </w:tc>
      </w:tr>
      <w:tr>
        <w:trPr>
          <w:cantSplit/>
        </w:trPr>
        <w:tc>
          <w:tcPr>
            <w:tcW w:w="1072" w:type="dxa"/>
            <w:tcBorders>
              <w:top w:val="single" w:sz="4" w:space="0" w:color="auto"/>
              <w:left w:val="single" w:sz="4" w:space="0" w:color="auto"/>
              <w:bottom w:val="single" w:sz="4" w:space="0" w:color="auto"/>
              <w:right w:val="single" w:sz="4" w:space="0" w:color="auto"/>
            </w:tcBorders>
            <w:noWrap/>
            <w:hideMark/>
          </w:tcPr>
          <w:p>
            <w:pPr>
              <w:pStyle w:val="yTableNAm"/>
              <w:ind w:firstLine="140"/>
              <w:rPr>
                <w:bCs/>
              </w:rPr>
            </w:pPr>
            <w:r>
              <w:rPr>
                <w:bCs/>
              </w:rPr>
              <w:t>54.</w:t>
            </w:r>
          </w:p>
        </w:tc>
        <w:tc>
          <w:tcPr>
            <w:tcW w:w="3685" w:type="dxa"/>
            <w:tcBorders>
              <w:top w:val="single" w:sz="4" w:space="0" w:color="auto"/>
              <w:left w:val="single" w:sz="4" w:space="0" w:color="auto"/>
              <w:bottom w:val="single" w:sz="4" w:space="0" w:color="auto"/>
              <w:right w:val="single" w:sz="4" w:space="0" w:color="auto"/>
            </w:tcBorders>
            <w:noWrap/>
            <w:hideMark/>
          </w:tcPr>
          <w:p>
            <w:pPr>
              <w:pStyle w:val="yTableNAm"/>
            </w:pPr>
            <w:r>
              <w:t>r. 110(1)</w:t>
            </w:r>
          </w:p>
        </w:tc>
        <w:tc>
          <w:tcPr>
            <w:tcW w:w="1905" w:type="dxa"/>
            <w:tcBorders>
              <w:top w:val="single" w:sz="4" w:space="0" w:color="auto"/>
              <w:left w:val="single" w:sz="4" w:space="0" w:color="auto"/>
              <w:bottom w:val="single" w:sz="4" w:space="0" w:color="auto"/>
              <w:right w:val="single" w:sz="4" w:space="0" w:color="auto"/>
            </w:tcBorders>
            <w:noWrap/>
            <w:vAlign w:val="bottom"/>
            <w:hideMark/>
          </w:tcPr>
          <w:p>
            <w:pPr>
              <w:pStyle w:val="yTableNAm"/>
              <w:ind w:right="288"/>
              <w:jc w:val="right"/>
            </w:pPr>
            <w:r>
              <w:t>$1 000</w:t>
            </w:r>
          </w:p>
        </w:tc>
      </w:tr>
    </w:tbl>
    <w:p>
      <w:pPr>
        <w:pStyle w:val="yFootnotesection"/>
      </w:pPr>
      <w:r>
        <w:tab/>
        <w:t>[Division 2 inserted: SL 2025/35 r. 9.]</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222" w:name="_Toc217039496"/>
      <w:bookmarkStart w:id="223" w:name="_Toc217040737"/>
      <w:bookmarkStart w:id="224" w:name="_Toc217297143"/>
      <w:r>
        <w:lastRenderedPageBreak/>
        <w:t>Notes</w:t>
      </w:r>
      <w:bookmarkEnd w:id="222"/>
      <w:bookmarkEnd w:id="223"/>
      <w:bookmarkEnd w:id="224"/>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p>
    <w:p>
      <w:pPr>
        <w:pStyle w:val="nHeading3"/>
      </w:pPr>
      <w:bookmarkStart w:id="225" w:name="_Toc217297144"/>
      <w:r>
        <w:t>Compilation table</w:t>
      </w:r>
      <w:bookmarkEnd w:id="225"/>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nil"/>
            </w:tcBorders>
            <w:shd w:val="clear" w:color="auto" w:fill="auto"/>
          </w:tcPr>
          <w:p>
            <w:pPr>
              <w:pStyle w:val="nTable"/>
              <w:spacing w:after="40"/>
            </w:pPr>
            <w:r>
              <w:t>SL 2024/213 16 Oct 2024</w:t>
            </w:r>
          </w:p>
        </w:tc>
        <w:tc>
          <w:tcPr>
            <w:tcW w:w="2693" w:type="dxa"/>
            <w:gridSpan w:val="2"/>
            <w:tcBorders>
              <w:top w:val="nil"/>
              <w:bottom w:val="nil"/>
            </w:tcBorders>
            <w:shd w:val="clear" w:color="auto" w:fill="auto"/>
          </w:tcPr>
          <w:p>
            <w:pPr>
              <w:pStyle w:val="nTable"/>
              <w:spacing w:after="40"/>
            </w:pPr>
            <w:r>
              <w:t>1 Jan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Gambling Regulations Amendment Regulations (No. 2) 2025</w:t>
            </w:r>
            <w:r>
              <w:rPr>
                <w:iCs/>
              </w:rPr>
              <w:t xml:space="preserve"> Pt. 2</w:t>
            </w:r>
          </w:p>
        </w:tc>
        <w:tc>
          <w:tcPr>
            <w:tcW w:w="1276" w:type="dxa"/>
            <w:gridSpan w:val="2"/>
            <w:tcBorders>
              <w:top w:val="nil"/>
              <w:bottom w:val="nil"/>
            </w:tcBorders>
            <w:shd w:val="clear" w:color="auto" w:fill="auto"/>
          </w:tcPr>
          <w:p>
            <w:pPr>
              <w:pStyle w:val="nTable"/>
              <w:spacing w:after="40"/>
            </w:pPr>
            <w:r>
              <w:t>SL 2025/30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Cs/>
              </w:rPr>
            </w:pPr>
            <w:r>
              <w:rPr>
                <w:i/>
              </w:rPr>
              <w:t>Gambling Regulations Amendment Regulations 2025</w:t>
            </w:r>
            <w:r>
              <w:rPr>
                <w:iCs/>
              </w:rPr>
              <w:t xml:space="preserve"> Pt. 2</w:t>
            </w:r>
          </w:p>
        </w:tc>
        <w:tc>
          <w:tcPr>
            <w:tcW w:w="1276" w:type="dxa"/>
            <w:gridSpan w:val="2"/>
            <w:tcBorders>
              <w:top w:val="nil"/>
              <w:bottom w:val="nil"/>
            </w:tcBorders>
            <w:shd w:val="clear" w:color="auto" w:fill="auto"/>
          </w:tcPr>
          <w:p>
            <w:pPr>
              <w:pStyle w:val="nTable"/>
              <w:spacing w:after="40"/>
            </w:pPr>
            <w:r>
              <w:t>SL 2025/35 5 Feb 2025</w:t>
            </w:r>
          </w:p>
        </w:tc>
        <w:tc>
          <w:tcPr>
            <w:tcW w:w="2693" w:type="dxa"/>
            <w:gridSpan w:val="2"/>
            <w:tcBorders>
              <w:top w:val="nil"/>
              <w:bottom w:val="nil"/>
            </w:tcBorders>
            <w:shd w:val="clear" w:color="auto" w:fill="auto"/>
          </w:tcPr>
          <w:p>
            <w:pPr>
              <w:pStyle w:val="nTable"/>
              <w:spacing w:after="40"/>
            </w:pPr>
            <w:r>
              <w:t>6 Feb 2025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2025 </w:t>
            </w:r>
            <w:r>
              <w:rPr>
                <w:iCs/>
              </w:rPr>
              <w:t>Pt. 2</w:t>
            </w:r>
          </w:p>
        </w:tc>
        <w:tc>
          <w:tcPr>
            <w:tcW w:w="1276" w:type="dxa"/>
            <w:gridSpan w:val="2"/>
            <w:tcBorders>
              <w:top w:val="nil"/>
              <w:bottom w:val="single" w:sz="4" w:space="0" w:color="auto"/>
            </w:tcBorders>
            <w:shd w:val="clear" w:color="auto" w:fill="auto"/>
          </w:tcPr>
          <w:p>
            <w:pPr>
              <w:pStyle w:val="nTable"/>
              <w:spacing w:after="40"/>
            </w:pPr>
            <w:r>
              <w:t>SL 2025/187 12 Nov 2025</w:t>
            </w:r>
          </w:p>
        </w:tc>
        <w:tc>
          <w:tcPr>
            <w:tcW w:w="2693" w:type="dxa"/>
            <w:gridSpan w:val="2"/>
            <w:tcBorders>
              <w:top w:val="nil"/>
              <w:bottom w:val="single" w:sz="4" w:space="0" w:color="auto"/>
            </w:tcBorders>
            <w:shd w:val="clear" w:color="auto" w:fill="auto"/>
          </w:tcPr>
          <w:p>
            <w:pPr>
              <w:pStyle w:val="nTable"/>
              <w:spacing w:after="40"/>
            </w:pPr>
            <w:r>
              <w:t>1 Jan 2026 (see r. 2(b))</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7" w:name="_Toc217039499"/>
      <w:bookmarkStart w:id="228" w:name="_Toc217040739"/>
      <w:bookmarkStart w:id="229" w:name="_Toc217297145"/>
      <w:r>
        <w:rPr>
          <w:sz w:val="28"/>
        </w:rPr>
        <w:lastRenderedPageBreak/>
        <w:t>Defined terms</w:t>
      </w:r>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6-month period</w:t>
      </w:r>
      <w:r>
        <w:tab/>
        <w:t>77P</w:t>
      </w:r>
    </w:p>
    <w:p>
      <w:pPr>
        <w:pStyle w:val="DefinedTerms"/>
      </w:pPr>
      <w:r>
        <w:t>account holder</w:t>
      </w:r>
      <w:r>
        <w:tab/>
        <w:t>77C</w:t>
      </w:r>
    </w:p>
    <w:p>
      <w:pPr>
        <w:pStyle w:val="DefinedTerms"/>
      </w:pPr>
      <w:r>
        <w:t>activity statement</w:t>
      </w:r>
      <w:r>
        <w:tab/>
        <w:t>77P</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 77C</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consistent gambling messaging</w:t>
      </w:r>
      <w:r>
        <w:tab/>
        <w:t>77V(1)</w:t>
      </w:r>
    </w:p>
    <w:p>
      <w:pPr>
        <w:pStyle w:val="DefinedTerms"/>
      </w:pPr>
      <w:r>
        <w:t>country</w:t>
      </w:r>
      <w:r>
        <w:tab/>
        <w:t>3(1)</w:t>
      </w:r>
    </w:p>
    <w:p>
      <w:pPr>
        <w:pStyle w:val="DefinedTerms"/>
      </w:pPr>
      <w:r>
        <w:t>deposit limit</w:t>
      </w:r>
      <w:r>
        <w:tab/>
        <w:t>77C</w:t>
      </w:r>
    </w:p>
    <w:p>
      <w:pPr>
        <w:pStyle w:val="DefinedTerms"/>
      </w:pPr>
      <w:r>
        <w:t>double</w:t>
      </w:r>
      <w:r>
        <w:tab/>
        <w:t>App. cl. 1(1)</w:t>
      </w:r>
    </w:p>
    <w:p>
      <w:pPr>
        <w:pStyle w:val="DefinedTerms"/>
      </w:pPr>
      <w:r>
        <w:t>each way bet</w:t>
      </w:r>
      <w:r>
        <w:tab/>
        <w:t>2(1)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interactive wagering service</w:t>
      </w:r>
      <w:r>
        <w:tab/>
        <w:t>77B</w:t>
      </w:r>
    </w:p>
    <w:p>
      <w:pPr>
        <w:pStyle w:val="DefinedTerms"/>
      </w:pPr>
      <w:r>
        <w:t>internet betting</w:t>
      </w:r>
      <w:r>
        <w:tab/>
        <w:t>3(1)</w:t>
      </w:r>
    </w:p>
    <w:p>
      <w:pPr>
        <w:pStyle w:val="DefinedTerms"/>
      </w:pPr>
    </w:p>
    <w:p>
      <w:pPr>
        <w:pStyle w:val="DefinedTerms"/>
      </w:pPr>
    </w:p>
    <w:p>
      <w:pPr>
        <w:pStyle w:val="DefinedTerms"/>
      </w:pPr>
      <w:r>
        <w:lastRenderedPageBreak/>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National Consumer Protection Framework for Online Wagering in Australia - National Policy Statement</w:t>
      </w:r>
      <w:r>
        <w:tab/>
        <w:t>77C</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provider</w:t>
      </w:r>
      <w:r>
        <w:tab/>
        <w:t>77B, 77C</w:t>
      </w:r>
    </w:p>
    <w:p>
      <w:pPr>
        <w:pStyle w:val="DefinedTerms"/>
      </w:pPr>
      <w:r>
        <w:t>racing year</w:t>
      </w:r>
      <w:r>
        <w:tab/>
        <w:t>3(1)</w:t>
      </w:r>
    </w:p>
    <w:p>
      <w:pPr>
        <w:pStyle w:val="DefinedTerms"/>
      </w:pPr>
      <w:r>
        <w:t>relevant individual</w:t>
      </w:r>
      <w:r>
        <w:tab/>
        <w:t>77X</w:t>
      </w:r>
    </w:p>
    <w:p>
      <w:pPr>
        <w:pStyle w:val="DefinedTerms"/>
      </w:pPr>
      <w:r>
        <w:t>relevant period</w:t>
      </w:r>
      <w:r>
        <w:tab/>
        <w:t>77T(1), 77U(1)</w:t>
      </w:r>
    </w:p>
    <w:p>
      <w:pPr>
        <w:pStyle w:val="DefinedTerms"/>
      </w:pPr>
      <w:r>
        <w:t>relevant person</w:t>
      </w:r>
      <w:r>
        <w:tab/>
        <w:t>77U(1), 98</w:t>
      </w:r>
    </w:p>
    <w:p>
      <w:pPr>
        <w:pStyle w:val="DefinedTerms"/>
      </w:pPr>
      <w:r>
        <w:t>relevant time</w:t>
      </w:r>
      <w:r>
        <w:tab/>
        <w:t>77L(1)</w:t>
      </w:r>
    </w:p>
    <w:p>
      <w:pPr>
        <w:pStyle w:val="DefinedTerms"/>
      </w:pPr>
      <w:r>
        <w:t>relevant way</w:t>
      </w:r>
      <w:r>
        <w:tab/>
        <w:t>77L(1)</w:t>
      </w:r>
    </w:p>
    <w:p>
      <w:pPr>
        <w:pStyle w:val="DefinedTerms"/>
      </w:pPr>
      <w:r>
        <w:t>responsible gambling training</w:t>
      </w:r>
      <w:r>
        <w:tab/>
        <w:t>77Y(1)</w:t>
      </w:r>
    </w:p>
    <w:p>
      <w:pPr>
        <w:pStyle w:val="DefinedTerms"/>
      </w:pPr>
      <w:r>
        <w:t>responsible person</w:t>
      </w:r>
      <w:r>
        <w:tab/>
        <w:t>77D(1)</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62(1A)</w:t>
      </w:r>
    </w:p>
    <w:p>
      <w:pPr>
        <w:pStyle w:val="DefinedTerms"/>
      </w:pPr>
      <w:r>
        <w:t>transaction</w:t>
      </w:r>
      <w:r>
        <w:tab/>
        <w:t>77C</w:t>
      </w:r>
    </w:p>
    <w:p>
      <w:pPr>
        <w:pStyle w:val="DefinedTerms"/>
      </w:pPr>
      <w:r>
        <w:t>transaction history</w:t>
      </w:r>
      <w:r>
        <w:tab/>
        <w:t>77T(2), 77U(2)</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p>
    <w:p>
      <w:pPr>
        <w:pStyle w:val="DefinedTerms"/>
      </w:pPr>
      <w:r>
        <w:lastRenderedPageBreak/>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6" w:name="Schedule"/>
    <w:bookmarkEnd w:id="2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88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2203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 w:name="WAFER_20250130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1444_GUID" w:val="db60965c-1f77-4c0f-ac48-cd54568acafe"/>
    <w:docVar w:name="WAFER_2025013016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0161505_GUID" w:val="4a1ece05-d5bc-4a75-a33e-d7ddf8aa223b"/>
    <w:docVar w:name="WAFER_2025110614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06141204_GUID" w:val="4d8e7bc1-797e-41bd-81ea-f50c0e6ec600"/>
    <w:docVar w:name="WAFER_2025121912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22035_GUID" w:val="09870cef-cfdd-49e8-8930-18fc352d97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709930">
      <w:bodyDiv w:val="1"/>
      <w:marLeft w:val="0"/>
      <w:marRight w:val="0"/>
      <w:marTop w:val="0"/>
      <w:marBottom w:val="0"/>
      <w:divBdr>
        <w:top w:val="none" w:sz="0" w:space="0" w:color="auto"/>
        <w:left w:val="none" w:sz="0" w:space="0" w:color="auto"/>
        <w:bottom w:val="none" w:sz="0" w:space="0" w:color="auto"/>
        <w:right w:val="none" w:sz="0" w:space="0" w:color="auto"/>
      </w:divBdr>
    </w:div>
    <w:div w:id="796068556">
      <w:bodyDiv w:val="1"/>
      <w:marLeft w:val="0"/>
      <w:marRight w:val="0"/>
      <w:marTop w:val="0"/>
      <w:marBottom w:val="0"/>
      <w:divBdr>
        <w:top w:val="none" w:sz="0" w:space="0" w:color="auto"/>
        <w:left w:val="none" w:sz="0" w:space="0" w:color="auto"/>
        <w:bottom w:val="none" w:sz="0" w:space="0" w:color="auto"/>
        <w:right w:val="none" w:sz="0" w:space="0" w:color="auto"/>
      </w:divBdr>
    </w:div>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33664</Words>
  <Characters>157215</Characters>
  <Application>Microsoft Office Word</Application>
  <DocSecurity>0</DocSecurity>
  <Lines>5240</Lines>
  <Paragraphs>3408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187471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1978 - 08-s0-00</dc:title>
  <dc:subject/>
  <dc:creator/>
  <cp:keywords/>
  <dc:description/>
  <cp:lastModifiedBy>Master Repository Process</cp:lastModifiedBy>
  <cp:revision>4</cp:revision>
  <cp:lastPrinted>2019-12-05T01:11:00Z</cp:lastPrinted>
  <dcterms:created xsi:type="dcterms:W3CDTF">2025-12-30T01:18:00Z</dcterms:created>
  <dcterms:modified xsi:type="dcterms:W3CDTF">2025-12-30T01:18:00Z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AsAtDate">
    <vt:lpwstr>01 Jan 2026</vt:lpwstr>
  </property>
  <property fmtid="{D5CDD505-2E9C-101B-9397-08002B2CF9AE}" pid="11" name="Suffix">
    <vt:lpwstr>08-s0-00</vt:lpwstr>
  </property>
  <property fmtid="{D5CDD505-2E9C-101B-9397-08002B2CF9AE}" pid="12" name="Official">
    <vt:lpwstr/>
  </property>
</Properties>
</file>