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_Toc217299053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_Toc217299054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_Toc217299055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_Toc217299056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_Toc217299057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_Toc217299058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_Toc217299059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_Toc217299060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_Toc217299061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_Toc217299062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_Toc217299063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_Toc217299064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_Toc217299065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_Toc217299066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_Toc217299067 \h </w:instrText>
      </w:r>
      <w:r>
        <w:fldChar w:fldCharType="separate"/>
      </w:r>
      <w:r>
        <w:t>8</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_Toc217299068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_Toc217299069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_Toc217299070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_Toc217299071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_Toc217299072 \h </w:instrText>
      </w:r>
      <w:r>
        <w:fldChar w:fldCharType="separate"/>
      </w:r>
      <w:r>
        <w:t>12</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_Toc217299073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_Toc217299074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_Toc217299075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_Toc217299076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_Toc217299077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_Toc217299078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_Toc217299079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_Toc217299080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_Toc217299081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_Toc217299082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_Toc217299083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_Toc217299084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_Toc217299085 \h </w:instrText>
      </w:r>
      <w:r>
        <w:fldChar w:fldCharType="separate"/>
      </w:r>
      <w:r>
        <w:t>32</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_Toc217299086 \h </w:instrText>
      </w:r>
      <w:r>
        <w:fldChar w:fldCharType="separate"/>
      </w:r>
      <w:r>
        <w:t>40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_Toc217299087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_Toc217299088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_Toc217299089 \h </w:instrText>
      </w:r>
      <w:r>
        <w:fldChar w:fldCharType="separate"/>
      </w:r>
      <w:r>
        <w:t>41</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_Toc217299090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_Toc217299091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_Toc217299092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_Toc217299093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_Toc217299094 \h </w:instrText>
      </w:r>
      <w:r>
        <w:fldChar w:fldCharType="separate"/>
      </w:r>
      <w:r>
        <w:t>43</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_Toc217299095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_Toc217299096 \h </w:instrText>
      </w:r>
      <w:r>
        <w:fldChar w:fldCharType="separate"/>
      </w:r>
      <w:r>
        <w:t>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_Toc217299097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_Toc217299098 \h </w:instrText>
      </w:r>
      <w:r>
        <w:fldChar w:fldCharType="separate"/>
      </w:r>
      <w:r>
        <w:t>49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_Toc217299099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_Toc217299100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_Toc217299101 \h </w:instrText>
      </w:r>
      <w:r>
        <w:fldChar w:fldCharType="separate"/>
      </w:r>
      <w:r>
        <w:t>50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_Toc217299102 \h </w:instrText>
      </w:r>
      <w:r>
        <w:fldChar w:fldCharType="separate"/>
      </w:r>
      <w:r>
        <w:t>50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_Toc217299103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_Toc217299104 \h </w:instrText>
      </w:r>
      <w:r>
        <w:fldChar w:fldCharType="separate"/>
      </w:r>
      <w:r>
        <w:t>51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_Toc217299105 \h </w:instrText>
      </w:r>
      <w:r>
        <w:fldChar w:fldCharType="separate"/>
      </w:r>
      <w:r>
        <w:t>52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_Toc217299106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_Toc217299107 \h </w:instrText>
      </w:r>
      <w:r>
        <w:fldChar w:fldCharType="separate"/>
      </w:r>
      <w:r>
        <w:t>53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_Toc217299108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_Toc217299109 \h </w:instrText>
      </w:r>
      <w:r>
        <w:fldChar w:fldCharType="separate"/>
      </w:r>
      <w:r>
        <w:t>54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_Toc217299110 \h </w:instrText>
      </w:r>
      <w:r>
        <w:fldChar w:fldCharType="separate"/>
      </w:r>
      <w:r>
        <w:t>55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_Toc217299111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_Toc217299112 \h </w:instrText>
      </w:r>
      <w:r>
        <w:fldChar w:fldCharType="separate"/>
      </w:r>
      <w:r>
        <w:t>57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_Toc217299113 \h </w:instrText>
      </w:r>
      <w:r>
        <w:fldChar w:fldCharType="separate"/>
      </w:r>
      <w:r>
        <w:t>58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_Toc217299114 \h </w:instrText>
      </w:r>
      <w:r>
        <w:fldChar w:fldCharType="separate"/>
      </w:r>
      <w:r>
        <w:t>59</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_Toc217299115 \h </w:instrText>
      </w:r>
      <w:r>
        <w:fldChar w:fldCharType="separate"/>
      </w:r>
      <w:r>
        <w:t>59</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_Toc217299116 \h </w:instrText>
      </w:r>
      <w:r>
        <w:fldChar w:fldCharType="separate"/>
      </w:r>
      <w:r>
        <w:t>61</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_Toc217299117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_Toc217299118 \h </w:instrText>
      </w:r>
      <w:r>
        <w:fldChar w:fldCharType="separate"/>
      </w:r>
      <w:r>
        <w:t>63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_Toc217299119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_Toc217299120 \h </w:instrText>
      </w:r>
      <w:r>
        <w:fldChar w:fldCharType="separate"/>
      </w:r>
      <w:r>
        <w:t>64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_Toc217299121 \h </w:instrText>
      </w:r>
      <w:r>
        <w:fldChar w:fldCharType="separate"/>
      </w:r>
      <w:r>
        <w:t>65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_Toc217299122 \h </w:instrText>
      </w:r>
      <w:r>
        <w:fldChar w:fldCharType="separate"/>
      </w:r>
      <w:r>
        <w:t>66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_Toc217299123 \h </w:instrText>
      </w:r>
      <w:r>
        <w:fldChar w:fldCharType="separate"/>
      </w:r>
      <w:r>
        <w:t>67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_Toc217299124 \h </w:instrText>
      </w:r>
      <w:r>
        <w:fldChar w:fldCharType="separate"/>
      </w:r>
      <w:r>
        <w:t>68</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_Toc217299125 \h </w:instrText>
      </w:r>
      <w:r>
        <w:fldChar w:fldCharType="separate"/>
      </w:r>
      <w:r>
        <w:t>69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_Toc217299126 \h </w:instrText>
      </w:r>
      <w:r>
        <w:fldChar w:fldCharType="separate"/>
      </w:r>
      <w:r>
        <w:t>69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_Toc217299127 \h </w:instrText>
      </w:r>
      <w:r>
        <w:fldChar w:fldCharType="separate"/>
      </w:r>
      <w:r>
        <w:t>69</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_Toc217299128 \h </w:instrText>
      </w:r>
      <w:r>
        <w:fldChar w:fldCharType="separate"/>
      </w:r>
      <w:r>
        <w:t>70</w:t>
      </w:r>
      <w:r>
        <w:fldChar w:fldCharType="end"/>
      </w:r>
    </w:p>
    <w:p>
      <w:pPr>
        <w:pStyle w:val="TOC8"/>
        <w:rPr>
          <w:rFonts w:asciiTheme="minorHAnsi" w:eastAsiaTheme="minorEastAsia" w:hAnsiTheme="minorHAnsi" w:cstheme="minorBidi"/>
          <w:szCs w:val="22"/>
        </w:rPr>
      </w:pPr>
      <w:r>
        <w:t>18EBB.</w:t>
      </w:r>
      <w:r>
        <w:tab/>
        <w:t>Prescribed class of persons (Act s. 115AC(1AA)(b))</w:t>
      </w:r>
      <w:r>
        <w:tab/>
      </w:r>
      <w:r>
        <w:fldChar w:fldCharType="begin"/>
      </w:r>
      <w:r>
        <w:instrText xml:space="preserve"> PAGEREF _Toc217299129 \h </w:instrText>
      </w:r>
      <w:r>
        <w:fldChar w:fldCharType="separate"/>
      </w:r>
      <w:r>
        <w:t>71</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_Toc217299130 \h </w:instrText>
      </w:r>
      <w:r>
        <w:fldChar w:fldCharType="separate"/>
      </w:r>
      <w:r>
        <w:t>71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_Toc217299131 \h </w:instrText>
      </w:r>
      <w:r>
        <w:fldChar w:fldCharType="separate"/>
      </w:r>
      <w:r>
        <w:t>73</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_Toc217299132 \h </w:instrText>
      </w:r>
      <w:r>
        <w:fldChar w:fldCharType="separate"/>
      </w:r>
      <w:r>
        <w:t>74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_Toc217299133 \h </w:instrText>
      </w:r>
      <w:r>
        <w:fldChar w:fldCharType="separate"/>
      </w:r>
      <w:r>
        <w:t>75</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_Toc217299134 \h </w:instrText>
      </w:r>
      <w:r>
        <w:fldChar w:fldCharType="separate"/>
      </w:r>
      <w:r>
        <w:t>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_Toc217299135 \h </w:instrText>
      </w:r>
      <w:r>
        <w:fldChar w:fldCharType="separate"/>
      </w:r>
      <w:r>
        <w:t>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_Toc217299136 \h </w:instrText>
      </w:r>
      <w:r>
        <w:fldChar w:fldCharType="separate"/>
      </w:r>
      <w:r>
        <w:t>76</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_Toc217299137 \h </w:instrText>
      </w:r>
      <w:r>
        <w:fldChar w:fldCharType="separate"/>
      </w:r>
      <w:r>
        <w:t>76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_Toc217299138 \h </w:instrText>
      </w:r>
      <w:r>
        <w:fldChar w:fldCharType="separate"/>
      </w:r>
      <w:r>
        <w:t>77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_Toc217299139 \h </w:instrText>
      </w:r>
      <w:r>
        <w:fldChar w:fldCharType="separate"/>
      </w:r>
      <w:r>
        <w:t>78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_Toc217299140 \h </w:instrText>
      </w:r>
      <w:r>
        <w:fldChar w:fldCharType="separate"/>
      </w:r>
      <w:r>
        <w:t>78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_Toc217299141 \h </w:instrText>
      </w:r>
      <w:r>
        <w:fldChar w:fldCharType="separate"/>
      </w:r>
      <w:r>
        <w:t>78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_Toc217299142 \h </w:instrText>
      </w:r>
      <w:r>
        <w:fldChar w:fldCharType="separate"/>
      </w:r>
      <w:r>
        <w:t>79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_Toc217299143 \h </w:instrText>
      </w:r>
      <w:r>
        <w:fldChar w:fldCharType="separate"/>
      </w:r>
      <w:r>
        <w:t>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_Toc217299144 \h </w:instrText>
      </w:r>
      <w:r>
        <w:fldChar w:fldCharType="separate"/>
      </w:r>
      <w:r>
        <w:t>82</w:t>
      </w:r>
      <w:r>
        <w:fldChar w:fldCharType="end"/>
      </w:r>
    </w:p>
    <w:p>
      <w:pPr>
        <w:pStyle w:val="TOC8"/>
        <w:rPr>
          <w:rFonts w:asciiTheme="minorHAnsi" w:eastAsiaTheme="minorEastAsia" w:hAnsiTheme="minorHAnsi" w:cstheme="minorBidi"/>
          <w:szCs w:val="22"/>
        </w:rPr>
      </w:pPr>
      <w:r>
        <w:t>24AA.</w:t>
      </w:r>
      <w:r>
        <w:tab/>
        <w:t>Prescribed class of persons (Act s. 152K(2AA)(b))</w:t>
      </w:r>
      <w:r>
        <w:tab/>
      </w:r>
      <w:r>
        <w:fldChar w:fldCharType="begin"/>
      </w:r>
      <w:r>
        <w:instrText xml:space="preserve"> PAGEREF _Toc217299145 \h </w:instrText>
      </w:r>
      <w:r>
        <w:fldChar w:fldCharType="separate"/>
      </w:r>
      <w:r>
        <w:t>84</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_Toc217299146 \h </w:instrText>
      </w:r>
      <w:r>
        <w:fldChar w:fldCharType="separate"/>
      </w:r>
      <w:r>
        <w:t>84</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_Toc217299147 \h </w:instrText>
      </w:r>
      <w:r>
        <w:fldChar w:fldCharType="separate"/>
      </w:r>
      <w:r>
        <w:t>85</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_Toc217299148 \h </w:instrText>
      </w:r>
      <w:r>
        <w:fldChar w:fldCharType="separate"/>
      </w:r>
      <w:r>
        <w:t>86</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_Toc217299149 \h </w:instrText>
      </w:r>
      <w:r>
        <w:fldChar w:fldCharType="separate"/>
      </w:r>
      <w:r>
        <w:t>87</w:t>
      </w:r>
      <w:r>
        <w:fldChar w:fldCharType="end"/>
      </w:r>
    </w:p>
    <w:p>
      <w:pPr>
        <w:pStyle w:val="TOC8"/>
        <w:rPr>
          <w:rFonts w:asciiTheme="minorHAnsi" w:eastAsiaTheme="minorEastAsia" w:hAnsiTheme="minorHAnsi" w:cstheme="minorBidi"/>
          <w:szCs w:val="22"/>
        </w:rPr>
      </w:pPr>
      <w:r>
        <w:t>25B.</w:t>
      </w:r>
      <w:r>
        <w:tab/>
        <w:t>Fee payable for review of decision related to banned drinker orders (Act s. 152YY(1))</w:t>
      </w:r>
      <w:r>
        <w:tab/>
      </w:r>
      <w:r>
        <w:fldChar w:fldCharType="begin"/>
      </w:r>
      <w:r>
        <w:instrText xml:space="preserve"> PAGEREF _Toc217299150 \h </w:instrText>
      </w:r>
      <w:r>
        <w:fldChar w:fldCharType="separate"/>
      </w:r>
      <w:r>
        <w:t>87</w:t>
      </w:r>
      <w:r>
        <w:fldChar w:fldCharType="end"/>
      </w:r>
    </w:p>
    <w:p>
      <w:pPr>
        <w:pStyle w:val="TOC8"/>
        <w:rPr>
          <w:rFonts w:asciiTheme="minorHAnsi" w:eastAsiaTheme="minorEastAsia" w:hAnsiTheme="minorHAnsi" w:cstheme="minorBidi"/>
          <w:szCs w:val="22"/>
        </w:rPr>
      </w:pPr>
      <w:r>
        <w:t>25C.</w:t>
      </w:r>
      <w:r>
        <w:tab/>
        <w:t>Disclosure of information about banned drinker order and banned drinker (Act s. 152ZC(2)(d))</w:t>
      </w:r>
      <w:r>
        <w:tab/>
      </w:r>
      <w:r>
        <w:fldChar w:fldCharType="begin"/>
      </w:r>
      <w:r>
        <w:instrText xml:space="preserve"> PAGEREF _Toc217299151 \h </w:instrText>
      </w:r>
      <w:r>
        <w:fldChar w:fldCharType="separate"/>
      </w:r>
      <w:r>
        <w:t>87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_Toc217299152 \h </w:instrText>
      </w:r>
      <w:r>
        <w:fldChar w:fldCharType="separate"/>
      </w:r>
      <w:r>
        <w:t>88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_Toc217299153 \h </w:instrText>
      </w:r>
      <w:r>
        <w:fldChar w:fldCharType="separate"/>
      </w:r>
      <w:r>
        <w:t>88</w:t>
      </w:r>
      <w:r>
        <w:fldChar w:fldCharType="end"/>
      </w:r>
    </w:p>
    <w:p>
      <w:pPr>
        <w:pStyle w:val="TOC8"/>
        <w:rPr>
          <w:rFonts w:asciiTheme="minorHAnsi" w:eastAsiaTheme="minorEastAsia" w:hAnsiTheme="minorHAnsi" w:cstheme="minorBidi"/>
          <w:szCs w:val="22"/>
        </w:rPr>
      </w:pPr>
      <w:r>
        <w:lastRenderedPageBreak/>
        <w:t>27A.</w:t>
      </w:r>
      <w:r>
        <w:tab/>
        <w:t>Reduction in licence fee for new licences</w:t>
      </w:r>
      <w:r>
        <w:tab/>
      </w:r>
      <w:r>
        <w:fldChar w:fldCharType="begin"/>
      </w:r>
      <w:r>
        <w:instrText xml:space="preserve"> PAGEREF _Toc217299154 \h </w:instrText>
      </w:r>
      <w:r>
        <w:fldChar w:fldCharType="separate"/>
      </w:r>
      <w:r>
        <w:t>90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_Toc217299155 \h </w:instrText>
      </w:r>
      <w:r>
        <w:fldChar w:fldCharType="separate"/>
      </w:r>
      <w:r>
        <w:t>90</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_Toc217299156 \h </w:instrText>
      </w:r>
      <w:r>
        <w:fldChar w:fldCharType="separate"/>
      </w:r>
      <w:r>
        <w:t>96</w:t>
      </w:r>
      <w:r>
        <w:fldChar w:fldCharType="end"/>
      </w:r>
    </w:p>
    <w:p>
      <w:pPr>
        <w:pStyle w:val="TOC8"/>
        <w:rPr>
          <w:rFonts w:asciiTheme="minorHAnsi" w:eastAsiaTheme="minorEastAsia" w:hAnsiTheme="minorHAnsi" w:cstheme="minorBidi"/>
          <w:szCs w:val="22"/>
        </w:rPr>
      </w:pPr>
      <w:r>
        <w:t>29.</w:t>
      </w:r>
      <w:r>
        <w:tab/>
        <w:t>Banned drinker areas (Act s. 175(1G))</w:t>
      </w:r>
      <w:r>
        <w:tab/>
      </w:r>
      <w:r>
        <w:fldChar w:fldCharType="begin"/>
      </w:r>
      <w:r>
        <w:instrText xml:space="preserve"> PAGEREF _Toc217299157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_Toc217299164 \h </w:instrText>
      </w:r>
      <w:r>
        <w:fldChar w:fldCharType="separate"/>
      </w:r>
      <w:r>
        <w:t>112</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_Toc217299165 \h </w:instrText>
      </w:r>
      <w:r>
        <w:fldChar w:fldCharType="separate"/>
      </w:r>
      <w:r>
        <w:t>113</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_Toc217299166 \h </w:instrText>
      </w:r>
      <w:r>
        <w:fldChar w:fldCharType="separate"/>
      </w:r>
      <w:r>
        <w:t>114</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_Toc217299167 \h </w:instrText>
      </w:r>
      <w:r>
        <w:fldChar w:fldCharType="separate"/>
      </w:r>
      <w:r>
        <w:t>115</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_Toc217299168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_Toc217299170 \h </w:instrText>
      </w:r>
      <w:r>
        <w:fldChar w:fldCharType="separate"/>
      </w:r>
      <w:r>
        <w:t>117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_Toc217299171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2" w:name="_Toc217299053"/>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1729905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4" w:name="_Toc217299055"/>
      <w:r>
        <w:rPr>
          <w:rStyle w:val="CharSectno"/>
        </w:rPr>
        <w:t>3</w:t>
      </w:r>
      <w:r>
        <w:rPr>
          <w:snapToGrid w:val="0"/>
        </w:rPr>
        <w:t>.</w:t>
      </w:r>
      <w:r>
        <w:rPr>
          <w:snapToGrid w:val="0"/>
        </w:rPr>
        <w:tab/>
        <w:t>Forms prescribed etc. (Sch. 1)</w:t>
      </w:r>
      <w:bookmarkEnd w:id="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5" w:name="_Toc217299056"/>
      <w:r>
        <w:rPr>
          <w:rStyle w:val="CharSectno"/>
        </w:rPr>
        <w:lastRenderedPageBreak/>
        <w:t>3A</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lastRenderedPageBreak/>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6" w:name="_Toc217299057"/>
      <w:r>
        <w:rPr>
          <w:rStyle w:val="CharSectno"/>
        </w:rPr>
        <w:t>3AB</w:t>
      </w:r>
      <w:r>
        <w:t>.</w:t>
      </w:r>
      <w:r>
        <w:tab/>
        <w:t xml:space="preserve">Kind of liquor prescribed (mist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7" w:name="_Toc217299058"/>
      <w:r>
        <w:rPr>
          <w:rStyle w:val="CharSectno"/>
        </w:rPr>
        <w:t>3AC</w:t>
      </w:r>
      <w:r>
        <w:t>.</w:t>
      </w:r>
      <w:r>
        <w:tab/>
        <w:t xml:space="preserve">Kind of liquor prescribed (aerosol containing ethanol) (Act s. 3(1) </w:t>
      </w:r>
      <w:r>
        <w:rPr>
          <w:i/>
        </w:rPr>
        <w:t>kind</w:t>
      </w:r>
      <w:r>
        <w:t>)</w:t>
      </w:r>
      <w:bookmarkEnd w:id="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8" w:name="_Toc217299059"/>
      <w:r>
        <w:rPr>
          <w:rStyle w:val="CharSectno"/>
        </w:rPr>
        <w:lastRenderedPageBreak/>
        <w:t>3AD</w:t>
      </w:r>
      <w:r>
        <w:t>.</w:t>
      </w:r>
      <w:r>
        <w:tab/>
        <w:t xml:space="preserve">Kind of liquor prescribed (powdered alcohol)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9" w:name="_Toc217299060"/>
      <w:r>
        <w:rPr>
          <w:rStyle w:val="CharSectno"/>
        </w:rPr>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0" w:name="_Toc217299061"/>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1" w:name="_Toc217299062"/>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w:t>
      </w:r>
      <w:r>
        <w:lastRenderedPageBreak/>
        <w:t>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2" w:name="_Toc217299063"/>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3" w:name="_Toc217299064"/>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lastRenderedPageBreak/>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4" w:name="_Toc217299065"/>
      <w:r>
        <w:rPr>
          <w:rStyle w:val="CharSectno"/>
        </w:rPr>
        <w:t>4AD</w:t>
      </w:r>
      <w:r>
        <w:t>.</w:t>
      </w:r>
      <w:r>
        <w:tab/>
        <w:t xml:space="preserve">Substance prescribed (powdered alcohol) (Act s. 3(1) </w:t>
      </w:r>
      <w:r>
        <w:rPr>
          <w:i/>
        </w:rPr>
        <w:t>liquor</w:t>
      </w:r>
      <w:r>
        <w:t>)</w:t>
      </w:r>
      <w:bookmarkEnd w:id="14"/>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5" w:name="_Toc217299066"/>
      <w:r>
        <w:rPr>
          <w:rStyle w:val="CharSectno"/>
        </w:rPr>
        <w:t>4AE</w:t>
      </w:r>
      <w:r>
        <w:t>.</w:t>
      </w:r>
      <w:r>
        <w:rPr>
          <w:rStyle w:val="CharSectno"/>
        </w:rPr>
        <w:tab/>
      </w:r>
      <w:r>
        <w:t>Substance prescribed (liqueur chocolate) (Act s. 3(1) liquor)</w:t>
      </w:r>
      <w:bookmarkEnd w:id="15"/>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6" w:name="_Toc217299067"/>
      <w:r>
        <w:rPr>
          <w:rStyle w:val="CharSectno"/>
        </w:rPr>
        <w:lastRenderedPageBreak/>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lastRenderedPageBreak/>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7" w:name="_Toc217299068"/>
      <w:r>
        <w:rPr>
          <w:rStyle w:val="CharSectno"/>
        </w:rPr>
        <w:t>5A</w:t>
      </w:r>
      <w:r>
        <w:t>.</w:t>
      </w:r>
      <w:r>
        <w:tab/>
        <w:t xml:space="preserve">Quantities prescribed </w:t>
      </w:r>
      <w:r>
        <w:rPr>
          <w:snapToGrid w:val="0"/>
        </w:rPr>
        <w:t>(Act s.</w:t>
      </w:r>
      <w:r>
        <w:t xml:space="preserve"> 3(1) </w:t>
      </w:r>
      <w:r>
        <w:rPr>
          <w:i/>
        </w:rPr>
        <w:t>sample</w:t>
      </w:r>
      <w:r>
        <w:t>)</w:t>
      </w:r>
      <w:bookmarkEnd w:id="1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8" w:name="_Toc217299069"/>
      <w:r>
        <w:rPr>
          <w:rStyle w:val="CharSectno"/>
        </w:rPr>
        <w:lastRenderedPageBreak/>
        <w:t>5B</w:t>
      </w:r>
      <w:r>
        <w:t>.</w:t>
      </w:r>
      <w:r>
        <w:tab/>
        <w:t xml:space="preserve">Positions of authority in body corporate prescribed </w:t>
      </w:r>
      <w:r>
        <w:rPr>
          <w:snapToGrid w:val="0"/>
        </w:rPr>
        <w:t>(Act s.</w:t>
      </w:r>
      <w:r>
        <w:t> 3(4)(d))</w:t>
      </w:r>
      <w:bookmarkEnd w:id="1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lastRenderedPageBreak/>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19" w:name="_Toc217299070"/>
      <w:r>
        <w:rPr>
          <w:rStyle w:val="CharSectno"/>
        </w:rPr>
        <w:t>5C</w:t>
      </w:r>
      <w:r>
        <w:t>.</w:t>
      </w:r>
      <w:r>
        <w:tab/>
        <w:t>Types of special facility licence prescribed (Act s. 4(6))</w:t>
      </w:r>
      <w:bookmarkEnd w:id="19"/>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0" w:name="_Toc217299071"/>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 xml:space="preserve">An educational course of instruction or training that includes as a required element the tasting, sampling or use of liquor is an </w:t>
      </w:r>
      <w:r>
        <w:rPr>
          <w:snapToGrid w:val="0"/>
        </w:rPr>
        <w:lastRenderedPageBreak/>
        <w:t>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1" w:name="_Toc217299072"/>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lastRenderedPageBreak/>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lastRenderedPageBreak/>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lastRenderedPageBreak/>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lastRenderedPageBreak/>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2" w:name="_Toc217299073"/>
      <w:r>
        <w:rPr>
          <w:rStyle w:val="CharSectno"/>
        </w:rPr>
        <w:t>8A</w:t>
      </w:r>
      <w:r>
        <w:t>.</w:t>
      </w:r>
      <w:r>
        <w:tab/>
        <w:t>Exemption from Act, consumption at live entertainment venues</w:t>
      </w:r>
      <w:bookmarkEnd w:id="2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lastRenderedPageBreak/>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 xml:space="preserve">a refusal of an application under the Act for the approval of a person to occupy a position of authority in a body </w:t>
      </w:r>
      <w:r>
        <w:lastRenderedPageBreak/>
        <w:t>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lastRenderedPageBreak/>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lastRenderedPageBreak/>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lastRenderedPageBreak/>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w:t>
      </w:r>
      <w:r>
        <w:lastRenderedPageBreak/>
        <w:t xml:space="preserve">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3" w:name="_Toc217299074"/>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 xml:space="preserve">the total number of attendees over the course of the function does not exceed 100, and liquor is </w:t>
      </w:r>
      <w:r>
        <w:lastRenderedPageBreak/>
        <w:t>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4" w:name="_Toc217299075"/>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lastRenderedPageBreak/>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5" w:name="_Toc217299076"/>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 xml:space="preserve">the person who supplies the liquor to the customer has completed successfully a course of training or an assessment, approved by the Director for the purposes of </w:t>
      </w:r>
      <w:r>
        <w:lastRenderedPageBreak/>
        <w:t>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6" w:name="_Toc217299077"/>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lastRenderedPageBreak/>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 xml:space="preserve">a drunk person is not allowed to consume the liquor in the area immediately surrounding the stall in which </w:t>
      </w:r>
      <w:r>
        <w:lastRenderedPageBreak/>
        <w:t>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7" w:name="_Toc217299078"/>
      <w:r>
        <w:rPr>
          <w:rStyle w:val="CharSectno"/>
        </w:rPr>
        <w:t>8E</w:t>
      </w:r>
      <w:r>
        <w:t>.</w:t>
      </w:r>
      <w:r>
        <w:tab/>
        <w:t>Exemption from Act, sales etc. at functions on licensed premises</w:t>
      </w:r>
      <w:bookmarkEnd w:id="27"/>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lastRenderedPageBreak/>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8" w:name="_Toc217299079"/>
      <w:r>
        <w:rPr>
          <w:rStyle w:val="CharSectno"/>
        </w:rPr>
        <w:t>8F</w:t>
      </w:r>
      <w:r>
        <w:t>.</w:t>
      </w:r>
      <w:r>
        <w:tab/>
        <w:t>Exemption from Act for consumption in on</w:t>
      </w:r>
      <w:r>
        <w:noBreakHyphen/>
        <w:t>demand charter vehicle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lastRenderedPageBreak/>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29" w:name="_Toc217299080"/>
      <w:r>
        <w:rPr>
          <w:rStyle w:val="CharSectno"/>
        </w:rPr>
        <w:t>8G</w:t>
      </w:r>
      <w:r>
        <w:t>.</w:t>
      </w:r>
      <w:r>
        <w:tab/>
        <w:t>Exemption from Act in relation to liquor competition (Act s. 6(1)(o))</w:t>
      </w:r>
      <w:bookmarkEnd w:id="29"/>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lastRenderedPageBreak/>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0" w:name="_Toc217299081"/>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 xml:space="preserve">who is a person authorised by the Director under section 15(1)(b) to determine </w:t>
      </w:r>
      <w:r>
        <w:rPr>
          <w:snapToGrid w:val="0"/>
        </w:rPr>
        <w:lastRenderedPageBreak/>
        <w:t>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217299082"/>
      <w:r>
        <w:rPr>
          <w:rStyle w:val="CharSectno"/>
        </w:rPr>
        <w:t>9AA</w:t>
      </w:r>
      <w:r>
        <w:t>.</w:t>
      </w:r>
      <w:r>
        <w:tab/>
        <w:t xml:space="preserve">Distance prescribed </w:t>
      </w:r>
      <w:r>
        <w:rPr>
          <w:snapToGrid w:val="0"/>
        </w:rPr>
        <w:t>(Act s.</w:t>
      </w:r>
      <w:r>
        <w:t> 36A(2)(b))</w:t>
      </w:r>
      <w:bookmarkEnd w:id="31"/>
    </w:p>
    <w:p>
      <w:pPr>
        <w:pStyle w:val="Subsection"/>
        <w:keepNext/>
      </w:pPr>
      <w:r>
        <w:tab/>
        <w:t>(1)</w:t>
      </w:r>
      <w:r>
        <w:tab/>
        <w:t>For the purpose of section 36A(2)(b) a distance of 15 km is prescribed.</w:t>
      </w:r>
    </w:p>
    <w:p>
      <w:pPr>
        <w:pStyle w:val="Subsection"/>
      </w:pPr>
      <w:r>
        <w:tab/>
        <w:t>(2)</w:t>
      </w:r>
      <w:r>
        <w:tab/>
        <w:t>The distance referred to in subregulation (1) is to be calculated using the shortest route by road.</w:t>
      </w:r>
    </w:p>
    <w:p>
      <w:pPr>
        <w:pStyle w:val="Footnotesection"/>
        <w:ind w:left="890" w:hanging="890"/>
      </w:pPr>
      <w:r>
        <w:tab/>
        <w:t>[Regulation 9AA inserted: Gazette 29 Sep 2000 p. 5549; amended: Gazette 1 May 2007 p. 1888</w:t>
      </w:r>
      <w:r>
        <w:noBreakHyphen/>
        <w:t>9; SL 2025/149 r. 4.]</w:t>
      </w:r>
    </w:p>
    <w:p>
      <w:pPr>
        <w:pStyle w:val="Heading5"/>
      </w:pPr>
      <w:bookmarkStart w:id="32" w:name="_Toc217299083"/>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217299084"/>
      <w:r>
        <w:rPr>
          <w:rStyle w:val="CharSectno"/>
        </w:rPr>
        <w:t>9AAB</w:t>
      </w:r>
      <w:r>
        <w:t>.</w:t>
      </w:r>
      <w:r>
        <w:tab/>
        <w:t>Distance prescribed (Act s. 36B)</w:t>
      </w:r>
      <w:bookmarkEnd w:id="33"/>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217299085"/>
      <w:r>
        <w:rPr>
          <w:rStyle w:val="CharSectno"/>
        </w:rPr>
        <w:lastRenderedPageBreak/>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lastRenderedPageBreak/>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lastRenderedPageBreak/>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lastRenderedPageBreak/>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lastRenderedPageBreak/>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lastRenderedPageBreak/>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 xml:space="preserve">means a restaurant that provides room service to persons residing or staying in residential accommodation on the same premises as the restaurant or </w:t>
      </w:r>
      <w:r>
        <w:lastRenderedPageBreak/>
        <w:t>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lastRenderedPageBreak/>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 xml:space="preserve">2; 22 Oct 2010 p. 5226; 7 Oct 2011 p. 4068-9; 6 Jan 2012 p. 48 </w:t>
      </w:r>
      <w:r>
        <w:lastRenderedPageBreak/>
        <w:t>(disallowed: Gazette 18 Sep 2012 p. 4411); 16 Nov 2012 p. 5658; 10 Jan 2017 p. 142</w:t>
      </w:r>
      <w:r>
        <w:noBreakHyphen/>
        <w:t>3; 3 Feb 2017 p. 1115.]</w:t>
      </w:r>
    </w:p>
    <w:p>
      <w:pPr>
        <w:pStyle w:val="Heading5"/>
      </w:pPr>
      <w:bookmarkStart w:id="35" w:name="_Toc217299086"/>
      <w:r>
        <w:rPr>
          <w:rStyle w:val="CharSectno"/>
        </w:rPr>
        <w:t>9AB</w:t>
      </w:r>
      <w:r>
        <w:t>.</w:t>
      </w:r>
      <w:r>
        <w:tab/>
        <w:t xml:space="preserve">Kind of extended trading permit prescribed </w:t>
      </w:r>
      <w:r>
        <w:rPr>
          <w:snapToGrid w:val="0"/>
        </w:rPr>
        <w:t>(Act s.</w:t>
      </w:r>
      <w:r>
        <w:t> 25(5a))</w:t>
      </w:r>
      <w:bookmarkEnd w:id="35"/>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217299087"/>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217299088"/>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lastRenderedPageBreak/>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38" w:name="_Toc217299089"/>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217299090"/>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217299091"/>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lastRenderedPageBreak/>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41" w:name="_Toc217299092"/>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217299093"/>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 xml:space="preserve">if those premises are not in a convenient location for the sale of the liquor produced, other </w:t>
      </w:r>
      <w:r>
        <w:rPr>
          <w:snapToGrid w:val="0"/>
        </w:rPr>
        <w:lastRenderedPageBreak/>
        <w:t>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217299094"/>
      <w:r>
        <w:rPr>
          <w:rStyle w:val="CharSectno"/>
        </w:rPr>
        <w:t>10A</w:t>
      </w:r>
      <w:r>
        <w:rPr>
          <w:snapToGrid w:val="0"/>
        </w:rPr>
        <w:t>.</w:t>
      </w:r>
      <w:r>
        <w:rPr>
          <w:snapToGrid w:val="0"/>
        </w:rPr>
        <w:tab/>
        <w:t>Condition prescribed (Act s. 55(2))</w:t>
      </w:r>
      <w:bookmarkEnd w:id="43"/>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217299095"/>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lastRenderedPageBreak/>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5" w:name="_Toc217299096"/>
      <w:r>
        <w:rPr>
          <w:rStyle w:val="CharSectno"/>
        </w:rPr>
        <w:t>10C</w:t>
      </w:r>
      <w:r>
        <w:t>.</w:t>
      </w:r>
      <w:r>
        <w:tab/>
        <w:t>Prescribed requirements for sale and delivery of packaged liquor or liquor for consumption off licensed premises (Act s. 65(1)(b))</w:t>
      </w:r>
      <w:bookmarkEnd w:id="45"/>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lastRenderedPageBreak/>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46" w:name="_Toc217299097"/>
      <w:r>
        <w:rPr>
          <w:rStyle w:val="CharSectno"/>
        </w:rPr>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217299098"/>
      <w:r>
        <w:rPr>
          <w:rStyle w:val="CharSectno"/>
        </w:rPr>
        <w:lastRenderedPageBreak/>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217299099"/>
      <w:r>
        <w:rPr>
          <w:rStyle w:val="CharSectno"/>
        </w:rPr>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217299100"/>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217299101"/>
      <w:r>
        <w:rPr>
          <w:rStyle w:val="CharSectno"/>
        </w:rPr>
        <w:lastRenderedPageBreak/>
        <w:t>14AAA</w:t>
      </w:r>
      <w:r>
        <w:t>.</w:t>
      </w:r>
      <w:r>
        <w:tab/>
        <w:t>Distance prescribed (Act s. 77A)</w:t>
      </w:r>
      <w:bookmarkEnd w:id="50"/>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217299102"/>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217299103"/>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217299104"/>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217299105"/>
      <w:r>
        <w:rPr>
          <w:rStyle w:val="CharSectno"/>
        </w:rPr>
        <w:lastRenderedPageBreak/>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217299106"/>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217299107"/>
      <w:r>
        <w:rPr>
          <w:rStyle w:val="CharSectno"/>
        </w:rPr>
        <w:lastRenderedPageBreak/>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217299108"/>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217299109"/>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217299110"/>
      <w:r>
        <w:rPr>
          <w:rStyle w:val="CharSectno"/>
        </w:rPr>
        <w:lastRenderedPageBreak/>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217299111"/>
      <w:r>
        <w:rPr>
          <w:rStyle w:val="CharSectno"/>
        </w:rPr>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217299112"/>
      <w:r>
        <w:rPr>
          <w:rStyle w:val="CharSectno"/>
        </w:rPr>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lastRenderedPageBreak/>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2" w:name="_Toc217299113"/>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lastRenderedPageBreak/>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217299114"/>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217299115"/>
      <w:r>
        <w:rPr>
          <w:rStyle w:val="CharSectno"/>
        </w:rPr>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lastRenderedPageBreak/>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5" w:name="_Toc217299116"/>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lastRenderedPageBreak/>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6" w:name="_Toc217299117"/>
      <w:r>
        <w:rPr>
          <w:rStyle w:val="CharSectno"/>
        </w:rPr>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lastRenderedPageBreak/>
        <w:tab/>
        <w:t>(c)</w:t>
      </w:r>
      <w:r>
        <w:tab/>
        <w:t>a vehicle being driven by a police officer in the course of duty.</w:t>
      </w:r>
    </w:p>
    <w:p>
      <w:pPr>
        <w:pStyle w:val="Footnotesection"/>
      </w:pPr>
      <w:r>
        <w:tab/>
        <w:t>[Regulation 16AC inserted: SL 2021/163 r. 4.]</w:t>
      </w:r>
    </w:p>
    <w:p>
      <w:pPr>
        <w:pStyle w:val="Heading5"/>
      </w:pPr>
      <w:bookmarkStart w:id="67" w:name="_Toc217299118"/>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217299119"/>
      <w:r>
        <w:rPr>
          <w:rStyle w:val="CharSectno"/>
        </w:rPr>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lastRenderedPageBreak/>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217299120"/>
      <w:r>
        <w:rPr>
          <w:rStyle w:val="CharSectno"/>
        </w:rPr>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217299121"/>
      <w:r>
        <w:rPr>
          <w:rStyle w:val="CharSectno"/>
        </w:rPr>
        <w:lastRenderedPageBreak/>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217299122"/>
      <w:r>
        <w:rPr>
          <w:rStyle w:val="CharSectno"/>
        </w:rPr>
        <w:lastRenderedPageBreak/>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 xml:space="preserve">9; 19 Apr 2013 </w:t>
      </w:r>
      <w:r>
        <w:lastRenderedPageBreak/>
        <w:t>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217299123"/>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lastRenderedPageBreak/>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217299124"/>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4" w:name="_Toc217299125"/>
      <w:r>
        <w:rPr>
          <w:rStyle w:val="CharSectno"/>
        </w:rPr>
        <w:lastRenderedPageBreak/>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217299126"/>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217299127"/>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lastRenderedPageBreak/>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217299128"/>
      <w:r>
        <w:rPr>
          <w:rStyle w:val="CharSectno"/>
        </w:rPr>
        <w:t>18EBA</w:t>
      </w:r>
      <w:r>
        <w:t>.</w:t>
      </w:r>
      <w:r>
        <w:tab/>
        <w:t xml:space="preserve">Persons prescribed (Act s. 115AC(1A), 152K(1A), 152NZC(1), 152NZT(1)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8" w:name="_Toc217299129"/>
      <w:r>
        <w:rPr>
          <w:rStyle w:val="CharSectno"/>
        </w:rPr>
        <w:lastRenderedPageBreak/>
        <w:t>18EBB</w:t>
      </w:r>
      <w:r>
        <w:t>.</w:t>
      </w:r>
      <w:r>
        <w:tab/>
        <w:t>Prescribed class of persons (Act s. 115AC(1AA)(b))</w:t>
      </w:r>
      <w:bookmarkEnd w:id="78"/>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79" w:name="_Toc217299130"/>
      <w:r>
        <w:rPr>
          <w:rStyle w:val="CharSectno"/>
        </w:rPr>
        <w:t>18EB</w:t>
      </w:r>
      <w:r>
        <w:t>.</w:t>
      </w:r>
      <w:r>
        <w:tab/>
        <w:t>Incidents and information prescribed for register (Act s. 116A)</w:t>
      </w:r>
      <w:bookmarkEnd w:id="7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lastRenderedPageBreak/>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80" w:name="_Toc217299131"/>
      <w:r>
        <w:rPr>
          <w:rStyle w:val="CharSectno"/>
        </w:rPr>
        <w:t>18EC</w:t>
      </w:r>
      <w:r>
        <w:t>.</w:t>
      </w:r>
      <w:r>
        <w:tab/>
        <w:t>Prescribed incidents involving physical force</w:t>
      </w:r>
      <w:bookmarkEnd w:id="8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1" w:name="_Toc217299132"/>
      <w:r>
        <w:rPr>
          <w:rStyle w:val="CharSectno"/>
        </w:rPr>
        <w:t>18F</w:t>
      </w:r>
      <w:r>
        <w:t>.</w:t>
      </w:r>
      <w:r>
        <w:tab/>
        <w:t>Training courses prescribed (Act s. 121(11)(d))</w:t>
      </w:r>
      <w:bookmarkEnd w:id="8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2" w:name="_Toc217299133"/>
      <w:r>
        <w:rPr>
          <w:rStyle w:val="CharSectno"/>
        </w:rPr>
        <w:lastRenderedPageBreak/>
        <w:t>18G</w:t>
      </w:r>
      <w:r>
        <w:t>.</w:t>
      </w:r>
      <w:r>
        <w:tab/>
        <w:t>Confiscated document, how to be dealt with (Act s. 126(2b))</w:t>
      </w:r>
      <w:bookmarkEnd w:id="8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3" w:name="_Toc217299134"/>
      <w:r>
        <w:rPr>
          <w:rStyle w:val="CharSectno"/>
        </w:rPr>
        <w:t>18H</w:t>
      </w:r>
      <w:r>
        <w:t>.</w:t>
      </w:r>
      <w:r>
        <w:tab/>
        <w:t>Provisions prescribed (Act s. 126E(4))</w:t>
      </w:r>
      <w:bookmarkEnd w:id="8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4" w:name="_Toc217299135"/>
      <w:r>
        <w:rPr>
          <w:rStyle w:val="CharSectno"/>
        </w:rPr>
        <w:t>19</w:t>
      </w:r>
      <w:r>
        <w:rPr>
          <w:snapToGrid w:val="0"/>
        </w:rPr>
        <w:t>.</w:t>
      </w:r>
      <w:r>
        <w:rPr>
          <w:snapToGrid w:val="0"/>
        </w:rPr>
        <w:tab/>
        <w:t>Subsidy, application for</w:t>
      </w:r>
      <w:bookmarkEnd w:id="8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5" w:name="_Toc217299136"/>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6" w:name="_Toc217299137"/>
      <w:r>
        <w:rPr>
          <w:rStyle w:val="CharSectno"/>
        </w:rPr>
        <w:t>21</w:t>
      </w:r>
      <w:r>
        <w:t>.</w:t>
      </w:r>
      <w:r>
        <w:tab/>
        <w:t>Wholesaler, subsidy for (Act s. 130)</w:t>
      </w:r>
      <w:bookmarkEnd w:id="8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7" w:name="_Toc217299138"/>
      <w:r>
        <w:rPr>
          <w:rStyle w:val="CharSectno"/>
        </w:rPr>
        <w:t>21A</w:t>
      </w:r>
      <w:r>
        <w:t>.</w:t>
      </w:r>
      <w:r>
        <w:tab/>
        <w:t>Wine producer, subsidy for (Act s. 130)</w:t>
      </w:r>
      <w:bookmarkEnd w:id="8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25pt" o:ole="">
            <v:imagedata r:id="rId21" o:title=""/>
          </v:shape>
          <o:OLEObject Type="Embed" ProgID="Equation.3" ShapeID="_x0000_i1025" DrawAspect="Content" ObjectID="_1828593434"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lastRenderedPageBreak/>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8" w:name="_Toc217299139"/>
      <w:r>
        <w:rPr>
          <w:rStyle w:val="CharSectno"/>
        </w:rPr>
        <w:t>21AC</w:t>
      </w:r>
      <w:r>
        <w:rPr>
          <w:snapToGrid w:val="0"/>
        </w:rPr>
        <w:t>.</w:t>
      </w:r>
      <w:r>
        <w:rPr>
          <w:snapToGrid w:val="0"/>
        </w:rPr>
        <w:tab/>
        <w:t>Subsidy payable once in respect of sale of liquor</w:t>
      </w:r>
      <w:bookmarkEnd w:id="8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9" w:name="_Toc217299140"/>
      <w:r>
        <w:rPr>
          <w:rStyle w:val="CharSectno"/>
        </w:rPr>
        <w:t>21B</w:t>
      </w:r>
      <w:r>
        <w:rPr>
          <w:snapToGrid w:val="0"/>
        </w:rPr>
        <w:t>.</w:t>
      </w:r>
      <w:r>
        <w:rPr>
          <w:snapToGrid w:val="0"/>
        </w:rPr>
        <w:tab/>
        <w:t xml:space="preserve">Subsidy, conditions imposed by Director as to </w:t>
      </w:r>
      <w:r>
        <w:t>(Act s. 130(2))</w:t>
      </w:r>
      <w:bookmarkEnd w:id="8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0" w:name="_Toc217299141"/>
      <w:r>
        <w:rPr>
          <w:rStyle w:val="CharSectno"/>
        </w:rPr>
        <w:t>21C</w:t>
      </w:r>
      <w:r>
        <w:rPr>
          <w:snapToGrid w:val="0"/>
        </w:rPr>
        <w:t>.</w:t>
      </w:r>
      <w:r>
        <w:rPr>
          <w:snapToGrid w:val="0"/>
        </w:rPr>
        <w:tab/>
        <w:t>Licensees prescribed </w:t>
      </w:r>
      <w:r>
        <w:t>(Act s. </w:t>
      </w:r>
      <w:r>
        <w:rPr>
          <w:snapToGrid w:val="0"/>
        </w:rPr>
        <w:t>145(1))</w:t>
      </w:r>
      <w:bookmarkEnd w:id="9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lastRenderedPageBreak/>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1" w:name="_Toc217299142"/>
      <w:r>
        <w:rPr>
          <w:rStyle w:val="CharSectno"/>
        </w:rPr>
        <w:t>22</w:t>
      </w:r>
      <w:r>
        <w:rPr>
          <w:snapToGrid w:val="0"/>
        </w:rPr>
        <w:t>.</w:t>
      </w:r>
      <w:r>
        <w:rPr>
          <w:snapToGrid w:val="0"/>
        </w:rPr>
        <w:tab/>
        <w:t xml:space="preserve">Records prescribed etc. </w:t>
      </w:r>
      <w:r>
        <w:t>(Act s. </w:t>
      </w:r>
      <w:r>
        <w:rPr>
          <w:snapToGrid w:val="0"/>
        </w:rPr>
        <w:t>145)</w:t>
      </w:r>
      <w:bookmarkEnd w:id="9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 xml:space="preserve">each duty or charge which is payable in respect of the liquor but which is not </w:t>
      </w:r>
      <w:r>
        <w:rPr>
          <w:snapToGrid w:val="0"/>
        </w:rPr>
        <w:lastRenderedPageBreak/>
        <w:t>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w:t>
      </w:r>
      <w:r>
        <w:rPr>
          <w:snapToGrid w:val="0"/>
        </w:rPr>
        <w:lastRenderedPageBreak/>
        <w:t>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2" w:name="_Toc217299143"/>
      <w:r>
        <w:rPr>
          <w:rStyle w:val="CharSectno"/>
        </w:rPr>
        <w:t>23</w:t>
      </w:r>
      <w:r>
        <w:rPr>
          <w:snapToGrid w:val="0"/>
        </w:rPr>
        <w:t>.</w:t>
      </w:r>
      <w:r>
        <w:rPr>
          <w:snapToGrid w:val="0"/>
        </w:rPr>
        <w:tab/>
        <w:t xml:space="preserve">Returns, verification and lodgment of </w:t>
      </w:r>
      <w:r>
        <w:t>(Act s. 146)</w:t>
      </w:r>
      <w:bookmarkEnd w:id="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lastRenderedPageBreak/>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3" w:name="_Toc217299144"/>
      <w:r>
        <w:rPr>
          <w:rStyle w:val="CharSectno"/>
        </w:rPr>
        <w:t>24</w:t>
      </w:r>
      <w:r>
        <w:rPr>
          <w:snapToGrid w:val="0"/>
        </w:rPr>
        <w:t>.</w:t>
      </w:r>
      <w:r>
        <w:rPr>
          <w:snapToGrid w:val="0"/>
        </w:rPr>
        <w:tab/>
        <w:t xml:space="preserve">Return of information required etc. </w:t>
      </w:r>
      <w:r>
        <w:t>(Act s. 145)</w:t>
      </w:r>
      <w:bookmarkEnd w:id="9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lastRenderedPageBreak/>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 xml:space="preserve">where the licence is held jointly by 2 or more persons, the full name and address of each such person, and of the person who was the manager of the business </w:t>
      </w:r>
      <w:r>
        <w:rPr>
          <w:snapToGrid w:val="0"/>
        </w:rPr>
        <w:lastRenderedPageBreak/>
        <w:t>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4" w:name="_Toc217299145"/>
      <w:r>
        <w:rPr>
          <w:rStyle w:val="CharSectno"/>
        </w:rPr>
        <w:t>24AA</w:t>
      </w:r>
      <w:r>
        <w:t>.</w:t>
      </w:r>
      <w:r>
        <w:tab/>
        <w:t>Prescribed class of persons (Act s. 152K(2AA)(b))</w:t>
      </w:r>
      <w:bookmarkEnd w:id="94"/>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95" w:name="_Toc217299146"/>
      <w:r>
        <w:rPr>
          <w:rStyle w:val="CharSectno"/>
        </w:rPr>
        <w:t>24A</w:t>
      </w:r>
      <w:r>
        <w:t>.</w:t>
      </w:r>
      <w:r>
        <w:tab/>
        <w:t>Electronic means of service of documents under Part 5AA of Act (Act s. 152NZQ(4)(c))</w:t>
      </w:r>
      <w:bookmarkEnd w:id="95"/>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lastRenderedPageBreak/>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96" w:name="_Toc217299147"/>
      <w:r>
        <w:rPr>
          <w:rStyle w:val="CharSectno"/>
        </w:rPr>
        <w:t>24B</w:t>
      </w:r>
      <w:r>
        <w:t>.</w:t>
      </w:r>
      <w:r>
        <w:tab/>
        <w:t>Consent to service of documents under Part 5AA of Act (Act s. 152NZQ(5))</w:t>
      </w:r>
      <w:bookmarkEnd w:id="96"/>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97" w:name="_Toc217299148"/>
      <w:r>
        <w:rPr>
          <w:rStyle w:val="CharSectno"/>
        </w:rPr>
        <w:lastRenderedPageBreak/>
        <w:t>24C</w:t>
      </w:r>
      <w:r>
        <w:t>.</w:t>
      </w:r>
      <w:r>
        <w:tab/>
        <w:t>Time when documents under Part 5AA of Act are served (Act s. 152NZR(6))</w:t>
      </w:r>
      <w:bookmarkEnd w:id="97"/>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 xml:space="preserve">Despite subregulation (3), the document is taken not to be served if it is proved that, due to circumstances outside of the </w:t>
      </w:r>
      <w:r>
        <w:lastRenderedPageBreak/>
        <w:t>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98" w:name="_Toc217299149"/>
      <w:r>
        <w:rPr>
          <w:rStyle w:val="CharSectno"/>
        </w:rPr>
        <w:t>25A</w:t>
      </w:r>
      <w:r>
        <w:t>.</w:t>
      </w:r>
      <w:r>
        <w:tab/>
        <w:t>Class of persons prescribed (Act s. 152P(4)(b))</w:t>
      </w:r>
      <w:bookmarkEnd w:id="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99" w:name="_Toc217299150"/>
      <w:r>
        <w:rPr>
          <w:rStyle w:val="CharSectno"/>
        </w:rPr>
        <w:t>25B</w:t>
      </w:r>
      <w:r>
        <w:t>.</w:t>
      </w:r>
      <w:r>
        <w:tab/>
        <w:t>Fee payable for review of decision related to banned drinker orders (Act s. 152YY(1))</w:t>
      </w:r>
      <w:bookmarkEnd w:id="99"/>
    </w:p>
    <w:p>
      <w:pPr>
        <w:pStyle w:val="Subsection"/>
      </w:pPr>
      <w:r>
        <w:tab/>
        <w:t>(1)</w:t>
      </w:r>
      <w:r>
        <w:tab/>
        <w:t>A fee of $287.50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 SL 2024/213 r. 12; SL 2025/187 r. 12.]</w:t>
      </w:r>
    </w:p>
    <w:p>
      <w:pPr>
        <w:pStyle w:val="Heading5"/>
      </w:pPr>
      <w:bookmarkStart w:id="100" w:name="_Toc217299151"/>
      <w:r>
        <w:rPr>
          <w:rStyle w:val="CharSectno"/>
        </w:rPr>
        <w:t>25C</w:t>
      </w:r>
      <w:r>
        <w:t>.</w:t>
      </w:r>
      <w:r>
        <w:tab/>
        <w:t>Disclosure of information about banned drinker order and banned drinker (Act s. 152ZC(2)(d))</w:t>
      </w:r>
      <w:bookmarkEnd w:id="100"/>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01" w:name="_Toc217299152"/>
      <w:r>
        <w:rPr>
          <w:rStyle w:val="CharSectno"/>
        </w:rPr>
        <w:lastRenderedPageBreak/>
        <w:t>25</w:t>
      </w:r>
      <w:r>
        <w:rPr>
          <w:snapToGrid w:val="0"/>
        </w:rPr>
        <w:t>.</w:t>
      </w:r>
      <w:r>
        <w:rPr>
          <w:snapToGrid w:val="0"/>
        </w:rPr>
        <w:tab/>
        <w:t>Money payable under Act, how payable</w:t>
      </w:r>
      <w:bookmarkEnd w:id="10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02" w:name="_Toc217299153"/>
      <w:r>
        <w:rPr>
          <w:rStyle w:val="CharSectno"/>
        </w:rPr>
        <w:t>26</w:t>
      </w:r>
      <w:r>
        <w:rPr>
          <w:snapToGrid w:val="0"/>
        </w:rPr>
        <w:t>.</w:t>
      </w:r>
      <w:r>
        <w:rPr>
          <w:snapToGrid w:val="0"/>
        </w:rPr>
        <w:tab/>
        <w:t>Fees generally (Sch. 3)</w:t>
      </w:r>
      <w:bookmarkEnd w:id="1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$329; or</w:t>
      </w:r>
    </w:p>
    <w:p>
      <w:pPr>
        <w:pStyle w:val="Indenta"/>
      </w:pPr>
      <w:r>
        <w:tab/>
        <w:t>(b)</w:t>
      </w:r>
      <w:r>
        <w:tab/>
        <w:t>if 3 or more such permits have been issued — an additional amount of $663.</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lastRenderedPageBreak/>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 xml:space="preserve">3; 21 May 2013 p. 2014; 8 Nov 2013 p. 4977-8; 14 Nov 2014 p. 4284; </w:t>
      </w:r>
      <w:r>
        <w:lastRenderedPageBreak/>
        <w:t>6 Nov 2015 p. 4584; 28 Oct 2016 p. 4913; 10 Nov 2017 p. 5587; 7 Sep 2018 p. 3196; 22 Oct 2019 p. 3724; SL 2022/144 r. 12; SL 2023/156 r. 12; SL 2024/213 r. 13; SL 2025/187 r. 13.]</w:t>
      </w:r>
    </w:p>
    <w:p>
      <w:pPr>
        <w:pStyle w:val="Heading5"/>
      </w:pPr>
      <w:bookmarkStart w:id="103" w:name="_Toc217299154"/>
      <w:r>
        <w:rPr>
          <w:rStyle w:val="CharSectno"/>
        </w:rPr>
        <w:t>27A</w:t>
      </w:r>
      <w:r>
        <w:t>.</w:t>
      </w:r>
      <w:r>
        <w:tab/>
        <w:t>Reduction in licence fee for new licences</w:t>
      </w:r>
      <w:bookmarkEnd w:id="10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4" w:name="_Toc217299155"/>
      <w:r>
        <w:rPr>
          <w:rStyle w:val="CharSectno"/>
        </w:rPr>
        <w:t>27</w:t>
      </w:r>
      <w:r>
        <w:rPr>
          <w:snapToGrid w:val="0"/>
        </w:rPr>
        <w:t>.</w:t>
      </w:r>
      <w:r>
        <w:rPr>
          <w:snapToGrid w:val="0"/>
        </w:rPr>
        <w:tab/>
      </w:r>
      <w:r>
        <w:t>Prescribed offences for infringement notices (Act s. 167(2))</w:t>
      </w:r>
      <w:bookmarkEnd w:id="10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lastRenderedPageBreak/>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lastRenderedPageBreak/>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lastRenderedPageBreak/>
              <w:t>s. 119(7)</w:t>
            </w:r>
          </w:p>
          <w:p>
            <w:pPr>
              <w:pStyle w:val="TableNAm"/>
              <w:spacing w:before="100"/>
            </w:pPr>
            <w:r>
              <w:lastRenderedPageBreak/>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lastRenderedPageBreak/>
              <w:t>s. 152L(2)</w:t>
            </w:r>
          </w:p>
          <w:p>
            <w:pPr>
              <w:pStyle w:val="TableNAm"/>
              <w:spacing w:before="100"/>
            </w:pPr>
            <w:r>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lastRenderedPageBreak/>
              <w:t xml:space="preserve">Liquor Control (Looma Restricted Area) Regulations 2011 </w:t>
            </w:r>
            <w:r>
              <w:t>regulation 7(1)</w:t>
            </w:r>
          </w:p>
        </w:tc>
      </w:tr>
      <w:tr>
        <w:tc>
          <w:tcPr>
            <w:tcW w:w="5245" w:type="dxa"/>
          </w:tcPr>
          <w:p>
            <w:pPr>
              <w:pStyle w:val="TableNAm"/>
              <w:rPr>
                <w:i/>
              </w:rPr>
            </w:pPr>
            <w:r>
              <w:rPr>
                <w:i/>
              </w:rPr>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lastRenderedPageBreak/>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 SL 2025/143 r. 8.]</w:t>
      </w:r>
    </w:p>
    <w:p>
      <w:pPr>
        <w:pStyle w:val="Heading5"/>
      </w:pPr>
      <w:bookmarkStart w:id="105" w:name="_Toc217299156"/>
      <w:r>
        <w:rPr>
          <w:rStyle w:val="CharSectno"/>
        </w:rPr>
        <w:lastRenderedPageBreak/>
        <w:t>28</w:t>
      </w:r>
      <w:r>
        <w:t>.</w:t>
      </w:r>
      <w:r>
        <w:tab/>
        <w:t>Protected entertainment precincts (Act s. 175(1E))</w:t>
      </w:r>
      <w:bookmarkEnd w:id="105"/>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2.</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 SL 2025/9 r. 4.]</w:t>
      </w:r>
    </w:p>
    <w:p>
      <w:pPr>
        <w:pStyle w:val="Heading5"/>
      </w:pPr>
      <w:bookmarkStart w:id="106" w:name="_Toc217299157"/>
      <w:r>
        <w:rPr>
          <w:rStyle w:val="CharSectno"/>
        </w:rPr>
        <w:lastRenderedPageBreak/>
        <w:t>29</w:t>
      </w:r>
      <w:r>
        <w:t>.</w:t>
      </w:r>
      <w:r>
        <w:tab/>
        <w:t>Banned drinker areas (Act s. 175(1G))</w:t>
      </w:r>
      <w:bookmarkEnd w:id="106"/>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07" w:name="_Toc217049478"/>
      <w:bookmarkStart w:id="108" w:name="_Toc217050138"/>
      <w:bookmarkStart w:id="109" w:name="_Toc217299158"/>
      <w:r>
        <w:rPr>
          <w:rStyle w:val="CharSchNo"/>
        </w:rPr>
        <w:lastRenderedPageBreak/>
        <w:t>Schedule 1</w:t>
      </w:r>
      <w:bookmarkEnd w:id="107"/>
      <w:bookmarkEnd w:id="108"/>
      <w:bookmarkEnd w:id="109"/>
    </w:p>
    <w:p>
      <w:pPr>
        <w:pStyle w:val="yShoulderClause"/>
        <w:spacing w:before="60"/>
        <w:rPr>
          <w:snapToGrid w:val="0"/>
        </w:rPr>
      </w:pPr>
      <w:r>
        <w:rPr>
          <w:snapToGrid w:val="0"/>
        </w:rPr>
        <w:t>[Regulation 3]</w:t>
      </w:r>
    </w:p>
    <w:p>
      <w:pPr>
        <w:pStyle w:val="yHeading2"/>
        <w:outlineLvl w:val="9"/>
      </w:pPr>
      <w:bookmarkStart w:id="110" w:name="_Toc217049479"/>
      <w:bookmarkStart w:id="111" w:name="_Toc217050139"/>
      <w:bookmarkStart w:id="112" w:name="_Toc217299159"/>
      <w:r>
        <w:rPr>
          <w:rStyle w:val="CharSchText"/>
        </w:rPr>
        <w:t>Forms</w:t>
      </w:r>
      <w:bookmarkEnd w:id="110"/>
      <w:bookmarkEnd w:id="111"/>
      <w:bookmarkEnd w:id="112"/>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spacing w:before="120"/>
      </w:pPr>
      <w:r>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13" w:name="_Toc217049480"/>
      <w:bookmarkStart w:id="114" w:name="_Toc217050140"/>
      <w:bookmarkStart w:id="115" w:name="_Toc217299160"/>
      <w:r>
        <w:rPr>
          <w:rStyle w:val="CharSchNo"/>
        </w:rPr>
        <w:lastRenderedPageBreak/>
        <w:t>Schedule 2</w:t>
      </w:r>
      <w:bookmarkEnd w:id="113"/>
      <w:bookmarkEnd w:id="114"/>
      <w:bookmarkEnd w:id="115"/>
    </w:p>
    <w:p>
      <w:pPr>
        <w:pStyle w:val="yShoulderClause"/>
        <w:spacing w:before="60"/>
        <w:rPr>
          <w:snapToGrid w:val="0"/>
        </w:rPr>
      </w:pPr>
      <w:r>
        <w:rPr>
          <w:snapToGrid w:val="0"/>
        </w:rPr>
        <w:t>[Regulation 13]</w:t>
      </w:r>
    </w:p>
    <w:p>
      <w:pPr>
        <w:pStyle w:val="yHeading2"/>
        <w:spacing w:before="120" w:after="80"/>
      </w:pPr>
      <w:bookmarkStart w:id="116" w:name="_Toc217049481"/>
      <w:bookmarkStart w:id="117" w:name="_Toc217050141"/>
      <w:bookmarkStart w:id="118" w:name="_Toc217299161"/>
      <w:r>
        <w:rPr>
          <w:rStyle w:val="CharSchText"/>
        </w:rPr>
        <w:t>Details of applicant</w:t>
      </w:r>
      <w:bookmarkEnd w:id="116"/>
      <w:bookmarkEnd w:id="117"/>
      <w:bookmarkEnd w:id="11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9" w:name="_Toc213323693"/>
      <w:bookmarkStart w:id="120" w:name="_Toc213323786"/>
      <w:bookmarkStart w:id="121" w:name="_Toc213323998"/>
      <w:bookmarkStart w:id="122" w:name="_Toc217050142"/>
      <w:bookmarkStart w:id="123" w:name="_Toc217299162"/>
      <w:bookmarkStart w:id="124" w:name="_Toc217049482"/>
      <w:r>
        <w:rPr>
          <w:rStyle w:val="CharSchNo"/>
        </w:rPr>
        <w:lastRenderedPageBreak/>
        <w:t>Schedule 3</w:t>
      </w:r>
      <w:r>
        <w:t> —</w:t>
      </w:r>
      <w:r>
        <w:rPr>
          <w:rStyle w:val="CharSchText"/>
        </w:rPr>
        <w:t> Fees</w:t>
      </w:r>
      <w:bookmarkEnd w:id="119"/>
      <w:bookmarkEnd w:id="120"/>
      <w:bookmarkEnd w:id="121"/>
      <w:bookmarkEnd w:id="122"/>
      <w:bookmarkEnd w:id="123"/>
    </w:p>
    <w:p>
      <w:pPr>
        <w:pStyle w:val="yFootnoteheading"/>
        <w:rPr>
          <w:i w:val="0"/>
          <w:iCs/>
        </w:rPr>
      </w:pPr>
      <w:r>
        <w:tab/>
        <w:t>[Heading inserted: SL 2025/187 r. 14.]</w:t>
      </w:r>
    </w:p>
    <w:p>
      <w:pPr>
        <w:pStyle w:val="yShoulderClause"/>
      </w:pPr>
      <w:r>
        <w:t>[r. 11, 14ADF, 18B, 26 and 27A]</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46"/>
        <w:gridCol w:w="4819"/>
        <w:gridCol w:w="1134"/>
      </w:tblGrid>
      <w:tr>
        <w:trPr>
          <w:tblHeader/>
        </w:trPr>
        <w:tc>
          <w:tcPr>
            <w:tcW w:w="846" w:type="dxa"/>
            <w:tcBorders>
              <w:top w:val="single" w:sz="4" w:space="0" w:color="auto"/>
              <w:left w:val="single" w:sz="4" w:space="0" w:color="auto"/>
              <w:bottom w:val="single" w:sz="4" w:space="0" w:color="auto"/>
              <w:right w:val="single" w:sz="4" w:space="0" w:color="auto"/>
            </w:tcBorders>
          </w:tcPr>
          <w:p>
            <w:pPr>
              <w:pStyle w:val="yTableNAm"/>
              <w:jc w:val="center"/>
              <w:rPr>
                <w:b/>
                <w:bCs/>
              </w:rPr>
            </w:pPr>
            <w:r>
              <w:rPr>
                <w:b/>
                <w:bCs/>
              </w:rPr>
              <w:t>Item</w:t>
            </w:r>
          </w:p>
        </w:tc>
        <w:tc>
          <w:tcPr>
            <w:tcW w:w="4819" w:type="dxa"/>
            <w:tcBorders>
              <w:left w:val="single" w:sz="4" w:space="0" w:color="auto"/>
            </w:tcBorders>
          </w:tcPr>
          <w:p>
            <w:pPr>
              <w:pStyle w:val="yTableNAm"/>
              <w:jc w:val="center"/>
              <w:rPr>
                <w:b/>
                <w:bCs/>
              </w:rPr>
            </w:pPr>
            <w:r>
              <w:rPr>
                <w:b/>
                <w:bCs/>
              </w:rPr>
              <w:t>Description</w:t>
            </w:r>
          </w:p>
        </w:tc>
        <w:tc>
          <w:tcPr>
            <w:tcW w:w="1134" w:type="dxa"/>
          </w:tcPr>
          <w:p>
            <w:pPr>
              <w:pStyle w:val="yTableNAm"/>
              <w:jc w:val="center"/>
              <w:rPr>
                <w:b/>
                <w:bCs/>
              </w:rPr>
            </w:pPr>
            <w:r>
              <w:rPr>
                <w:b/>
                <w:bCs/>
              </w:rPr>
              <w:t>Fee</w:t>
            </w:r>
            <w:r>
              <w:rPr>
                <w:b/>
                <w:bCs/>
              </w:rPr>
              <w:br/>
              <w:t>$</w:t>
            </w:r>
          </w:p>
        </w:tc>
      </w:tr>
      <w:tr>
        <w:tc>
          <w:tcPr>
            <w:tcW w:w="846" w:type="dxa"/>
            <w:tcBorders>
              <w:top w:val="single" w:sz="4" w:space="0" w:color="auto"/>
            </w:tcBorders>
          </w:tcPr>
          <w:p>
            <w:pPr>
              <w:pStyle w:val="yTableNAm"/>
            </w:pPr>
            <w:r>
              <w:t>1.</w:t>
            </w:r>
          </w:p>
        </w:tc>
        <w:tc>
          <w:tcPr>
            <w:tcW w:w="4819" w:type="dxa"/>
          </w:tcPr>
          <w:p>
            <w:pPr>
              <w:pStyle w:val="yTableNAm"/>
            </w:pPr>
            <w:r>
              <w:t>Application for the grant or removal of a hotel licence, nightclub licence, casino liquor licence, special facility licence or liquor store licence</w:t>
            </w:r>
          </w:p>
        </w:tc>
        <w:tc>
          <w:tcPr>
            <w:tcW w:w="1134" w:type="dxa"/>
          </w:tcPr>
          <w:p>
            <w:pPr>
              <w:pStyle w:val="yTableNAm"/>
              <w:jc w:val="right"/>
            </w:pPr>
            <w:r>
              <w:t>4 129.50</w:t>
            </w:r>
          </w:p>
        </w:tc>
      </w:tr>
      <w:tr>
        <w:tc>
          <w:tcPr>
            <w:tcW w:w="846" w:type="dxa"/>
          </w:tcPr>
          <w:p>
            <w:pPr>
              <w:pStyle w:val="yTableNAm"/>
            </w:pPr>
            <w:r>
              <w:t>2.</w:t>
            </w:r>
          </w:p>
        </w:tc>
        <w:tc>
          <w:tcPr>
            <w:tcW w:w="4819" w:type="dxa"/>
          </w:tcPr>
          <w:p>
            <w:pPr>
              <w:pStyle w:val="yTableNAm"/>
            </w:pPr>
            <w:r>
              <w:t>Application for the grant or removal of a small bar licence, club licence, restaurant licence, producer’s licence or wholesaler’s licence</w:t>
            </w:r>
          </w:p>
        </w:tc>
        <w:tc>
          <w:tcPr>
            <w:tcW w:w="1134" w:type="dxa"/>
          </w:tcPr>
          <w:p>
            <w:pPr>
              <w:pStyle w:val="yTableNAm"/>
              <w:jc w:val="right"/>
            </w:pPr>
            <w:r>
              <w:t>1 058.50</w:t>
            </w:r>
          </w:p>
        </w:tc>
      </w:tr>
      <w:tr>
        <w:trPr>
          <w:cantSplit/>
        </w:trPr>
        <w:tc>
          <w:tcPr>
            <w:tcW w:w="846" w:type="dxa"/>
          </w:tcPr>
          <w:p>
            <w:pPr>
              <w:pStyle w:val="yTableNAm"/>
            </w:pPr>
            <w:r>
              <w:t>3.</w:t>
            </w:r>
          </w:p>
        </w:tc>
        <w:tc>
          <w:tcPr>
            <w:tcW w:w="4819" w:type="dxa"/>
          </w:tcPr>
          <w:p>
            <w:pPr>
              <w:pStyle w:val="yTableNAm"/>
            </w:pPr>
            <w:r>
              <w:t>Application for the transfer of a licence</w:t>
            </w:r>
          </w:p>
        </w:tc>
        <w:tc>
          <w:tcPr>
            <w:tcW w:w="1134" w:type="dxa"/>
          </w:tcPr>
          <w:p>
            <w:pPr>
              <w:pStyle w:val="yTableNAm"/>
              <w:jc w:val="right"/>
            </w:pPr>
            <w:r>
              <w:t>1 013.50</w:t>
            </w:r>
          </w:p>
        </w:tc>
      </w:tr>
      <w:tr>
        <w:trPr>
          <w:cantSplit/>
        </w:trPr>
        <w:tc>
          <w:tcPr>
            <w:tcW w:w="846" w:type="dxa"/>
          </w:tcPr>
          <w:p>
            <w:pPr>
              <w:pStyle w:val="yTableNAm"/>
            </w:pPr>
            <w:r>
              <w:t>4.</w:t>
            </w:r>
          </w:p>
        </w:tc>
        <w:tc>
          <w:tcPr>
            <w:tcW w:w="4819" w:type="dxa"/>
          </w:tcPr>
          <w:p>
            <w:pPr>
              <w:pStyle w:val="yTableNAm"/>
            </w:pPr>
            <w:r>
              <w:t>Licence fee for any licence other than a club restricted licence</w:t>
            </w:r>
          </w:p>
        </w:tc>
        <w:tc>
          <w:tcPr>
            <w:tcW w:w="1134" w:type="dxa"/>
          </w:tcPr>
          <w:p>
            <w:pPr>
              <w:pStyle w:val="yTableNAm"/>
              <w:jc w:val="right"/>
            </w:pPr>
            <w:r>
              <w:t>697.50</w:t>
            </w:r>
          </w:p>
        </w:tc>
      </w:tr>
      <w:tr>
        <w:trPr>
          <w:cantSplit/>
        </w:trPr>
        <w:tc>
          <w:tcPr>
            <w:tcW w:w="846" w:type="dxa"/>
          </w:tcPr>
          <w:p>
            <w:pPr>
              <w:pStyle w:val="yTableNAm"/>
            </w:pPr>
            <w:r>
              <w:t>5.</w:t>
            </w:r>
          </w:p>
        </w:tc>
        <w:tc>
          <w:tcPr>
            <w:tcW w:w="4819" w:type="dxa"/>
          </w:tcPr>
          <w:p>
            <w:pPr>
              <w:pStyle w:val="yTableNAm"/>
            </w:pPr>
            <w:r>
              <w:t>Licence fee for a club restricted licence</w:t>
            </w:r>
          </w:p>
        </w:tc>
        <w:tc>
          <w:tcPr>
            <w:tcW w:w="1134" w:type="dxa"/>
          </w:tcPr>
          <w:p>
            <w:pPr>
              <w:pStyle w:val="yTableNAm"/>
              <w:jc w:val="right"/>
            </w:pPr>
            <w:r>
              <w:t>342.00</w:t>
            </w:r>
          </w:p>
        </w:tc>
      </w:tr>
      <w:tr>
        <w:trPr>
          <w:cantSplit/>
        </w:trPr>
        <w:tc>
          <w:tcPr>
            <w:tcW w:w="846" w:type="dxa"/>
            <w:tcBorders>
              <w:bottom w:val="nil"/>
            </w:tcBorders>
          </w:tcPr>
          <w:p>
            <w:pPr>
              <w:pStyle w:val="yTableNAm"/>
            </w:pPr>
            <w:r>
              <w:t>6.</w:t>
            </w:r>
          </w:p>
        </w:tc>
        <w:tc>
          <w:tcPr>
            <w:tcW w:w="4819" w:type="dxa"/>
            <w:tcBorders>
              <w:bottom w:val="nil"/>
            </w:tcBorders>
          </w:tcPr>
          <w:p>
            <w:pPr>
              <w:pStyle w:val="yTableNAm"/>
            </w:pPr>
            <w:r>
              <w:t xml:space="preserve">Application for an occasional licence if the anticipated number of patrons is — </w:t>
            </w:r>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up to 250</w:t>
            </w:r>
          </w:p>
        </w:tc>
        <w:tc>
          <w:tcPr>
            <w:tcW w:w="1134" w:type="dxa"/>
            <w:tcBorders>
              <w:top w:val="nil"/>
              <w:bottom w:val="nil"/>
            </w:tcBorders>
          </w:tcPr>
          <w:p>
            <w:pPr>
              <w:pStyle w:val="yTableNAm"/>
              <w:jc w:val="right"/>
            </w:pPr>
            <w:r>
              <w:t>62.00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between 251 and 500</w:t>
            </w:r>
          </w:p>
        </w:tc>
        <w:tc>
          <w:tcPr>
            <w:tcW w:w="1134" w:type="dxa"/>
            <w:tcBorders>
              <w:top w:val="nil"/>
              <w:bottom w:val="nil"/>
            </w:tcBorders>
          </w:tcPr>
          <w:p>
            <w:pPr>
              <w:pStyle w:val="yTableNAm"/>
              <w:jc w:val="right"/>
            </w:pPr>
            <w:r>
              <w:t>129.50</w:t>
            </w:r>
          </w:p>
        </w:tc>
      </w:tr>
      <w:tr>
        <w:trPr>
          <w:cantSplit/>
        </w:trPr>
        <w:tc>
          <w:tcPr>
            <w:tcW w:w="846" w:type="dxa"/>
            <w:tcBorders>
              <w:top w:val="nil"/>
              <w:bottom w:val="nil"/>
            </w:tcBorders>
          </w:tcPr>
          <w:p/>
        </w:tc>
        <w:tc>
          <w:tcPr>
            <w:tcW w:w="4819" w:type="dxa"/>
            <w:tcBorders>
              <w:top w:val="nil"/>
              <w:bottom w:val="nil"/>
            </w:tcBorders>
          </w:tcPr>
          <w:p>
            <w:pPr>
              <w:pStyle w:val="yTableNAm"/>
            </w:pPr>
            <w:r>
              <w:t>(c)</w:t>
            </w:r>
            <w:r>
              <w:tab/>
              <w:t>between 501 and 1 000</w:t>
            </w:r>
          </w:p>
        </w:tc>
        <w:tc>
          <w:tcPr>
            <w:tcW w:w="1134" w:type="dxa"/>
            <w:tcBorders>
              <w:top w:val="nil"/>
              <w:bottom w:val="nil"/>
            </w:tcBorders>
          </w:tcPr>
          <w:p>
            <w:pPr>
              <w:pStyle w:val="yTableNAm"/>
              <w:jc w:val="right"/>
            </w:pPr>
            <w:r>
              <w:t>267.00</w:t>
            </w:r>
          </w:p>
        </w:tc>
      </w:tr>
      <w:tr>
        <w:trPr>
          <w:cantSplit/>
        </w:trPr>
        <w:tc>
          <w:tcPr>
            <w:tcW w:w="846" w:type="dxa"/>
            <w:tcBorders>
              <w:top w:val="nil"/>
              <w:bottom w:val="nil"/>
            </w:tcBorders>
          </w:tcPr>
          <w:p/>
        </w:tc>
        <w:tc>
          <w:tcPr>
            <w:tcW w:w="4819" w:type="dxa"/>
            <w:tcBorders>
              <w:top w:val="nil"/>
              <w:bottom w:val="nil"/>
            </w:tcBorders>
          </w:tcPr>
          <w:p>
            <w:pPr>
              <w:pStyle w:val="yTableNAm"/>
            </w:pPr>
            <w:r>
              <w:t>(d)</w:t>
            </w:r>
            <w:r>
              <w:tab/>
              <w:t>between 1 001 and 5 000</w:t>
            </w:r>
          </w:p>
        </w:tc>
        <w:tc>
          <w:tcPr>
            <w:tcW w:w="1134" w:type="dxa"/>
            <w:tcBorders>
              <w:top w:val="nil"/>
              <w:bottom w:val="nil"/>
            </w:tcBorders>
          </w:tcPr>
          <w:p>
            <w:pPr>
              <w:pStyle w:val="yTableNAm"/>
              <w:jc w:val="right"/>
            </w:pPr>
            <w:r>
              <w:t>1 357.00</w:t>
            </w:r>
          </w:p>
        </w:tc>
      </w:tr>
      <w:tr>
        <w:trPr>
          <w:cantSplit/>
        </w:trPr>
        <w:tc>
          <w:tcPr>
            <w:tcW w:w="846" w:type="dxa"/>
            <w:tcBorders>
              <w:top w:val="nil"/>
              <w:bottom w:val="nil"/>
            </w:tcBorders>
          </w:tcPr>
          <w:p/>
        </w:tc>
        <w:tc>
          <w:tcPr>
            <w:tcW w:w="4819" w:type="dxa"/>
            <w:tcBorders>
              <w:top w:val="nil"/>
              <w:bottom w:val="nil"/>
            </w:tcBorders>
          </w:tcPr>
          <w:p>
            <w:pPr>
              <w:pStyle w:val="yTableNAm"/>
            </w:pPr>
            <w:r>
              <w:t>(e)</w:t>
            </w:r>
            <w:r>
              <w:tab/>
              <w:t>between 5 001 and 10 000</w:t>
            </w:r>
          </w:p>
        </w:tc>
        <w:tc>
          <w:tcPr>
            <w:tcW w:w="1134" w:type="dxa"/>
            <w:tcBorders>
              <w:top w:val="nil"/>
              <w:bottom w:val="nil"/>
            </w:tcBorders>
          </w:tcPr>
          <w:p>
            <w:pPr>
              <w:pStyle w:val="yTableNAm"/>
              <w:jc w:val="right"/>
            </w:pPr>
            <w:r>
              <w:t>2 719.00</w:t>
            </w:r>
          </w:p>
        </w:tc>
      </w:tr>
      <w:tr>
        <w:trPr>
          <w:cantSplit/>
        </w:trPr>
        <w:tc>
          <w:tcPr>
            <w:tcW w:w="846" w:type="dxa"/>
            <w:tcBorders>
              <w:top w:val="nil"/>
            </w:tcBorders>
          </w:tcPr>
          <w:p/>
        </w:tc>
        <w:tc>
          <w:tcPr>
            <w:tcW w:w="4819" w:type="dxa"/>
            <w:tcBorders>
              <w:top w:val="nil"/>
            </w:tcBorders>
          </w:tcPr>
          <w:p>
            <w:pPr>
              <w:pStyle w:val="yTableNAm"/>
            </w:pPr>
            <w:r>
              <w:t>(f)</w:t>
            </w:r>
            <w:r>
              <w:tab/>
              <w:t>over 10 000</w:t>
            </w:r>
          </w:p>
        </w:tc>
        <w:tc>
          <w:tcPr>
            <w:tcW w:w="1134" w:type="dxa"/>
            <w:tcBorders>
              <w:top w:val="nil"/>
            </w:tcBorders>
          </w:tcPr>
          <w:p>
            <w:pPr>
              <w:pStyle w:val="yTableNAm"/>
              <w:jc w:val="right"/>
            </w:pPr>
            <w:r>
              <w:t>5 451.50</w:t>
            </w:r>
          </w:p>
        </w:tc>
      </w:tr>
      <w:tr>
        <w:trPr>
          <w:cantSplit/>
        </w:trPr>
        <w:tc>
          <w:tcPr>
            <w:tcW w:w="846" w:type="dxa"/>
            <w:tcBorders>
              <w:bottom w:val="nil"/>
            </w:tcBorders>
          </w:tcPr>
          <w:p>
            <w:pPr>
              <w:pStyle w:val="yTableNAm"/>
              <w:keepNext/>
            </w:pPr>
            <w:r>
              <w:lastRenderedPageBreak/>
              <w:t>7.</w:t>
            </w:r>
          </w:p>
        </w:tc>
        <w:tc>
          <w:tcPr>
            <w:tcW w:w="4819" w:type="dxa"/>
            <w:tcBorders>
              <w:bottom w:val="nil"/>
            </w:tcBorders>
          </w:tcPr>
          <w:p>
            <w:pPr>
              <w:pStyle w:val="yTableNAm"/>
              <w:keepNext/>
            </w:pPr>
            <w:r>
              <w:t xml:space="preserve">Application for extended trading permit for a period of over 21 days — </w:t>
            </w:r>
          </w:p>
        </w:tc>
        <w:tc>
          <w:tcPr>
            <w:tcW w:w="1134" w:type="dxa"/>
            <w:tcBorders>
              <w:bottom w:val="nil"/>
            </w:tcBorders>
          </w:tcPr>
          <w:p>
            <w:pPr>
              <w:pStyle w:val="yTableNAm"/>
              <w:keepNext/>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issued for the purpose referred to in section 60(4)(ca) —</w:t>
            </w:r>
          </w:p>
        </w:tc>
        <w:tc>
          <w:tcPr>
            <w:tcW w:w="1134" w:type="dxa"/>
            <w:tcBorders>
              <w:top w:val="nil"/>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if a condition of the licence limits the maximum number of patrons to 120</w:t>
            </w:r>
          </w:p>
        </w:tc>
        <w:tc>
          <w:tcPr>
            <w:tcW w:w="1134" w:type="dxa"/>
            <w:tcBorders>
              <w:top w:val="nil"/>
              <w:bottom w:val="nil"/>
            </w:tcBorders>
          </w:tcPr>
          <w:p>
            <w:pPr>
              <w:pStyle w:val="yTableNAm"/>
              <w:jc w:val="right"/>
            </w:pPr>
            <w:r>
              <w:t>63.50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pPr>
            <w:r>
              <w:tab/>
              <w:t>(ii)</w:t>
            </w:r>
            <w:r>
              <w:tab/>
              <w:t>if subparagraph (i) does not apply</w:t>
            </w:r>
          </w:p>
        </w:tc>
        <w:tc>
          <w:tcPr>
            <w:tcW w:w="1134" w:type="dxa"/>
            <w:tcBorders>
              <w:top w:val="nil"/>
              <w:bottom w:val="nil"/>
            </w:tcBorders>
          </w:tcPr>
          <w:p>
            <w:pPr>
              <w:pStyle w:val="yTableNAm"/>
              <w:jc w:val="right"/>
            </w:pPr>
            <w:r>
              <w:t>566.50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issued for the purpose referred to in section 60(4)(e)</w:t>
            </w:r>
          </w:p>
        </w:tc>
        <w:tc>
          <w:tcPr>
            <w:tcW w:w="1134" w:type="dxa"/>
            <w:tcBorders>
              <w:top w:val="nil"/>
              <w:bottom w:val="nil"/>
            </w:tcBorders>
          </w:tcPr>
          <w:p>
            <w:pPr>
              <w:pStyle w:val="yTableNAm"/>
              <w:jc w:val="right"/>
            </w:pPr>
            <w:r>
              <w:t>414.50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issued for the purpose referred to in section 60(4)(h)</w:t>
            </w:r>
          </w:p>
        </w:tc>
        <w:tc>
          <w:tcPr>
            <w:tcW w:w="1134" w:type="dxa"/>
            <w:tcBorders>
              <w:top w:val="nil"/>
              <w:bottom w:val="nil"/>
            </w:tcBorders>
          </w:tcPr>
          <w:p>
            <w:pPr>
              <w:pStyle w:val="yTableNAm"/>
              <w:jc w:val="right"/>
            </w:pPr>
            <w:r>
              <w:t>414.50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(d)</w:t>
            </w:r>
            <w:r>
              <w:tab/>
              <w:t xml:space="preserve">issued for the purpose referred to in section 60(4)(ia) — </w:t>
            </w:r>
          </w:p>
        </w:tc>
        <w:tc>
          <w:tcPr>
            <w:tcW w:w="1134" w:type="dxa"/>
            <w:tcBorders>
              <w:top w:val="nil"/>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tcPr>
          <w:p>
            <w:pPr>
              <w:pStyle w:val="yTableNAm"/>
              <w:jc w:val="right"/>
            </w:pPr>
            <w:r>
              <w:t>414.50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tcPr>
          <w:p>
            <w:pPr>
              <w:pStyle w:val="yTableNAm"/>
              <w:jc w:val="right"/>
            </w:pPr>
            <w:r>
              <w:t>349.00</w:t>
            </w:r>
          </w:p>
        </w:tc>
      </w:tr>
      <w:tr>
        <w:trPr>
          <w:cantSplit/>
        </w:trPr>
        <w:tc>
          <w:tcPr>
            <w:tcW w:w="846" w:type="dxa"/>
            <w:tcBorders>
              <w:top w:val="nil"/>
            </w:tcBorders>
          </w:tcPr>
          <w:p/>
        </w:tc>
        <w:tc>
          <w:tcPr>
            <w:tcW w:w="4819" w:type="dxa"/>
            <w:tcBorders>
              <w:top w:val="nil"/>
            </w:tcBorders>
          </w:tcPr>
          <w:p>
            <w:pPr>
              <w:pStyle w:val="yTableNAm"/>
              <w:ind w:left="567" w:hanging="567"/>
              <w:rPr>
                <w:szCs w:val="22"/>
              </w:rPr>
            </w:pPr>
            <w:r>
              <w:rPr>
                <w:szCs w:val="22"/>
              </w:rPr>
              <w:t>(e)</w:t>
            </w:r>
            <w:r>
              <w:rPr>
                <w:szCs w:val="22"/>
              </w:rPr>
              <w:tab/>
              <w:t xml:space="preserve">issued for any </w:t>
            </w:r>
            <w:r>
              <w:t>other</w:t>
            </w:r>
            <w:r>
              <w:rPr>
                <w:szCs w:val="22"/>
              </w:rPr>
              <w:t xml:space="preserve"> purpose</w:t>
            </w:r>
          </w:p>
        </w:tc>
        <w:tc>
          <w:tcPr>
            <w:tcW w:w="1134" w:type="dxa"/>
            <w:tcBorders>
              <w:top w:val="nil"/>
            </w:tcBorders>
          </w:tcPr>
          <w:p>
            <w:pPr>
              <w:pStyle w:val="yTableNAm"/>
              <w:jc w:val="right"/>
            </w:pPr>
            <w:r>
              <w:t>1 395.50</w:t>
            </w:r>
          </w:p>
        </w:tc>
      </w:tr>
      <w:tr>
        <w:trPr>
          <w:cantSplit/>
        </w:trPr>
        <w:tc>
          <w:tcPr>
            <w:tcW w:w="846" w:type="dxa"/>
            <w:tcBorders>
              <w:bottom w:val="nil"/>
            </w:tcBorders>
          </w:tcPr>
          <w:p>
            <w:pPr>
              <w:pStyle w:val="yTableNAm"/>
            </w:pPr>
            <w:r>
              <w:t>8.</w:t>
            </w:r>
          </w:p>
        </w:tc>
        <w:tc>
          <w:tcPr>
            <w:tcW w:w="4819" w:type="dxa"/>
            <w:tcBorders>
              <w:bottom w:val="nil"/>
            </w:tcBorders>
          </w:tcPr>
          <w:p>
            <w:pPr>
              <w:pStyle w:val="yTableNAm"/>
            </w:pPr>
            <w:r>
              <w:t>Application for extended trading permit (in respect of a licence other than a club restricted licence) for a period of 21 days or less if the maximum number of patrons on any day of the period to which the application relates is —</w:t>
            </w:r>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up to 500</w:t>
            </w:r>
          </w:p>
        </w:tc>
        <w:tc>
          <w:tcPr>
            <w:tcW w:w="1134" w:type="dxa"/>
            <w:tcBorders>
              <w:top w:val="nil"/>
              <w:bottom w:val="nil"/>
            </w:tcBorders>
          </w:tcPr>
          <w:p>
            <w:pPr>
              <w:pStyle w:val="yTableNAm"/>
              <w:jc w:val="right"/>
            </w:pPr>
            <w:r>
              <w:t>129.50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between 501 and 1 000</w:t>
            </w:r>
          </w:p>
        </w:tc>
        <w:tc>
          <w:tcPr>
            <w:tcW w:w="1134" w:type="dxa"/>
            <w:tcBorders>
              <w:top w:val="nil"/>
              <w:bottom w:val="nil"/>
            </w:tcBorders>
          </w:tcPr>
          <w:p>
            <w:pPr>
              <w:pStyle w:val="yTableNAm"/>
              <w:jc w:val="right"/>
            </w:pPr>
            <w:r>
              <w:t>267.00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between 1 001 and 5 000</w:t>
            </w:r>
          </w:p>
        </w:tc>
        <w:tc>
          <w:tcPr>
            <w:tcW w:w="1134" w:type="dxa"/>
            <w:tcBorders>
              <w:top w:val="nil"/>
              <w:bottom w:val="nil"/>
            </w:tcBorders>
          </w:tcPr>
          <w:p>
            <w:pPr>
              <w:pStyle w:val="yTableNAm"/>
              <w:jc w:val="right"/>
            </w:pPr>
            <w:r>
              <w:t>1 357.00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(d)</w:t>
            </w:r>
            <w:r>
              <w:tab/>
              <w:t>between 5 001 and 10 000</w:t>
            </w:r>
          </w:p>
        </w:tc>
        <w:tc>
          <w:tcPr>
            <w:tcW w:w="1134" w:type="dxa"/>
            <w:tcBorders>
              <w:top w:val="nil"/>
              <w:bottom w:val="nil"/>
            </w:tcBorders>
          </w:tcPr>
          <w:p>
            <w:pPr>
              <w:pStyle w:val="yTableNAm"/>
              <w:jc w:val="right"/>
            </w:pPr>
            <w:r>
              <w:t>2 719.00</w:t>
            </w:r>
          </w:p>
        </w:tc>
      </w:tr>
      <w:tr>
        <w:trPr>
          <w:cantSplit/>
        </w:trPr>
        <w:tc>
          <w:tcPr>
            <w:tcW w:w="846" w:type="dxa"/>
            <w:tcBorders>
              <w:top w:val="nil"/>
            </w:tcBorders>
          </w:tcPr>
          <w:p/>
        </w:tc>
        <w:tc>
          <w:tcPr>
            <w:tcW w:w="4819" w:type="dxa"/>
            <w:tcBorders>
              <w:top w:val="nil"/>
            </w:tcBorders>
          </w:tcPr>
          <w:p>
            <w:pPr>
              <w:pStyle w:val="yTableNAm"/>
              <w:ind w:left="567" w:hanging="567"/>
            </w:pPr>
            <w:r>
              <w:t>(e)</w:t>
            </w:r>
            <w:r>
              <w:tab/>
              <w:t>over 10 000</w:t>
            </w:r>
          </w:p>
        </w:tc>
        <w:tc>
          <w:tcPr>
            <w:tcW w:w="1134" w:type="dxa"/>
            <w:tcBorders>
              <w:top w:val="nil"/>
            </w:tcBorders>
          </w:tcPr>
          <w:p>
            <w:pPr>
              <w:pStyle w:val="yTableNAm"/>
              <w:jc w:val="right"/>
            </w:pPr>
            <w:r>
              <w:t>5 451.50</w:t>
            </w:r>
          </w:p>
        </w:tc>
      </w:tr>
      <w:tr>
        <w:trPr>
          <w:cantSplit/>
        </w:trPr>
        <w:tc>
          <w:tcPr>
            <w:tcW w:w="846" w:type="dxa"/>
          </w:tcPr>
          <w:p>
            <w:pPr>
              <w:pStyle w:val="yTableNAm"/>
            </w:pPr>
            <w:r>
              <w:t>9.</w:t>
            </w:r>
          </w:p>
        </w:tc>
        <w:tc>
          <w:tcPr>
            <w:tcW w:w="4819" w:type="dxa"/>
          </w:tcPr>
          <w:p>
            <w:pPr>
              <w:pStyle w:val="yTableNAm"/>
            </w:pPr>
            <w:r>
              <w:t>Application for extended trading permit (in respect of a club restricted licence) for a period of 21 days or less</w:t>
            </w:r>
          </w:p>
        </w:tc>
        <w:tc>
          <w:tcPr>
            <w:tcW w:w="1134" w:type="dxa"/>
          </w:tcPr>
          <w:p>
            <w:pPr>
              <w:pStyle w:val="yTableNAm"/>
              <w:jc w:val="right"/>
            </w:pPr>
            <w:r>
              <w:t>50.50</w:t>
            </w:r>
          </w:p>
        </w:tc>
      </w:tr>
      <w:tr>
        <w:trPr>
          <w:cantSplit/>
        </w:trPr>
        <w:tc>
          <w:tcPr>
            <w:tcW w:w="846" w:type="dxa"/>
            <w:tcBorders>
              <w:bottom w:val="nil"/>
            </w:tcBorders>
          </w:tcPr>
          <w:p>
            <w:pPr>
              <w:pStyle w:val="yTableNAm"/>
            </w:pPr>
            <w:r>
              <w:t>10.</w:t>
            </w:r>
          </w:p>
        </w:tc>
        <w:tc>
          <w:tcPr>
            <w:tcW w:w="4819" w:type="dxa"/>
            <w:tcBorders>
              <w:bottom w:val="nil"/>
            </w:tcBorders>
          </w:tcPr>
          <w:p>
            <w:pPr>
              <w:pStyle w:val="yTableNAm"/>
            </w:pPr>
            <w:r>
              <w:t xml:space="preserve">Application for manager’s approval — </w:t>
            </w:r>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rPr>
                <w:rStyle w:val="DraftersNotes"/>
                <w:b w:val="0"/>
                <w:i w:val="0"/>
              </w:rPr>
            </w:pPr>
            <w:r>
              <w:t>(a)</w:t>
            </w:r>
            <w:r>
              <w:tab/>
              <w:t>lodged under r. 14ADA(3)</w:t>
            </w:r>
          </w:p>
        </w:tc>
        <w:tc>
          <w:tcPr>
            <w:tcW w:w="1134" w:type="dxa"/>
            <w:tcBorders>
              <w:top w:val="nil"/>
              <w:bottom w:val="nil"/>
            </w:tcBorders>
          </w:tcPr>
          <w:p>
            <w:pPr>
              <w:pStyle w:val="yTableNAm"/>
              <w:jc w:val="right"/>
            </w:pPr>
            <w:r>
              <w:t>212.00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lodged under r. 14ADA(4)(a)</w:t>
            </w:r>
          </w:p>
        </w:tc>
        <w:tc>
          <w:tcPr>
            <w:tcW w:w="1134" w:type="dxa"/>
            <w:tcBorders>
              <w:top w:val="nil"/>
              <w:bottom w:val="nil"/>
            </w:tcBorders>
          </w:tcPr>
          <w:p>
            <w:pPr>
              <w:pStyle w:val="yTableNAm"/>
              <w:jc w:val="right"/>
            </w:pPr>
            <w:r>
              <w:t>69.50</w:t>
            </w:r>
          </w:p>
        </w:tc>
      </w:tr>
      <w:tr>
        <w:trPr>
          <w:cantSplit/>
        </w:trPr>
        <w:tc>
          <w:tcPr>
            <w:tcW w:w="846" w:type="dxa"/>
            <w:tcBorders>
              <w:top w:val="nil"/>
            </w:tcBorders>
          </w:tcPr>
          <w:p/>
        </w:tc>
        <w:tc>
          <w:tcPr>
            <w:tcW w:w="4819" w:type="dxa"/>
            <w:tcBorders>
              <w:top w:val="nil"/>
            </w:tcBorders>
          </w:tcPr>
          <w:p>
            <w:pPr>
              <w:pStyle w:val="yTableNAm"/>
            </w:pPr>
            <w:r>
              <w:t>(c)</w:t>
            </w:r>
            <w:r>
              <w:tab/>
              <w:t>lodged under r. 14ADA(4)(b)</w:t>
            </w:r>
          </w:p>
        </w:tc>
        <w:tc>
          <w:tcPr>
            <w:tcW w:w="1134" w:type="dxa"/>
            <w:tcBorders>
              <w:top w:val="nil"/>
            </w:tcBorders>
            <w:vAlign w:val="bottom"/>
          </w:tcPr>
          <w:p>
            <w:pPr>
              <w:pStyle w:val="yTableNAm"/>
              <w:jc w:val="right"/>
            </w:pPr>
            <w:r>
              <w:t>17.50</w:t>
            </w:r>
          </w:p>
        </w:tc>
      </w:tr>
      <w:tr>
        <w:trPr>
          <w:cantSplit/>
        </w:trPr>
        <w:tc>
          <w:tcPr>
            <w:tcW w:w="846" w:type="dxa"/>
            <w:tcBorders>
              <w:bottom w:val="nil"/>
            </w:tcBorders>
          </w:tcPr>
          <w:p>
            <w:pPr>
              <w:pStyle w:val="yTableNAm"/>
            </w:pPr>
            <w:r>
              <w:t>11.</w:t>
            </w:r>
          </w:p>
        </w:tc>
        <w:tc>
          <w:tcPr>
            <w:tcW w:w="4819" w:type="dxa"/>
            <w:tcBorders>
              <w:bottom w:val="nil"/>
            </w:tcBorders>
          </w:tcPr>
          <w:p>
            <w:pPr>
              <w:pStyle w:val="yTableNAm"/>
            </w:pPr>
            <w:r>
              <w:t xml:space="preserve">Application for renewal of manager’s approval — </w:t>
            </w:r>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14ADD(3)(a)</w:t>
            </w:r>
          </w:p>
        </w:tc>
        <w:tc>
          <w:tcPr>
            <w:tcW w:w="1134" w:type="dxa"/>
            <w:tcBorders>
              <w:top w:val="nil"/>
              <w:bottom w:val="nil"/>
            </w:tcBorders>
          </w:tcPr>
          <w:p>
            <w:pPr>
              <w:pStyle w:val="yTableNAm"/>
              <w:jc w:val="right"/>
            </w:pPr>
            <w:r>
              <w:t>191.00</w:t>
            </w:r>
          </w:p>
        </w:tc>
      </w:tr>
      <w:tr>
        <w:trPr>
          <w:cantSplit/>
        </w:trPr>
        <w:tc>
          <w:tcPr>
            <w:tcW w:w="846" w:type="dxa"/>
            <w:tcBorders>
              <w:top w:val="nil"/>
            </w:tcBorders>
          </w:tcPr>
          <w:p/>
        </w:tc>
        <w:tc>
          <w:tcPr>
            <w:tcW w:w="4819" w:type="dxa"/>
            <w:tcBorders>
              <w:top w:val="nil"/>
            </w:tcBorders>
          </w:tcPr>
          <w:p>
            <w:pPr>
              <w:pStyle w:val="yTableNAm"/>
            </w:pPr>
            <w:r>
              <w:t>(b)</w:t>
            </w:r>
            <w:r>
              <w:tab/>
              <w:t>lodged under r. 14ADD(3)(b)</w:t>
            </w:r>
          </w:p>
        </w:tc>
        <w:tc>
          <w:tcPr>
            <w:tcW w:w="1134" w:type="dxa"/>
            <w:tcBorders>
              <w:top w:val="nil"/>
            </w:tcBorders>
          </w:tcPr>
          <w:p>
            <w:pPr>
              <w:pStyle w:val="yTableNAm"/>
              <w:jc w:val="right"/>
            </w:pPr>
            <w:r>
              <w:t>149.00</w:t>
            </w:r>
          </w:p>
        </w:tc>
      </w:tr>
      <w:tr>
        <w:trPr>
          <w:cantSplit/>
        </w:trPr>
        <w:tc>
          <w:tcPr>
            <w:tcW w:w="846" w:type="dxa"/>
            <w:tcBorders>
              <w:bottom w:val="nil"/>
            </w:tcBorders>
          </w:tcPr>
          <w:p>
            <w:pPr>
              <w:pStyle w:val="yTableNAm"/>
            </w:pPr>
            <w:r>
              <w:t>12.</w:t>
            </w:r>
          </w:p>
        </w:tc>
        <w:tc>
          <w:tcPr>
            <w:tcW w:w="4819" w:type="dxa"/>
            <w:tcBorders>
              <w:bottom w:val="nil"/>
            </w:tcBorders>
          </w:tcPr>
          <w:p>
            <w:pPr>
              <w:pStyle w:val="yTableNAm"/>
            </w:pPr>
            <w:r>
              <w:t xml:space="preserve">Application for replacement identification card — </w:t>
            </w:r>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14ADF(2)(b)(i)</w:t>
            </w:r>
          </w:p>
        </w:tc>
        <w:tc>
          <w:tcPr>
            <w:tcW w:w="1134" w:type="dxa"/>
            <w:tcBorders>
              <w:top w:val="nil"/>
              <w:bottom w:val="nil"/>
            </w:tcBorders>
          </w:tcPr>
          <w:p>
            <w:pPr>
              <w:pStyle w:val="yTableNAm"/>
              <w:jc w:val="right"/>
            </w:pPr>
            <w:r>
              <w:t>59.50</w:t>
            </w:r>
          </w:p>
        </w:tc>
      </w:tr>
      <w:tr>
        <w:trPr>
          <w:cantSplit/>
        </w:trPr>
        <w:tc>
          <w:tcPr>
            <w:tcW w:w="846" w:type="dxa"/>
            <w:tcBorders>
              <w:top w:val="nil"/>
            </w:tcBorders>
          </w:tcPr>
          <w:p/>
        </w:tc>
        <w:tc>
          <w:tcPr>
            <w:tcW w:w="4819" w:type="dxa"/>
            <w:tcBorders>
              <w:top w:val="nil"/>
            </w:tcBorders>
          </w:tcPr>
          <w:p>
            <w:pPr>
              <w:pStyle w:val="yTableNAm"/>
            </w:pPr>
            <w:r>
              <w:t>(b)</w:t>
            </w:r>
            <w:r>
              <w:tab/>
              <w:t>lodged under r. 14ADF(2)(b)(ii)</w:t>
            </w:r>
          </w:p>
        </w:tc>
        <w:tc>
          <w:tcPr>
            <w:tcW w:w="1134" w:type="dxa"/>
            <w:tcBorders>
              <w:top w:val="nil"/>
            </w:tcBorders>
            <w:vAlign w:val="bottom"/>
          </w:tcPr>
          <w:p>
            <w:pPr>
              <w:pStyle w:val="yTableNAm"/>
              <w:jc w:val="right"/>
            </w:pPr>
            <w:r>
              <w:t>10.50</w:t>
            </w:r>
          </w:p>
        </w:tc>
      </w:tr>
      <w:tr>
        <w:trPr>
          <w:cantSplit/>
        </w:trPr>
        <w:tc>
          <w:tcPr>
            <w:tcW w:w="846" w:type="dxa"/>
            <w:tcBorders>
              <w:bottom w:val="nil"/>
            </w:tcBorders>
          </w:tcPr>
          <w:p>
            <w:pPr>
              <w:pStyle w:val="yTableNAm"/>
            </w:pPr>
            <w:r>
              <w:t>13.</w:t>
            </w:r>
          </w:p>
        </w:tc>
        <w:tc>
          <w:tcPr>
            <w:tcW w:w="4819" w:type="dxa"/>
            <w:tcBorders>
              <w:bottom w:val="nil"/>
            </w:tcBorders>
          </w:tcPr>
          <w:p>
            <w:pPr>
              <w:pStyle w:val="yTableNAm"/>
            </w:pPr>
            <w:r>
              <w:t xml:space="preserve">Application for approval of person in position of authority — </w:t>
            </w:r>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under licence other than club licence or club restricted licence</w:t>
            </w:r>
          </w:p>
        </w:tc>
        <w:tc>
          <w:tcPr>
            <w:tcW w:w="1134" w:type="dxa"/>
            <w:tcBorders>
              <w:top w:val="nil"/>
              <w:bottom w:val="nil"/>
            </w:tcBorders>
          </w:tcPr>
          <w:p>
            <w:pPr>
              <w:pStyle w:val="yTableNAm"/>
              <w:jc w:val="right"/>
            </w:pPr>
            <w:r>
              <w:t>188.00</w:t>
            </w:r>
          </w:p>
        </w:tc>
      </w:tr>
      <w:tr>
        <w:trPr>
          <w:cantSplit/>
        </w:trPr>
        <w:tc>
          <w:tcPr>
            <w:tcW w:w="846" w:type="dxa"/>
            <w:tcBorders>
              <w:top w:val="nil"/>
            </w:tcBorders>
          </w:tcPr>
          <w:p/>
        </w:tc>
        <w:tc>
          <w:tcPr>
            <w:tcW w:w="4819" w:type="dxa"/>
            <w:tcBorders>
              <w:top w:val="nil"/>
            </w:tcBorders>
          </w:tcPr>
          <w:p>
            <w:pPr>
              <w:pStyle w:val="yTableNAm"/>
              <w:ind w:left="567" w:hanging="567"/>
            </w:pPr>
            <w:r>
              <w:t>(b)</w:t>
            </w:r>
            <w:r>
              <w:tab/>
              <w:t>under club licence or club restricted licence</w:t>
            </w:r>
          </w:p>
        </w:tc>
        <w:tc>
          <w:tcPr>
            <w:tcW w:w="1134" w:type="dxa"/>
            <w:tcBorders>
              <w:top w:val="nil"/>
            </w:tcBorders>
          </w:tcPr>
          <w:p>
            <w:pPr>
              <w:pStyle w:val="yTableNAm"/>
              <w:jc w:val="right"/>
            </w:pPr>
            <w:r>
              <w:t>128.50</w:t>
            </w:r>
          </w:p>
        </w:tc>
      </w:tr>
      <w:tr>
        <w:trPr>
          <w:cantSplit/>
        </w:trPr>
        <w:tc>
          <w:tcPr>
            <w:tcW w:w="846" w:type="dxa"/>
          </w:tcPr>
          <w:p>
            <w:pPr>
              <w:pStyle w:val="yTableNAm"/>
            </w:pPr>
            <w:r>
              <w:t>14.</w:t>
            </w:r>
          </w:p>
        </w:tc>
        <w:tc>
          <w:tcPr>
            <w:tcW w:w="4819" w:type="dxa"/>
          </w:tcPr>
          <w:p>
            <w:pPr>
              <w:pStyle w:val="yTableNAm"/>
            </w:pPr>
            <w:r>
              <w:t>Application for approval for alteration or redefinition of licensed premises</w:t>
            </w:r>
          </w:p>
        </w:tc>
        <w:tc>
          <w:tcPr>
            <w:tcW w:w="1134" w:type="dxa"/>
          </w:tcPr>
          <w:p>
            <w:pPr>
              <w:pStyle w:val="yTableNAm"/>
              <w:jc w:val="right"/>
            </w:pPr>
            <w:r>
              <w:t>475.00</w:t>
            </w:r>
          </w:p>
        </w:tc>
      </w:tr>
      <w:tr>
        <w:trPr>
          <w:cantSplit/>
        </w:trPr>
        <w:tc>
          <w:tcPr>
            <w:tcW w:w="846" w:type="dxa"/>
          </w:tcPr>
          <w:p>
            <w:pPr>
              <w:pStyle w:val="yTableNAm"/>
            </w:pPr>
            <w:r>
              <w:t>15.</w:t>
            </w:r>
          </w:p>
        </w:tc>
        <w:tc>
          <w:tcPr>
            <w:tcW w:w="4819" w:type="dxa"/>
          </w:tcPr>
          <w:p>
            <w:pPr>
              <w:pStyle w:val="yTableNAm"/>
            </w:pPr>
            <w:r>
              <w:t>Application for a protection order under section 87(1)</w:t>
            </w:r>
          </w:p>
        </w:tc>
        <w:tc>
          <w:tcPr>
            <w:tcW w:w="1134" w:type="dxa"/>
          </w:tcPr>
          <w:p>
            <w:pPr>
              <w:pStyle w:val="yTableNAm"/>
              <w:jc w:val="right"/>
            </w:pPr>
            <w:r>
              <w:t>276.00</w:t>
            </w:r>
          </w:p>
        </w:tc>
      </w:tr>
      <w:tr>
        <w:trPr>
          <w:cantSplit/>
        </w:trPr>
        <w:tc>
          <w:tcPr>
            <w:tcW w:w="846" w:type="dxa"/>
          </w:tcPr>
          <w:p>
            <w:pPr>
              <w:pStyle w:val="yTableNAm"/>
            </w:pPr>
            <w:r>
              <w:t>16.</w:t>
            </w:r>
          </w:p>
        </w:tc>
        <w:tc>
          <w:tcPr>
            <w:tcW w:w="4819" w:type="dxa"/>
          </w:tcPr>
          <w:p>
            <w:pPr>
              <w:pStyle w:val="yTableNAm"/>
            </w:pPr>
            <w:r>
              <w:t>Application for duplicate licence</w:t>
            </w:r>
          </w:p>
        </w:tc>
        <w:tc>
          <w:tcPr>
            <w:tcW w:w="1134" w:type="dxa"/>
          </w:tcPr>
          <w:p>
            <w:pPr>
              <w:pStyle w:val="yTableNAm"/>
              <w:jc w:val="right"/>
            </w:pPr>
            <w:r>
              <w:t>41.00</w:t>
            </w:r>
          </w:p>
        </w:tc>
      </w:tr>
      <w:tr>
        <w:trPr>
          <w:cantSplit/>
        </w:trPr>
        <w:tc>
          <w:tcPr>
            <w:tcW w:w="846" w:type="dxa"/>
          </w:tcPr>
          <w:p>
            <w:pPr>
              <w:pStyle w:val="yTableNAm"/>
            </w:pPr>
            <w:r>
              <w:t>17.</w:t>
            </w:r>
          </w:p>
        </w:tc>
        <w:tc>
          <w:tcPr>
            <w:tcW w:w="4819" w:type="dxa"/>
          </w:tcPr>
          <w:p>
            <w:pPr>
              <w:pStyle w:val="yTableNAm"/>
            </w:pPr>
            <w:r>
              <w:t>Application for approval of change of name of licensed premises</w:t>
            </w:r>
          </w:p>
        </w:tc>
        <w:tc>
          <w:tcPr>
            <w:tcW w:w="1134" w:type="dxa"/>
          </w:tcPr>
          <w:p>
            <w:pPr>
              <w:pStyle w:val="yTableNAm"/>
              <w:jc w:val="right"/>
            </w:pPr>
            <w:r>
              <w:t>86.50</w:t>
            </w:r>
          </w:p>
        </w:tc>
      </w:tr>
      <w:tr>
        <w:trPr>
          <w:cantSplit/>
        </w:trPr>
        <w:tc>
          <w:tcPr>
            <w:tcW w:w="846" w:type="dxa"/>
            <w:tcBorders>
              <w:bottom w:val="nil"/>
            </w:tcBorders>
          </w:tcPr>
          <w:p>
            <w:pPr>
              <w:pStyle w:val="yTableNAm"/>
            </w:pPr>
            <w:r>
              <w:t>18.</w:t>
            </w:r>
          </w:p>
        </w:tc>
        <w:tc>
          <w:tcPr>
            <w:tcW w:w="4819" w:type="dxa"/>
            <w:tcBorders>
              <w:bottom w:val="nil"/>
            </w:tcBorders>
          </w:tcPr>
          <w:p>
            <w:pPr>
              <w:pStyle w:val="yTableNAm"/>
            </w:pPr>
            <w:r>
              <w:t xml:space="preserve">Application to add, vary or cancel condition of licence or permit (other than club restricted licence) — </w:t>
            </w:r>
          </w:p>
        </w:tc>
        <w:tc>
          <w:tcPr>
            <w:tcW w:w="1134" w:type="dxa"/>
            <w:tcBorders>
              <w:bottom w:val="nil"/>
            </w:tcBorders>
          </w:tcPr>
          <w:p>
            <w:pPr>
              <w:pStyle w:val="yTableNAm"/>
              <w:jc w:val="right"/>
            </w:pPr>
          </w:p>
        </w:tc>
      </w:tr>
      <w:tr>
        <w:trPr>
          <w:cantSplit/>
        </w:trPr>
        <w:tc>
          <w:tcPr>
            <w:tcW w:w="846" w:type="dxa"/>
            <w:tcBorders>
              <w:top w:val="nil"/>
              <w:bottom w:val="nil"/>
            </w:tcBorders>
          </w:tcPr>
          <w:p>
            <w:pPr>
              <w:rPr>
                <w:sz w:val="22"/>
                <w:szCs w:val="22"/>
              </w:rPr>
            </w:pPr>
          </w:p>
        </w:tc>
        <w:tc>
          <w:tcPr>
            <w:tcW w:w="4819" w:type="dxa"/>
            <w:tcBorders>
              <w:top w:val="nil"/>
              <w:bottom w:val="nil"/>
            </w:tcBorders>
          </w:tcPr>
          <w:p>
            <w:pPr>
              <w:pStyle w:val="yTableNAm"/>
            </w:pPr>
            <w:r>
              <w:t>(a)</w:t>
            </w:r>
            <w:r>
              <w:tab/>
              <w:t>for a period of over 21 days</w:t>
            </w:r>
          </w:p>
        </w:tc>
        <w:tc>
          <w:tcPr>
            <w:tcW w:w="1134" w:type="dxa"/>
            <w:tcBorders>
              <w:top w:val="nil"/>
              <w:bottom w:val="nil"/>
            </w:tcBorders>
          </w:tcPr>
          <w:p>
            <w:pPr>
              <w:pStyle w:val="yTableNAm"/>
              <w:jc w:val="right"/>
            </w:pPr>
            <w:r>
              <w:t>282.50</w:t>
            </w:r>
          </w:p>
        </w:tc>
      </w:tr>
      <w:tr>
        <w:trPr>
          <w:cantSplit/>
        </w:trPr>
        <w:tc>
          <w:tcPr>
            <w:tcW w:w="846" w:type="dxa"/>
            <w:tcBorders>
              <w:top w:val="nil"/>
              <w:bottom w:val="nil"/>
            </w:tcBorders>
          </w:tcPr>
          <w:p>
            <w:pPr>
              <w:rPr>
                <w:sz w:val="22"/>
                <w:szCs w:val="22"/>
              </w:rPr>
            </w:pPr>
          </w:p>
        </w:tc>
        <w:tc>
          <w:tcPr>
            <w:tcW w:w="4819" w:type="dxa"/>
            <w:tcBorders>
              <w:top w:val="nil"/>
              <w:bottom w:val="nil"/>
            </w:tcBorders>
          </w:tcPr>
          <w:p>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tcPr>
          <w:p>
            <w:pPr>
              <w:pStyle w:val="yTableNAm"/>
              <w:jc w:val="right"/>
            </w:pPr>
          </w:p>
        </w:tc>
      </w:tr>
      <w:tr>
        <w:trPr>
          <w:cantSplit/>
        </w:trPr>
        <w:tc>
          <w:tcPr>
            <w:tcW w:w="846" w:type="dxa"/>
            <w:tcBorders>
              <w:top w:val="nil"/>
              <w:bottom w:val="nil"/>
            </w:tcBorders>
          </w:tcPr>
          <w:p>
            <w:pPr>
              <w:rPr>
                <w:sz w:val="22"/>
                <w:szCs w:val="22"/>
              </w:rPr>
            </w:p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tcPr>
          <w:p>
            <w:pPr>
              <w:pStyle w:val="yTableNAm"/>
              <w:jc w:val="right"/>
            </w:pPr>
            <w:r>
              <w:t>129.50</w:t>
            </w:r>
          </w:p>
        </w:tc>
      </w:tr>
      <w:tr>
        <w:trPr>
          <w:cantSplit/>
        </w:trPr>
        <w:tc>
          <w:tcPr>
            <w:tcW w:w="846" w:type="dxa"/>
            <w:tcBorders>
              <w:top w:val="nil"/>
              <w:bottom w:val="nil"/>
            </w:tcBorders>
          </w:tcPr>
          <w:p>
            <w:pPr>
              <w:rPr>
                <w:sz w:val="22"/>
                <w:szCs w:val="22"/>
              </w:rPr>
            </w:p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tcPr>
          <w:p>
            <w:pPr>
              <w:pStyle w:val="yTableNAm"/>
              <w:jc w:val="right"/>
            </w:pPr>
            <w:r>
              <w:t>267.00</w:t>
            </w:r>
          </w:p>
        </w:tc>
      </w:tr>
      <w:tr>
        <w:trPr>
          <w:cantSplit/>
        </w:trPr>
        <w:tc>
          <w:tcPr>
            <w:tcW w:w="846" w:type="dxa"/>
            <w:tcBorders>
              <w:top w:val="nil"/>
              <w:bottom w:val="nil"/>
            </w:tcBorders>
          </w:tcPr>
          <w:p>
            <w:pPr>
              <w:rPr>
                <w:sz w:val="22"/>
                <w:szCs w:val="22"/>
              </w:rPr>
            </w:pPr>
          </w:p>
        </w:tc>
        <w:tc>
          <w:tcPr>
            <w:tcW w:w="4819" w:type="dxa"/>
            <w:tcBorders>
              <w:top w:val="nil"/>
              <w:bottom w:val="nil"/>
            </w:tcBorders>
          </w:tcPr>
          <w:p>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tcPr>
          <w:p>
            <w:pPr>
              <w:pStyle w:val="yTableNAm"/>
              <w:jc w:val="right"/>
            </w:pPr>
            <w:r>
              <w:t>1 357.00</w:t>
            </w:r>
          </w:p>
        </w:tc>
      </w:tr>
      <w:tr>
        <w:trPr>
          <w:cantSplit/>
        </w:trPr>
        <w:tc>
          <w:tcPr>
            <w:tcW w:w="846" w:type="dxa"/>
            <w:tcBorders>
              <w:top w:val="nil"/>
              <w:bottom w:val="nil"/>
            </w:tcBorders>
          </w:tcPr>
          <w:p>
            <w:pPr>
              <w:rPr>
                <w:sz w:val="22"/>
                <w:szCs w:val="22"/>
              </w:rPr>
            </w:pPr>
          </w:p>
        </w:tc>
        <w:tc>
          <w:tcPr>
            <w:tcW w:w="4819" w:type="dxa"/>
            <w:tcBorders>
              <w:top w:val="nil"/>
              <w:bottom w:val="nil"/>
            </w:tcBorders>
          </w:tcPr>
          <w:p>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tcPr>
          <w:p>
            <w:pPr>
              <w:pStyle w:val="yTableNAm"/>
              <w:jc w:val="right"/>
            </w:pPr>
            <w:r>
              <w:t>2 719.00</w:t>
            </w:r>
          </w:p>
        </w:tc>
      </w:tr>
      <w:tr>
        <w:trPr>
          <w:cantSplit/>
        </w:trPr>
        <w:tc>
          <w:tcPr>
            <w:tcW w:w="846" w:type="dxa"/>
            <w:tcBorders>
              <w:top w:val="nil"/>
            </w:tcBorders>
          </w:tcPr>
          <w:p>
            <w:pPr>
              <w:rPr>
                <w:sz w:val="22"/>
                <w:szCs w:val="22"/>
              </w:rPr>
            </w:pPr>
          </w:p>
        </w:tc>
        <w:tc>
          <w:tcPr>
            <w:tcW w:w="4819" w:type="dxa"/>
            <w:tcBorders>
              <w:top w:val="nil"/>
            </w:tcBorders>
          </w:tcPr>
          <w:p>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tcPr>
          <w:p>
            <w:pPr>
              <w:pStyle w:val="yTableNAm"/>
              <w:jc w:val="right"/>
            </w:pPr>
            <w:r>
              <w:t>5 451.50</w:t>
            </w:r>
          </w:p>
        </w:tc>
      </w:tr>
      <w:tr>
        <w:trPr>
          <w:cantSplit/>
        </w:trPr>
        <w:tc>
          <w:tcPr>
            <w:tcW w:w="846" w:type="dxa"/>
          </w:tcPr>
          <w:p>
            <w:pPr>
              <w:pStyle w:val="yTableNAm"/>
            </w:pPr>
            <w:r>
              <w:t>19.</w:t>
            </w:r>
          </w:p>
        </w:tc>
        <w:tc>
          <w:tcPr>
            <w:tcW w:w="4819" w:type="dxa"/>
          </w:tcPr>
          <w:p>
            <w:pPr>
              <w:pStyle w:val="yTableNAm"/>
            </w:pPr>
            <w:r>
              <w:t>Application to add, vary or cancel condition of club restricted licence</w:t>
            </w:r>
          </w:p>
        </w:tc>
        <w:tc>
          <w:tcPr>
            <w:tcW w:w="1134" w:type="dxa"/>
          </w:tcPr>
          <w:p>
            <w:pPr>
              <w:pStyle w:val="yTableNAm"/>
              <w:jc w:val="right"/>
            </w:pPr>
            <w:r>
              <w:t>51.50</w:t>
            </w:r>
          </w:p>
        </w:tc>
      </w:tr>
      <w:tr>
        <w:trPr>
          <w:cantSplit/>
        </w:trPr>
        <w:tc>
          <w:tcPr>
            <w:tcW w:w="846" w:type="dxa"/>
          </w:tcPr>
          <w:p>
            <w:pPr>
              <w:pStyle w:val="yTableNAm"/>
            </w:pPr>
            <w:r>
              <w:lastRenderedPageBreak/>
              <w:t>20.</w:t>
            </w:r>
          </w:p>
        </w:tc>
        <w:tc>
          <w:tcPr>
            <w:tcW w:w="4819" w:type="dxa"/>
          </w:tcPr>
          <w:p>
            <w:pPr>
              <w:pStyle w:val="yTableNAm"/>
            </w:pPr>
            <w:r>
              <w:t>Application under section 62(6) to vary any plans or specifications the subject of a condition</w:t>
            </w:r>
          </w:p>
        </w:tc>
        <w:tc>
          <w:tcPr>
            <w:tcW w:w="1134" w:type="dxa"/>
          </w:tcPr>
          <w:p>
            <w:pPr>
              <w:pStyle w:val="yTableNAm"/>
              <w:jc w:val="right"/>
            </w:pPr>
            <w:r>
              <w:t>329.00</w:t>
            </w:r>
          </w:p>
        </w:tc>
      </w:tr>
      <w:tr>
        <w:trPr>
          <w:cantSplit/>
        </w:trPr>
        <w:tc>
          <w:tcPr>
            <w:tcW w:w="846" w:type="dxa"/>
          </w:tcPr>
          <w:p>
            <w:pPr>
              <w:pStyle w:val="yTableNAm"/>
            </w:pPr>
            <w:r>
              <w:t>21.</w:t>
            </w:r>
          </w:p>
        </w:tc>
        <w:tc>
          <w:tcPr>
            <w:tcW w:w="4819" w:type="dxa"/>
          </w:tcPr>
          <w:p>
            <w:pPr>
              <w:pStyle w:val="yTableNAm"/>
            </w:pPr>
            <w:r>
              <w:t>Application for approval of agreement or arrangement</w:t>
            </w:r>
          </w:p>
        </w:tc>
        <w:tc>
          <w:tcPr>
            <w:tcW w:w="1134" w:type="dxa"/>
          </w:tcPr>
          <w:p>
            <w:pPr>
              <w:pStyle w:val="yTableNAm"/>
              <w:jc w:val="right"/>
            </w:pPr>
            <w:r>
              <w:t>276.00</w:t>
            </w:r>
          </w:p>
        </w:tc>
      </w:tr>
      <w:tr>
        <w:trPr>
          <w:cantSplit/>
        </w:trPr>
        <w:tc>
          <w:tcPr>
            <w:tcW w:w="846" w:type="dxa"/>
          </w:tcPr>
          <w:p>
            <w:pPr>
              <w:pStyle w:val="yTableNAm"/>
            </w:pPr>
            <w:r>
              <w:t>22.</w:t>
            </w:r>
          </w:p>
        </w:tc>
        <w:tc>
          <w:tcPr>
            <w:tcW w:w="4819" w:type="dxa"/>
          </w:tcPr>
          <w:p>
            <w:pPr>
              <w:pStyle w:val="yTableNAm"/>
            </w:pPr>
            <w:r>
              <w:t>Application under section 115AD for review of decision to give notice</w:t>
            </w:r>
          </w:p>
        </w:tc>
        <w:tc>
          <w:tcPr>
            <w:tcW w:w="1134" w:type="dxa"/>
          </w:tcPr>
          <w:p>
            <w:pPr>
              <w:pStyle w:val="yTableNAm"/>
              <w:jc w:val="right"/>
            </w:pPr>
            <w:r>
              <w:t>287.50</w:t>
            </w:r>
          </w:p>
        </w:tc>
      </w:tr>
      <w:tr>
        <w:trPr>
          <w:cantSplit/>
        </w:trPr>
        <w:tc>
          <w:tcPr>
            <w:tcW w:w="846" w:type="dxa"/>
          </w:tcPr>
          <w:p>
            <w:pPr>
              <w:pStyle w:val="yTableNAm"/>
            </w:pPr>
            <w:r>
              <w:t>23.</w:t>
            </w:r>
          </w:p>
        </w:tc>
        <w:tc>
          <w:tcPr>
            <w:tcW w:w="4819" w:type="dxa"/>
          </w:tcPr>
          <w:p>
            <w:pPr>
              <w:pStyle w:val="yTableNAm"/>
            </w:pPr>
            <w:r>
              <w:t>Application under section 152NH(2) for review of decision to make or vary short</w:t>
            </w:r>
            <w:r>
              <w:noBreakHyphen/>
              <w:t>term exclusion order</w:t>
            </w:r>
          </w:p>
        </w:tc>
        <w:tc>
          <w:tcPr>
            <w:tcW w:w="1134" w:type="dxa"/>
          </w:tcPr>
          <w:p>
            <w:pPr>
              <w:pStyle w:val="yTableNAm"/>
              <w:jc w:val="right"/>
            </w:pPr>
            <w:r>
              <w:t>287.50</w:t>
            </w:r>
          </w:p>
        </w:tc>
      </w:tr>
      <w:tr>
        <w:trPr>
          <w:cantSplit/>
        </w:trPr>
        <w:tc>
          <w:tcPr>
            <w:tcW w:w="846" w:type="dxa"/>
          </w:tcPr>
          <w:p>
            <w:pPr>
              <w:pStyle w:val="yTableNAm"/>
            </w:pPr>
            <w:r>
              <w:t>24.</w:t>
            </w:r>
          </w:p>
        </w:tc>
        <w:tc>
          <w:tcPr>
            <w:tcW w:w="4819" w:type="dxa"/>
          </w:tcPr>
          <w:p>
            <w:pPr>
              <w:pStyle w:val="yTableNAm"/>
            </w:pPr>
            <w:r>
              <w:t>Application under section 119A for approval to conduct non</w:t>
            </w:r>
            <w:r>
              <w:noBreakHyphen/>
              <w:t>liquor business on licensed premises</w:t>
            </w:r>
          </w:p>
        </w:tc>
        <w:tc>
          <w:tcPr>
            <w:tcW w:w="1134" w:type="dxa"/>
          </w:tcPr>
          <w:p>
            <w:pPr>
              <w:pStyle w:val="yTableNAm"/>
              <w:jc w:val="right"/>
            </w:pPr>
            <w:r>
              <w:t>261.50</w:t>
            </w:r>
          </w:p>
        </w:tc>
      </w:tr>
      <w:tr>
        <w:trPr>
          <w:cantSplit/>
        </w:trPr>
        <w:tc>
          <w:tcPr>
            <w:tcW w:w="846" w:type="dxa"/>
          </w:tcPr>
          <w:p>
            <w:pPr>
              <w:pStyle w:val="yTableNAm"/>
            </w:pPr>
            <w:r>
              <w:t>25.</w:t>
            </w:r>
          </w:p>
        </w:tc>
        <w:tc>
          <w:tcPr>
            <w:tcW w:w="4819" w:type="dxa"/>
          </w:tcPr>
          <w:p>
            <w:pPr>
              <w:pStyle w:val="yTableNAm"/>
            </w:pPr>
            <w:r>
              <w:t>Application under section 152W(3), other than by an occupier of premises, for a liquor restriction declaration in relation to the premises</w:t>
            </w:r>
          </w:p>
        </w:tc>
        <w:tc>
          <w:tcPr>
            <w:tcW w:w="1134" w:type="dxa"/>
          </w:tcPr>
          <w:p>
            <w:pPr>
              <w:pStyle w:val="yTableNAm"/>
              <w:jc w:val="right"/>
            </w:pPr>
            <w:r>
              <w:t>314.00</w:t>
            </w:r>
          </w:p>
        </w:tc>
      </w:tr>
      <w:tr>
        <w:trPr>
          <w:cantSplit/>
        </w:trPr>
        <w:tc>
          <w:tcPr>
            <w:tcW w:w="846" w:type="dxa"/>
          </w:tcPr>
          <w:p>
            <w:pPr>
              <w:pStyle w:val="yTableNAm"/>
            </w:pPr>
            <w:r>
              <w:t>26.</w:t>
            </w:r>
          </w:p>
        </w:tc>
        <w:tc>
          <w:tcPr>
            <w:tcW w:w="4819" w:type="dxa"/>
          </w:tcPr>
          <w:p>
            <w:pPr>
              <w:pStyle w:val="yTableNAm"/>
            </w:pPr>
            <w:r>
              <w:t>Application under section 126A for approval of entertainment for juveniles on licensed premises</w:t>
            </w:r>
          </w:p>
        </w:tc>
        <w:tc>
          <w:tcPr>
            <w:tcW w:w="1134" w:type="dxa"/>
          </w:tcPr>
          <w:p>
            <w:pPr>
              <w:pStyle w:val="yTableNAm"/>
              <w:jc w:val="right"/>
            </w:pPr>
            <w:r>
              <w:t>75.00</w:t>
            </w:r>
          </w:p>
        </w:tc>
      </w:tr>
      <w:tr>
        <w:trPr>
          <w:cantSplit/>
        </w:trPr>
        <w:tc>
          <w:tcPr>
            <w:tcW w:w="846" w:type="dxa"/>
          </w:tcPr>
          <w:p>
            <w:pPr>
              <w:pStyle w:val="yTableNAm"/>
            </w:pPr>
            <w:r>
              <w:t>27.</w:t>
            </w:r>
          </w:p>
        </w:tc>
        <w:tc>
          <w:tcPr>
            <w:tcW w:w="4819" w:type="dxa"/>
          </w:tcPr>
          <w:p>
            <w:pPr>
              <w:pStyle w:val="yTableNAm"/>
            </w:pPr>
            <w:r>
              <w:t>Supply of list of licensed premises, or list of owners of licensed premises, in electronic form</w:t>
            </w:r>
          </w:p>
        </w:tc>
        <w:tc>
          <w:tcPr>
            <w:tcW w:w="1134" w:type="dxa"/>
          </w:tcPr>
          <w:p>
            <w:pPr>
              <w:pStyle w:val="yTableNAm"/>
              <w:jc w:val="right"/>
            </w:pPr>
            <w:r>
              <w:t>68.50</w:t>
            </w:r>
          </w:p>
        </w:tc>
      </w:tr>
      <w:tr>
        <w:trPr>
          <w:cantSplit/>
        </w:trPr>
        <w:tc>
          <w:tcPr>
            <w:tcW w:w="846" w:type="dxa"/>
          </w:tcPr>
          <w:p>
            <w:pPr>
              <w:pStyle w:val="yTableNAm"/>
            </w:pPr>
            <w:r>
              <w:t>28.</w:t>
            </w:r>
          </w:p>
        </w:tc>
        <w:tc>
          <w:tcPr>
            <w:tcW w:w="4819" w:type="dxa"/>
          </w:tcPr>
          <w:p>
            <w:pPr>
              <w:pStyle w:val="yTableNAm"/>
            </w:pPr>
            <w:r>
              <w:t>Supply of address labels for licensed premises</w:t>
            </w:r>
          </w:p>
        </w:tc>
        <w:tc>
          <w:tcPr>
            <w:tcW w:w="1134" w:type="dxa"/>
          </w:tcPr>
          <w:p>
            <w:pPr>
              <w:pStyle w:val="yTableNAm"/>
              <w:jc w:val="right"/>
            </w:pPr>
            <w:r>
              <w:t>168.50</w:t>
            </w:r>
          </w:p>
        </w:tc>
      </w:tr>
      <w:tr>
        <w:trPr>
          <w:cantSplit/>
        </w:trPr>
        <w:tc>
          <w:tcPr>
            <w:tcW w:w="846" w:type="dxa"/>
          </w:tcPr>
          <w:p>
            <w:pPr>
              <w:pStyle w:val="yTableNAm"/>
            </w:pPr>
            <w:r>
              <w:t>29.</w:t>
            </w:r>
          </w:p>
        </w:tc>
        <w:tc>
          <w:tcPr>
            <w:tcW w:w="4819" w:type="dxa"/>
          </w:tcPr>
          <w:p>
            <w:pPr>
              <w:pStyle w:val="yTableNAm"/>
            </w:pPr>
            <w:r>
              <w:t>Supply of approved heading for advertising an application</w:t>
            </w:r>
          </w:p>
        </w:tc>
        <w:tc>
          <w:tcPr>
            <w:tcW w:w="1134" w:type="dxa"/>
          </w:tcPr>
          <w:p>
            <w:pPr>
              <w:pStyle w:val="yTableNAm"/>
              <w:jc w:val="right"/>
            </w:pPr>
            <w:r>
              <w:t>31.00</w:t>
            </w:r>
          </w:p>
        </w:tc>
      </w:tr>
      <w:tr>
        <w:trPr>
          <w:cantSplit/>
        </w:trPr>
        <w:tc>
          <w:tcPr>
            <w:tcW w:w="846" w:type="dxa"/>
          </w:tcPr>
          <w:p>
            <w:pPr>
              <w:pStyle w:val="yTableNAm"/>
            </w:pPr>
            <w:r>
              <w:t>30.</w:t>
            </w:r>
          </w:p>
        </w:tc>
        <w:tc>
          <w:tcPr>
            <w:tcW w:w="4819" w:type="dxa"/>
          </w:tcPr>
          <w:p>
            <w:pPr>
              <w:pStyle w:val="yTableNAm"/>
            </w:pPr>
            <w:r>
              <w:t>Supply of copy of plan — per sheet</w:t>
            </w:r>
          </w:p>
        </w:tc>
        <w:tc>
          <w:tcPr>
            <w:tcW w:w="1134" w:type="dxa"/>
          </w:tcPr>
          <w:p>
            <w:pPr>
              <w:pStyle w:val="yTableNAm"/>
              <w:jc w:val="right"/>
            </w:pPr>
            <w:r>
              <w:t>31.00 (up to a max. of 249.00)</w:t>
            </w:r>
          </w:p>
        </w:tc>
      </w:tr>
      <w:tr>
        <w:trPr>
          <w:cantSplit/>
        </w:trPr>
        <w:tc>
          <w:tcPr>
            <w:tcW w:w="846" w:type="dxa"/>
          </w:tcPr>
          <w:p>
            <w:pPr>
              <w:pStyle w:val="yTableNAm"/>
            </w:pPr>
            <w:r>
              <w:t>31.</w:t>
            </w:r>
          </w:p>
        </w:tc>
        <w:tc>
          <w:tcPr>
            <w:tcW w:w="4819" w:type="dxa"/>
          </w:tcPr>
          <w:p>
            <w:pPr>
              <w:pStyle w:val="yTableNAm"/>
            </w:pPr>
            <w:r>
              <w:t>Supply of certified copy of plan defining licensed premises</w:t>
            </w:r>
          </w:p>
        </w:tc>
        <w:tc>
          <w:tcPr>
            <w:tcW w:w="1134" w:type="dxa"/>
          </w:tcPr>
          <w:p>
            <w:pPr>
              <w:pStyle w:val="yTableNAm"/>
              <w:jc w:val="right"/>
            </w:pPr>
            <w:r>
              <w:t>46.50</w:t>
            </w:r>
          </w:p>
        </w:tc>
      </w:tr>
      <w:tr>
        <w:trPr>
          <w:cantSplit/>
        </w:trPr>
        <w:tc>
          <w:tcPr>
            <w:tcW w:w="846" w:type="dxa"/>
          </w:tcPr>
          <w:p>
            <w:pPr>
              <w:pStyle w:val="yTableNAm"/>
            </w:pPr>
            <w:r>
              <w:lastRenderedPageBreak/>
              <w:t>32.</w:t>
            </w:r>
          </w:p>
        </w:tc>
        <w:tc>
          <w:tcPr>
            <w:tcW w:w="4819" w:type="dxa"/>
          </w:tcPr>
          <w:p>
            <w:pPr>
              <w:pStyle w:val="yTableNAm"/>
            </w:pPr>
            <w:r>
              <w:t>Supply of copy of a licence, a permit or a decision of the Commission (or the former Liquor Licensing Court) or the Director</w:t>
            </w:r>
          </w:p>
        </w:tc>
        <w:tc>
          <w:tcPr>
            <w:tcW w:w="1134" w:type="dxa"/>
          </w:tcPr>
          <w:p>
            <w:pPr>
              <w:pStyle w:val="yTableNAm"/>
              <w:jc w:val="right"/>
            </w:pPr>
            <w:r>
              <w:t>31.00</w:t>
            </w:r>
          </w:p>
        </w:tc>
      </w:tr>
      <w:tr>
        <w:trPr>
          <w:cantSplit/>
        </w:trPr>
        <w:tc>
          <w:tcPr>
            <w:tcW w:w="846" w:type="dxa"/>
          </w:tcPr>
          <w:p>
            <w:pPr>
              <w:pStyle w:val="yTableNAm"/>
            </w:pPr>
            <w:r>
              <w:t>33.</w:t>
            </w:r>
          </w:p>
        </w:tc>
        <w:tc>
          <w:tcPr>
            <w:tcW w:w="4819" w:type="dxa"/>
          </w:tcPr>
          <w:p>
            <w:pPr>
              <w:pStyle w:val="yTableNAm"/>
            </w:pPr>
            <w:r>
              <w:t>Certification of a copy of a licence, a permit or a decision of the Commission (or the former Liquor Licensing Court) or the Director</w:t>
            </w:r>
          </w:p>
          <w:p>
            <w:pPr>
              <w:pStyle w:val="yTableNAm"/>
            </w:pPr>
            <w:r>
              <w:rPr>
                <w:sz w:val="20"/>
              </w:rPr>
              <w:t>[In addition to the fee under item 32]</w:t>
            </w:r>
          </w:p>
        </w:tc>
        <w:tc>
          <w:tcPr>
            <w:tcW w:w="1134" w:type="dxa"/>
          </w:tcPr>
          <w:p>
            <w:pPr>
              <w:pStyle w:val="yTableNAm"/>
              <w:jc w:val="right"/>
            </w:pPr>
            <w:r>
              <w:t>31.00</w:t>
            </w:r>
          </w:p>
        </w:tc>
      </w:tr>
      <w:tr>
        <w:trPr>
          <w:cantSplit/>
        </w:trPr>
        <w:tc>
          <w:tcPr>
            <w:tcW w:w="846" w:type="dxa"/>
          </w:tcPr>
          <w:p>
            <w:pPr>
              <w:pStyle w:val="yTableNAm"/>
            </w:pPr>
            <w:r>
              <w:t>34.</w:t>
            </w:r>
          </w:p>
        </w:tc>
        <w:tc>
          <w:tcPr>
            <w:tcW w:w="4819" w:type="dxa"/>
          </w:tcPr>
          <w:p>
            <w:pPr>
              <w:pStyle w:val="yTableNAm"/>
            </w:pPr>
            <w:r>
              <w:t>Supply of copy of documentation, other than that already prescribed — per page</w:t>
            </w:r>
          </w:p>
        </w:tc>
        <w:tc>
          <w:tcPr>
            <w:tcW w:w="1134" w:type="dxa"/>
            <w:vAlign w:val="bottom"/>
          </w:tcPr>
          <w:p>
            <w:pPr>
              <w:pStyle w:val="yTableNAm"/>
              <w:jc w:val="right"/>
            </w:pPr>
            <w:r>
              <w:t>4.00</w:t>
            </w:r>
          </w:p>
        </w:tc>
      </w:tr>
      <w:tr>
        <w:trPr>
          <w:cantSplit/>
        </w:trPr>
        <w:tc>
          <w:tcPr>
            <w:tcW w:w="846" w:type="dxa"/>
          </w:tcPr>
          <w:p>
            <w:pPr>
              <w:pStyle w:val="yTableNAm"/>
            </w:pPr>
            <w:r>
              <w:t>35.</w:t>
            </w:r>
          </w:p>
        </w:tc>
        <w:tc>
          <w:tcPr>
            <w:tcW w:w="4819" w:type="dxa"/>
          </w:tcPr>
          <w:p>
            <w:pPr>
              <w:pStyle w:val="yTableNAm"/>
            </w:pPr>
            <w:r>
              <w:t>Issue of a summons to a witness</w:t>
            </w:r>
          </w:p>
        </w:tc>
        <w:tc>
          <w:tcPr>
            <w:tcW w:w="1134" w:type="dxa"/>
          </w:tcPr>
          <w:p>
            <w:pPr>
              <w:pStyle w:val="yTableNAm"/>
              <w:jc w:val="right"/>
            </w:pPr>
            <w:r>
              <w:t>25.50</w:t>
            </w:r>
          </w:p>
        </w:tc>
      </w:tr>
      <w:tr>
        <w:trPr>
          <w:cantSplit/>
        </w:trPr>
        <w:tc>
          <w:tcPr>
            <w:tcW w:w="846" w:type="dxa"/>
          </w:tcPr>
          <w:p>
            <w:pPr>
              <w:pStyle w:val="yTableNAm"/>
            </w:pPr>
            <w:r>
              <w:t>36.</w:t>
            </w:r>
          </w:p>
        </w:tc>
        <w:tc>
          <w:tcPr>
            <w:tcW w:w="4819" w:type="dxa"/>
          </w:tcPr>
          <w:p>
            <w:pPr>
              <w:pStyle w:val="yTableNAm"/>
            </w:pPr>
            <w:r>
              <w:t>Search of the database of records of licences — per licence</w:t>
            </w:r>
          </w:p>
        </w:tc>
        <w:tc>
          <w:tcPr>
            <w:tcW w:w="1134" w:type="dxa"/>
          </w:tcPr>
          <w:p>
            <w:pPr>
              <w:pStyle w:val="yTableNAm"/>
              <w:jc w:val="right"/>
            </w:pPr>
            <w:r>
              <w:t>46.50</w:t>
            </w:r>
          </w:p>
        </w:tc>
      </w:tr>
      <w:tr>
        <w:trPr>
          <w:cantSplit/>
        </w:trPr>
        <w:tc>
          <w:tcPr>
            <w:tcW w:w="846" w:type="dxa"/>
          </w:tcPr>
          <w:p>
            <w:pPr>
              <w:pStyle w:val="yTableNAm"/>
            </w:pPr>
            <w:r>
              <w:t>37.</w:t>
            </w:r>
          </w:p>
        </w:tc>
        <w:tc>
          <w:tcPr>
            <w:tcW w:w="4819" w:type="dxa"/>
          </w:tcPr>
          <w:p>
            <w:pPr>
              <w:pStyle w:val="yTableNAm"/>
            </w:pPr>
            <w:r>
              <w:t>Full search of a licence record</w:t>
            </w:r>
          </w:p>
        </w:tc>
        <w:tc>
          <w:tcPr>
            <w:tcW w:w="1134" w:type="dxa"/>
          </w:tcPr>
          <w:p>
            <w:pPr>
              <w:pStyle w:val="yTableNAm"/>
              <w:jc w:val="right"/>
            </w:pPr>
            <w:r>
              <w:t>59.50</w:t>
            </w:r>
          </w:p>
        </w:tc>
      </w:tr>
      <w:tr>
        <w:trPr>
          <w:cantSplit/>
        </w:trPr>
        <w:tc>
          <w:tcPr>
            <w:tcW w:w="846" w:type="dxa"/>
            <w:tcBorders>
              <w:bottom w:val="nil"/>
            </w:tcBorders>
          </w:tcPr>
          <w:p>
            <w:pPr>
              <w:pStyle w:val="yTableNAm"/>
            </w:pPr>
            <w:r>
              <w:t>38.</w:t>
            </w:r>
          </w:p>
        </w:tc>
        <w:tc>
          <w:tcPr>
            <w:tcW w:w="4819" w:type="dxa"/>
            <w:tcBorders>
              <w:bottom w:val="nil"/>
            </w:tcBorders>
          </w:tcPr>
          <w:p>
            <w:pPr>
              <w:pStyle w:val="yTableNAm"/>
            </w:pPr>
            <w:r>
              <w:t xml:space="preserve">Search of postcodes — </w:t>
            </w:r>
          </w:p>
        </w:tc>
        <w:tc>
          <w:tcPr>
            <w:tcW w:w="1134" w:type="dxa"/>
            <w:tcBorders>
              <w:bottom w:val="nil"/>
            </w:tcBorders>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tcPr>
          <w:p>
            <w:pPr>
              <w:pStyle w:val="yTableNAm"/>
              <w:jc w:val="right"/>
            </w:pPr>
            <w:r>
              <w:t>46.50</w:t>
            </w:r>
          </w:p>
        </w:tc>
      </w:tr>
      <w:tr>
        <w:trPr>
          <w:cantSplit/>
        </w:trPr>
        <w:tc>
          <w:tcPr>
            <w:tcW w:w="846" w:type="dxa"/>
            <w:tcBorders>
              <w:top w:val="nil"/>
            </w:tcBorders>
          </w:tcPr>
          <w:p/>
        </w:tc>
        <w:tc>
          <w:tcPr>
            <w:tcW w:w="4819" w:type="dxa"/>
            <w:tcBorders>
              <w:top w:val="nil"/>
            </w:tcBorders>
          </w:tcPr>
          <w:p>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tcPr>
          <w:p>
            <w:pPr>
              <w:pStyle w:val="yTableNAm"/>
              <w:jc w:val="right"/>
            </w:pPr>
            <w:r>
              <w:t>103.50</w:t>
            </w:r>
          </w:p>
        </w:tc>
      </w:tr>
      <w:tr>
        <w:trPr>
          <w:cantSplit/>
        </w:trPr>
        <w:tc>
          <w:tcPr>
            <w:tcW w:w="846" w:type="dxa"/>
          </w:tcPr>
          <w:p>
            <w:pPr>
              <w:pStyle w:val="yTableNAm"/>
            </w:pPr>
            <w:r>
              <w:t>39.</w:t>
            </w:r>
          </w:p>
        </w:tc>
        <w:tc>
          <w:tcPr>
            <w:tcW w:w="4819" w:type="dxa"/>
          </w:tcPr>
          <w:p>
            <w:pPr>
              <w:pStyle w:val="yTableNAm"/>
            </w:pPr>
            <w:r>
              <w:t>For each person who is a party to an application under the Act and in relation to whom a background check is sought from the Police Service</w:t>
            </w:r>
          </w:p>
        </w:tc>
        <w:tc>
          <w:tcPr>
            <w:tcW w:w="1134" w:type="dxa"/>
          </w:tcPr>
          <w:p>
            <w:pPr>
              <w:pStyle w:val="yTableNAm"/>
              <w:jc w:val="right"/>
            </w:pPr>
            <w:r>
              <w:t>175.00</w:t>
            </w:r>
          </w:p>
        </w:tc>
      </w:tr>
    </w:tbl>
    <w:p>
      <w:pPr>
        <w:pStyle w:val="yFootnotesection"/>
      </w:pPr>
      <w:r>
        <w:tab/>
        <w:t>[Schedule 3 inserted: SL 2025/187 r. 14.]</w:t>
      </w:r>
    </w:p>
    <w:bookmarkEnd w:id="124"/>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25" w:name="_Toc217049483"/>
      <w:bookmarkStart w:id="126" w:name="_Toc217050143"/>
      <w:bookmarkStart w:id="127" w:name="_Toc217299163"/>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25"/>
      <w:bookmarkEnd w:id="126"/>
      <w:bookmarkEnd w:id="127"/>
    </w:p>
    <w:p>
      <w:pPr>
        <w:pStyle w:val="yShoulderClause"/>
      </w:pPr>
      <w:r>
        <w:t>[r. 28(3)]</w:t>
      </w:r>
    </w:p>
    <w:p>
      <w:pPr>
        <w:pStyle w:val="yHeading5"/>
      </w:pPr>
      <w:bookmarkStart w:id="128" w:name="_Toc217299164"/>
      <w:r>
        <w:rPr>
          <w:rStyle w:val="CharSClsNo"/>
        </w:rPr>
        <w:t>1</w:t>
      </w:r>
      <w:r>
        <w:t>.</w:t>
      </w:r>
      <w:r>
        <w:tab/>
        <w:t>Fremantle</w:t>
      </w:r>
      <w:bookmarkEnd w:id="128"/>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29" w:name="_Toc217299165"/>
      <w:r>
        <w:rPr>
          <w:rStyle w:val="CharSClsNo"/>
        </w:rPr>
        <w:lastRenderedPageBreak/>
        <w:t>2</w:t>
      </w:r>
      <w:r>
        <w:t>.</w:t>
      </w:r>
      <w:r>
        <w:tab/>
        <w:t>Hillarys</w:t>
      </w:r>
      <w:bookmarkEnd w:id="129"/>
    </w:p>
    <w:p>
      <w:pPr>
        <w:pStyle w:val="yMiscellaneousBody"/>
        <w:rPr>
          <w:noProof/>
        </w:rPr>
      </w:pPr>
      <w:r>
        <w:rPr>
          <w:noProof/>
        </w:rPr>
        <w:drawing>
          <wp:inline distT="0" distB="0" distL="0" distR="0">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64002" cy="3773225"/>
                    </a:xfrm>
                    <a:prstGeom prst="rect">
                      <a:avLst/>
                    </a:prstGeom>
                  </pic:spPr>
                </pic:pic>
              </a:graphicData>
            </a:graphic>
          </wp:inline>
        </w:drawing>
      </w:r>
    </w:p>
    <w:p>
      <w:pPr>
        <w:pStyle w:val="yHeading5"/>
      </w:pPr>
      <w:bookmarkStart w:id="130" w:name="_Toc217299166"/>
      <w:r>
        <w:rPr>
          <w:rStyle w:val="CharSClsNo"/>
        </w:rPr>
        <w:lastRenderedPageBreak/>
        <w:t>3</w:t>
      </w:r>
      <w:r>
        <w:t>.</w:t>
      </w:r>
      <w:r>
        <w:tab/>
        <w:t>Mandurah</w:t>
      </w:r>
      <w:bookmarkEnd w:id="130"/>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31" w:name="_Toc217299167"/>
      <w:r>
        <w:rPr>
          <w:rStyle w:val="CharSClsNo"/>
        </w:rPr>
        <w:lastRenderedPageBreak/>
        <w:t>4</w:t>
      </w:r>
      <w:r>
        <w:t>.</w:t>
      </w:r>
      <w:r>
        <w:tab/>
        <w:t>Perth and Northbridge</w:t>
      </w:r>
      <w:bookmarkEnd w:id="131"/>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32" w:name="_Toc217299168"/>
      <w:r>
        <w:rPr>
          <w:rStyle w:val="CharSClsNo"/>
        </w:rPr>
        <w:lastRenderedPageBreak/>
        <w:t>5</w:t>
      </w:r>
      <w:r>
        <w:t>.</w:t>
      </w:r>
      <w:r>
        <w:tab/>
        <w:t>Scarborough</w:t>
      </w:r>
      <w:bookmarkEnd w:id="132"/>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 amended: SL 2025/9 r. 5.]</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33" w:name="_Toc217049489"/>
      <w:bookmarkStart w:id="134" w:name="_Toc217050149"/>
      <w:bookmarkStart w:id="135" w:name="_Toc217299169"/>
      <w:r>
        <w:lastRenderedPageBreak/>
        <w:t>Notes</w:t>
      </w:r>
      <w:bookmarkEnd w:id="133"/>
      <w:bookmarkEnd w:id="134"/>
      <w:bookmarkEnd w:id="135"/>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w:t>
      </w:r>
    </w:p>
    <w:p>
      <w:pPr>
        <w:pStyle w:val="nHeading3"/>
      </w:pPr>
      <w:bookmarkStart w:id="136" w:name="_Toc217299170"/>
      <w:r>
        <w:t>Compilation table</w:t>
      </w:r>
      <w:bookmarkEnd w:id="13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lastRenderedPageBreak/>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lastRenderedPageBreak/>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r>
              <w:rPr>
                <w:iCs/>
                <w:vertAlign w:val="superscript"/>
              </w:rPr>
              <w:t> 10</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nil"/>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pPr>
              <w:pStyle w:val="nTable"/>
              <w:spacing w:after="40"/>
            </w:pPr>
            <w:r>
              <w:t>SL 2024/138 26 Jun 2024</w:t>
            </w:r>
          </w:p>
        </w:tc>
        <w:tc>
          <w:tcPr>
            <w:tcW w:w="2693" w:type="dxa"/>
            <w:tcBorders>
              <w:top w:val="nil"/>
              <w:bottom w:val="nil"/>
            </w:tcBorders>
            <w:shd w:val="clear" w:color="auto" w:fill="auto"/>
          </w:tcPr>
          <w:p>
            <w:pPr>
              <w:pStyle w:val="nTable"/>
              <w:spacing w:after="40"/>
            </w:pPr>
            <w:r>
              <w:t>27 Jun 2024 (see r. 2(b))</w:t>
            </w:r>
          </w:p>
        </w:tc>
      </w:tr>
      <w:tr>
        <w:trPr>
          <w:cantSplit/>
        </w:trPr>
        <w:tc>
          <w:tcPr>
            <w:tcW w:w="3119" w:type="dxa"/>
            <w:tcBorders>
              <w:top w:val="nil"/>
              <w:bottom w:val="nil"/>
            </w:tcBorders>
            <w:shd w:val="clear" w:color="auto" w:fill="auto"/>
          </w:tcPr>
          <w:p>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pPr>
              <w:pStyle w:val="nTable"/>
              <w:spacing w:after="40"/>
            </w:pPr>
            <w:r>
              <w:t>SL 2024/213 16 Oct 2024</w:t>
            </w:r>
          </w:p>
        </w:tc>
        <w:tc>
          <w:tcPr>
            <w:tcW w:w="2693" w:type="dxa"/>
            <w:tcBorders>
              <w:top w:val="nil"/>
              <w:bottom w:val="nil"/>
            </w:tcBorders>
            <w:shd w:val="clear" w:color="auto" w:fill="auto"/>
          </w:tcPr>
          <w:p>
            <w:pPr>
              <w:pStyle w:val="nTable"/>
              <w:spacing w:after="40"/>
            </w:pPr>
            <w:r>
              <w:t>1 Jan 2025 (see r. 2(b))</w:t>
            </w:r>
          </w:p>
        </w:tc>
      </w:tr>
      <w:tr>
        <w:trPr>
          <w:cantSplit/>
        </w:trPr>
        <w:tc>
          <w:tcPr>
            <w:tcW w:w="3119" w:type="dxa"/>
            <w:tcBorders>
              <w:top w:val="nil"/>
              <w:bottom w:val="nil"/>
            </w:tcBorders>
            <w:shd w:val="clear" w:color="auto" w:fill="auto"/>
          </w:tcPr>
          <w:p>
            <w:pPr>
              <w:pStyle w:val="nTable"/>
              <w:spacing w:after="40"/>
              <w:rPr>
                <w:bCs/>
                <w:i/>
                <w:noProof/>
              </w:rPr>
            </w:pPr>
            <w:r>
              <w:rPr>
                <w:i/>
              </w:rPr>
              <w:t>Liquor Control Amendment Regulations 2025</w:t>
            </w:r>
          </w:p>
        </w:tc>
        <w:tc>
          <w:tcPr>
            <w:tcW w:w="1276" w:type="dxa"/>
            <w:tcBorders>
              <w:top w:val="nil"/>
              <w:bottom w:val="nil"/>
            </w:tcBorders>
            <w:shd w:val="clear" w:color="auto" w:fill="auto"/>
          </w:tcPr>
          <w:p>
            <w:pPr>
              <w:pStyle w:val="nTable"/>
              <w:spacing w:after="40"/>
            </w:pPr>
            <w:r>
              <w:t>SL 2025/9 22 Jan 2025</w:t>
            </w:r>
          </w:p>
        </w:tc>
        <w:tc>
          <w:tcPr>
            <w:tcW w:w="2693" w:type="dxa"/>
            <w:tcBorders>
              <w:top w:val="nil"/>
              <w:bottom w:val="nil"/>
            </w:tcBorders>
            <w:shd w:val="clear" w:color="auto" w:fill="auto"/>
          </w:tcPr>
          <w:p>
            <w:pPr>
              <w:pStyle w:val="nTable"/>
              <w:spacing w:after="40"/>
            </w:pPr>
            <w:r>
              <w:t>r. 1 and 2: 22 Jan 2025 (see r. 2(a));</w:t>
            </w:r>
          </w:p>
          <w:p>
            <w:pPr>
              <w:pStyle w:val="nTable"/>
              <w:spacing w:after="40"/>
            </w:pPr>
            <w:r>
              <w:rPr>
                <w:bCs/>
                <w:snapToGrid w:val="0"/>
                <w:spacing w:val="-2"/>
              </w:rPr>
              <w:t>Regulations other than r. 1 and 2</w:t>
            </w:r>
            <w:r>
              <w:t>: 23 Jan 2025 (see r. 2(b))</w:t>
            </w:r>
          </w:p>
        </w:tc>
      </w:tr>
      <w:tr>
        <w:trPr>
          <w:cantSplit/>
        </w:trPr>
        <w:tc>
          <w:tcPr>
            <w:tcW w:w="3119" w:type="dxa"/>
            <w:tcBorders>
              <w:top w:val="nil"/>
              <w:bottom w:val="nil"/>
            </w:tcBorders>
            <w:shd w:val="clear" w:color="auto" w:fill="auto"/>
          </w:tcPr>
          <w:p>
            <w:pPr>
              <w:pStyle w:val="nTable"/>
              <w:spacing w:after="40"/>
              <w:rPr>
                <w:i/>
              </w:rPr>
            </w:pPr>
            <w:r>
              <w:rPr>
                <w:i/>
              </w:rPr>
              <w:t>Racing and Gaming Regulations Amendment (Liquor Control) Regulations (No. 2) 2025</w:t>
            </w:r>
            <w:r>
              <w:rPr>
                <w:iCs/>
              </w:rPr>
              <w:t xml:space="preserve"> Pt. 4</w:t>
            </w:r>
          </w:p>
        </w:tc>
        <w:tc>
          <w:tcPr>
            <w:tcW w:w="1276" w:type="dxa"/>
            <w:tcBorders>
              <w:top w:val="nil"/>
              <w:bottom w:val="nil"/>
            </w:tcBorders>
            <w:shd w:val="clear" w:color="auto" w:fill="auto"/>
          </w:tcPr>
          <w:p>
            <w:pPr>
              <w:pStyle w:val="nTable"/>
              <w:spacing w:after="40"/>
            </w:pPr>
            <w:r>
              <w:t>SL 2025/143 6 Aug 2025</w:t>
            </w:r>
          </w:p>
        </w:tc>
        <w:tc>
          <w:tcPr>
            <w:tcW w:w="2693" w:type="dxa"/>
            <w:tcBorders>
              <w:top w:val="nil"/>
              <w:bottom w:val="nil"/>
            </w:tcBorders>
            <w:shd w:val="clear" w:color="auto" w:fill="auto"/>
          </w:tcPr>
          <w:p>
            <w:pPr>
              <w:pStyle w:val="nTable"/>
              <w:spacing w:after="40"/>
            </w:pPr>
            <w:r>
              <w:t>7 Aug 2025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2025</w:t>
            </w:r>
          </w:p>
        </w:tc>
        <w:tc>
          <w:tcPr>
            <w:tcW w:w="1276" w:type="dxa"/>
            <w:tcBorders>
              <w:top w:val="nil"/>
              <w:bottom w:val="nil"/>
            </w:tcBorders>
            <w:shd w:val="clear" w:color="auto" w:fill="auto"/>
          </w:tcPr>
          <w:p>
            <w:pPr>
              <w:pStyle w:val="nTable"/>
              <w:spacing w:after="40"/>
            </w:pPr>
            <w:r>
              <w:t>SL 2025/149 20 Aug 2025</w:t>
            </w:r>
          </w:p>
        </w:tc>
        <w:tc>
          <w:tcPr>
            <w:tcW w:w="2693" w:type="dxa"/>
            <w:tcBorders>
              <w:top w:val="nil"/>
              <w:bottom w:val="nil"/>
            </w:tcBorders>
            <w:shd w:val="clear" w:color="auto" w:fill="auto"/>
          </w:tcPr>
          <w:p>
            <w:pPr>
              <w:pStyle w:val="nTable"/>
              <w:spacing w:after="40"/>
            </w:pPr>
            <w:r>
              <w:t>r. 1 and 2: 20 Aug 2025 (see r. 2(a));</w:t>
            </w:r>
            <w:r>
              <w:br/>
            </w:r>
            <w:r>
              <w:rPr>
                <w:bCs/>
                <w:snapToGrid w:val="0"/>
                <w:spacing w:val="-2"/>
              </w:rPr>
              <w:t>Regulations other than r. 1 and 2</w:t>
            </w:r>
            <w:r>
              <w:t>: 21 Aug 2025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Racing and Gaming Regulations Amendment (Fees and Charges) Regulations 2025 </w:t>
            </w:r>
            <w:r>
              <w:rPr>
                <w:iCs/>
              </w:rPr>
              <w:t>Pt. 6</w:t>
            </w:r>
          </w:p>
        </w:tc>
        <w:tc>
          <w:tcPr>
            <w:tcW w:w="1276" w:type="dxa"/>
            <w:tcBorders>
              <w:top w:val="nil"/>
              <w:bottom w:val="single" w:sz="4" w:space="0" w:color="auto"/>
            </w:tcBorders>
            <w:shd w:val="clear" w:color="auto" w:fill="auto"/>
          </w:tcPr>
          <w:p>
            <w:pPr>
              <w:pStyle w:val="nTable"/>
              <w:spacing w:after="40"/>
            </w:pPr>
            <w:r>
              <w:t>SL 2025/187 12 Nov 2025</w:t>
            </w:r>
          </w:p>
        </w:tc>
        <w:tc>
          <w:tcPr>
            <w:tcW w:w="2693" w:type="dxa"/>
            <w:tcBorders>
              <w:top w:val="nil"/>
              <w:bottom w:val="single" w:sz="4" w:space="0" w:color="auto"/>
            </w:tcBorders>
            <w:shd w:val="clear" w:color="auto" w:fill="auto"/>
          </w:tcPr>
          <w:p>
            <w:pPr>
              <w:pStyle w:val="nTable"/>
              <w:spacing w:after="40"/>
            </w:pPr>
            <w:r>
              <w:t>1 Jan 2026 (see r. 2(b))</w:t>
            </w:r>
          </w:p>
        </w:tc>
      </w:tr>
    </w:tbl>
    <w:p>
      <w:pPr>
        <w:pStyle w:val="nHeading3"/>
        <w:keepLines/>
        <w:widowControl w:val="0"/>
      </w:pPr>
      <w:bookmarkStart w:id="137" w:name="_Toc217299171"/>
      <w:r>
        <w:lastRenderedPageBreak/>
        <w:t>Other notes</w:t>
      </w:r>
      <w:bookmarkEnd w:id="137"/>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Pr>
        <w:pStyle w:val="nNote"/>
        <w:keepLines/>
        <w:rPr>
          <w:vertAlign w:val="superscript"/>
        </w:rPr>
      </w:pPr>
      <w:r>
        <w:rPr>
          <w:vertAlign w:val="superscript"/>
        </w:rPr>
        <w:t>10</w:t>
      </w:r>
      <w:r>
        <w:rPr>
          <w:vertAlign w:val="superscript"/>
        </w:rPr>
        <w:tab/>
      </w:r>
      <w:r>
        <w:t xml:space="preserve">The </w:t>
      </w:r>
      <w:r>
        <w:rPr>
          <w:i/>
        </w:rPr>
        <w:t>Liquor Commission Amendment Regulations (No. 2) 2023</w:t>
      </w:r>
      <w:r>
        <w:rPr>
          <w:iCs/>
        </w:rPr>
        <w:t xml:space="preserve"> Pt. 4 will not come into operation because the </w:t>
      </w:r>
      <w:r>
        <w:rPr>
          <w:i/>
          <w:iCs/>
        </w:rPr>
        <w:t>Liquor Control Amendment (Banned Drinkers Register) Act 2023</w:t>
      </w:r>
      <w:r>
        <w:t xml:space="preserve"> s. 31 was deleted by the </w:t>
      </w:r>
      <w:r>
        <w:rPr>
          <w:i/>
        </w:rPr>
        <w:t>Liquor Control Amendment Act 2025</w:t>
      </w:r>
      <w:r>
        <w:rPr>
          <w:iCs/>
        </w:rPr>
        <w:t xml:space="preserve"> s. 128 before it purported to come into operation (see SL 2023/196 r. 2(d)).</w:t>
      </w:r>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38" w:name="_Toc217049493"/>
      <w:bookmarkStart w:id="139" w:name="_Toc217050152"/>
      <w:bookmarkStart w:id="140" w:name="_Toc217299172"/>
      <w:r>
        <w:rPr>
          <w:sz w:val="28"/>
        </w:rPr>
        <w:lastRenderedPageBreak/>
        <w:t>Defined terms</w:t>
      </w:r>
      <w:bookmarkEnd w:id="138"/>
      <w:bookmarkEnd w:id="139"/>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18(1)</w:t>
      </w:r>
    </w:p>
    <w:p>
      <w:pPr>
        <w:pStyle w:val="DefinedTerms"/>
      </w:pPr>
      <w:r>
        <w:t>authorised arrangement</w:t>
      </w:r>
      <w:r>
        <w:tab/>
        <w:t>8E(1)</w:t>
      </w:r>
    </w:p>
    <w:p>
      <w:pPr>
        <w:pStyle w:val="DefinedTerms"/>
      </w:pPr>
      <w:r>
        <w:t>Authority</w:t>
      </w:r>
      <w:r>
        <w:tab/>
        <w:t>3A(1)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3A(1)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ID system</w:t>
      </w:r>
      <w:r>
        <w:tab/>
        <w:t>3A(1)</w:t>
      </w:r>
    </w:p>
    <w:p>
      <w:pPr>
        <w:pStyle w:val="DefinedTerms"/>
      </w:pPr>
      <w:r>
        <w:t>inter-State voyage</w:t>
      </w:r>
      <w:r>
        <w:tab/>
        <w:t>8(3)</w:t>
      </w:r>
    </w:p>
    <w:p>
      <w:pPr>
        <w:pStyle w:val="DefinedTerms"/>
      </w:pPr>
      <w:r>
        <w:t>judge</w:t>
      </w:r>
      <w:r>
        <w:tab/>
        <w:t>8G(1)</w:t>
      </w:r>
    </w:p>
    <w:p>
      <w:pPr>
        <w:pStyle w:val="DefinedTerms"/>
      </w:pPr>
      <w:r>
        <w:t>liqueur chocolate</w:t>
      </w:r>
      <w:r>
        <w:tab/>
        <w:t>4AD(1)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lastRenderedPageBreak/>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8E(1)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lastRenderedPageBreak/>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1" w:name="DefinedTerms"/>
    <w:bookmarkEnd w:id="14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0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915074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 w:name="WAFER_2025080109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93541_GUID" w:val="3f425043-6151-4205-ace9-1fd71d49ccba"/>
    <w:docVar w:name="WAFER_20250814133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3811_GUID" w:val="348730c7-edd1-4dd9-a864-7ea43da1aee7"/>
    <w:docVar w:name="WAFER_20251106151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1504_GUID" w:val="1e062d41-36b5-4eed-8d4d-814ad7a1e48a"/>
    <w:docVar w:name="WAFER_20251211103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03230_GUID" w:val="d410e629-32ce-48aa-a9d1-c6c1472afae3"/>
    <w:docVar w:name="WAFER_20251219150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50742_GUID" w:val="d5c5f586-167c-4db5-8da2-7efd279eda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0449"/>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32030</Words>
  <Characters>153105</Characters>
  <Application>Microsoft Office Word</Application>
  <DocSecurity>0</DocSecurity>
  <Lines>5279</Lines>
  <Paragraphs>3137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1989 - 14-as0-00</dc:title>
  <dc:subject/>
  <dc:creator/>
  <cp:keywords/>
  <dc:description/>
  <cp:lastModifiedBy>Master Repository Process</cp:lastModifiedBy>
  <cp:revision>4</cp:revision>
  <cp:lastPrinted>2019-12-05T02:25:00Z</cp:lastPrinted>
  <dcterms:created xsi:type="dcterms:W3CDTF">2025-12-30T01:51:00Z</dcterms:created>
  <dcterms:modified xsi:type="dcterms:W3CDTF">2025-12-30T01:51:00Z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AsAtDate">
    <vt:lpwstr>01 Jan 2026</vt:lpwstr>
  </property>
  <property fmtid="{D5CDD505-2E9C-101B-9397-08002B2CF9AE}" pid="11" name="Suffix">
    <vt:lpwstr>14-as0-00</vt:lpwstr>
  </property>
  <property fmtid="{D5CDD505-2E9C-101B-9397-08002B2CF9AE}" pid="12" name="Official">
    <vt:lpwstr/>
  </property>
</Properties>
</file>