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(Functions and General) Regulations 1996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(Functions and General)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_Toc217398780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_Toc217398781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1A — Local laws</w:t>
      </w:r>
    </w:p>
    <w:p>
      <w:pPr>
        <w:pStyle w:val="TOC8"/>
        <w:rPr>
          <w:rFonts w:asciiTheme="minorHAnsi" w:eastAsiaTheme="minorEastAsia" w:hAnsiTheme="minorHAnsi" w:cstheme="minorBidi"/>
          <w:szCs w:val="22"/>
        </w:rPr>
      </w:pPr>
      <w:r>
        <w:t>2A.</w:t>
      </w:r>
      <w:r>
        <w:tab/>
        <w:t>Matters about which local laws are not to be made (Act s. 3.5)</w:t>
      </w:r>
      <w:r>
        <w:tab/>
      </w:r>
      <w:r>
        <w:fldChar w:fldCharType="begin"/>
      </w:r>
      <w:r>
        <w:instrText xml:space="preserve"> PAGEREF _Toc217398783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Prescribed manner of giving notice of purpose and effect of proposed local law </w:t>
      </w:r>
      <w:r>
        <w:rPr>
          <w:snapToGrid w:val="0"/>
        </w:rPr>
        <w:t>(Act </w:t>
      </w:r>
      <w:r>
        <w:t>s. 3.12(2))</w:t>
      </w:r>
      <w:r>
        <w:tab/>
      </w:r>
      <w:r>
        <w:fldChar w:fldCharType="begin"/>
      </w:r>
      <w:r>
        <w:instrText xml:space="preserve"> PAGEREF _Toc217398784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1B — Caretaker period</w:t>
      </w:r>
    </w:p>
    <w:p>
      <w:pPr>
        <w:pStyle w:val="TOC8"/>
        <w:rPr>
          <w:rFonts w:asciiTheme="minorHAnsi" w:eastAsiaTheme="minorEastAsia" w:hAnsiTheme="minorHAnsi" w:cstheme="minorBidi"/>
          <w:szCs w:val="22"/>
        </w:rPr>
      </w:pPr>
      <w:r>
        <w:t>3A.</w:t>
      </w:r>
      <w:r>
        <w:tab/>
        <w:t>Significant acts</w:t>
      </w:r>
      <w:r>
        <w:tab/>
      </w:r>
      <w:r>
        <w:fldChar w:fldCharType="begin"/>
      </w:r>
      <w:r>
        <w:instrText xml:space="preserve"> PAGEREF _Toc217398786 \h </w:instrText>
      </w:r>
      <w:r>
        <w:fldChar w:fldCharType="separate"/>
      </w:r>
      <w:r>
        <w:t>3</w:t>
      </w:r>
      <w:r>
        <w:fldChar w:fldCharType="end"/>
      </w:r>
    </w:p>
    <w:p>
      <w:pPr>
        <w:pStyle w:val="TOC8"/>
        <w:rPr>
          <w:rFonts w:asciiTheme="minorHAnsi" w:eastAsiaTheme="minorEastAsia" w:hAnsiTheme="minorHAnsi" w:cstheme="minorBidi"/>
          <w:szCs w:val="22"/>
        </w:rPr>
      </w:pPr>
      <w:r>
        <w:t>3B.</w:t>
      </w:r>
      <w:r>
        <w:tab/>
        <w:t>Decisions taken before caretaker period</w:t>
      </w:r>
      <w:r>
        <w:tab/>
      </w:r>
      <w:r>
        <w:fldChar w:fldCharType="begin"/>
      </w:r>
      <w:r>
        <w:instrText xml:space="preserve"> PAGEREF _Toc217398787 \h </w:instrText>
      </w:r>
      <w:r>
        <w:fldChar w:fldCharType="separate"/>
      </w:r>
      <w:r>
        <w:t>6</w:t>
      </w:r>
      <w:r>
        <w:fldChar w:fldCharType="end"/>
      </w:r>
    </w:p>
    <w:p>
      <w:pPr>
        <w:pStyle w:val="TOC8"/>
        <w:rPr>
          <w:rFonts w:asciiTheme="minorHAnsi" w:eastAsiaTheme="minorEastAsia" w:hAnsiTheme="minorHAnsi" w:cstheme="minorBidi"/>
          <w:szCs w:val="22"/>
        </w:rPr>
      </w:pPr>
      <w:r>
        <w:t>3C.</w:t>
      </w:r>
      <w:r>
        <w:tab/>
        <w:t>Transitional provision</w:t>
      </w:r>
      <w:r>
        <w:tab/>
      </w:r>
      <w:r>
        <w:fldChar w:fldCharType="begin"/>
      </w:r>
      <w:r>
        <w:instrText xml:space="preserve"> PAGEREF _Toc217398788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Thoroughfares</w:t>
      </w:r>
    </w:p>
    <w:p>
      <w:pPr>
        <w:pStyle w:val="TOC8"/>
        <w:rPr>
          <w:rFonts w:asciiTheme="minorHAnsi" w:eastAsiaTheme="minorEastAsia" w:hAnsiTheme="minorHAnsi" w:cstheme="minorBidi"/>
          <w:szCs w:val="22"/>
        </w:rPr>
      </w:pPr>
      <w:r>
        <w:t>4</w:t>
      </w:r>
      <w:r>
        <w:rPr>
          <w:snapToGrid w:val="0"/>
        </w:rPr>
        <w:t>.</w:t>
      </w:r>
      <w:r>
        <w:rPr>
          <w:snapToGrid w:val="0"/>
        </w:rPr>
        <w:tab/>
        <w:t>Persons prescribed to be notified of road closure (Act s. 3.50)</w:t>
      </w:r>
      <w:r>
        <w:tab/>
      </w:r>
      <w:r>
        <w:fldChar w:fldCharType="begin"/>
      </w:r>
      <w:r>
        <w:instrText xml:space="preserve"> PAGEREF _Toc217398790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Persons prescribed to be notified of certain proposals (Act s. </w:t>
      </w:r>
      <w:r>
        <w:t>3</w:t>
      </w:r>
      <w:r>
        <w:rPr>
          <w:snapToGrid w:val="0"/>
        </w:rPr>
        <w:t xml:space="preserve">.51(1) </w:t>
      </w:r>
      <w:r>
        <w:rPr>
          <w:i/>
          <w:snapToGrid w:val="0"/>
        </w:rPr>
        <w:t>person having an interest</w:t>
      </w:r>
      <w:r>
        <w:rPr>
          <w:snapToGrid w:val="0"/>
        </w:rPr>
        <w:t>)</w:t>
      </w:r>
      <w:r>
        <w:tab/>
      </w:r>
      <w:r>
        <w:fldChar w:fldCharType="begin"/>
      </w:r>
      <w:r>
        <w:instrText xml:space="preserve"> PAGEREF _Toc217398791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Transitional provisions about road closures</w:t>
      </w:r>
      <w:r>
        <w:tab/>
      </w:r>
      <w:r>
        <w:fldChar w:fldCharType="begin"/>
      </w:r>
      <w:r>
        <w:instrText xml:space="preserve"> PAGEREF _Toc217398792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Commercial enterprises by local governments (s. 3.59)</w:t>
      </w:r>
    </w:p>
    <w:p>
      <w:pPr>
        <w:pStyle w:val="TOC8"/>
        <w:rPr>
          <w:rFonts w:asciiTheme="minorHAnsi" w:eastAsiaTheme="minorEastAsia" w:hAnsiTheme="minorHAnsi" w:cstheme="minorBidi"/>
          <w:szCs w:val="22"/>
        </w:rPr>
      </w:pPr>
      <w:r>
        <w:t>7.</w:t>
      </w:r>
      <w:r>
        <w:tab/>
        <w:t>Term used: major regional centre</w:t>
      </w:r>
      <w:r>
        <w:tab/>
      </w:r>
      <w:r>
        <w:fldChar w:fldCharType="begin"/>
      </w:r>
      <w:r>
        <w:instrText xml:space="preserve"> PAGEREF _Toc217398794 \h </w:instrText>
      </w:r>
      <w:r>
        <w:fldChar w:fldCharType="separate"/>
      </w:r>
      <w:r>
        <w:t>9</w:t>
      </w:r>
      <w:r>
        <w:fldChar w:fldCharType="end"/>
      </w:r>
    </w:p>
    <w:p>
      <w:pPr>
        <w:pStyle w:val="TOC8"/>
        <w:rPr>
          <w:rFonts w:asciiTheme="minorHAnsi" w:eastAsiaTheme="minorEastAsia" w:hAnsiTheme="minorHAnsi" w:cstheme="minorBidi"/>
          <w:szCs w:val="22"/>
        </w:rPr>
      </w:pPr>
      <w:r>
        <w:lastRenderedPageBreak/>
        <w:t>8A.</w:t>
      </w:r>
      <w:r>
        <w:tab/>
        <w:t xml:space="preserve">Amount prescribed for major land transactions; exempt land transactions prescribed </w:t>
      </w:r>
      <w:r>
        <w:rPr>
          <w:snapToGrid w:val="0"/>
        </w:rPr>
        <w:t>(Act </w:t>
      </w:r>
      <w:r>
        <w:t>s. 3.59)</w:t>
      </w:r>
      <w:r>
        <w:tab/>
      </w:r>
      <w:r>
        <w:fldChar w:fldCharType="begin"/>
      </w:r>
      <w:r>
        <w:instrText xml:space="preserve"> PAGEREF _Toc217398795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 land transactions prescribed (Act s. 3.59)</w:t>
      </w:r>
      <w:r>
        <w:tab/>
      </w:r>
      <w:r>
        <w:fldChar w:fldCharType="begin"/>
      </w:r>
      <w:r>
        <w:instrText xml:space="preserve"> PAGEREF _Toc217398796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Amount prescribed for major trading undertakings; exempt trading undertakings prescribed (Act s. 3.59)</w:t>
      </w:r>
      <w:r>
        <w:tab/>
      </w:r>
      <w:r>
        <w:fldChar w:fldCharType="begin"/>
      </w:r>
      <w:r>
        <w:instrText xml:space="preserve"> PAGEREF _Toc217398797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plans for major trading undertaking and major land transaction, content of</w:t>
      </w:r>
      <w:r>
        <w:tab/>
      </w:r>
      <w:r>
        <w:fldChar w:fldCharType="begin"/>
      </w:r>
      <w:r>
        <w:instrText xml:space="preserve"> PAGEREF _Toc217398798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w:t>
      </w:r>
      <w:r>
        <w:rPr>
          <w:b w:val="0"/>
          <w:noProof/>
        </w:rPr>
        <w:t> </w:t>
      </w:r>
      <w:r>
        <w:rPr>
          <w:noProof/>
        </w:rPr>
        <w:t>—</w:t>
      </w:r>
      <w:r>
        <w:rPr>
          <w:b w:val="0"/>
          <w:noProof/>
        </w:rPr>
        <w:t> </w:t>
      </w:r>
      <w:r>
        <w:rPr>
          <w:noProof/>
        </w:rPr>
        <w:t>Provision of goods and services</w:t>
      </w:r>
    </w:p>
    <w:p>
      <w:pPr>
        <w:pStyle w:val="TOC4"/>
        <w:tabs>
          <w:tab w:val="right" w:leader="dot" w:pos="7077"/>
        </w:tabs>
        <w:rPr>
          <w:rFonts w:asciiTheme="minorHAnsi" w:eastAsiaTheme="minorEastAsia" w:hAnsiTheme="minorHAnsi" w:cstheme="minorBidi"/>
          <w:b w:val="0"/>
          <w:szCs w:val="22"/>
        </w:rPr>
      </w:pPr>
      <w:r>
        <w:t>Division 1 — Purchasing policies</w:t>
      </w:r>
    </w:p>
    <w:p>
      <w:pPr>
        <w:pStyle w:val="TOC8"/>
        <w:rPr>
          <w:rFonts w:asciiTheme="minorHAnsi" w:eastAsiaTheme="minorEastAsia" w:hAnsiTheme="minorHAnsi" w:cstheme="minorBidi"/>
          <w:szCs w:val="22"/>
        </w:rPr>
      </w:pPr>
      <w:r>
        <w:t>11A.</w:t>
      </w:r>
      <w:r>
        <w:tab/>
        <w:t>Purchasing policies for local governments</w:t>
      </w:r>
      <w:r>
        <w:tab/>
      </w:r>
      <w:r>
        <w:fldChar w:fldCharType="begin"/>
      </w:r>
      <w:r>
        <w:instrText xml:space="preserve"> PAGEREF _Toc217398801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Tenders for providing goods or services (s. 3.57)</w:t>
      </w:r>
    </w:p>
    <w:p>
      <w:pPr>
        <w:pStyle w:val="TOC8"/>
        <w:rPr>
          <w:rFonts w:asciiTheme="minorHAnsi" w:eastAsiaTheme="minorEastAsia" w:hAnsiTheme="minorHAnsi" w:cstheme="minorBidi"/>
          <w:szCs w:val="22"/>
        </w:rPr>
      </w:pPr>
      <w:r>
        <w:t>11</w:t>
      </w:r>
      <w:r>
        <w:rPr>
          <w:snapToGrid w:val="0"/>
        </w:rPr>
        <w:t>.</w:t>
      </w:r>
      <w:r>
        <w:rPr>
          <w:snapToGrid w:val="0"/>
        </w:rPr>
        <w:tab/>
        <w:t>When tenders have to be publicly invited</w:t>
      </w:r>
      <w:r>
        <w:tab/>
      </w:r>
      <w:r>
        <w:fldChar w:fldCharType="begin"/>
      </w:r>
      <w:r>
        <w:instrText xml:space="preserve"> PAGEREF _Toc217398803 \h </w:instrText>
      </w:r>
      <w:r>
        <w:fldChar w:fldCharType="separate"/>
      </w:r>
      <w:r>
        <w:t>15</w:t>
      </w:r>
      <w:r>
        <w:fldChar w:fldCharType="end"/>
      </w:r>
    </w:p>
    <w:p>
      <w:pPr>
        <w:pStyle w:val="TOC8"/>
        <w:rPr>
          <w:rFonts w:asciiTheme="minorHAnsi" w:eastAsiaTheme="minorEastAsia" w:hAnsiTheme="minorHAnsi" w:cstheme="minorBidi"/>
          <w:szCs w:val="22"/>
        </w:rPr>
      </w:pPr>
      <w:r>
        <w:t>12.</w:t>
      </w:r>
      <w:r>
        <w:tab/>
        <w:t>Anti</w:t>
      </w:r>
      <w:r>
        <w:noBreakHyphen/>
        <w:t>avoidance provision for r. 11(1)</w:t>
      </w:r>
      <w:r>
        <w:tab/>
      </w:r>
      <w:r>
        <w:fldChar w:fldCharType="begin"/>
      </w:r>
      <w:r>
        <w:instrText xml:space="preserve"> PAGEREF _Toc217398804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Requirements when local government invites tenders though not required to do so</w:t>
      </w:r>
      <w:r>
        <w:tab/>
      </w:r>
      <w:r>
        <w:fldChar w:fldCharType="begin"/>
      </w:r>
      <w:r>
        <w:instrText xml:space="preserve"> PAGEREF _Toc217398805 \h </w:instrText>
      </w:r>
      <w:r>
        <w:fldChar w:fldCharType="separate"/>
      </w:r>
      <w:r>
        <w:t>20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Publicly inviting tenders, requirements for</w:t>
      </w:r>
      <w:r>
        <w:tab/>
      </w:r>
      <w:r>
        <w:fldChar w:fldCharType="begin"/>
      </w:r>
      <w:r>
        <w:instrText xml:space="preserve"> PAGEREF _Toc217398806 \h </w:instrText>
      </w:r>
      <w:r>
        <w:fldChar w:fldCharType="separate"/>
      </w:r>
      <w:r>
        <w:t>20</w:t>
      </w:r>
      <w:r>
        <w:fldChar w:fldCharType="end"/>
      </w:r>
    </w:p>
    <w:p>
      <w:pPr>
        <w:pStyle w:val="TOC8"/>
        <w:rPr>
          <w:rFonts w:asciiTheme="minorHAnsi" w:eastAsiaTheme="minorEastAsia" w:hAnsiTheme="minorHAnsi" w:cstheme="minorBidi"/>
          <w:szCs w:val="22"/>
        </w:rPr>
      </w:pPr>
      <w:r>
        <w:t>15.</w:t>
      </w:r>
      <w:r>
        <w:tab/>
      </w:r>
      <w:r>
        <w:rPr>
          <w:snapToGrid w:val="0"/>
        </w:rPr>
        <w:t>Minimum time to be allowed for submitting tenders</w:t>
      </w:r>
      <w:r>
        <w:tab/>
      </w:r>
      <w:r>
        <w:fldChar w:fldCharType="begin"/>
      </w:r>
      <w:r>
        <w:instrText xml:space="preserve"> PAGEREF _Toc217398807 \h </w:instrText>
      </w:r>
      <w:r>
        <w:fldChar w:fldCharType="separate"/>
      </w:r>
      <w:r>
        <w:t>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Receiving and opening tenders, procedure for</w:t>
      </w:r>
      <w:r>
        <w:tab/>
      </w:r>
      <w:r>
        <w:fldChar w:fldCharType="begin"/>
      </w:r>
      <w:r>
        <w:instrText xml:space="preserve"> PAGEREF _Toc217398808 \h </w:instrText>
      </w:r>
      <w:r>
        <w:fldChar w:fldCharType="separate"/>
      </w:r>
      <w:r>
        <w:t>22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Tenders register</w:t>
      </w:r>
      <w:r>
        <w:tab/>
      </w:r>
      <w:r>
        <w:fldChar w:fldCharType="begin"/>
      </w:r>
      <w:r>
        <w:instrText xml:space="preserve"> PAGEREF _Toc217398809 \h </w:instrText>
      </w:r>
      <w:r>
        <w:fldChar w:fldCharType="separate"/>
      </w:r>
      <w:r>
        <w:t>23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Rejecting and accepting tenders</w:t>
      </w:r>
      <w:r>
        <w:tab/>
      </w:r>
      <w:r>
        <w:fldChar w:fldCharType="begin"/>
      </w:r>
      <w:r>
        <w:instrText xml:space="preserve"> PAGEREF _Toc217398810 \h </w:instrText>
      </w:r>
      <w:r>
        <w:fldChar w:fldCharType="separate"/>
      </w:r>
      <w:r>
        <w:t>24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Tenderers to be notified of outcome</w:t>
      </w:r>
      <w:r>
        <w:tab/>
      </w:r>
      <w:r>
        <w:fldChar w:fldCharType="begin"/>
      </w:r>
      <w:r>
        <w:instrText xml:space="preserve"> PAGEREF _Toc217398811 \h </w:instrText>
      </w:r>
      <w:r>
        <w:fldChar w:fldCharType="separate"/>
      </w:r>
      <w:r>
        <w:t>25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Variation of requirements before entry into contract</w:t>
      </w:r>
      <w:r>
        <w:tab/>
      </w:r>
      <w:r>
        <w:fldChar w:fldCharType="begin"/>
      </w:r>
      <w:r>
        <w:instrText xml:space="preserve"> PAGEREF _Toc217398812 \h </w:instrText>
      </w:r>
      <w:r>
        <w:fldChar w:fldCharType="separate"/>
      </w:r>
      <w:r>
        <w:t>25</w:t>
      </w:r>
      <w:r>
        <w:fldChar w:fldCharType="end"/>
      </w:r>
    </w:p>
    <w:p>
      <w:pPr>
        <w:pStyle w:val="TOC8"/>
        <w:rPr>
          <w:rFonts w:asciiTheme="minorHAnsi" w:eastAsiaTheme="minorEastAsia" w:hAnsiTheme="minorHAnsi" w:cstheme="minorBidi"/>
          <w:szCs w:val="22"/>
        </w:rPr>
      </w:pPr>
      <w:r>
        <w:t>21A.</w:t>
      </w:r>
      <w:r>
        <w:tab/>
        <w:t>Varying a contract for the supply of goods or services</w:t>
      </w:r>
      <w:r>
        <w:tab/>
      </w:r>
      <w:r>
        <w:fldChar w:fldCharType="begin"/>
      </w:r>
      <w:r>
        <w:instrText xml:space="preserve"> PAGEREF _Toc217398813 \h </w:instrText>
      </w:r>
      <w:r>
        <w:fldChar w:fldCharType="separate"/>
      </w:r>
      <w:r>
        <w:t>26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Limiting who can tender, procedure for</w:t>
      </w:r>
      <w:r>
        <w:tab/>
      </w:r>
      <w:r>
        <w:fldChar w:fldCharType="begin"/>
      </w:r>
      <w:r>
        <w:instrText xml:space="preserve"> PAGEREF _Toc217398814 \h </w:instrText>
      </w:r>
      <w:r>
        <w:fldChar w:fldCharType="separate"/>
      </w:r>
      <w:r>
        <w:t>26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Minimum time to be allowed for submitting expressions of interest</w:t>
      </w:r>
      <w:r>
        <w:tab/>
      </w:r>
      <w:r>
        <w:fldChar w:fldCharType="begin"/>
      </w:r>
      <w:r>
        <w:instrText xml:space="preserve"> PAGEREF _Toc217398815 \h </w:instrText>
      </w:r>
      <w:r>
        <w:fldChar w:fldCharType="separate"/>
      </w:r>
      <w:r>
        <w:t>27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Rejecting and accepting expressions of interest to be acceptable tenderer</w:t>
      </w:r>
      <w:r>
        <w:tab/>
      </w:r>
      <w:r>
        <w:fldChar w:fldCharType="begin"/>
      </w:r>
      <w:r>
        <w:instrText xml:space="preserve"> PAGEREF _Toc217398816 \h </w:instrText>
      </w:r>
      <w:r>
        <w:fldChar w:fldCharType="separate"/>
      </w:r>
      <w:r>
        <w:t>27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People who submitted expression of interest to be notified of outcome</w:t>
      </w:r>
      <w:r>
        <w:tab/>
      </w:r>
      <w:r>
        <w:fldChar w:fldCharType="begin"/>
      </w:r>
      <w:r>
        <w:instrText xml:space="preserve"> PAGEREF _Toc217398817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Panels of pre</w:t>
      </w:r>
      <w:r>
        <w:noBreakHyphen/>
        <w:t>qualified suppliers</w:t>
      </w:r>
    </w:p>
    <w:p>
      <w:pPr>
        <w:pStyle w:val="TOC8"/>
        <w:rPr>
          <w:rFonts w:asciiTheme="minorHAnsi" w:eastAsiaTheme="minorEastAsia" w:hAnsiTheme="minorHAnsi" w:cstheme="minorBidi"/>
          <w:szCs w:val="22"/>
        </w:rPr>
      </w:pPr>
      <w:r>
        <w:t>24AA.</w:t>
      </w:r>
      <w:r>
        <w:tab/>
        <w:t>Terms used</w:t>
      </w:r>
      <w:r>
        <w:tab/>
      </w:r>
      <w:r>
        <w:fldChar w:fldCharType="begin"/>
      </w:r>
      <w:r>
        <w:instrText xml:space="preserve"> PAGEREF _Toc217398819 \h </w:instrText>
      </w:r>
      <w:r>
        <w:fldChar w:fldCharType="separate"/>
      </w:r>
      <w:r>
        <w:t>28</w:t>
      </w:r>
      <w:r>
        <w:fldChar w:fldCharType="end"/>
      </w:r>
    </w:p>
    <w:p>
      <w:pPr>
        <w:pStyle w:val="TOC8"/>
        <w:rPr>
          <w:rFonts w:asciiTheme="minorHAnsi" w:eastAsiaTheme="minorEastAsia" w:hAnsiTheme="minorHAnsi" w:cstheme="minorBidi"/>
          <w:szCs w:val="22"/>
        </w:rPr>
      </w:pPr>
      <w:r>
        <w:lastRenderedPageBreak/>
        <w:t>24AB.</w:t>
      </w:r>
      <w:r>
        <w:tab/>
        <w:t>Local government may establish panels of pre</w:t>
      </w:r>
      <w:r>
        <w:noBreakHyphen/>
        <w:t>qualified suppliers</w:t>
      </w:r>
      <w:r>
        <w:tab/>
      </w:r>
      <w:r>
        <w:fldChar w:fldCharType="begin"/>
      </w:r>
      <w:r>
        <w:instrText xml:space="preserve"> PAGEREF _Toc217398820 \h </w:instrText>
      </w:r>
      <w:r>
        <w:fldChar w:fldCharType="separate"/>
      </w:r>
      <w:r>
        <w:t>29</w:t>
      </w:r>
      <w:r>
        <w:fldChar w:fldCharType="end"/>
      </w:r>
    </w:p>
    <w:p>
      <w:pPr>
        <w:pStyle w:val="TOC8"/>
        <w:rPr>
          <w:rFonts w:asciiTheme="minorHAnsi" w:eastAsiaTheme="minorEastAsia" w:hAnsiTheme="minorHAnsi" w:cstheme="minorBidi"/>
          <w:szCs w:val="22"/>
        </w:rPr>
      </w:pPr>
      <w:r>
        <w:t>24AC.</w:t>
      </w:r>
      <w:r>
        <w:tab/>
        <w:t>Requirements before establishing panels of pre</w:t>
      </w:r>
      <w:r>
        <w:noBreakHyphen/>
        <w:t>qualified suppliers</w:t>
      </w:r>
      <w:r>
        <w:tab/>
      </w:r>
      <w:r>
        <w:fldChar w:fldCharType="begin"/>
      </w:r>
      <w:r>
        <w:instrText xml:space="preserve"> PAGEREF _Toc217398821 \h </w:instrText>
      </w:r>
      <w:r>
        <w:fldChar w:fldCharType="separate"/>
      </w:r>
      <w:r>
        <w:t>29</w:t>
      </w:r>
      <w:r>
        <w:fldChar w:fldCharType="end"/>
      </w:r>
    </w:p>
    <w:p>
      <w:pPr>
        <w:pStyle w:val="TOC8"/>
        <w:rPr>
          <w:rFonts w:asciiTheme="minorHAnsi" w:eastAsiaTheme="minorEastAsia" w:hAnsiTheme="minorHAnsi" w:cstheme="minorBidi"/>
          <w:szCs w:val="22"/>
        </w:rPr>
      </w:pPr>
      <w:r>
        <w:t>24AD.</w:t>
      </w:r>
      <w:r>
        <w:tab/>
        <w:t>Requirements when inviting persons to apply to join panel of pre</w:t>
      </w:r>
      <w:r>
        <w:noBreakHyphen/>
        <w:t>qualified suppliers</w:t>
      </w:r>
      <w:r>
        <w:tab/>
      </w:r>
      <w:r>
        <w:fldChar w:fldCharType="begin"/>
      </w:r>
      <w:r>
        <w:instrText xml:space="preserve"> PAGEREF _Toc217398822 \h </w:instrText>
      </w:r>
      <w:r>
        <w:fldChar w:fldCharType="separate"/>
      </w:r>
      <w:r>
        <w:t>30</w:t>
      </w:r>
      <w:r>
        <w:fldChar w:fldCharType="end"/>
      </w:r>
    </w:p>
    <w:p>
      <w:pPr>
        <w:pStyle w:val="TOC8"/>
        <w:rPr>
          <w:rFonts w:asciiTheme="minorHAnsi" w:eastAsiaTheme="minorEastAsia" w:hAnsiTheme="minorHAnsi" w:cstheme="minorBidi"/>
          <w:szCs w:val="22"/>
        </w:rPr>
      </w:pPr>
      <w:r>
        <w:t>24AE.</w:t>
      </w:r>
      <w:r>
        <w:tab/>
        <w:t>Minimum time to be allowed for submitting application to join panel of pre</w:t>
      </w:r>
      <w:r>
        <w:noBreakHyphen/>
        <w:t>qualified suppliers</w:t>
      </w:r>
      <w:r>
        <w:tab/>
      </w:r>
      <w:r>
        <w:fldChar w:fldCharType="begin"/>
      </w:r>
      <w:r>
        <w:instrText xml:space="preserve"> PAGEREF _Toc217398823 \h </w:instrText>
      </w:r>
      <w:r>
        <w:fldChar w:fldCharType="separate"/>
      </w:r>
      <w:r>
        <w:t>32</w:t>
      </w:r>
      <w:r>
        <w:fldChar w:fldCharType="end"/>
      </w:r>
    </w:p>
    <w:p>
      <w:pPr>
        <w:pStyle w:val="TOC8"/>
        <w:rPr>
          <w:rFonts w:asciiTheme="minorHAnsi" w:eastAsiaTheme="minorEastAsia" w:hAnsiTheme="minorHAnsi" w:cstheme="minorBidi"/>
          <w:szCs w:val="22"/>
        </w:rPr>
      </w:pPr>
      <w:r>
        <w:t>24AF.</w:t>
      </w:r>
      <w:r>
        <w:tab/>
        <w:t>Procedure for receiving and opening applications</w:t>
      </w:r>
      <w:r>
        <w:tab/>
      </w:r>
      <w:r>
        <w:fldChar w:fldCharType="begin"/>
      </w:r>
      <w:r>
        <w:instrText xml:space="preserve"> PAGEREF _Toc217398824 \h </w:instrText>
      </w:r>
      <w:r>
        <w:fldChar w:fldCharType="separate"/>
      </w:r>
      <w:r>
        <w:t>32</w:t>
      </w:r>
      <w:r>
        <w:fldChar w:fldCharType="end"/>
      </w:r>
    </w:p>
    <w:p>
      <w:pPr>
        <w:pStyle w:val="TOC8"/>
        <w:rPr>
          <w:rFonts w:asciiTheme="minorHAnsi" w:eastAsiaTheme="minorEastAsia" w:hAnsiTheme="minorHAnsi" w:cstheme="minorBidi"/>
          <w:szCs w:val="22"/>
        </w:rPr>
      </w:pPr>
      <w:r>
        <w:t>24AG.</w:t>
      </w:r>
      <w:r>
        <w:tab/>
        <w:t>Information about panels of pre</w:t>
      </w:r>
      <w:r>
        <w:noBreakHyphen/>
        <w:t>qualified suppliers to be included in tenders register</w:t>
      </w:r>
      <w:r>
        <w:tab/>
      </w:r>
      <w:r>
        <w:fldChar w:fldCharType="begin"/>
      </w:r>
      <w:r>
        <w:instrText xml:space="preserve"> PAGEREF _Toc217398825 \h </w:instrText>
      </w:r>
      <w:r>
        <w:fldChar w:fldCharType="separate"/>
      </w:r>
      <w:r>
        <w:t>32</w:t>
      </w:r>
      <w:r>
        <w:fldChar w:fldCharType="end"/>
      </w:r>
    </w:p>
    <w:p>
      <w:pPr>
        <w:pStyle w:val="TOC8"/>
        <w:rPr>
          <w:rFonts w:asciiTheme="minorHAnsi" w:eastAsiaTheme="minorEastAsia" w:hAnsiTheme="minorHAnsi" w:cstheme="minorBidi"/>
          <w:szCs w:val="22"/>
        </w:rPr>
      </w:pPr>
      <w:r>
        <w:t>24AH.</w:t>
      </w:r>
      <w:r>
        <w:tab/>
        <w:t>Rejecting and accepting applications to join panel of pre</w:t>
      </w:r>
      <w:r>
        <w:noBreakHyphen/>
        <w:t>qualified suppliers</w:t>
      </w:r>
      <w:r>
        <w:tab/>
      </w:r>
      <w:r>
        <w:fldChar w:fldCharType="begin"/>
      </w:r>
      <w:r>
        <w:instrText xml:space="preserve"> PAGEREF _Toc217398826 \h </w:instrText>
      </w:r>
      <w:r>
        <w:fldChar w:fldCharType="separate"/>
      </w:r>
      <w:r>
        <w:t>33</w:t>
      </w:r>
      <w:r>
        <w:fldChar w:fldCharType="end"/>
      </w:r>
    </w:p>
    <w:p>
      <w:pPr>
        <w:pStyle w:val="TOC8"/>
        <w:rPr>
          <w:rFonts w:asciiTheme="minorHAnsi" w:eastAsiaTheme="minorEastAsia" w:hAnsiTheme="minorHAnsi" w:cstheme="minorBidi"/>
          <w:szCs w:val="22"/>
        </w:rPr>
      </w:pPr>
      <w:r>
        <w:t>24AI.</w:t>
      </w:r>
      <w:r>
        <w:tab/>
        <w:t>Applicants to be notified of outcome</w:t>
      </w:r>
      <w:r>
        <w:tab/>
      </w:r>
      <w:r>
        <w:fldChar w:fldCharType="begin"/>
      </w:r>
      <w:r>
        <w:instrText xml:space="preserve"> PAGEREF _Toc217398827 \h </w:instrText>
      </w:r>
      <w:r>
        <w:fldChar w:fldCharType="separate"/>
      </w:r>
      <w:r>
        <w:t>33</w:t>
      </w:r>
      <w:r>
        <w:fldChar w:fldCharType="end"/>
      </w:r>
    </w:p>
    <w:p>
      <w:pPr>
        <w:pStyle w:val="TOC8"/>
        <w:rPr>
          <w:rFonts w:asciiTheme="minorHAnsi" w:eastAsiaTheme="minorEastAsia" w:hAnsiTheme="minorHAnsi" w:cstheme="minorBidi"/>
          <w:szCs w:val="22"/>
        </w:rPr>
      </w:pPr>
      <w:r>
        <w:t>24AJ.</w:t>
      </w:r>
      <w:r>
        <w:tab/>
        <w:t>Contracts with pre</w:t>
      </w:r>
      <w:r>
        <w:noBreakHyphen/>
        <w:t>qualified suppliers</w:t>
      </w:r>
      <w:r>
        <w:tab/>
      </w:r>
      <w:r>
        <w:fldChar w:fldCharType="begin"/>
      </w:r>
      <w:r>
        <w:instrText xml:space="preserve"> PAGEREF _Toc217398828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4A — Regional price preference</w:t>
      </w:r>
    </w:p>
    <w:p>
      <w:pPr>
        <w:pStyle w:val="TOC8"/>
        <w:rPr>
          <w:rFonts w:asciiTheme="minorHAnsi" w:eastAsiaTheme="minorEastAsia" w:hAnsiTheme="minorHAnsi" w:cstheme="minorBidi"/>
          <w:szCs w:val="22"/>
        </w:rPr>
      </w:pPr>
      <w:r>
        <w:t>24A.</w:t>
      </w:r>
      <w:r>
        <w:tab/>
        <w:t>Application of this Part</w:t>
      </w:r>
      <w:r>
        <w:tab/>
      </w:r>
      <w:r>
        <w:fldChar w:fldCharType="begin"/>
      </w:r>
      <w:r>
        <w:instrText xml:space="preserve"> PAGEREF _Toc217398830 \h </w:instrText>
      </w:r>
      <w:r>
        <w:fldChar w:fldCharType="separate"/>
      </w:r>
      <w:r>
        <w:t>35</w:t>
      </w:r>
      <w:r>
        <w:fldChar w:fldCharType="end"/>
      </w:r>
    </w:p>
    <w:p>
      <w:pPr>
        <w:pStyle w:val="TOC8"/>
        <w:rPr>
          <w:rFonts w:asciiTheme="minorHAnsi" w:eastAsiaTheme="minorEastAsia" w:hAnsiTheme="minorHAnsi" w:cstheme="minorBidi"/>
          <w:szCs w:val="22"/>
        </w:rPr>
      </w:pPr>
      <w:r>
        <w:t>24B.</w:t>
      </w:r>
      <w:r>
        <w:tab/>
        <w:t>Terms used</w:t>
      </w:r>
      <w:r>
        <w:tab/>
      </w:r>
      <w:r>
        <w:fldChar w:fldCharType="begin"/>
      </w:r>
      <w:r>
        <w:instrText xml:space="preserve"> PAGEREF _Toc217398831 \h </w:instrText>
      </w:r>
      <w:r>
        <w:fldChar w:fldCharType="separate"/>
      </w:r>
      <w:r>
        <w:t>35</w:t>
      </w:r>
      <w:r>
        <w:fldChar w:fldCharType="end"/>
      </w:r>
    </w:p>
    <w:p>
      <w:pPr>
        <w:pStyle w:val="TOC8"/>
        <w:rPr>
          <w:rFonts w:asciiTheme="minorHAnsi" w:eastAsiaTheme="minorEastAsia" w:hAnsiTheme="minorHAnsi" w:cstheme="minorBidi"/>
          <w:szCs w:val="22"/>
        </w:rPr>
      </w:pPr>
      <w:r>
        <w:t>24C.</w:t>
      </w:r>
      <w:r>
        <w:tab/>
        <w:t>Regional price preference may be given</w:t>
      </w:r>
      <w:r>
        <w:tab/>
      </w:r>
      <w:r>
        <w:fldChar w:fldCharType="begin"/>
      </w:r>
      <w:r>
        <w:instrText xml:space="preserve"> PAGEREF _Toc217398832 \h </w:instrText>
      </w:r>
      <w:r>
        <w:fldChar w:fldCharType="separate"/>
      </w:r>
      <w:r>
        <w:t>36</w:t>
      </w:r>
      <w:r>
        <w:fldChar w:fldCharType="end"/>
      </w:r>
    </w:p>
    <w:p>
      <w:pPr>
        <w:pStyle w:val="TOC8"/>
        <w:rPr>
          <w:rFonts w:asciiTheme="minorHAnsi" w:eastAsiaTheme="minorEastAsia" w:hAnsiTheme="minorHAnsi" w:cstheme="minorBidi"/>
          <w:szCs w:val="22"/>
        </w:rPr>
      </w:pPr>
      <w:r>
        <w:t>24D.</w:t>
      </w:r>
      <w:r>
        <w:tab/>
        <w:t>Discounts permitted for regional price preferences</w:t>
      </w:r>
      <w:r>
        <w:tab/>
      </w:r>
      <w:r>
        <w:fldChar w:fldCharType="begin"/>
      </w:r>
      <w:r>
        <w:instrText xml:space="preserve"> PAGEREF _Toc217398833 \h </w:instrText>
      </w:r>
      <w:r>
        <w:fldChar w:fldCharType="separate"/>
      </w:r>
      <w:r>
        <w:t>36</w:t>
      </w:r>
      <w:r>
        <w:fldChar w:fldCharType="end"/>
      </w:r>
    </w:p>
    <w:p>
      <w:pPr>
        <w:pStyle w:val="TOC8"/>
        <w:rPr>
          <w:rFonts w:asciiTheme="minorHAnsi" w:eastAsiaTheme="minorEastAsia" w:hAnsiTheme="minorHAnsi" w:cstheme="minorBidi"/>
          <w:szCs w:val="22"/>
        </w:rPr>
      </w:pPr>
      <w:r>
        <w:t>24E.</w:t>
      </w:r>
      <w:r>
        <w:tab/>
        <w:t>Regional price preference policies for local governments</w:t>
      </w:r>
      <w:r>
        <w:tab/>
      </w:r>
      <w:r>
        <w:fldChar w:fldCharType="begin"/>
      </w:r>
      <w:r>
        <w:instrText xml:space="preserve"> PAGEREF _Toc217398834 \h </w:instrText>
      </w:r>
      <w:r>
        <w:fldChar w:fldCharType="separate"/>
      </w:r>
      <w:r>
        <w:t>37</w:t>
      </w:r>
      <w:r>
        <w:fldChar w:fldCharType="end"/>
      </w:r>
    </w:p>
    <w:p>
      <w:pPr>
        <w:pStyle w:val="TOC8"/>
        <w:rPr>
          <w:rFonts w:asciiTheme="minorHAnsi" w:eastAsiaTheme="minorEastAsia" w:hAnsiTheme="minorHAnsi" w:cstheme="minorBidi"/>
          <w:szCs w:val="22"/>
        </w:rPr>
      </w:pPr>
      <w:r>
        <w:t>24F.</w:t>
      </w:r>
      <w:r>
        <w:tab/>
        <w:t>Adoption and notice of regional price preference policy</w:t>
      </w:r>
      <w:r>
        <w:tab/>
      </w:r>
      <w:r>
        <w:fldChar w:fldCharType="begin"/>
      </w:r>
      <w:r>
        <w:instrText xml:space="preserve"> PAGEREF _Toc217398835 \h </w:instrText>
      </w:r>
      <w:r>
        <w:fldChar w:fldCharType="separate"/>
      </w:r>
      <w:r>
        <w:t>38</w:t>
      </w:r>
      <w:r>
        <w:fldChar w:fldCharType="end"/>
      </w:r>
    </w:p>
    <w:p>
      <w:pPr>
        <w:pStyle w:val="TOC8"/>
        <w:rPr>
          <w:rFonts w:asciiTheme="minorHAnsi" w:eastAsiaTheme="minorEastAsia" w:hAnsiTheme="minorHAnsi" w:cstheme="minorBidi"/>
          <w:szCs w:val="22"/>
        </w:rPr>
      </w:pPr>
      <w:r>
        <w:t>24G.</w:t>
      </w:r>
      <w:r>
        <w:tab/>
        <w:t>Adopted regional price preference policy, effect of</w:t>
      </w:r>
      <w:r>
        <w:tab/>
      </w:r>
      <w:r>
        <w:fldChar w:fldCharType="begin"/>
      </w:r>
      <w:r>
        <w:instrText xml:space="preserve"> PAGEREF _Toc217398836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Owner onus and infringement notices</w:t>
      </w:r>
    </w:p>
    <w:p>
      <w:pPr>
        <w:pStyle w:val="TOC8"/>
        <w:rPr>
          <w:rFonts w:asciiTheme="minorHAnsi" w:eastAsiaTheme="minorEastAsia" w:hAnsiTheme="minorHAnsi" w:cstheme="minorBidi"/>
          <w:szCs w:val="22"/>
        </w:rPr>
      </w:pPr>
      <w:r>
        <w:t>25</w:t>
      </w:r>
      <w:r>
        <w:rPr>
          <w:snapToGrid w:val="0"/>
        </w:rPr>
        <w:t>.</w:t>
      </w:r>
      <w:r>
        <w:rPr>
          <w:snapToGrid w:val="0"/>
        </w:rPr>
        <w:tab/>
        <w:t>Notice to put onus on vehicle owner, form of (Act s. 9.13)</w:t>
      </w:r>
      <w:r>
        <w:tab/>
      </w:r>
      <w:r>
        <w:fldChar w:fldCharType="begin"/>
      </w:r>
      <w:r>
        <w:instrText xml:space="preserve"> PAGEREF _Toc217398838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Infringement notice, form of (Act s. 9.16)</w:t>
      </w:r>
      <w:r>
        <w:tab/>
      </w:r>
      <w:r>
        <w:fldChar w:fldCharType="begin"/>
      </w:r>
      <w:r>
        <w:instrText xml:space="preserve"> PAGEREF _Toc217398839 \h </w:instrText>
      </w:r>
      <w:r>
        <w:fldChar w:fldCharType="separate"/>
      </w:r>
      <w:r>
        <w:t>40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Withdrawal of infringement notice, form of (Act s. 9.20)</w:t>
      </w:r>
      <w:r>
        <w:tab/>
      </w:r>
      <w:r>
        <w:fldChar w:fldCharType="begin"/>
      </w:r>
      <w:r>
        <w:instrText xml:space="preserve"> PAGEREF _Toc217398840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6 — Miscellaneous</w:t>
      </w:r>
    </w:p>
    <w:p>
      <w:pPr>
        <w:pStyle w:val="TOC8"/>
        <w:rPr>
          <w:rFonts w:asciiTheme="minorHAnsi" w:eastAsiaTheme="minorEastAsia" w:hAnsiTheme="minorHAnsi" w:cstheme="minorBidi"/>
          <w:szCs w:val="22"/>
        </w:rPr>
      </w:pPr>
      <w:r>
        <w:t>29</w:t>
      </w:r>
      <w:r>
        <w:rPr>
          <w:snapToGrid w:val="0"/>
        </w:rPr>
        <w:t>.</w:t>
      </w:r>
      <w:r>
        <w:rPr>
          <w:snapToGrid w:val="0"/>
        </w:rPr>
        <w:tab/>
        <w:t>Contraventions that may lead to impounding of goods (Act s. </w:t>
      </w:r>
      <w:r>
        <w:t>3</w:t>
      </w:r>
      <w:r>
        <w:rPr>
          <w:snapToGrid w:val="0"/>
        </w:rPr>
        <w:t>.37)</w:t>
      </w:r>
      <w:r>
        <w:tab/>
      </w:r>
      <w:r>
        <w:fldChar w:fldCharType="begin"/>
      </w:r>
      <w:r>
        <w:instrText xml:space="preserve"> PAGEREF _Toc217398842 \h </w:instrText>
      </w:r>
      <w:r>
        <w:fldChar w:fldCharType="separate"/>
      </w:r>
      <w:r>
        <w:t>41</w:t>
      </w:r>
      <w:r>
        <w:fldChar w:fldCharType="end"/>
      </w:r>
    </w:p>
    <w:p>
      <w:pPr>
        <w:pStyle w:val="TOC8"/>
        <w:rPr>
          <w:rFonts w:asciiTheme="minorHAnsi" w:eastAsiaTheme="minorEastAsia" w:hAnsiTheme="minorHAnsi" w:cstheme="minorBidi"/>
          <w:szCs w:val="22"/>
        </w:rPr>
      </w:pPr>
      <w:r>
        <w:t>29A.</w:t>
      </w:r>
      <w:r>
        <w:tab/>
        <w:t xml:space="preserve">Abandoned vehicle wrecks, value etc. prescribed for </w:t>
      </w:r>
      <w:r>
        <w:rPr>
          <w:snapToGrid w:val="0"/>
        </w:rPr>
        <w:t>(Act </w:t>
      </w:r>
      <w:r>
        <w:t>s. 3.40A(5)(c))</w:t>
      </w:r>
      <w:r>
        <w:tab/>
      </w:r>
      <w:r>
        <w:fldChar w:fldCharType="begin"/>
      </w:r>
      <w:r>
        <w:instrText xml:space="preserve"> PAGEREF _Toc217398843 \h </w:instrText>
      </w:r>
      <w:r>
        <w:fldChar w:fldCharType="separate"/>
      </w:r>
      <w:r>
        <w:t>42</w:t>
      </w:r>
      <w:r>
        <w:fldChar w:fldCharType="end"/>
      </w:r>
    </w:p>
    <w:p>
      <w:pPr>
        <w:pStyle w:val="TOC8"/>
        <w:rPr>
          <w:rFonts w:asciiTheme="minorHAnsi" w:eastAsiaTheme="minorEastAsia" w:hAnsiTheme="minorHAnsi" w:cstheme="minorBidi"/>
          <w:szCs w:val="22"/>
        </w:rPr>
      </w:pPr>
      <w:r>
        <w:lastRenderedPageBreak/>
        <w:t>29B.</w:t>
      </w:r>
      <w:r>
        <w:tab/>
        <w:t>Prescribed non</w:t>
      </w:r>
      <w:r>
        <w:noBreakHyphen/>
        <w:t xml:space="preserve">perishable goods </w:t>
      </w:r>
      <w:r>
        <w:rPr>
          <w:snapToGrid w:val="0"/>
        </w:rPr>
        <w:t>(Act </w:t>
      </w:r>
      <w:r>
        <w:t>s. 3.47(2b)(ca))</w:t>
      </w:r>
      <w:r>
        <w:tab/>
      </w:r>
      <w:r>
        <w:fldChar w:fldCharType="begin"/>
      </w:r>
      <w:r>
        <w:instrText xml:space="preserve"> PAGEREF _Toc217398844 \h </w:instrText>
      </w:r>
      <w:r>
        <w:fldChar w:fldCharType="separate"/>
      </w:r>
      <w:r>
        <w:t>42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Dispositions of property excluded from Act s. 3.58</w:t>
      </w:r>
      <w:r>
        <w:tab/>
      </w:r>
      <w:r>
        <w:fldChar w:fldCharType="begin"/>
      </w:r>
      <w:r>
        <w:instrText xml:space="preserve"> PAGEREF _Toc217398845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Anti</w:t>
      </w:r>
      <w:r>
        <w:rPr>
          <w:snapToGrid w:val="0"/>
        </w:rPr>
        <w:noBreakHyphen/>
        <w:t>avoidance provision for Act s. 3.58</w:t>
      </w:r>
      <w:r>
        <w:tab/>
      </w:r>
      <w:r>
        <w:fldChar w:fldCharType="begin"/>
      </w:r>
      <w:r>
        <w:instrText xml:space="preserve"> PAGEREF _Toc217398846 \h </w:instrText>
      </w:r>
      <w:r>
        <w:fldChar w:fldCharType="separate"/>
      </w:r>
      <w:r>
        <w:t>45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r>
      <w:r>
        <w:t>Local government permitted to form bodies corporate (Act s. 3.60)</w:t>
      </w:r>
      <w:r>
        <w:tab/>
      </w:r>
      <w:r>
        <w:fldChar w:fldCharType="begin"/>
      </w:r>
      <w:r>
        <w:instrText xml:space="preserve"> PAGEREF _Toc217398847 \h </w:instrText>
      </w:r>
      <w:r>
        <w:fldChar w:fldCharType="separate"/>
      </w:r>
      <w:r>
        <w:t>45</w:t>
      </w:r>
      <w:r>
        <w:fldChar w:fldCharType="end"/>
      </w:r>
    </w:p>
    <w:p>
      <w:pPr>
        <w:pStyle w:val="TOC8"/>
        <w:rPr>
          <w:rFonts w:asciiTheme="minorHAnsi" w:eastAsiaTheme="minorEastAsia" w:hAnsiTheme="minorHAnsi" w:cstheme="minorBidi"/>
          <w:szCs w:val="22"/>
        </w:rPr>
      </w:pPr>
      <w:r>
        <w:t>32A.</w:t>
      </w:r>
      <w:r>
        <w:tab/>
        <w:t xml:space="preserve">Excluded authorisations </w:t>
      </w:r>
      <w:r>
        <w:rPr>
          <w:snapToGrid w:val="0"/>
        </w:rPr>
        <w:t>(Act </w:t>
      </w:r>
      <w:r>
        <w:t>s. 9.2)</w:t>
      </w:r>
      <w:r>
        <w:tab/>
      </w:r>
      <w:r>
        <w:fldChar w:fldCharType="begin"/>
      </w:r>
      <w:r>
        <w:instrText xml:space="preserve"> PAGEREF _Toc217398848 \h </w:instrText>
      </w:r>
      <w:r>
        <w:fldChar w:fldCharType="separate"/>
      </w:r>
      <w:r>
        <w:t>45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Objections to decisions, form of etc. prescribed (Act s. 9.5)</w:t>
      </w:r>
      <w:r>
        <w:tab/>
      </w:r>
      <w:r>
        <w:fldChar w:fldCharType="begin"/>
      </w:r>
      <w:r>
        <w:instrText xml:space="preserve"> PAGEREF _Toc217398849 \h </w:instrText>
      </w:r>
      <w:r>
        <w:fldChar w:fldCharType="separate"/>
      </w:r>
      <w:r>
        <w:t>46</w:t>
      </w:r>
      <w:r>
        <w:fldChar w:fldCharType="end"/>
      </w:r>
    </w:p>
    <w:p>
      <w:pPr>
        <w:pStyle w:val="TOC8"/>
        <w:rPr>
          <w:rFonts w:asciiTheme="minorHAnsi" w:eastAsiaTheme="minorEastAsia" w:hAnsiTheme="minorHAnsi" w:cstheme="minorBidi"/>
          <w:szCs w:val="22"/>
        </w:rPr>
      </w:pPr>
      <w:r>
        <w:t>34.</w:t>
      </w:r>
      <w:r>
        <w:tab/>
        <w:t>Common seal, unauthorised use of</w:t>
      </w:r>
      <w:r>
        <w:tab/>
      </w:r>
      <w:r>
        <w:fldChar w:fldCharType="begin"/>
      </w:r>
      <w:r>
        <w:instrText xml:space="preserve"> PAGEREF _Toc217398850 \h </w:instrText>
      </w:r>
      <w:r>
        <w:fldChar w:fldCharType="separate"/>
      </w:r>
      <w:r>
        <w:t>47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Certain persons protected from liability for wrongdoing (Act s. </w:t>
      </w:r>
      <w:r>
        <w:t>9</w:t>
      </w:r>
      <w:r>
        <w:rPr>
          <w:snapToGrid w:val="0"/>
        </w:rPr>
        <w:t>.56(1)(c))</w:t>
      </w:r>
      <w:r>
        <w:tab/>
      </w:r>
      <w:r>
        <w:fldChar w:fldCharType="begin"/>
      </w:r>
      <w:r>
        <w:instrText xml:space="preserve"> PAGEREF _Toc217398851 \h </w:instrText>
      </w:r>
      <w:r>
        <w:fldChar w:fldCharType="separate"/>
      </w:r>
      <w:r>
        <w:t>47</w:t>
      </w:r>
      <w:r>
        <w:fldChar w:fldCharType="end"/>
      </w:r>
    </w:p>
    <w:p>
      <w:pPr>
        <w:pStyle w:val="TOC8"/>
        <w:rPr>
          <w:rFonts w:asciiTheme="minorHAnsi" w:eastAsiaTheme="minorEastAsia" w:hAnsiTheme="minorHAnsi" w:cstheme="minorBidi"/>
          <w:szCs w:val="22"/>
        </w:rPr>
      </w:pPr>
      <w:r>
        <w:t>35A.</w:t>
      </w:r>
      <w:r>
        <w:tab/>
        <w:t xml:space="preserve">Delegable functions of Minister </w:t>
      </w:r>
      <w:r>
        <w:rPr>
          <w:snapToGrid w:val="0"/>
        </w:rPr>
        <w:t>(Act </w:t>
      </w:r>
      <w:r>
        <w:t>s. 9.66)</w:t>
      </w:r>
      <w:r>
        <w:tab/>
      </w:r>
      <w:r>
        <w:fldChar w:fldCharType="begin"/>
      </w:r>
      <w:r>
        <w:instrText xml:space="preserve"> PAGEREF _Toc217398852 \h </w:instrText>
      </w:r>
      <w:r>
        <w:fldChar w:fldCharType="separate"/>
      </w:r>
      <w:r>
        <w:t>47</w:t>
      </w:r>
      <w:r>
        <w:fldChar w:fldCharType="end"/>
      </w:r>
    </w:p>
    <w:p>
      <w:pPr>
        <w:pStyle w:val="TOC8"/>
        <w:rPr>
          <w:rFonts w:asciiTheme="minorHAnsi" w:eastAsiaTheme="minorEastAsia" w:hAnsiTheme="minorHAnsi" w:cstheme="minorBidi"/>
          <w:szCs w:val="22"/>
        </w:rPr>
      </w:pPr>
      <w:r>
        <w:t>35B.</w:t>
      </w:r>
      <w:r>
        <w:tab/>
        <w:t>Delegable functions of Departmental CEO (Act s. 9.67)</w:t>
      </w:r>
      <w:r>
        <w:tab/>
      </w:r>
      <w:r>
        <w:fldChar w:fldCharType="begin"/>
      </w:r>
      <w:r>
        <w:instrText xml:space="preserve"> PAGEREF _Toc217398853 \h </w:instrText>
      </w:r>
      <w:r>
        <w:fldChar w:fldCharType="separate"/>
      </w:r>
      <w:r>
        <w:t>48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t>Form of warrant to enter (Act s. 3.33(1))</w:t>
      </w:r>
      <w:r>
        <w:tab/>
      </w:r>
      <w:r>
        <w:fldChar w:fldCharType="begin"/>
      </w:r>
      <w:r>
        <w:instrText xml:space="preserve"> PAGEREF _Toc217398854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7 — Other transitional provisions</w:t>
      </w:r>
    </w:p>
    <w:p>
      <w:pPr>
        <w:pStyle w:val="TOC8"/>
        <w:rPr>
          <w:rFonts w:asciiTheme="minorHAnsi" w:eastAsiaTheme="minorEastAsia" w:hAnsiTheme="minorHAnsi" w:cstheme="minorBidi"/>
          <w:szCs w:val="22"/>
        </w:rPr>
      </w:pPr>
      <w:r>
        <w:t>38.</w:t>
      </w:r>
      <w:r>
        <w:rPr>
          <w:snapToGrid w:val="0"/>
        </w:rPr>
        <w:tab/>
        <w:t>Adopting former model by</w:t>
      </w:r>
      <w:r>
        <w:rPr>
          <w:snapToGrid w:val="0"/>
        </w:rPr>
        <w:noBreakHyphen/>
        <w:t>laws as local laws (Act s. 3.8(2) and (3))</w:t>
      </w:r>
      <w:r>
        <w:tab/>
      </w:r>
      <w:r>
        <w:fldChar w:fldCharType="begin"/>
      </w:r>
      <w:r>
        <w:instrText xml:space="preserve"> PAGEREF _Toc217398856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Forms</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_Toc217398859 \h </w:instrText>
      </w:r>
      <w:r>
        <w:fldChar w:fldCharType="separate"/>
      </w:r>
      <w:r>
        <w:t>56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_Toc217398860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Local Government Act 1995</w:t>
      </w:r>
    </w:p>
    <w:p>
      <w:pPr>
        <w:pStyle w:val="NameofActReg"/>
      </w:pPr>
      <w:r>
        <w:t>Local Government (Functions and General) Regulations 1996</w:t>
      </w:r>
    </w:p>
    <w:p>
      <w:pPr>
        <w:pStyle w:val="Heading2"/>
        <w:pageBreakBefore w:val="0"/>
        <w:spacing w:before="480"/>
      </w:pPr>
      <w:bookmarkStart w:id="2" w:name="_Toc217300514"/>
      <w:bookmarkStart w:id="3" w:name="_Toc217300925"/>
      <w:bookmarkStart w:id="4" w:name="_Toc217398018"/>
      <w:bookmarkStart w:id="5" w:name="_Toc217398289"/>
      <w:bookmarkStart w:id="6" w:name="_Toc21739877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217398780"/>
      <w:r>
        <w:rPr>
          <w:rStyle w:val="CharSectno"/>
        </w:rPr>
        <w:t>1</w:t>
      </w:r>
      <w:r>
        <w:rPr>
          <w:snapToGrid w:val="0"/>
        </w:rPr>
        <w:t>.</w:t>
      </w:r>
      <w:r>
        <w:rPr>
          <w:snapToGrid w:val="0"/>
        </w:rPr>
        <w:tab/>
        <w:t>Citation</w:t>
      </w:r>
      <w:bookmarkEnd w:id="7"/>
    </w:p>
    <w:p>
      <w:pPr>
        <w:pStyle w:val="Subsection"/>
        <w:rPr>
          <w:i/>
          <w:snapToGrid w:val="0"/>
        </w:rPr>
      </w:pPr>
      <w:r>
        <w:rPr>
          <w:snapToGrid w:val="0"/>
        </w:rPr>
        <w:tab/>
      </w:r>
      <w:r>
        <w:rPr>
          <w:snapToGrid w:val="0"/>
        </w:rPr>
        <w:tab/>
        <w:t xml:space="preserve">These regulations may be cited as the </w:t>
      </w:r>
      <w:r>
        <w:rPr>
          <w:i/>
          <w:snapToGrid w:val="0"/>
        </w:rPr>
        <w:t>Local Government (Functions and General) Regulations 1996</w:t>
      </w:r>
      <w:r>
        <w:rPr>
          <w:snapToGrid w:val="0"/>
        </w:rPr>
        <w:t>.</w:t>
      </w:r>
    </w:p>
    <w:p>
      <w:pPr>
        <w:pStyle w:val="Heading5"/>
        <w:rPr>
          <w:snapToGrid w:val="0"/>
        </w:rPr>
      </w:pPr>
      <w:bookmarkStart w:id="8" w:name="_Toc217398781"/>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These regulations come into operation on 1 July 1996.</w:t>
      </w:r>
    </w:p>
    <w:p>
      <w:pPr>
        <w:pStyle w:val="Heading2"/>
      </w:pPr>
      <w:bookmarkStart w:id="9" w:name="_Toc217300517"/>
      <w:bookmarkStart w:id="10" w:name="_Toc217300928"/>
      <w:bookmarkStart w:id="11" w:name="_Toc217398021"/>
      <w:bookmarkStart w:id="12" w:name="_Toc217398292"/>
      <w:bookmarkStart w:id="13" w:name="_Toc217398782"/>
      <w:r>
        <w:rPr>
          <w:rStyle w:val="CharPartNo"/>
        </w:rPr>
        <w:lastRenderedPageBreak/>
        <w:t>Part 1A</w:t>
      </w:r>
      <w:r>
        <w:rPr>
          <w:rStyle w:val="CharDivNo"/>
        </w:rPr>
        <w:t> </w:t>
      </w:r>
      <w:r>
        <w:rPr>
          <w:rStyle w:val="CharPartNo"/>
        </w:rPr>
        <w:t>—</w:t>
      </w:r>
      <w:r>
        <w:rPr>
          <w:rStyle w:val="CharDivText"/>
        </w:rPr>
        <w:t> </w:t>
      </w:r>
      <w:r>
        <w:rPr>
          <w:rStyle w:val="CharPartText"/>
        </w:rPr>
        <w:t>Local laws</w:t>
      </w:r>
      <w:bookmarkEnd w:id="9"/>
      <w:bookmarkEnd w:id="10"/>
      <w:bookmarkEnd w:id="11"/>
      <w:bookmarkEnd w:id="12"/>
      <w:bookmarkEnd w:id="13"/>
    </w:p>
    <w:p>
      <w:pPr>
        <w:pStyle w:val="Footnoteheading"/>
      </w:pPr>
      <w:r>
        <w:tab/>
        <w:t>[Heading inserted: Gazette 11 Sep 1998 p. 4927.]</w:t>
      </w:r>
    </w:p>
    <w:p>
      <w:pPr>
        <w:pStyle w:val="Heading5"/>
      </w:pPr>
      <w:bookmarkStart w:id="14" w:name="_Toc217398783"/>
      <w:r>
        <w:rPr>
          <w:rStyle w:val="CharSectno"/>
        </w:rPr>
        <w:t>2A</w:t>
      </w:r>
      <w:r>
        <w:t>.</w:t>
      </w:r>
      <w:r>
        <w:tab/>
        <w:t>Matters about which local laws are not to be made (Act s. 3.5)</w:t>
      </w:r>
      <w:bookmarkEnd w:id="14"/>
    </w:p>
    <w:p>
      <w:pPr>
        <w:pStyle w:val="Subsection"/>
        <w:rPr>
          <w:snapToGrid w:val="0"/>
        </w:rPr>
      </w:pPr>
      <w:r>
        <w:rPr>
          <w:snapToGrid w:val="0"/>
        </w:rPr>
        <w:tab/>
      </w:r>
      <w:r>
        <w:rPr>
          <w:snapToGrid w:val="0"/>
        </w:rPr>
        <w:tab/>
        <w:t>Local laws are not to be made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Gazette 11 Sep 1998 p. 4927.]</w:t>
      </w:r>
    </w:p>
    <w:p>
      <w:pPr>
        <w:pStyle w:val="Heading5"/>
      </w:pPr>
      <w:bookmarkStart w:id="15" w:name="_Toc217398784"/>
      <w:r>
        <w:rPr>
          <w:rStyle w:val="CharSectno"/>
        </w:rPr>
        <w:t>3</w:t>
      </w:r>
      <w:r>
        <w:t>.</w:t>
      </w:r>
      <w:r>
        <w:tab/>
        <w:t xml:space="preserve">Prescribed manner of giving notice of purpose and effect of proposed local law </w:t>
      </w:r>
      <w:r>
        <w:rPr>
          <w:snapToGrid w:val="0"/>
        </w:rPr>
        <w:t>(Act </w:t>
      </w:r>
      <w:r>
        <w:t>s. 3.12(2))</w:t>
      </w:r>
      <w:bookmarkEnd w:id="15"/>
    </w:p>
    <w:p>
      <w:pPr>
        <w:pStyle w:val="Subsection"/>
      </w:pPr>
      <w:r>
        <w:tab/>
      </w:r>
      <w:r>
        <w:tab/>
        <w:t>For the purpose of section 3.12 of the Act, the person presiding at a council meeting is to give notice of the purpose and effect of a local law by ensuring that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Gazette 31 Mar 2005 p. 1057; amended: Gazette 27 Sep 2011 p. 3846.]</w:t>
      </w:r>
    </w:p>
    <w:p>
      <w:pPr>
        <w:pStyle w:val="Heading2"/>
        <w:rPr>
          <w:rStyle w:val="CharPartText"/>
        </w:rPr>
      </w:pPr>
      <w:bookmarkStart w:id="16" w:name="_Toc217300520"/>
      <w:bookmarkStart w:id="17" w:name="_Toc217300931"/>
      <w:bookmarkStart w:id="18" w:name="_Toc217398024"/>
      <w:bookmarkStart w:id="19" w:name="_Toc217398295"/>
      <w:bookmarkStart w:id="20" w:name="_Toc217398785"/>
      <w:r>
        <w:rPr>
          <w:rStyle w:val="CharPartNo"/>
        </w:rPr>
        <w:lastRenderedPageBreak/>
        <w:t>Part 1B</w:t>
      </w:r>
      <w:r>
        <w:t> — </w:t>
      </w:r>
      <w:r>
        <w:rPr>
          <w:rStyle w:val="CharPartText"/>
        </w:rPr>
        <w:t>Caretaker period</w:t>
      </w:r>
      <w:bookmarkEnd w:id="16"/>
      <w:bookmarkEnd w:id="17"/>
      <w:bookmarkEnd w:id="18"/>
      <w:bookmarkEnd w:id="19"/>
      <w:bookmarkEnd w:id="20"/>
    </w:p>
    <w:p>
      <w:pPr>
        <w:pStyle w:val="Footnoteheading"/>
      </w:pPr>
      <w:r>
        <w:tab/>
        <w:t>[Heading inserted: SL 2023/102 r. 60.]</w:t>
      </w:r>
    </w:p>
    <w:p>
      <w:pPr>
        <w:pStyle w:val="Heading5"/>
      </w:pPr>
      <w:bookmarkStart w:id="21" w:name="_Toc217398786"/>
      <w:r>
        <w:rPr>
          <w:rStyle w:val="CharSectno"/>
        </w:rPr>
        <w:t>3A</w:t>
      </w:r>
      <w:r>
        <w:t>.</w:t>
      </w:r>
      <w:r>
        <w:tab/>
        <w:t>Significant acts</w:t>
      </w:r>
      <w:bookmarkEnd w:id="21"/>
    </w:p>
    <w:p>
      <w:pPr>
        <w:pStyle w:val="Subsection"/>
      </w:pPr>
      <w:r>
        <w:tab/>
        <w:t>(1)</w:t>
      </w:r>
      <w:r>
        <w:tab/>
        <w:t xml:space="preserve">In this regulation, references to paragraphs are to paragraphs of the definition of </w:t>
      </w:r>
      <w:r>
        <w:rPr>
          <w:b/>
          <w:i/>
        </w:rPr>
        <w:t>significant act</w:t>
      </w:r>
      <w:r>
        <w:t xml:space="preserve"> in section 3.73(1) of the Act (unless otherwise indicated).</w:t>
      </w:r>
    </w:p>
    <w:p>
      <w:pPr>
        <w:pStyle w:val="Subsection"/>
      </w:pPr>
      <w:r>
        <w:tab/>
        <w:t>(2)</w:t>
      </w:r>
      <w:r>
        <w:tab/>
        <w:t xml:space="preserve">For the purposes of paragraph (f), entering into a contract is a significant act if either or both of the following apply — </w:t>
      </w:r>
    </w:p>
    <w:p>
      <w:pPr>
        <w:pStyle w:val="Indenta"/>
      </w:pPr>
      <w:r>
        <w:tab/>
        <w:t>(a)</w:t>
      </w:r>
      <w:r>
        <w:tab/>
        <w:t xml:space="preserve">under the contract, the local government is to, or is expected to, provide or receive consideration that is, or is expected to be — </w:t>
      </w:r>
    </w:p>
    <w:p>
      <w:pPr>
        <w:pStyle w:val="Indenti"/>
      </w:pPr>
      <w:r>
        <w:tab/>
        <w:t>(i)</w:t>
      </w:r>
      <w:r>
        <w:tab/>
        <w:t>more than $250 000 (in total); or</w:t>
      </w:r>
    </w:p>
    <w:p>
      <w:pPr>
        <w:pStyle w:val="Indenti"/>
      </w:pPr>
      <w:r>
        <w:tab/>
        <w:t>(ii)</w:t>
      </w:r>
      <w:r>
        <w:tab/>
        <w:t>worth more than $250 000 (in total);</w:t>
      </w:r>
    </w:p>
    <w:p>
      <w:pPr>
        <w:pStyle w:val="Indenta"/>
      </w:pPr>
      <w:r>
        <w:tab/>
        <w:t>(b)</w:t>
      </w:r>
      <w:r>
        <w:tab/>
        <w:t>under the contract, the local government is to, or is expected to, acquire or dispose of property the market value of which is, or is expected to be, more than $250 000 (in total).</w:t>
      </w:r>
    </w:p>
    <w:p>
      <w:pPr>
        <w:pStyle w:val="Subsection"/>
      </w:pPr>
      <w:r>
        <w:tab/>
        <w:t>(3)</w:t>
      </w:r>
      <w:r>
        <w:tab/>
        <w:t>If a local government intends to enter into 2 or more contracts in circumstances such that the desire to avoid the requirements of subregulation (2) is a significant reason for not dealing with the matter in a single contract, for the purposes of paragraph (f), entering into any of the contracts is a significant act.</w:t>
      </w:r>
    </w:p>
    <w:p>
      <w:pPr>
        <w:pStyle w:val="Subsection"/>
      </w:pPr>
      <w:r>
        <w:tab/>
        <w:t>(4)</w:t>
      </w:r>
      <w:r>
        <w:tab/>
        <w:t xml:space="preserve">In subregulations (2) and (3) — </w:t>
      </w:r>
    </w:p>
    <w:p>
      <w:pPr>
        <w:pStyle w:val="Defstart"/>
      </w:pPr>
      <w:r>
        <w:tab/>
      </w:r>
      <w:r>
        <w:rPr>
          <w:rStyle w:val="CharDefText"/>
        </w:rPr>
        <w:t>acquire</w:t>
      </w:r>
      <w:r>
        <w:t xml:space="preserve"> includes lease or license from another person;</w:t>
      </w:r>
    </w:p>
    <w:p>
      <w:pPr>
        <w:pStyle w:val="Defstart"/>
      </w:pPr>
      <w:r>
        <w:tab/>
      </w:r>
      <w:r>
        <w:rPr>
          <w:rStyle w:val="CharDefText"/>
        </w:rPr>
        <w:t>contract</w:t>
      </w:r>
      <w:r>
        <w:t xml:space="preserve"> means a contract or other agreement or arrangement;</w:t>
      </w:r>
    </w:p>
    <w:p>
      <w:pPr>
        <w:pStyle w:val="Defstart"/>
      </w:pPr>
      <w:r>
        <w:tab/>
      </w:r>
      <w:r>
        <w:rPr>
          <w:rStyle w:val="CharDefText"/>
        </w:rPr>
        <w:t>dispose</w:t>
      </w:r>
      <w:r>
        <w:t xml:space="preserve"> includes lease or license to another person;</w:t>
      </w:r>
    </w:p>
    <w:p>
      <w:pPr>
        <w:pStyle w:val="Defstart"/>
      </w:pPr>
      <w:r>
        <w:tab/>
      </w:r>
      <w:r>
        <w:rPr>
          <w:rStyle w:val="CharDefText"/>
        </w:rPr>
        <w:t>property</w:t>
      </w:r>
      <w:r>
        <w:t xml:space="preserve"> includes any interest, or any share of an interest, in any property.</w:t>
      </w:r>
    </w:p>
    <w:p>
      <w:pPr>
        <w:pStyle w:val="Subsection"/>
        <w:keepNext/>
      </w:pPr>
      <w:r>
        <w:lastRenderedPageBreak/>
        <w:tab/>
        <w:t>(5)</w:t>
      </w:r>
      <w:r>
        <w:tab/>
        <w:t xml:space="preserve">For the purposes of paragraph (g), inviting a tender is a significant act if the tender — </w:t>
      </w:r>
    </w:p>
    <w:p>
      <w:pPr>
        <w:pStyle w:val="Indenta"/>
      </w:pPr>
      <w:r>
        <w:tab/>
        <w:t>(a)</w:t>
      </w:r>
      <w:r>
        <w:tab/>
        <w:t>is required to be publicly invited under regulation 11(1) or 12(2); or</w:t>
      </w:r>
    </w:p>
    <w:p>
      <w:pPr>
        <w:pStyle w:val="Indenta"/>
      </w:pPr>
      <w:r>
        <w:tab/>
        <w:t>(b)</w:t>
      </w:r>
      <w:r>
        <w:tab/>
        <w:t>would be required to be publicly invited under regulation 11(1) or 12(2) but for regulation 11(2).</w:t>
      </w:r>
    </w:p>
    <w:p>
      <w:pPr>
        <w:pStyle w:val="Subsection"/>
      </w:pPr>
      <w:r>
        <w:tab/>
        <w:t>(6)</w:t>
      </w:r>
      <w:r>
        <w:tab/>
        <w:t xml:space="preserve">For the purposes of paragraph (i), each of the following is a significant act — </w:t>
      </w:r>
    </w:p>
    <w:p>
      <w:pPr>
        <w:pStyle w:val="Indenta"/>
      </w:pPr>
      <w:r>
        <w:tab/>
        <w:t>(a)</w:t>
      </w:r>
      <w:r>
        <w:tab/>
        <w:t xml:space="preserve">each of the following under Part 3 Division 4 of the Act — </w:t>
      </w:r>
    </w:p>
    <w:p>
      <w:pPr>
        <w:pStyle w:val="Indenti"/>
      </w:pPr>
      <w:r>
        <w:tab/>
        <w:t>(i)</w:t>
      </w:r>
      <w:r>
        <w:tab/>
        <w:t>establishing a regional local government;</w:t>
      </w:r>
    </w:p>
    <w:p>
      <w:pPr>
        <w:pStyle w:val="Indenti"/>
      </w:pPr>
      <w:r>
        <w:tab/>
        <w:t>(ii)</w:t>
      </w:r>
      <w:r>
        <w:tab/>
        <w:t>amending the establishment agreement for a regional local government;</w:t>
      </w:r>
    </w:p>
    <w:p>
      <w:pPr>
        <w:pStyle w:val="Indenti"/>
      </w:pPr>
      <w:r>
        <w:tab/>
        <w:t>(iii)</w:t>
      </w:r>
      <w:r>
        <w:tab/>
        <w:t>winding up a regional local government, otherwise than at the direction of the Minister;</w:t>
      </w:r>
    </w:p>
    <w:p>
      <w:pPr>
        <w:pStyle w:val="Indenti"/>
      </w:pPr>
      <w:r>
        <w:tab/>
        <w:t>(iv)</w:t>
      </w:r>
      <w:r>
        <w:tab/>
        <w:t>withdrawing from a regional local government;</w:t>
      </w:r>
    </w:p>
    <w:p>
      <w:pPr>
        <w:pStyle w:val="Indenti"/>
      </w:pPr>
      <w:r>
        <w:tab/>
        <w:t>(v)</w:t>
      </w:r>
      <w:r>
        <w:tab/>
        <w:t>forming a regional subsidiary;</w:t>
      </w:r>
    </w:p>
    <w:p>
      <w:pPr>
        <w:pStyle w:val="Indenti"/>
      </w:pPr>
      <w:r>
        <w:tab/>
        <w:t>(vi)</w:t>
      </w:r>
      <w:r>
        <w:tab/>
        <w:t>amending the charter for a regional subsidiary;</w:t>
      </w:r>
    </w:p>
    <w:p>
      <w:pPr>
        <w:pStyle w:val="Indenti"/>
      </w:pPr>
      <w:r>
        <w:tab/>
        <w:t>(vii)</w:t>
      </w:r>
      <w:r>
        <w:tab/>
        <w:t>winding up, or withdrawing from, a regional subsidiary;</w:t>
      </w:r>
    </w:p>
    <w:p>
      <w:pPr>
        <w:pStyle w:val="Indenta"/>
      </w:pPr>
      <w:r>
        <w:tab/>
        <w:t>(b)</w:t>
      </w:r>
      <w:r>
        <w:tab/>
        <w:t xml:space="preserve">commencing the preparation of any of the following under the </w:t>
      </w:r>
      <w:r>
        <w:rPr>
          <w:i/>
        </w:rPr>
        <w:t xml:space="preserve">Planning and Development (Local Planning Schemes) Regulations 2015 </w:t>
      </w:r>
      <w:r>
        <w:t xml:space="preserve">Part 3 — </w:t>
      </w:r>
    </w:p>
    <w:p>
      <w:pPr>
        <w:pStyle w:val="Indenti"/>
      </w:pPr>
      <w:r>
        <w:tab/>
        <w:t>(i)</w:t>
      </w:r>
      <w:r>
        <w:tab/>
        <w:t>a local planning strategy;</w:t>
      </w:r>
    </w:p>
    <w:p>
      <w:pPr>
        <w:pStyle w:val="Indenti"/>
      </w:pPr>
      <w:r>
        <w:tab/>
        <w:t>(ii)</w:t>
      </w:r>
      <w:r>
        <w:tab/>
        <w:t>an amendment to a local planning strategy;</w:t>
      </w:r>
    </w:p>
    <w:p>
      <w:pPr>
        <w:pStyle w:val="Indenti"/>
      </w:pPr>
      <w:r>
        <w:tab/>
        <w:t>(iii)</w:t>
      </w:r>
      <w:r>
        <w:tab/>
        <w:t>a notice of revocation in respect of a local planning strategy;</w:t>
      </w:r>
    </w:p>
    <w:p>
      <w:pPr>
        <w:pStyle w:val="Indenta"/>
      </w:pPr>
      <w:r>
        <w:tab/>
        <w:t>(c)</w:t>
      </w:r>
      <w:r>
        <w:tab/>
        <w:t xml:space="preserve">passing a resolution of the kind referred to in the </w:t>
      </w:r>
      <w:r>
        <w:rPr>
          <w:i/>
        </w:rPr>
        <w:t xml:space="preserve">Planning and Development (Local Planning Schemes) Regulations 2015 </w:t>
      </w:r>
      <w:r>
        <w:t>regulation 19(1);</w:t>
      </w:r>
    </w:p>
    <w:p>
      <w:pPr>
        <w:pStyle w:val="Indenta"/>
      </w:pPr>
      <w:r>
        <w:lastRenderedPageBreak/>
        <w:tab/>
        <w:t>(d)</w:t>
      </w:r>
      <w:r>
        <w:tab/>
        <w:t xml:space="preserve">passing a resolution of the kind referred to in the </w:t>
      </w:r>
      <w:r>
        <w:rPr>
          <w:i/>
        </w:rPr>
        <w:t xml:space="preserve">Planning and Development (Local Planning Schemes) Regulations 2015 </w:t>
      </w:r>
      <w:r>
        <w:t>regulation 35(1) in relation to a complex amendment (as defined in regulation 34 of those regulations);</w:t>
      </w:r>
    </w:p>
    <w:p>
      <w:pPr>
        <w:pStyle w:val="Indenta"/>
      </w:pPr>
      <w:r>
        <w:tab/>
        <w:t>(e)</w:t>
      </w:r>
      <w:r>
        <w:tab/>
        <w:t xml:space="preserve">commencing a review of a local planning scheme under the </w:t>
      </w:r>
      <w:r>
        <w:rPr>
          <w:i/>
        </w:rPr>
        <w:t xml:space="preserve">Planning and Development (Local Planning Schemes) Regulations 2015 </w:t>
      </w:r>
      <w:r>
        <w:t>regulation 65;</w:t>
      </w:r>
    </w:p>
    <w:p>
      <w:pPr>
        <w:pStyle w:val="Indenta"/>
      </w:pPr>
      <w:r>
        <w:tab/>
        <w:t>(f)</w:t>
      </w:r>
      <w:r>
        <w:tab/>
        <w:t xml:space="preserve">commencing the preparation of an instrument of repeal in respect of a local planning scheme under the </w:t>
      </w:r>
      <w:r>
        <w:rPr>
          <w:i/>
        </w:rPr>
        <w:t xml:space="preserve">Planning and Development Act 2005 </w:t>
      </w:r>
      <w:r>
        <w:t>section 74(b);</w:t>
      </w:r>
    </w:p>
    <w:p>
      <w:pPr>
        <w:pStyle w:val="Indenta"/>
      </w:pPr>
      <w:r>
        <w:tab/>
        <w:t>(g)</w:t>
      </w:r>
      <w:r>
        <w:tab/>
        <w:t xml:space="preserve">doing either of the following under the </w:t>
      </w:r>
      <w:r>
        <w:rPr>
          <w:i/>
        </w:rPr>
        <w:t xml:space="preserve">Planning and Development (Local Planning Schemes) Regulations 2015 </w:t>
      </w:r>
      <w:r>
        <w:t xml:space="preserve">Schedule 2 Part 2 Division 2 as that Division has effect as part of a local planning scheme of the local government — </w:t>
      </w:r>
    </w:p>
    <w:p>
      <w:pPr>
        <w:pStyle w:val="Indenti"/>
      </w:pPr>
      <w:r>
        <w:tab/>
        <w:t>(i)</w:t>
      </w:r>
      <w:r>
        <w:tab/>
        <w:t>resolving to prepare or amend a local planning policy;</w:t>
      </w:r>
    </w:p>
    <w:p>
      <w:pPr>
        <w:pStyle w:val="Indenti"/>
      </w:pPr>
      <w:r>
        <w:tab/>
        <w:t>(ii)</w:t>
      </w:r>
      <w:r>
        <w:tab/>
        <w:t>commencing the preparation of a notice of revocation in respect of a local planning policy;</w:t>
      </w:r>
    </w:p>
    <w:p>
      <w:pPr>
        <w:pStyle w:val="Indenta"/>
      </w:pPr>
      <w:r>
        <w:tab/>
        <w:t>(h)</w:t>
      </w:r>
      <w:r>
        <w:tab/>
        <w:t>publicly inviting persons to apply to join a panel of pre</w:t>
      </w:r>
      <w:r>
        <w:noBreakHyphen/>
        <w:t>qualified suppliers under Part 4 Division 3;</w:t>
      </w:r>
    </w:p>
    <w:p>
      <w:pPr>
        <w:pStyle w:val="Indenta"/>
      </w:pPr>
      <w:r>
        <w:tab/>
        <w:t>(i)</w:t>
      </w:r>
      <w:r>
        <w:tab/>
        <w:t>deciding to do anything referred to in paragraphs (a) to (h) of this subregulation.</w:t>
      </w:r>
    </w:p>
    <w:p>
      <w:pPr>
        <w:pStyle w:val="Subsection"/>
      </w:pPr>
      <w:r>
        <w:tab/>
        <w:t>(7)</w:t>
      </w:r>
      <w:r>
        <w:tab/>
        <w:t xml:space="preserve">Subregulation (6)(b) to (g) do not apply to anything done, and subregulation (6)(i) does not apply to a decision to do anything, for the purpose of complying with an order or notice given under the </w:t>
      </w:r>
      <w:r>
        <w:rPr>
          <w:i/>
        </w:rPr>
        <w:t xml:space="preserve">Planning and Development Act 2005 </w:t>
      </w:r>
      <w:r>
        <w:t>section 76, 77A, 211 or 212.</w:t>
      </w:r>
    </w:p>
    <w:p>
      <w:pPr>
        <w:pStyle w:val="Footnotesection"/>
      </w:pPr>
      <w:r>
        <w:tab/>
        <w:t>[Regulation 3A inserted: SL 2023/102 r. 60.]</w:t>
      </w:r>
    </w:p>
    <w:p>
      <w:pPr>
        <w:pStyle w:val="Heading5"/>
      </w:pPr>
      <w:bookmarkStart w:id="22" w:name="_Toc217398787"/>
      <w:r>
        <w:rPr>
          <w:rStyle w:val="CharSectno"/>
        </w:rPr>
        <w:lastRenderedPageBreak/>
        <w:t>3B</w:t>
      </w:r>
      <w:r>
        <w:t>.</w:t>
      </w:r>
      <w:r>
        <w:tab/>
        <w:t>Decisions taken before caretaker period</w:t>
      </w:r>
      <w:bookmarkEnd w:id="22"/>
    </w:p>
    <w:p>
      <w:pPr>
        <w:pStyle w:val="Subsection"/>
      </w:pPr>
      <w:r>
        <w:tab/>
      </w:r>
      <w:r>
        <w:tab/>
        <w:t xml:space="preserve">For the purposes of section 3.73(4)(b) of the Act, the local government must do the following before doing the significant act — </w:t>
      </w:r>
    </w:p>
    <w:p>
      <w:pPr>
        <w:pStyle w:val="Indenta"/>
      </w:pPr>
      <w:r>
        <w:tab/>
        <w:t>(a)</w:t>
      </w:r>
      <w:r>
        <w:tab/>
        <w:t xml:space="preserve">give local public notice of the local government’s intention to do the significant act, including — </w:t>
      </w:r>
    </w:p>
    <w:p>
      <w:pPr>
        <w:pStyle w:val="Indenti"/>
      </w:pPr>
      <w:r>
        <w:tab/>
        <w:t>(i)</w:t>
      </w:r>
      <w:r>
        <w:tab/>
        <w:t>details of the significant act and the date on which the local government intends to do the significant act; and</w:t>
      </w:r>
    </w:p>
    <w:p>
      <w:pPr>
        <w:pStyle w:val="Indenti"/>
      </w:pPr>
      <w:r>
        <w:tab/>
        <w:t>(ii)</w:t>
      </w:r>
      <w:r>
        <w:tab/>
        <w:t>details of the decision to do the significant act referred to in section 3.73(4)(a) of the Act and the date on which the decision was made;</w:t>
      </w:r>
    </w:p>
    <w:p>
      <w:pPr>
        <w:pStyle w:val="Indenta"/>
      </w:pPr>
      <w:r>
        <w:tab/>
        <w:t>(b)</w:t>
      </w:r>
      <w:r>
        <w:tab/>
        <w:t>provide a copy of the notice given under paragraph (a) to the Departmental CEO.</w:t>
      </w:r>
    </w:p>
    <w:p>
      <w:pPr>
        <w:pStyle w:val="Footnotesection"/>
      </w:pPr>
      <w:r>
        <w:tab/>
        <w:t>[Regulation 3B inserted: SL 2023/102 r. 60.]</w:t>
      </w:r>
    </w:p>
    <w:p>
      <w:pPr>
        <w:pStyle w:val="Heading5"/>
      </w:pPr>
      <w:bookmarkStart w:id="23" w:name="_Toc217398788"/>
      <w:r>
        <w:rPr>
          <w:rStyle w:val="CharSectno"/>
        </w:rPr>
        <w:t>3C</w:t>
      </w:r>
      <w:r>
        <w:t>.</w:t>
      </w:r>
      <w:r>
        <w:tab/>
        <w:t>Transitional provision</w:t>
      </w:r>
      <w:bookmarkEnd w:id="23"/>
    </w:p>
    <w:p>
      <w:pPr>
        <w:pStyle w:val="Subsection"/>
      </w:pPr>
      <w:r>
        <w:tab/>
      </w:r>
      <w:r>
        <w:tab/>
        <w:t>For the purposes of Schedule 9.3 clause 62(2) of the Act, section 3.73 of the Act does not apply in relation to a caretaker period that begins before 1 July 2024.</w:t>
      </w:r>
    </w:p>
    <w:p>
      <w:pPr>
        <w:pStyle w:val="Footnotesection"/>
      </w:pPr>
      <w:r>
        <w:tab/>
        <w:t>[Regulation 3C inserted: SL 2023/102 r. 60.]</w:t>
      </w:r>
    </w:p>
    <w:p>
      <w:pPr>
        <w:pStyle w:val="Heading2"/>
      </w:pPr>
      <w:bookmarkStart w:id="24" w:name="_Toc217300524"/>
      <w:bookmarkStart w:id="25" w:name="_Toc217300935"/>
      <w:bookmarkStart w:id="26" w:name="_Toc217398028"/>
      <w:bookmarkStart w:id="27" w:name="_Toc217398299"/>
      <w:bookmarkStart w:id="28" w:name="_Toc217398789"/>
      <w:r>
        <w:rPr>
          <w:rStyle w:val="CharPartNo"/>
        </w:rPr>
        <w:lastRenderedPageBreak/>
        <w:t>Part 2</w:t>
      </w:r>
      <w:r>
        <w:rPr>
          <w:rStyle w:val="CharDivNo"/>
        </w:rPr>
        <w:t> </w:t>
      </w:r>
      <w:r>
        <w:t>—</w:t>
      </w:r>
      <w:r>
        <w:rPr>
          <w:rStyle w:val="CharDivText"/>
        </w:rPr>
        <w:t> </w:t>
      </w:r>
      <w:r>
        <w:rPr>
          <w:rStyle w:val="CharPartText"/>
        </w:rPr>
        <w:t>Thoroughfares</w:t>
      </w:r>
      <w:bookmarkEnd w:id="24"/>
      <w:bookmarkEnd w:id="25"/>
      <w:bookmarkEnd w:id="26"/>
      <w:bookmarkEnd w:id="27"/>
      <w:bookmarkEnd w:id="28"/>
    </w:p>
    <w:p>
      <w:pPr>
        <w:pStyle w:val="Heading5"/>
        <w:rPr>
          <w:snapToGrid w:val="0"/>
        </w:rPr>
      </w:pPr>
      <w:bookmarkStart w:id="29" w:name="_Toc217398790"/>
      <w:r>
        <w:rPr>
          <w:rStyle w:val="CharSectno"/>
        </w:rPr>
        <w:t>4</w:t>
      </w:r>
      <w:r>
        <w:rPr>
          <w:snapToGrid w:val="0"/>
        </w:rPr>
        <w:t>.</w:t>
      </w:r>
      <w:r>
        <w:rPr>
          <w:snapToGrid w:val="0"/>
        </w:rPr>
        <w:tab/>
        <w:t>Persons prescribed to be notified of road closure (Act s. 3.50)</w:t>
      </w:r>
      <w:bookmarkEnd w:id="29"/>
    </w:p>
    <w:p>
      <w:pPr>
        <w:pStyle w:val="Subsection"/>
        <w:spacing w:before="140"/>
        <w:rPr>
          <w:snapToGrid w:val="0"/>
        </w:rPr>
      </w:pPr>
      <w:r>
        <w:rPr>
          <w:snapToGrid w:val="0"/>
        </w:rPr>
        <w:tab/>
        <w:t>(1)</w:t>
      </w:r>
      <w:r>
        <w:rPr>
          <w:snapToGrid w:val="0"/>
        </w:rPr>
        <w:tab/>
        <w:t>The persons prescribed for the purposes of section 3.50 of the Act are —</w:t>
      </w:r>
    </w:p>
    <w:p>
      <w:pPr>
        <w:pStyle w:val="Indenta"/>
        <w:spacing w:before="60"/>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 and</w:t>
      </w:r>
    </w:p>
    <w:p>
      <w:pPr>
        <w:pStyle w:val="Indenta"/>
        <w:spacing w:before="60"/>
        <w:rPr>
          <w:snapToGrid w:val="0"/>
        </w:rPr>
      </w:pPr>
      <w:r>
        <w:rPr>
          <w:snapToGrid w:val="0"/>
        </w:rPr>
        <w:tab/>
        <w:t>(b)</w:t>
      </w:r>
      <w:r>
        <w:rPr>
          <w:snapToGrid w:val="0"/>
        </w:rPr>
        <w:tab/>
        <w:t>the person having principal responsibility in the locality for ambulance services; and</w:t>
      </w:r>
    </w:p>
    <w:p>
      <w:pPr>
        <w:pStyle w:val="Indenta"/>
        <w:spacing w:before="60"/>
        <w:rPr>
          <w:snapToGrid w:val="0"/>
        </w:rPr>
      </w:pPr>
      <w:r>
        <w:rPr>
          <w:snapToGrid w:val="0"/>
        </w:rPr>
        <w:tab/>
        <w:t>(c)</w:t>
      </w:r>
      <w:r>
        <w:rPr>
          <w:snapToGrid w:val="0"/>
        </w:rPr>
        <w:tab/>
        <w:t>the person having principal responsibility in the locality for fire services; and</w:t>
      </w:r>
    </w:p>
    <w:p>
      <w:pPr>
        <w:pStyle w:val="Indenta"/>
        <w:spacing w:before="60"/>
        <w:rPr>
          <w:snapToGrid w:val="0"/>
        </w:rPr>
      </w:pPr>
      <w:r>
        <w:rPr>
          <w:snapToGrid w:val="0"/>
        </w:rPr>
        <w:tab/>
        <w:t>(d)</w:t>
      </w:r>
      <w:r>
        <w:rPr>
          <w:snapToGrid w:val="0"/>
        </w:rPr>
        <w:tab/>
        <w:t>the occupier of land that will lose its access.</w:t>
      </w:r>
    </w:p>
    <w:p>
      <w:pPr>
        <w:pStyle w:val="Subsection"/>
        <w:spacing w:before="140"/>
        <w:rPr>
          <w:snapToGrid w:val="0"/>
        </w:rPr>
      </w:pPr>
      <w:r>
        <w:rPr>
          <w:snapToGrid w:val="0"/>
        </w:rPr>
        <w:tab/>
        <w:t>(2)</w:t>
      </w:r>
      <w:r>
        <w:rPr>
          <w:snapToGrid w:val="0"/>
        </w:rPr>
        <w:tab/>
        <w:t>The land that is prescribed for the purposes of section 3.50 of the Act is land that will lose its access.</w:t>
      </w:r>
    </w:p>
    <w:p>
      <w:pPr>
        <w:pStyle w:val="Subsection"/>
        <w:spacing w:before="140"/>
        <w:rPr>
          <w:snapToGrid w:val="0"/>
        </w:rPr>
      </w:pPr>
      <w:r>
        <w:rPr>
          <w:snapToGrid w:val="0"/>
        </w:rPr>
        <w:tab/>
        <w:t>(3)</w:t>
      </w:r>
      <w:r>
        <w:rPr>
          <w:snapToGrid w:val="0"/>
        </w:rPr>
        <w:tab/>
        <w:t>In this regulation —</w:t>
      </w:r>
    </w:p>
    <w:p>
      <w:pPr>
        <w:pStyle w:val="Defstart"/>
      </w:pPr>
      <w:r>
        <w:rPr>
          <w:b/>
        </w:rPr>
        <w:tab/>
      </w:r>
      <w:r>
        <w:rPr>
          <w:rStyle w:val="CharDefText"/>
        </w:rPr>
        <w:t>land that will lose its access</w:t>
      </w:r>
      <w:r>
        <w:t xml:space="preserve"> means land that abuts the thoroughfare at any point to which access would be precluded as a result of the closure.</w:t>
      </w:r>
    </w:p>
    <w:p>
      <w:pPr>
        <w:pStyle w:val="Heading5"/>
        <w:rPr>
          <w:snapToGrid w:val="0"/>
        </w:rPr>
      </w:pPr>
      <w:bookmarkStart w:id="30" w:name="_Toc217398791"/>
      <w:r>
        <w:rPr>
          <w:rStyle w:val="CharSectno"/>
        </w:rPr>
        <w:t>5</w:t>
      </w:r>
      <w:r>
        <w:rPr>
          <w:snapToGrid w:val="0"/>
        </w:rPr>
        <w:t>.</w:t>
      </w:r>
      <w:r>
        <w:rPr>
          <w:snapToGrid w:val="0"/>
        </w:rPr>
        <w:tab/>
        <w:t>Persons prescribed to be notified of certain proposals (Act s. </w:t>
      </w:r>
      <w:r>
        <w:rPr>
          <w:rStyle w:val="CharSectno"/>
        </w:rPr>
        <w:t>3</w:t>
      </w:r>
      <w:r>
        <w:rPr>
          <w:snapToGrid w:val="0"/>
        </w:rPr>
        <w:t xml:space="preserve">.51(1) </w:t>
      </w:r>
      <w:r>
        <w:rPr>
          <w:i/>
          <w:snapToGrid w:val="0"/>
        </w:rPr>
        <w:t>person having an interest</w:t>
      </w:r>
      <w:r>
        <w:rPr>
          <w:snapToGrid w:val="0"/>
        </w:rPr>
        <w:t>)</w:t>
      </w:r>
      <w:bookmarkEnd w:id="30"/>
    </w:p>
    <w:p>
      <w:pPr>
        <w:pStyle w:val="Subsection"/>
        <w:spacing w:before="140"/>
        <w:rPr>
          <w:snapToGrid w:val="0"/>
        </w:rPr>
      </w:pPr>
      <w:r>
        <w:rPr>
          <w:snapToGrid w:val="0"/>
        </w:rPr>
        <w:tab/>
      </w:r>
      <w:r>
        <w:rPr>
          <w:snapToGrid w:val="0"/>
        </w:rPr>
        <w:tab/>
        <w:t>The persons prescribed for the purposes of section 3.51 of the Act are —</w:t>
      </w:r>
    </w:p>
    <w:p>
      <w:pPr>
        <w:pStyle w:val="Indenta"/>
        <w:spacing w:before="60"/>
        <w:rPr>
          <w:snapToGrid w:val="0"/>
        </w:rPr>
      </w:pPr>
      <w:r>
        <w:rPr>
          <w:snapToGrid w:val="0"/>
        </w:rPr>
        <w:tab/>
        <w:t>(a)</w:t>
      </w:r>
      <w:r>
        <w:rPr>
          <w:snapToGrid w:val="0"/>
        </w:rPr>
        <w:tab/>
        <w:t>if the land to which that section applies is occupied, the occupier; and</w:t>
      </w:r>
    </w:p>
    <w:p>
      <w:pPr>
        <w:pStyle w:val="Indenta"/>
        <w:spacing w:before="60"/>
        <w:rPr>
          <w:snapToGrid w:val="0"/>
        </w:rPr>
      </w:pPr>
      <w:r>
        <w:rPr>
          <w:snapToGrid w:val="0"/>
        </w:rPr>
        <w:tab/>
        <w:t>(b)</w:t>
      </w:r>
      <w:r>
        <w:rPr>
          <w:snapToGrid w:val="0"/>
        </w:rPr>
        <w:tab/>
        <w:t xml:space="preserve">in relation to fixing or altering the level of, or the alignment of, a public thoroughfare, any person providing a service by means of pipes, cables, or </w:t>
      </w:r>
      <w:r>
        <w:rPr>
          <w:snapToGrid w:val="0"/>
        </w:rPr>
        <w:lastRenderedPageBreak/>
        <w:t>anything else under, on, or above the land used for the thoroughfare.</w:t>
      </w:r>
    </w:p>
    <w:p>
      <w:pPr>
        <w:pStyle w:val="Heading5"/>
        <w:rPr>
          <w:snapToGrid w:val="0"/>
        </w:rPr>
      </w:pPr>
      <w:bookmarkStart w:id="31" w:name="_Toc217398792"/>
      <w:r>
        <w:rPr>
          <w:rStyle w:val="CharSectno"/>
        </w:rPr>
        <w:t>6</w:t>
      </w:r>
      <w:r>
        <w:rPr>
          <w:snapToGrid w:val="0"/>
        </w:rPr>
        <w:t>.</w:t>
      </w:r>
      <w:r>
        <w:rPr>
          <w:snapToGrid w:val="0"/>
        </w:rPr>
        <w:tab/>
        <w:t>Transitional provisions about road closures</w:t>
      </w:r>
      <w:bookmarkEnd w:id="31"/>
    </w:p>
    <w:p>
      <w:pPr>
        <w:pStyle w:val="Subsection"/>
        <w:rPr>
          <w:snapToGrid w:val="0"/>
        </w:rPr>
      </w:pPr>
      <w:r>
        <w:rPr>
          <w:snapToGrid w:val="0"/>
        </w:rPr>
        <w:tab/>
        <w:t>(1)</w:t>
      </w:r>
      <w:r>
        <w:rPr>
          <w:snapToGrid w:val="0"/>
        </w:rPr>
        <w:tab/>
        <w:t>If, when the Act comes into operation, a thoroughfare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section</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1</w:t>
      </w:r>
      <w:r>
        <w:t>.</w:t>
      </w:r>
    </w:p>
    <w:p>
      <w:pPr>
        <w:pStyle w:val="Heading2"/>
      </w:pPr>
      <w:bookmarkStart w:id="32" w:name="_Toc217300528"/>
      <w:bookmarkStart w:id="33" w:name="_Toc217300939"/>
      <w:bookmarkStart w:id="34" w:name="_Toc217398032"/>
      <w:bookmarkStart w:id="35" w:name="_Toc217398303"/>
      <w:bookmarkStart w:id="36" w:name="_Toc217398793"/>
      <w:r>
        <w:rPr>
          <w:rStyle w:val="CharPartNo"/>
        </w:rPr>
        <w:lastRenderedPageBreak/>
        <w:t>Part 3</w:t>
      </w:r>
      <w:r>
        <w:rPr>
          <w:rStyle w:val="CharDivNo"/>
        </w:rPr>
        <w:t> </w:t>
      </w:r>
      <w:r>
        <w:t>—</w:t>
      </w:r>
      <w:r>
        <w:rPr>
          <w:rStyle w:val="CharDivText"/>
        </w:rPr>
        <w:t> </w:t>
      </w:r>
      <w:r>
        <w:rPr>
          <w:rStyle w:val="CharPartText"/>
        </w:rPr>
        <w:t>Commercial enterprises by local governments (s. 3.59)</w:t>
      </w:r>
      <w:bookmarkEnd w:id="32"/>
      <w:bookmarkEnd w:id="33"/>
      <w:bookmarkEnd w:id="34"/>
      <w:bookmarkEnd w:id="35"/>
      <w:bookmarkEnd w:id="36"/>
    </w:p>
    <w:p>
      <w:pPr>
        <w:pStyle w:val="Heading5"/>
      </w:pPr>
      <w:bookmarkStart w:id="37" w:name="_Toc217398794"/>
      <w:r>
        <w:rPr>
          <w:rStyle w:val="CharSectno"/>
        </w:rPr>
        <w:t>7</w:t>
      </w:r>
      <w:r>
        <w:t>.</w:t>
      </w:r>
      <w:r>
        <w:tab/>
        <w:t>Term used: major regional centre</w:t>
      </w:r>
      <w:bookmarkEnd w:id="37"/>
    </w:p>
    <w:p>
      <w:pPr>
        <w:pStyle w:val="Subsection"/>
      </w:pPr>
      <w:r>
        <w:tab/>
        <w:t>(1)</w:t>
      </w:r>
      <w:r>
        <w:tab/>
        <w:t>In this Part —</w:t>
      </w:r>
    </w:p>
    <w:p>
      <w:pPr>
        <w:pStyle w:val="Defstart"/>
      </w:pPr>
      <w:r>
        <w:tab/>
      </w:r>
      <w:r>
        <w:rPr>
          <w:rStyle w:val="CharDefText"/>
        </w:rPr>
        <w:t>major regional centre</w:t>
      </w:r>
      <w:r>
        <w:t xml:space="preserve"> means a local government the district of which —</w:t>
      </w:r>
    </w:p>
    <w:p>
      <w:pPr>
        <w:pStyle w:val="Defpara"/>
      </w:pPr>
      <w:r>
        <w:tab/>
        <w:t>(a)</w:t>
      </w:r>
      <w:r>
        <w:tab/>
        <w:t>is not in the metropolitan area; and</w:t>
      </w:r>
    </w:p>
    <w:p>
      <w:pPr>
        <w:pStyle w:val="Defpara"/>
      </w:pPr>
      <w:r>
        <w:tab/>
        <w:t>(b)</w:t>
      </w:r>
      <w:r>
        <w:tab/>
        <w:t>has more than 20 000 inhabitants.</w:t>
      </w:r>
    </w:p>
    <w:p>
      <w:pPr>
        <w:pStyle w:val="Subsection"/>
      </w:pPr>
      <w:r>
        <w:tab/>
        <w:t>(2)</w:t>
      </w:r>
      <w:r>
        <w:tab/>
        <w:t xml:space="preserve">Section 2.4(6) of the Act applies to determine the number of inhabitants of a district for the purposes of the definition of </w:t>
      </w:r>
      <w:r>
        <w:rPr>
          <w:b/>
          <w:i/>
        </w:rPr>
        <w:t>major regional centre</w:t>
      </w:r>
      <w:r>
        <w:t>.</w:t>
      </w:r>
    </w:p>
    <w:p>
      <w:pPr>
        <w:pStyle w:val="Footnotesection"/>
      </w:pPr>
      <w:r>
        <w:tab/>
        <w:t>[Regulation 7 inserted: Gazette 27 Sep 2011 p. 3843-4.]</w:t>
      </w:r>
    </w:p>
    <w:p>
      <w:pPr>
        <w:pStyle w:val="Heading5"/>
      </w:pPr>
      <w:bookmarkStart w:id="38" w:name="_Toc217398795"/>
      <w:r>
        <w:rPr>
          <w:rStyle w:val="CharSectno"/>
        </w:rPr>
        <w:t>8A</w:t>
      </w:r>
      <w:r>
        <w:t>.</w:t>
      </w:r>
      <w:r>
        <w:tab/>
        <w:t xml:space="preserve">Amount prescribed for major land transactions; exempt land transactions prescribed </w:t>
      </w:r>
      <w:r>
        <w:rPr>
          <w:snapToGrid w:val="0"/>
        </w:rPr>
        <w:t>(Act </w:t>
      </w:r>
      <w:r>
        <w:t>s. 3.59)</w:t>
      </w:r>
      <w:bookmarkEnd w:id="38"/>
    </w:p>
    <w:p>
      <w:pPr>
        <w:pStyle w:val="Subsection"/>
      </w:pPr>
      <w:r>
        <w:tab/>
        <w:t>(1)</w:t>
      </w:r>
      <w:r>
        <w:tab/>
        <w:t xml:space="preserve">The amount prescribed for the purposes of the definition of </w:t>
      </w:r>
      <w:r>
        <w:rPr>
          <w:b/>
          <w:i/>
        </w:rPr>
        <w:t>major land transaction</w:t>
      </w:r>
      <w:r>
        <w:t xml:space="preserve"> in section 3.59(1) of the Act is —</w:t>
      </w:r>
    </w:p>
    <w:p>
      <w:pPr>
        <w:pStyle w:val="Indenta"/>
      </w:pPr>
      <w:r>
        <w:tab/>
        <w:t>(a)</w:t>
      </w:r>
      <w:r>
        <w:tab/>
        <w:t>if the land transaction is entered into by a local government the district of which is in the metropolitan area or a major regional centre, the amount that is the lesser of —</w:t>
      </w:r>
    </w:p>
    <w:p>
      <w:pPr>
        <w:pStyle w:val="Indenti"/>
      </w:pPr>
      <w:r>
        <w:tab/>
        <w:t>(i)</w:t>
      </w:r>
      <w:r>
        <w:tab/>
        <w:t>$10 000 000; or</w:t>
      </w:r>
    </w:p>
    <w:p>
      <w:pPr>
        <w:pStyle w:val="Indenti"/>
      </w:pPr>
      <w:r>
        <w:tab/>
        <w:t>(ii)</w:t>
      </w:r>
      <w:r>
        <w:tab/>
        <w:t>10% of the operating expenditure incurred by the local government from its municipal fund in the last completed financial year;</w:t>
      </w:r>
    </w:p>
    <w:p>
      <w:pPr>
        <w:pStyle w:val="Indenta"/>
      </w:pPr>
      <w:r>
        <w:tab/>
      </w:r>
      <w:r>
        <w:tab/>
        <w:t>or</w:t>
      </w:r>
    </w:p>
    <w:p>
      <w:pPr>
        <w:pStyle w:val="Indenta"/>
      </w:pPr>
      <w:r>
        <w:tab/>
        <w:t>(b)</w:t>
      </w:r>
      <w:r>
        <w:tab/>
        <w:t>if the land transaction is entered into by any other local government, the amount that is the lesser of —</w:t>
      </w:r>
    </w:p>
    <w:p>
      <w:pPr>
        <w:pStyle w:val="Indenti"/>
      </w:pPr>
      <w:r>
        <w:tab/>
        <w:t>(i)</w:t>
      </w:r>
      <w:r>
        <w:tab/>
        <w:t>$2 000 000; or</w:t>
      </w:r>
    </w:p>
    <w:p>
      <w:pPr>
        <w:pStyle w:val="Indenti"/>
      </w:pPr>
      <w:r>
        <w:lastRenderedPageBreak/>
        <w:tab/>
        <w:t>(ii)</w:t>
      </w:r>
      <w:r>
        <w:tab/>
        <w:t>10% of the operating expenditure incurred by the local government from its municipal fund in the last completed financial year.</w:t>
      </w:r>
    </w:p>
    <w:p>
      <w:pPr>
        <w:pStyle w:val="Subsection"/>
      </w:pPr>
      <w:r>
        <w:tab/>
        <w:t>(2)</w:t>
      </w:r>
      <w:r>
        <w:tab/>
        <w:t>A land transaction is an exempt land transaction for the purposes of section 3.59 of the Act if —</w:t>
      </w:r>
    </w:p>
    <w:p>
      <w:pPr>
        <w:pStyle w:val="Indenta"/>
      </w:pPr>
      <w:r>
        <w:tab/>
        <w:t>(a)</w:t>
      </w:r>
      <w:r>
        <w:tab/>
        <w:t>the total value of —</w:t>
      </w:r>
    </w:p>
    <w:p>
      <w:pPr>
        <w:pStyle w:val="Indenti"/>
      </w:pPr>
      <w:r>
        <w:tab/>
        <w:t>(i)</w:t>
      </w:r>
      <w:r>
        <w:tab/>
        <w:t>the consideration under the transaction; and</w:t>
      </w:r>
    </w:p>
    <w:p>
      <w:pPr>
        <w:pStyle w:val="Indenti"/>
      </w:pPr>
      <w:r>
        <w:tab/>
        <w:t>(ii)</w:t>
      </w:r>
      <w:r>
        <w:tab/>
        <w:t>anything done by the local government for achieving the purpose of the transaction,</w:t>
      </w:r>
    </w:p>
    <w:p>
      <w:pPr>
        <w:pStyle w:val="Indenta"/>
      </w:pPr>
      <w:r>
        <w:tab/>
      </w:r>
      <w:r>
        <w:tab/>
        <w:t>is more, or is worth more, than the amount prescribed under subregulation (1); and</w:t>
      </w:r>
    </w:p>
    <w:p>
      <w:pPr>
        <w:pStyle w:val="Indenta"/>
      </w:pPr>
      <w:r>
        <w:tab/>
        <w:t>(b)</w:t>
      </w:r>
      <w:r>
        <w:tab/>
        <w:t>the Minister has, in writing, declared the transaction to be an exempt transaction because the Minister is satisfied that the amount by which the total value exceeds the amount prescribed under subregulation (1) is not significant taking into account —</w:t>
      </w:r>
    </w:p>
    <w:p>
      <w:pPr>
        <w:pStyle w:val="Indenti"/>
      </w:pPr>
      <w:r>
        <w:tab/>
        <w:t>(i)</w:t>
      </w:r>
      <w:r>
        <w:tab/>
        <w:t>the total value of the transaction; or</w:t>
      </w:r>
    </w:p>
    <w:p>
      <w:pPr>
        <w:pStyle w:val="Indenti"/>
      </w:pPr>
      <w:r>
        <w:tab/>
        <w:t>(ii)</w:t>
      </w:r>
      <w:r>
        <w:tab/>
        <w:t>variations throughout the State in the value of land.</w:t>
      </w:r>
    </w:p>
    <w:p>
      <w:pPr>
        <w:pStyle w:val="Footnotesection"/>
      </w:pPr>
      <w:r>
        <w:tab/>
        <w:t>[Regulation 8A inserted: Gazette 27 Sep 2011 p. 3844.]</w:t>
      </w:r>
    </w:p>
    <w:p>
      <w:pPr>
        <w:pStyle w:val="Heading5"/>
        <w:rPr>
          <w:snapToGrid w:val="0"/>
        </w:rPr>
      </w:pPr>
      <w:bookmarkStart w:id="39" w:name="_Toc217398796"/>
      <w:r>
        <w:rPr>
          <w:rStyle w:val="CharSectno"/>
        </w:rPr>
        <w:t>8</w:t>
      </w:r>
      <w:r>
        <w:rPr>
          <w:snapToGrid w:val="0"/>
        </w:rPr>
        <w:t>.</w:t>
      </w:r>
      <w:r>
        <w:rPr>
          <w:snapToGrid w:val="0"/>
        </w:rPr>
        <w:tab/>
        <w:t>Exempt land transactions prescribed (Act s. 3.59)</w:t>
      </w:r>
      <w:bookmarkEnd w:id="39"/>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 xml:space="preserve">For the purposes of subregulation (1)(b) a person is given joint use of land if the land is to be jointly used for a common </w:t>
      </w:r>
      <w:r>
        <w:rPr>
          <w:snapToGrid w:val="0"/>
        </w:rPr>
        <w:lastRenderedPageBreak/>
        <w:t>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 xml:space="preserve">although the total value referred to in the definition of </w:t>
      </w:r>
      <w:r>
        <w:rPr>
          <w:b/>
          <w:i/>
          <w:snapToGrid w:val="0"/>
        </w:rPr>
        <w:t>major land transaction</w:t>
      </w:r>
      <w:r>
        <w:rPr>
          <w:snapToGrid w:val="0"/>
        </w:rPr>
        <w:t xml:space="preserve">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Gazette 29 Aug 1997 p. 4867</w:t>
      </w:r>
      <w:r>
        <w:noBreakHyphen/>
        <w:t>8.]</w:t>
      </w:r>
    </w:p>
    <w:p>
      <w:pPr>
        <w:pStyle w:val="Heading5"/>
        <w:rPr>
          <w:snapToGrid w:val="0"/>
        </w:rPr>
      </w:pPr>
      <w:bookmarkStart w:id="40" w:name="_Toc217398797"/>
      <w:r>
        <w:rPr>
          <w:rStyle w:val="CharSectno"/>
        </w:rPr>
        <w:t>9</w:t>
      </w:r>
      <w:r>
        <w:rPr>
          <w:snapToGrid w:val="0"/>
        </w:rPr>
        <w:t>.</w:t>
      </w:r>
      <w:r>
        <w:rPr>
          <w:snapToGrid w:val="0"/>
        </w:rPr>
        <w:tab/>
        <w:t>Amount prescribed for major trading undertakings; exempt trading undertakings prescribed (Act s. 3.59)</w:t>
      </w:r>
      <w:bookmarkEnd w:id="40"/>
    </w:p>
    <w:p>
      <w:pPr>
        <w:pStyle w:val="Subsection"/>
      </w:pPr>
      <w:r>
        <w:tab/>
        <w:t>(1)</w:t>
      </w:r>
      <w:r>
        <w:tab/>
        <w:t xml:space="preserve">The amount prescribed for the purposes of the definition of </w:t>
      </w:r>
      <w:r>
        <w:rPr>
          <w:b/>
          <w:i/>
        </w:rPr>
        <w:t>major trading undertaking</w:t>
      </w:r>
      <w:r>
        <w:t xml:space="preserve"> in section 3.59(1) of the Act is —</w:t>
      </w:r>
    </w:p>
    <w:p>
      <w:pPr>
        <w:pStyle w:val="Indenta"/>
      </w:pPr>
      <w:r>
        <w:tab/>
        <w:t>(a)</w:t>
      </w:r>
      <w:r>
        <w:tab/>
        <w:t>if the trading undertaking is entered into by a local government the district of which is in the metropolitan area or a major regional centre, the amount that is the lesser of —</w:t>
      </w:r>
    </w:p>
    <w:p>
      <w:pPr>
        <w:pStyle w:val="Indenti"/>
      </w:pPr>
      <w:r>
        <w:tab/>
        <w:t>(i)</w:t>
      </w:r>
      <w:r>
        <w:tab/>
        <w:t>$5 000 000; or</w:t>
      </w:r>
    </w:p>
    <w:p>
      <w:pPr>
        <w:pStyle w:val="Indenti"/>
      </w:pPr>
      <w:r>
        <w:tab/>
        <w:t>(ii)</w:t>
      </w:r>
      <w:r>
        <w:tab/>
        <w:t>10% of the lowest operating expenditure described in subregulation (2);</w:t>
      </w:r>
    </w:p>
    <w:p>
      <w:pPr>
        <w:pStyle w:val="Indenta"/>
      </w:pPr>
      <w:r>
        <w:tab/>
      </w:r>
      <w:r>
        <w:tab/>
        <w:t>or</w:t>
      </w:r>
    </w:p>
    <w:p>
      <w:pPr>
        <w:pStyle w:val="Indenta"/>
      </w:pPr>
      <w:r>
        <w:tab/>
        <w:t>(b)</w:t>
      </w:r>
      <w:r>
        <w:tab/>
        <w:t>if the trading undertaking is entered into by any other local government, the amount that is the lesser of —</w:t>
      </w:r>
    </w:p>
    <w:p>
      <w:pPr>
        <w:pStyle w:val="Indenti"/>
      </w:pPr>
      <w:r>
        <w:tab/>
        <w:t>(i)</w:t>
      </w:r>
      <w:r>
        <w:tab/>
        <w:t>$2 000 000; or</w:t>
      </w:r>
    </w:p>
    <w:p>
      <w:pPr>
        <w:pStyle w:val="Indenti"/>
      </w:pPr>
      <w:r>
        <w:lastRenderedPageBreak/>
        <w:tab/>
        <w:t>(ii)</w:t>
      </w:r>
      <w:r>
        <w:tab/>
        <w:t>10% of the lowest operating expenditure described in subregulation (2).</w:t>
      </w:r>
    </w:p>
    <w:p>
      <w:pPr>
        <w:pStyle w:val="Subsection"/>
        <w:rPr>
          <w:snapToGrid w:val="0"/>
        </w:rPr>
      </w:pPr>
      <w:r>
        <w:rPr>
          <w:snapToGrid w:val="0"/>
        </w:rPr>
        <w:tab/>
        <w:t>(2)</w:t>
      </w:r>
      <w:r>
        <w:rPr>
          <w:snapToGrid w:val="0"/>
        </w:rPr>
        <w:tab/>
        <w:t>The lowest operating expenditure referred to in subregulation (1) is the lowest of —</w:t>
      </w:r>
    </w:p>
    <w:p>
      <w:pPr>
        <w:pStyle w:val="Indenta"/>
        <w:rPr>
          <w:snapToGrid w:val="0"/>
        </w:rPr>
      </w:pPr>
      <w:r>
        <w:rPr>
          <w:snapToGrid w:val="0"/>
        </w:rPr>
        <w:tab/>
        <w:t>(a)</w:t>
      </w:r>
      <w:r>
        <w:rPr>
          <w:snapToGrid w:val="0"/>
        </w:rPr>
        <w:tab/>
        <w:t>the operating expenditure incurred by the local government from its municipal fund in the last completed financial year; and</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Subsection"/>
      </w:pPr>
      <w:r>
        <w:tab/>
        <w:t>(3)</w:t>
      </w:r>
      <w:r>
        <w:tab/>
        <w:t>A trading undertaking is an exempt trading undertaking for the purposes of section 3.59 of the Act if —</w:t>
      </w:r>
    </w:p>
    <w:p>
      <w:pPr>
        <w:pStyle w:val="Indenta"/>
      </w:pPr>
      <w:r>
        <w:tab/>
        <w:t>(a)</w:t>
      </w:r>
      <w:r>
        <w:tab/>
        <w:t>the undertaking —</w:t>
      </w:r>
    </w:p>
    <w:p>
      <w:pPr>
        <w:pStyle w:val="Indenti"/>
      </w:pPr>
      <w:r>
        <w:tab/>
        <w:t>(i)</w:t>
      </w:r>
      <w:r>
        <w:tab/>
        <w:t>in the last completed financial year, involved; or</w:t>
      </w:r>
    </w:p>
    <w:p>
      <w:pPr>
        <w:pStyle w:val="Indenti"/>
      </w:pPr>
      <w:r>
        <w:tab/>
        <w:t>(ii)</w:t>
      </w:r>
      <w:r>
        <w:tab/>
        <w:t>in the current financial year or the financial year after the current financial year, is likely to involve,</w:t>
      </w:r>
    </w:p>
    <w:p>
      <w:pPr>
        <w:pStyle w:val="Indenta"/>
      </w:pPr>
      <w:r>
        <w:tab/>
      </w:r>
      <w:r>
        <w:tab/>
        <w:t>expenditure by the local government of more than the amount prescribed under subregulation (1); and</w:t>
      </w:r>
    </w:p>
    <w:p>
      <w:pPr>
        <w:pStyle w:val="Indenta"/>
      </w:pPr>
      <w:r>
        <w:tab/>
        <w:t>(b)</w:t>
      </w:r>
      <w:r>
        <w:tab/>
        <w:t>the Minister has, in writing, declared the transaction to be an exempt transaction because the Minister is satisfied that the amount by which expenditure is, or is likely to be, more that the amount prescribed under subregulation (1) is not significant taking into account —</w:t>
      </w:r>
    </w:p>
    <w:p>
      <w:pPr>
        <w:pStyle w:val="Indenti"/>
      </w:pPr>
      <w:r>
        <w:tab/>
        <w:t>(i)</w:t>
      </w:r>
      <w:r>
        <w:tab/>
        <w:t>the total value of the undertaking; or</w:t>
      </w:r>
    </w:p>
    <w:p>
      <w:pPr>
        <w:pStyle w:val="Indenti"/>
        <w:keepNext/>
      </w:pPr>
      <w:r>
        <w:lastRenderedPageBreak/>
        <w:tab/>
        <w:t>(ii)</w:t>
      </w:r>
      <w:r>
        <w:tab/>
        <w:t>variations throughout the State in the value of land.</w:t>
      </w:r>
    </w:p>
    <w:p>
      <w:pPr>
        <w:pStyle w:val="Footnotesection"/>
      </w:pPr>
      <w:r>
        <w:tab/>
        <w:t>[Regulation 9 amended: Gazette 31 Mar 2005 p. 1054; 27 Sep 2011 p. 3845.]</w:t>
      </w:r>
    </w:p>
    <w:p>
      <w:pPr>
        <w:pStyle w:val="Heading5"/>
        <w:rPr>
          <w:snapToGrid w:val="0"/>
        </w:rPr>
      </w:pPr>
      <w:bookmarkStart w:id="41" w:name="_Toc217398798"/>
      <w:r>
        <w:rPr>
          <w:rStyle w:val="CharSectno"/>
        </w:rPr>
        <w:t>10</w:t>
      </w:r>
      <w:r>
        <w:rPr>
          <w:snapToGrid w:val="0"/>
        </w:rPr>
        <w:t>.</w:t>
      </w:r>
      <w:r>
        <w:rPr>
          <w:snapToGrid w:val="0"/>
        </w:rPr>
        <w:tab/>
        <w:t>Business plans for major trading undertaking and major land transaction, content of</w:t>
      </w:r>
      <w:bookmarkEnd w:id="41"/>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w:t>
      </w:r>
    </w:p>
    <w:p>
      <w:pPr>
        <w:pStyle w:val="Indenti"/>
        <w:rPr>
          <w:snapToGrid w:val="0"/>
        </w:rPr>
      </w:pPr>
      <w:r>
        <w:rPr>
          <w:snapToGrid w:val="0"/>
        </w:rPr>
        <w:tab/>
        <w:t>(i)</w:t>
      </w:r>
      <w:r>
        <w:rPr>
          <w:snapToGrid w:val="0"/>
        </w:rPr>
        <w:tab/>
        <w:t>the identity of each joint venturer other than the local government; and</w:t>
      </w:r>
    </w:p>
    <w:p>
      <w:pPr>
        <w:pStyle w:val="Indenti"/>
        <w:rPr>
          <w:snapToGrid w:val="0"/>
        </w:rPr>
      </w:pPr>
      <w:r>
        <w:rPr>
          <w:snapToGrid w:val="0"/>
        </w:rPr>
        <w:tab/>
        <w:t>(ii)</w:t>
      </w:r>
      <w:r>
        <w:rPr>
          <w:snapToGrid w:val="0"/>
        </w:rPr>
        <w:tab/>
        <w:t>the ownership of, and any other interests in, property that is involved in, or acquired in the course of, the joint venture; and</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joint venture</w:t>
      </w:r>
      <w:r>
        <w:t xml:space="preserve"> means the major trading undertaking or major land transaction that is to be jointly carried on or entered into;</w:t>
      </w:r>
    </w:p>
    <w:p>
      <w:pPr>
        <w:pStyle w:val="Defstart"/>
      </w:pPr>
      <w:r>
        <w:rPr>
          <w:b/>
        </w:rPr>
        <w:tab/>
      </w:r>
      <w:r>
        <w:rPr>
          <w:rStyle w:val="CharDefText"/>
        </w:rPr>
        <w:t>joint venturer</w:t>
      </w:r>
      <w:r>
        <w:t xml:space="preserve"> means the local government or another person with whom the local government is to carry on or enter into the joint venture.</w:t>
      </w:r>
    </w:p>
    <w:p>
      <w:pPr>
        <w:pStyle w:val="Heading2"/>
      </w:pPr>
      <w:bookmarkStart w:id="42" w:name="_Toc217300534"/>
      <w:bookmarkStart w:id="43" w:name="_Toc217300945"/>
      <w:bookmarkStart w:id="44" w:name="_Toc217398038"/>
      <w:bookmarkStart w:id="45" w:name="_Toc217398309"/>
      <w:bookmarkStart w:id="46" w:name="_Toc217398799"/>
      <w:r>
        <w:rPr>
          <w:rStyle w:val="CharPartNo"/>
        </w:rPr>
        <w:lastRenderedPageBreak/>
        <w:t>Part 4</w:t>
      </w:r>
      <w:r>
        <w:rPr>
          <w:b w:val="0"/>
        </w:rPr>
        <w:t> </w:t>
      </w:r>
      <w:r>
        <w:t>—</w:t>
      </w:r>
      <w:r>
        <w:rPr>
          <w:b w:val="0"/>
        </w:rPr>
        <w:t> </w:t>
      </w:r>
      <w:r>
        <w:rPr>
          <w:rStyle w:val="CharPartText"/>
        </w:rPr>
        <w:t>Provision of goods and services</w:t>
      </w:r>
      <w:bookmarkEnd w:id="42"/>
      <w:bookmarkEnd w:id="43"/>
      <w:bookmarkEnd w:id="44"/>
      <w:bookmarkEnd w:id="45"/>
      <w:bookmarkEnd w:id="46"/>
    </w:p>
    <w:p>
      <w:pPr>
        <w:pStyle w:val="Footnoteheading"/>
      </w:pPr>
      <w:r>
        <w:tab/>
        <w:t>[Heading inserted: Gazette 2 Feb 2007 p. 244.]</w:t>
      </w:r>
    </w:p>
    <w:p>
      <w:pPr>
        <w:pStyle w:val="Heading3"/>
      </w:pPr>
      <w:bookmarkStart w:id="47" w:name="_Toc217300535"/>
      <w:bookmarkStart w:id="48" w:name="_Toc217300946"/>
      <w:bookmarkStart w:id="49" w:name="_Toc217398039"/>
      <w:bookmarkStart w:id="50" w:name="_Toc217398310"/>
      <w:bookmarkStart w:id="51" w:name="_Toc217398800"/>
      <w:r>
        <w:rPr>
          <w:rStyle w:val="CharDivNo"/>
        </w:rPr>
        <w:t>Division 1</w:t>
      </w:r>
      <w:r>
        <w:t> — </w:t>
      </w:r>
      <w:r>
        <w:rPr>
          <w:rStyle w:val="CharDivText"/>
        </w:rPr>
        <w:t>Purchasing policies</w:t>
      </w:r>
      <w:bookmarkEnd w:id="47"/>
      <w:bookmarkEnd w:id="48"/>
      <w:bookmarkEnd w:id="49"/>
      <w:bookmarkEnd w:id="50"/>
      <w:bookmarkEnd w:id="51"/>
    </w:p>
    <w:p>
      <w:pPr>
        <w:pStyle w:val="Footnoteheading"/>
      </w:pPr>
      <w:r>
        <w:tab/>
        <w:t>[Heading inserted: Gazette 2 Feb 2007 p. 244.]</w:t>
      </w:r>
    </w:p>
    <w:p>
      <w:pPr>
        <w:pStyle w:val="Heading5"/>
      </w:pPr>
      <w:bookmarkStart w:id="52" w:name="_Toc217398801"/>
      <w:r>
        <w:rPr>
          <w:rStyle w:val="CharSectno"/>
        </w:rPr>
        <w:t>11A</w:t>
      </w:r>
      <w:r>
        <w:t>.</w:t>
      </w:r>
      <w:r>
        <w:tab/>
        <w:t>Purchasing policies for local governments</w:t>
      </w:r>
      <w:bookmarkEnd w:id="52"/>
    </w:p>
    <w:p>
      <w:pPr>
        <w:pStyle w:val="Subsection"/>
      </w:pPr>
      <w:r>
        <w:tab/>
        <w:t>(1)</w:t>
      </w:r>
      <w:r>
        <w:tab/>
        <w:t>A local government is to prepare or adopt, and is to implement, a purchasing policy in relation to contracts for other persons to supply goods or services where the consideration under the contract is, or is expected to be, $250 000 or less or worth $250 000 or less.</w:t>
      </w:r>
    </w:p>
    <w:p>
      <w:pPr>
        <w:pStyle w:val="Subsection"/>
      </w:pPr>
      <w:r>
        <w:tab/>
        <w:t>(2)</w:t>
      </w:r>
      <w:r>
        <w:tab/>
        <w:t>A purchasing policy is to make provision for and in respect of the policy to be followed by the local government for, and in respect of, entering into contracts referred to in subregulation (1).</w:t>
      </w:r>
    </w:p>
    <w:p>
      <w:pPr>
        <w:pStyle w:val="Subsection"/>
      </w:pPr>
      <w:r>
        <w:tab/>
        <w:t>(3)</w:t>
      </w:r>
      <w:r>
        <w:tab/>
        <w:t>A purchasing policy must make provision in respect of —</w:t>
      </w:r>
    </w:p>
    <w:p>
      <w:pPr>
        <w:pStyle w:val="Indenta"/>
      </w:pPr>
      <w:r>
        <w:tab/>
        <w:t>(a)</w:t>
      </w:r>
      <w:r>
        <w:tab/>
        <w:t>the form of quotations acceptable; and</w:t>
      </w:r>
    </w:p>
    <w:p>
      <w:pPr>
        <w:pStyle w:val="Indenta"/>
      </w:pPr>
      <w:r>
        <w:tab/>
        <w:t>(ba)</w:t>
      </w:r>
      <w:r>
        <w:tab/>
        <w:t>the minimum number of oral quotations and written quotations that must be obtained; and</w:t>
      </w:r>
    </w:p>
    <w:p>
      <w:pPr>
        <w:pStyle w:val="Indenta"/>
      </w:pPr>
      <w:r>
        <w:tab/>
        <w:t>(b)</w:t>
      </w:r>
      <w:r>
        <w:tab/>
        <w:t>the recording and retention of written information, or documents, in respect of —</w:t>
      </w:r>
    </w:p>
    <w:p>
      <w:pPr>
        <w:pStyle w:val="Indenti"/>
      </w:pPr>
      <w:r>
        <w:tab/>
        <w:t>(i)</w:t>
      </w:r>
      <w:r>
        <w:tab/>
        <w:t>all quotations received; and</w:t>
      </w:r>
    </w:p>
    <w:p>
      <w:pPr>
        <w:pStyle w:val="Indenti"/>
      </w:pPr>
      <w:r>
        <w:tab/>
        <w:t>(ii)</w:t>
      </w:r>
      <w:r>
        <w:tab/>
        <w:t>all purchases made.</w:t>
      </w:r>
    </w:p>
    <w:p>
      <w:pPr>
        <w:pStyle w:val="Ednotesubsection"/>
      </w:pPr>
      <w:r>
        <w:tab/>
        <w:t>[(4)</w:t>
      </w:r>
      <w:r>
        <w:tab/>
        <w:t>deleted]</w:t>
      </w:r>
    </w:p>
    <w:p>
      <w:pPr>
        <w:pStyle w:val="Footnotesection"/>
      </w:pPr>
      <w:r>
        <w:tab/>
        <w:t>[Regulation 11A inserted: Gazette 2 Feb 2007 p. 245; amended: Gazette 18 Sep 2015 p. 3804; SL 2020/55 r. 4.]</w:t>
      </w:r>
    </w:p>
    <w:p>
      <w:pPr>
        <w:pStyle w:val="Heading3"/>
      </w:pPr>
      <w:bookmarkStart w:id="53" w:name="_Toc217300537"/>
      <w:bookmarkStart w:id="54" w:name="_Toc217300948"/>
      <w:bookmarkStart w:id="55" w:name="_Toc217398041"/>
      <w:bookmarkStart w:id="56" w:name="_Toc217398312"/>
      <w:bookmarkStart w:id="57" w:name="_Toc217398802"/>
      <w:r>
        <w:rPr>
          <w:rStyle w:val="CharDivNo"/>
        </w:rPr>
        <w:lastRenderedPageBreak/>
        <w:t>Division 2</w:t>
      </w:r>
      <w:r>
        <w:t> — </w:t>
      </w:r>
      <w:r>
        <w:rPr>
          <w:rStyle w:val="CharDivText"/>
        </w:rPr>
        <w:t>Tenders for providing goods or services (s. 3.57)</w:t>
      </w:r>
      <w:bookmarkEnd w:id="53"/>
      <w:bookmarkEnd w:id="54"/>
      <w:bookmarkEnd w:id="55"/>
      <w:bookmarkEnd w:id="56"/>
      <w:bookmarkEnd w:id="57"/>
    </w:p>
    <w:p>
      <w:pPr>
        <w:pStyle w:val="Footnoteheading"/>
        <w:keepNext/>
      </w:pPr>
      <w:r>
        <w:tab/>
        <w:t>[Heading inserted: Gazette 2 Feb 2007 p. 245.]</w:t>
      </w:r>
    </w:p>
    <w:p>
      <w:pPr>
        <w:pStyle w:val="Heading5"/>
        <w:rPr>
          <w:snapToGrid w:val="0"/>
        </w:rPr>
      </w:pPr>
      <w:bookmarkStart w:id="58" w:name="_Toc217398803"/>
      <w:r>
        <w:rPr>
          <w:rStyle w:val="CharSectno"/>
        </w:rPr>
        <w:t>11</w:t>
      </w:r>
      <w:r>
        <w:rPr>
          <w:snapToGrid w:val="0"/>
        </w:rPr>
        <w:t>.</w:t>
      </w:r>
      <w:r>
        <w:rPr>
          <w:snapToGrid w:val="0"/>
        </w:rPr>
        <w:tab/>
        <w:t>When tenders have to be publicly invited</w:t>
      </w:r>
      <w:bookmarkEnd w:id="58"/>
    </w:p>
    <w:p>
      <w:pPr>
        <w:pStyle w:val="Subsection"/>
      </w:pPr>
      <w:r>
        <w:tab/>
        <w:t>(1A)</w:t>
      </w:r>
      <w:r>
        <w:tab/>
        <w:t xml:space="preserve">In this regulation — </w:t>
      </w:r>
    </w:p>
    <w:p>
      <w:pPr>
        <w:pStyle w:val="Defstart"/>
      </w:pPr>
      <w:r>
        <w:tab/>
      </w:r>
      <w:r>
        <w:rPr>
          <w:rStyle w:val="CharDefText"/>
        </w:rPr>
        <w:t>state of emergency declaration</w:t>
      </w:r>
      <w:r>
        <w:t xml:space="preserve"> has the meaning given in the </w:t>
      </w:r>
      <w:r>
        <w:rPr>
          <w:i/>
        </w:rPr>
        <w:t>Emergency Management Act 2005</w:t>
      </w:r>
      <w:r>
        <w:t xml:space="preserve"> section 3.</w:t>
      </w:r>
    </w:p>
    <w:p>
      <w:pPr>
        <w:pStyle w:val="Subsection"/>
        <w:rPr>
          <w:snapToGrid w:val="0"/>
        </w:rPr>
      </w:pPr>
      <w:r>
        <w:rPr>
          <w:snapToGrid w:val="0"/>
        </w:rPr>
        <w:tab/>
        <w:t>(1)</w:t>
      </w:r>
      <w:r>
        <w:rPr>
          <w:snapToGrid w:val="0"/>
        </w:rPr>
        <w:tab/>
        <w:t xml:space="preserve">Tenders are to be publicly invited according to the requirements of this </w:t>
      </w:r>
      <w:r>
        <w:t xml:space="preserve">Division </w:t>
      </w:r>
      <w:r>
        <w:rPr>
          <w:snapToGrid w:val="0"/>
        </w:rPr>
        <w:t xml:space="preserve">before a local government enters into a contract for another person to supply goods or services if the consideration under the contract is, or is expected to be, more, or worth more, than </w:t>
      </w:r>
      <w:r>
        <w:t xml:space="preserve">$250 000 </w:t>
      </w:r>
      <w:r>
        <w:rPr>
          <w:snapToGrid w:val="0"/>
        </w:rPr>
        <w:t>unless subregulation (2) states otherwise.</w:t>
      </w:r>
    </w:p>
    <w:p>
      <w:pPr>
        <w:pStyle w:val="Subsection"/>
        <w:rPr>
          <w:snapToGrid w:val="0"/>
        </w:rPr>
      </w:pPr>
      <w:r>
        <w:rPr>
          <w:snapToGrid w:val="0"/>
        </w:rPr>
        <w:tab/>
        <w:t>(2)</w:t>
      </w:r>
      <w:r>
        <w:rPr>
          <w:snapToGrid w:val="0"/>
        </w:rPr>
        <w:tab/>
        <w:t xml:space="preserve">Tenders do not have to be publicly invited according to the requirements of this </w:t>
      </w:r>
      <w:r>
        <w:t xml:space="preserve">Division </w:t>
      </w:r>
      <w:r>
        <w:rPr>
          <w:snapToGrid w:val="0"/>
        </w:rPr>
        <w:t>if —</w:t>
      </w:r>
    </w:p>
    <w:p>
      <w:pPr>
        <w:pStyle w:val="Indenta"/>
        <w:spacing w:before="76"/>
        <w:rPr>
          <w:snapToGrid w:val="0"/>
        </w:rPr>
      </w:pPr>
      <w:r>
        <w:rPr>
          <w:snapToGrid w:val="0"/>
        </w:rPr>
        <w:tab/>
        <w:t>(a)</w:t>
      </w:r>
      <w:r>
        <w:rPr>
          <w:snapToGrid w:val="0"/>
        </w:rPr>
        <w:tab/>
        <w:t>the supply of the goods or services is to be obtained from expenditure authorised in an emergency under section 6.8(1)(c) of the Act; or</w:t>
      </w:r>
    </w:p>
    <w:p>
      <w:pPr>
        <w:pStyle w:val="Indenta"/>
      </w:pPr>
      <w:r>
        <w:tab/>
        <w:t>(aa)</w:t>
      </w:r>
      <w:r>
        <w:tab/>
        <w:t>the supply of the goods or services is associated with a state of emergency; or</w:t>
      </w:r>
    </w:p>
    <w:p>
      <w:pPr>
        <w:pStyle w:val="Indenta"/>
        <w:spacing w:before="76"/>
        <w:rPr>
          <w:snapToGrid w:val="0"/>
        </w:rPr>
      </w:pPr>
      <w:r>
        <w:rPr>
          <w:snapToGrid w:val="0"/>
        </w:rPr>
        <w:tab/>
        <w:t>(b)</w:t>
      </w:r>
      <w:r>
        <w:rPr>
          <w:snapToGrid w:val="0"/>
        </w:rPr>
        <w:tab/>
        <w:t xml:space="preserve">the supply of the goods or services is to be obtained through the </w:t>
      </w:r>
      <w:r>
        <w:t>WALGA Preferred Supplier Program; or</w:t>
      </w:r>
    </w:p>
    <w:p>
      <w:pPr>
        <w:pStyle w:val="Ednotepara"/>
      </w:pPr>
      <w:r>
        <w:tab/>
        <w:t>[(ba)</w:t>
      </w:r>
      <w:r>
        <w:tab/>
        <w:t>deleted]</w:t>
      </w:r>
    </w:p>
    <w:p>
      <w:pPr>
        <w:pStyle w:val="Indenta"/>
        <w:rPr>
          <w:snapToGrid w:val="0"/>
        </w:rPr>
      </w:pPr>
      <w:r>
        <w:rPr>
          <w:snapToGrid w:val="0"/>
        </w:rPr>
        <w:tab/>
        <w:t>(c)</w:t>
      </w:r>
      <w:r>
        <w:rPr>
          <w:snapToGrid w:val="0"/>
        </w:rPr>
        <w:tab/>
        <w:t>within the last 6 months —</w:t>
      </w:r>
    </w:p>
    <w:p>
      <w:pPr>
        <w:pStyle w:val="Indenti"/>
        <w:rPr>
          <w:snapToGrid w:val="0"/>
        </w:rPr>
      </w:pPr>
      <w:r>
        <w:rPr>
          <w:snapToGrid w:val="0"/>
        </w:rPr>
        <w:tab/>
        <w:t>(i)</w:t>
      </w:r>
      <w:r>
        <w:rPr>
          <w:snapToGrid w:val="0"/>
        </w:rPr>
        <w:tab/>
        <w:t>the local government has, according to the requirements of this</w:t>
      </w:r>
      <w:r>
        <w:t xml:space="preserve"> Division</w:t>
      </w:r>
      <w:r>
        <w:rPr>
          <w:snapToGrid w:val="0"/>
        </w:rPr>
        <w:t>, publicly invited tenders for the supply of the goods or services but no tender was submitted that met the tender specifications</w:t>
      </w:r>
      <w:r>
        <w:t xml:space="preserve"> or satisfied the value for money assessment; or</w:t>
      </w:r>
      <w:r>
        <w:rPr>
          <w:snapToGrid w:val="0"/>
        </w:rPr>
        <w:t xml:space="preserve"> </w:t>
      </w:r>
    </w:p>
    <w:p>
      <w:pPr>
        <w:pStyle w:val="Indenti"/>
        <w:keepNext/>
        <w:rPr>
          <w:snapToGrid w:val="0"/>
        </w:rPr>
      </w:pPr>
      <w:r>
        <w:rPr>
          <w:snapToGrid w:val="0"/>
        </w:rPr>
        <w:tab/>
        <w:t>(ii)</w:t>
      </w:r>
      <w:r>
        <w:rPr>
          <w:snapToGrid w:val="0"/>
        </w:rPr>
        <w:tab/>
        <w:t xml:space="preserve">the local government has, under regulation 21(1), sought expressions of interest with respect to the </w:t>
      </w:r>
      <w:r>
        <w:rPr>
          <w:snapToGrid w:val="0"/>
        </w:rPr>
        <w:lastRenderedPageBreak/>
        <w:t>supply of the goods or services but no person was, as a result, listed as an acceptable tenderer;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 or</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 or</w:t>
      </w:r>
    </w:p>
    <w:p>
      <w:pPr>
        <w:pStyle w:val="Indenta"/>
        <w:keepNext/>
        <w:rPr>
          <w:snapToGrid w:val="0"/>
        </w:rPr>
      </w:pPr>
      <w:r>
        <w:rPr>
          <w:snapToGrid w:val="0"/>
        </w:rPr>
        <w:tab/>
        <w:t>(ea)</w:t>
      </w:r>
      <w:r>
        <w:rPr>
          <w:snapToGrid w:val="0"/>
        </w:rPr>
        <w:tab/>
        <w:t>the goods or services are to be supplied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keepNext/>
        <w:rPr>
          <w:snapToGrid w:val="0"/>
        </w:rPr>
      </w:pPr>
      <w:r>
        <w:rPr>
          <w:snapToGrid w:val="0"/>
        </w:rPr>
        <w:tab/>
        <w:t>(ii)</w:t>
      </w:r>
      <w:r>
        <w:rPr>
          <w:snapToGrid w:val="0"/>
        </w:rPr>
        <w:tab/>
        <w:t>by a person who, on the commencement of the order referred to in subparagraph (i), has a contract to supply the same kind of goods or services to the local government of the district referred to in that subparagraph;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keepNext/>
      </w:pPr>
      <w:r>
        <w:tab/>
        <w:t>(g)</w:t>
      </w:r>
      <w:r>
        <w:tab/>
        <w:t>the goods to be supplied under the contract are —</w:t>
      </w:r>
    </w:p>
    <w:p>
      <w:pPr>
        <w:pStyle w:val="Indenti"/>
      </w:pPr>
      <w:r>
        <w:tab/>
        <w:t>(i)</w:t>
      </w:r>
      <w:r>
        <w:tab/>
        <w:t>petrol or oil; or</w:t>
      </w:r>
    </w:p>
    <w:p>
      <w:pPr>
        <w:pStyle w:val="Indenti"/>
        <w:keepNext/>
      </w:pPr>
      <w:r>
        <w:tab/>
        <w:t>(ii)</w:t>
      </w:r>
      <w:r>
        <w:tab/>
        <w:t>any other liquid, or any gas, used for internal combustion engines;</w:t>
      </w:r>
    </w:p>
    <w:p>
      <w:pPr>
        <w:pStyle w:val="Indenta"/>
      </w:pPr>
      <w:r>
        <w:tab/>
      </w:r>
      <w:r>
        <w:tab/>
        <w:t>or</w:t>
      </w:r>
    </w:p>
    <w:p>
      <w:pPr>
        <w:pStyle w:val="Indenta"/>
        <w:keepNext/>
      </w:pPr>
      <w:r>
        <w:lastRenderedPageBreak/>
        <w:tab/>
        <w:t>(h)</w:t>
      </w:r>
      <w:r>
        <w:tab/>
        <w:t xml:space="preserve">the following apply — </w:t>
      </w:r>
    </w:p>
    <w:p>
      <w:pPr>
        <w:pStyle w:val="Indenti"/>
        <w:keepNext/>
      </w:pPr>
      <w:r>
        <w:tab/>
        <w:t>(i)</w:t>
      </w:r>
      <w:r>
        <w:tab/>
        <w:t xml:space="preserve">the goods or services are to be supplied by — </w:t>
      </w:r>
    </w:p>
    <w:p>
      <w:pPr>
        <w:pStyle w:val="IndentI0"/>
      </w:pPr>
      <w:r>
        <w:tab/>
        <w:t>(I)</w:t>
      </w:r>
      <w:r>
        <w:tab/>
        <w:t>a person registered on the Aboriginal Business Directory WA published by the Chamber of Commerce and Industry of Western Australia Limited ABN 96 929 977 985; or</w:t>
      </w:r>
    </w:p>
    <w:p>
      <w:pPr>
        <w:pStyle w:val="IndentI0"/>
        <w:keepNext/>
      </w:pPr>
      <w:r>
        <w:tab/>
        <w:t>(II)</w:t>
      </w:r>
      <w:r>
        <w:tab/>
        <w:t>a person registered with the Australian Indigenous Minority Supplier Office Limited (trading as Supply Nation) ABN 50 134 720 362;</w:t>
      </w:r>
    </w:p>
    <w:p>
      <w:pPr>
        <w:pStyle w:val="Indenti"/>
      </w:pPr>
      <w:r>
        <w:tab/>
      </w:r>
      <w:r>
        <w:tab/>
        <w:t>and</w:t>
      </w:r>
    </w:p>
    <w:p>
      <w:pPr>
        <w:pStyle w:val="Indenti"/>
      </w:pPr>
      <w:r>
        <w:tab/>
        <w:t>(ii)</w:t>
      </w:r>
      <w:r>
        <w:tab/>
        <w:t>the consideration under the contract is $250 000 or less, or worth $250 000 or less; and</w:t>
      </w:r>
    </w:p>
    <w:p>
      <w:pPr>
        <w:pStyle w:val="Indenti"/>
        <w:keepNext/>
      </w:pPr>
      <w:r>
        <w:tab/>
        <w:t>(iii)</w:t>
      </w:r>
      <w:r>
        <w:tab/>
        <w:t>the local government is satisfied that the contract represents value for money;</w:t>
      </w:r>
    </w:p>
    <w:p>
      <w:pPr>
        <w:pStyle w:val="Indenta"/>
      </w:pPr>
      <w:r>
        <w:tab/>
      </w:r>
      <w:r>
        <w:tab/>
        <w:t>or</w:t>
      </w:r>
    </w:p>
    <w:p>
      <w:pPr>
        <w:pStyle w:val="Indenta"/>
      </w:pPr>
      <w:r>
        <w:tab/>
        <w:t>(i)</w:t>
      </w:r>
      <w:r>
        <w:tab/>
        <w:t>the goods or services are to be supplied by an Australian Disability Enterprise; or</w:t>
      </w:r>
    </w:p>
    <w:p>
      <w:pPr>
        <w:pStyle w:val="Indenta"/>
      </w:pPr>
      <w:r>
        <w:tab/>
        <w:t>(ia)</w:t>
      </w:r>
      <w:r>
        <w:tab/>
        <w:t>the contract is formed by the novation of a contract to which subregulation (1) applies; or</w:t>
      </w:r>
    </w:p>
    <w:p>
      <w:pPr>
        <w:pStyle w:val="Indenta"/>
        <w:keepNext/>
      </w:pPr>
      <w:r>
        <w:tab/>
        <w:t>(j)</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was entered into after the local government, according to the requirements of this Division, publicly invited tenders for the supply of goods or services; and</w:t>
      </w:r>
    </w:p>
    <w:p>
      <w:pPr>
        <w:pStyle w:val="Indenti"/>
      </w:pPr>
      <w:r>
        <w:tab/>
        <w:t>(ii)</w:t>
      </w:r>
      <w:r>
        <w:tab/>
        <w:t>the invitation for tenders contained provision for the renewal or extension of a contract entered into with a successful tenderer; and</w:t>
      </w:r>
    </w:p>
    <w:p>
      <w:pPr>
        <w:pStyle w:val="Indenti"/>
      </w:pPr>
      <w:r>
        <w:tab/>
        <w:t>(iii)</w:t>
      </w:r>
      <w:r>
        <w:tab/>
        <w:t>the original contract contains an option to renew or extend its term; and</w:t>
      </w:r>
    </w:p>
    <w:p>
      <w:pPr>
        <w:pStyle w:val="Indenti"/>
        <w:keepNext/>
      </w:pPr>
      <w:r>
        <w:lastRenderedPageBreak/>
        <w:tab/>
        <w:t>(iv)</w:t>
      </w:r>
      <w:r>
        <w:tab/>
        <w:t>the supplier’s tender included a requirement for such an option and specified the consideration payable, or the method by which the consideration is to be calculated, if the option were exercised;</w:t>
      </w:r>
    </w:p>
    <w:p>
      <w:pPr>
        <w:pStyle w:val="Indenta"/>
      </w:pPr>
      <w:r>
        <w:tab/>
      </w:r>
      <w:r>
        <w:tab/>
        <w:t>or</w:t>
      </w:r>
    </w:p>
    <w:p>
      <w:pPr>
        <w:pStyle w:val="Indenta"/>
        <w:keepNext/>
      </w:pPr>
      <w:r>
        <w:tab/>
        <w:t>(ja)</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is to expire within 3 months; and</w:t>
      </w:r>
    </w:p>
    <w:p>
      <w:pPr>
        <w:pStyle w:val="Indenti"/>
      </w:pPr>
      <w:r>
        <w:tab/>
        <w:t>(ii)</w:t>
      </w:r>
      <w:r>
        <w:tab/>
        <w:t>the renewal or extension is for a term of not more than 12 months from the expiry of the original contract; and</w:t>
      </w:r>
    </w:p>
    <w:p>
      <w:pPr>
        <w:pStyle w:val="Indenti"/>
        <w:keepNext/>
      </w:pPr>
      <w:r>
        <w:tab/>
        <w:t>(iii)</w:t>
      </w:r>
      <w:r>
        <w:tab/>
        <w:t>the contract for renewal or extension is entered into at a time when there is in force a state of emergency declaration applying to the district, or part of the district, of the local government;</w:t>
      </w:r>
    </w:p>
    <w:p>
      <w:pPr>
        <w:pStyle w:val="Indenta"/>
      </w:pPr>
      <w:r>
        <w:tab/>
      </w:r>
      <w:r>
        <w:tab/>
        <w:t>or</w:t>
      </w:r>
    </w:p>
    <w:p>
      <w:pPr>
        <w:pStyle w:val="Indenta"/>
      </w:pPr>
      <w:r>
        <w:tab/>
        <w:t>(jb)</w:t>
      </w:r>
      <w:r>
        <w:tab/>
        <w:t xml:space="preserve">the contract is a renewal or extension of the term of a contract (the </w:t>
      </w:r>
      <w:r>
        <w:rPr>
          <w:rStyle w:val="CharDefText"/>
        </w:rPr>
        <w:t>original contract</w:t>
      </w:r>
      <w:r>
        <w:t xml:space="preserve">) for the supply of dental or medical services by a person registered under the </w:t>
      </w:r>
      <w:r>
        <w:rPr>
          <w:i/>
        </w:rPr>
        <w:t>Health Practitioner Regulation National Law (Western Australia)</w:t>
      </w:r>
      <w:r>
        <w:t xml:space="preserve"> in the dental profession or medical profession; or</w:t>
      </w:r>
    </w:p>
    <w:p>
      <w:pPr>
        <w:pStyle w:val="Indenta"/>
        <w:rPr>
          <w:snapToGrid w:val="0"/>
        </w:rPr>
      </w:pPr>
      <w:r>
        <w:tab/>
        <w:t>(k)</w:t>
      </w:r>
      <w:r>
        <w:tab/>
        <w:t>the goods or services are to be supplied by a pre</w:t>
      </w:r>
      <w:r>
        <w:noBreakHyphen/>
        <w:t>qualified supplier under Division 3.</w:t>
      </w:r>
    </w:p>
    <w:p>
      <w:pPr>
        <w:pStyle w:val="Subsection"/>
        <w:keepNext/>
      </w:pPr>
      <w:r>
        <w:tab/>
        <w:t>(3)</w:t>
      </w:r>
      <w:r>
        <w:tab/>
        <w:t xml:space="preserve">For the purposes of subregulation (2)(aa) a supply of goods or services is associated with a state of emergency if — </w:t>
      </w:r>
    </w:p>
    <w:p>
      <w:pPr>
        <w:pStyle w:val="Indenta"/>
      </w:pPr>
      <w:r>
        <w:tab/>
        <w:t>(a)</w:t>
      </w:r>
      <w:r>
        <w:tab/>
        <w:t>the contract for the supply is entered into while there is in force a state of emergency declaration applying to the district, or part of the district, of the local government; and</w:t>
      </w:r>
    </w:p>
    <w:p>
      <w:pPr>
        <w:pStyle w:val="Indenta"/>
      </w:pPr>
      <w:r>
        <w:lastRenderedPageBreak/>
        <w:tab/>
        <w:t>(b)</w:t>
      </w:r>
      <w:r>
        <w:tab/>
        <w:t>the local government considers that the goods or services are required for the purposes of addressing a need arising from the hazard, or from the impact or consequences of the hazard, to which the state of emergency declaration relates.</w:t>
      </w:r>
    </w:p>
    <w:p>
      <w:pPr>
        <w:pStyle w:val="Ednotesubsection"/>
      </w:pPr>
      <w:r>
        <w:tab/>
        <w:t>[(4)</w:t>
      </w:r>
      <w:r>
        <w:tab/>
        <w:t>deleted]</w:t>
      </w:r>
    </w:p>
    <w:p>
      <w:pPr>
        <w:pStyle w:val="Subsection"/>
      </w:pPr>
      <w:r>
        <w:tab/>
        <w:t>(5)</w:t>
      </w:r>
      <w:r>
        <w:tab/>
        <w:t>For the purposes of subregulation (2)(jb), it is immaterial that the supplier also supplies services under the original contract that are not dental or medical services.</w:t>
      </w:r>
    </w:p>
    <w:p>
      <w:pPr>
        <w:pStyle w:val="Subsection"/>
      </w:pPr>
      <w:r>
        <w:tab/>
        <w:t>(6)</w:t>
      </w:r>
      <w:r>
        <w:tab/>
        <w:t xml:space="preserve">Subregulation (2)(jb) does not apply in relation to the renewal or extension of the term of a contract by — </w:t>
      </w:r>
    </w:p>
    <w:p>
      <w:pPr>
        <w:pStyle w:val="Indenta"/>
      </w:pPr>
      <w:r>
        <w:tab/>
        <w:t>(a)</w:t>
      </w:r>
      <w:r>
        <w:tab/>
        <w:t>the local government of a district in the metropolitan area; or</w:t>
      </w:r>
    </w:p>
    <w:p>
      <w:pPr>
        <w:pStyle w:val="Indenta"/>
      </w:pPr>
      <w:r>
        <w:tab/>
        <w:t>(b)</w:t>
      </w:r>
      <w:r>
        <w:tab/>
        <w:t>the City of Mandurah.</w:t>
      </w:r>
    </w:p>
    <w:p>
      <w:pPr>
        <w:pStyle w:val="Footnotesection"/>
      </w:pPr>
      <w:r>
        <w:tab/>
        <w:t>[Regulation 11 amended: Gazette 29 Apr 1997 p. 2145; 26 Jun 1998 p. 3447; 25 Feb 2000 p. 970</w:t>
      </w:r>
      <w:r>
        <w:noBreakHyphen/>
        <w:t>1; 29 Jun 2001 p. 3130; 31 Mar 2005 p. 1054</w:t>
      </w:r>
      <w:r>
        <w:noBreakHyphen/>
        <w:t>5; 2 Feb 2007 p. 245</w:t>
      </w:r>
      <w:r>
        <w:noBreakHyphen/>
        <w:t>6; 18 Sep 2015 p. 3804</w:t>
      </w:r>
      <w:r>
        <w:noBreakHyphen/>
        <w:t>6; SL 2020/35 r. 8; SL 2020/55 r. 5; SL 2022/177 r. 14 and 15; SL 2023/47 r. 4.]</w:t>
      </w:r>
    </w:p>
    <w:p>
      <w:pPr>
        <w:pStyle w:val="Heading5"/>
      </w:pPr>
      <w:bookmarkStart w:id="59" w:name="_Toc217398804"/>
      <w:r>
        <w:rPr>
          <w:rStyle w:val="CharSectno"/>
        </w:rPr>
        <w:t>12</w:t>
      </w:r>
      <w:r>
        <w:t>.</w:t>
      </w:r>
      <w:r>
        <w:tab/>
        <w:t>Anti</w:t>
      </w:r>
      <w:r>
        <w:noBreakHyphen/>
        <w:t>avoidance provision for r. 11(1)</w:t>
      </w:r>
      <w:bookmarkEnd w:id="59"/>
    </w:p>
    <w:p>
      <w:pPr>
        <w:pStyle w:val="Subsection"/>
        <w:keepLines/>
      </w:pPr>
      <w:r>
        <w:tab/>
        <w:t>(1)</w:t>
      </w:r>
      <w:r>
        <w:tab/>
        <w:t xml:space="preserve">This regulation applies if a local government intends to enter into 2 or more contracts (the </w:t>
      </w:r>
      <w:r>
        <w:rPr>
          <w:rStyle w:val="CharDefText"/>
        </w:rPr>
        <w:t>contracts</w:t>
      </w:r>
      <w:r>
        <w:t>) in circumstances such that the desire to avoid the requirements of regulation 11(1) is a significant reason for not dealing with the matter in a single contract.</w:t>
      </w:r>
    </w:p>
    <w:p>
      <w:pPr>
        <w:pStyle w:val="Subsection"/>
        <w:keepNext/>
      </w:pPr>
      <w:r>
        <w:tab/>
        <w:t>(2)</w:t>
      </w:r>
      <w:r>
        <w:tab/>
        <w:t>If this regulation applies, tenders are to be publicly invited according to the requirements of this Division before the local government enters into any of the contracts regardless of the consideration.</w:t>
      </w:r>
    </w:p>
    <w:p>
      <w:pPr>
        <w:pStyle w:val="Footnotesection"/>
      </w:pPr>
      <w:r>
        <w:tab/>
        <w:t xml:space="preserve">[Regulation 12 inserted: Gazette 18 Sep 2015 p. 3806.] </w:t>
      </w:r>
    </w:p>
    <w:p>
      <w:pPr>
        <w:pStyle w:val="Heading5"/>
        <w:rPr>
          <w:snapToGrid w:val="0"/>
        </w:rPr>
      </w:pPr>
      <w:bookmarkStart w:id="60" w:name="_Toc217398805"/>
      <w:r>
        <w:rPr>
          <w:rStyle w:val="CharSectno"/>
        </w:rPr>
        <w:lastRenderedPageBreak/>
        <w:t>13</w:t>
      </w:r>
      <w:r>
        <w:rPr>
          <w:snapToGrid w:val="0"/>
        </w:rPr>
        <w:t>.</w:t>
      </w:r>
      <w:r>
        <w:rPr>
          <w:snapToGrid w:val="0"/>
        </w:rPr>
        <w:tab/>
        <w:t>Requirements when local government invites tenders though not required to do so</w:t>
      </w:r>
      <w:bookmarkEnd w:id="60"/>
    </w:p>
    <w:p>
      <w:pPr>
        <w:pStyle w:val="Subsection"/>
        <w:keepNext/>
        <w:rPr>
          <w:snapToGrid w:val="0"/>
        </w:rPr>
      </w:pPr>
      <w:r>
        <w:rPr>
          <w:snapToGrid w:val="0"/>
        </w:rPr>
        <w:tab/>
      </w:r>
      <w:r>
        <w:rPr>
          <w:snapToGrid w:val="0"/>
        </w:rPr>
        <w:tab/>
        <w:t xml:space="preserve">If a local government, although not required by this </w:t>
      </w:r>
      <w:r>
        <w:t xml:space="preserve">Division </w:t>
      </w:r>
      <w:r>
        <w:rPr>
          <w:snapToGrid w:val="0"/>
        </w:rPr>
        <w:t>to invite tenders before entering into a contract for another person to supply goods or services, decides to invite tenders, the tenders are to be publicly invited according to the requirements of this</w:t>
      </w:r>
      <w:r>
        <w:t xml:space="preserve"> Division</w:t>
      </w:r>
      <w:r>
        <w:rPr>
          <w:snapToGrid w:val="0"/>
        </w:rPr>
        <w:t>.</w:t>
      </w:r>
    </w:p>
    <w:p>
      <w:pPr>
        <w:pStyle w:val="Footnotesection"/>
      </w:pPr>
      <w:r>
        <w:tab/>
        <w:t>[Regulation 13 amended: Gazette 2 Feb 2007 p. 245</w:t>
      </w:r>
      <w:r>
        <w:noBreakHyphen/>
        <w:t>6.]</w:t>
      </w:r>
    </w:p>
    <w:p>
      <w:pPr>
        <w:pStyle w:val="Heading5"/>
        <w:rPr>
          <w:snapToGrid w:val="0"/>
        </w:rPr>
      </w:pPr>
      <w:bookmarkStart w:id="61" w:name="_Toc217398806"/>
      <w:r>
        <w:rPr>
          <w:rStyle w:val="CharSectno"/>
        </w:rPr>
        <w:t>14</w:t>
      </w:r>
      <w:r>
        <w:rPr>
          <w:snapToGrid w:val="0"/>
        </w:rPr>
        <w:t>.</w:t>
      </w:r>
      <w:r>
        <w:rPr>
          <w:snapToGrid w:val="0"/>
        </w:rPr>
        <w:tab/>
        <w:t>Publicly inviting tenders, requirements for</w:t>
      </w:r>
      <w:bookmarkEnd w:id="61"/>
    </w:p>
    <w:p>
      <w:pPr>
        <w:pStyle w:val="Subsection"/>
        <w:rPr>
          <w:snapToGrid w:val="0"/>
        </w:rPr>
      </w:pPr>
      <w:r>
        <w:rPr>
          <w:snapToGrid w:val="0"/>
        </w:rPr>
        <w:tab/>
        <w:t>(1)</w:t>
      </w:r>
      <w:r>
        <w:rPr>
          <w:snapToGrid w:val="0"/>
        </w:rPr>
        <w:tab/>
        <w:t>When regulation 11(1), 12(2)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keepNext/>
      </w:pPr>
      <w:r>
        <w:tab/>
        <w:t>(2a)</w:t>
      </w:r>
      <w:r>
        <w:tab/>
        <w:t>If a local government —</w:t>
      </w:r>
    </w:p>
    <w:p>
      <w:pPr>
        <w:pStyle w:val="Indenta"/>
      </w:pPr>
      <w:r>
        <w:tab/>
        <w:t>(a)</w:t>
      </w:r>
      <w:r>
        <w:tab/>
        <w:t>is required to invite a tender; or</w:t>
      </w:r>
    </w:p>
    <w:p>
      <w:pPr>
        <w:pStyle w:val="Indenta"/>
        <w:keepNext/>
      </w:pPr>
      <w:r>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keepNext/>
        <w:rPr>
          <w:snapToGrid w:val="0"/>
        </w:rPr>
      </w:pPr>
      <w:r>
        <w:rPr>
          <w:snapToGrid w:val="0"/>
        </w:rPr>
        <w:tab/>
        <w:t>(3)</w:t>
      </w:r>
      <w:r>
        <w:rPr>
          <w:snapToGrid w:val="0"/>
        </w:rPr>
        <w:tab/>
        <w:t>The notice, whether under subregulation (1) or (2),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as to tendering may be obtained; and</w:t>
      </w:r>
    </w:p>
    <w:p>
      <w:pPr>
        <w:pStyle w:val="Indenta"/>
        <w:rPr>
          <w:snapToGrid w:val="0"/>
        </w:rPr>
      </w:pPr>
      <w:r>
        <w:rPr>
          <w:snapToGrid w:val="0"/>
        </w:rPr>
        <w:lastRenderedPageBreak/>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keepNext/>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 and</w:t>
      </w:r>
    </w:p>
    <w:p>
      <w:pPr>
        <w:pStyle w:val="Indenta"/>
      </w:pPr>
      <w:r>
        <w:tab/>
        <w:t>(b)</w:t>
      </w:r>
      <w:r>
        <w:tab/>
        <w:t>detailed specifications of the goods or services required; and</w:t>
      </w:r>
    </w:p>
    <w:p>
      <w:pPr>
        <w:pStyle w:val="Indenta"/>
      </w:pPr>
      <w:r>
        <w:tab/>
        <w:t>(c)</w:t>
      </w:r>
      <w:r>
        <w:tab/>
        <w:t>the criteria for deciding which tender should be accepted; and</w:t>
      </w:r>
    </w:p>
    <w:p>
      <w:pPr>
        <w:pStyle w:val="Indenta"/>
      </w:pPr>
      <w:r>
        <w:tab/>
        <w:t>(d)</w:t>
      </w:r>
      <w:r>
        <w:tab/>
        <w:t>whether the local government has decided to submit a tender.</w:t>
      </w:r>
    </w:p>
    <w:p>
      <w:pPr>
        <w:pStyle w:val="Ednotepara"/>
      </w:pPr>
      <w:r>
        <w:tab/>
        <w:t>[(e)</w:t>
      </w:r>
      <w:r>
        <w:tab/>
        <w:t>deleted]</w:t>
      </w:r>
    </w:p>
    <w:p>
      <w:pPr>
        <w:pStyle w:val="Subsection"/>
        <w:keepNext/>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pPr>
        <w:pStyle w:val="Footnotesection"/>
      </w:pPr>
      <w:r>
        <w:tab/>
        <w:t>[Regulation 14 amended: Gazette 29 Jun 2001 p. 3130; 18 Sep 2015 p. 3806.]</w:t>
      </w:r>
    </w:p>
    <w:p>
      <w:pPr>
        <w:pStyle w:val="Heading5"/>
        <w:rPr>
          <w:snapToGrid w:val="0"/>
        </w:rPr>
      </w:pPr>
      <w:bookmarkStart w:id="62" w:name="_Toc217398807"/>
      <w:r>
        <w:rPr>
          <w:rStyle w:val="CharSectno"/>
        </w:rPr>
        <w:t>15</w:t>
      </w:r>
      <w:r>
        <w:t>.</w:t>
      </w:r>
      <w:r>
        <w:tab/>
      </w:r>
      <w:r>
        <w:rPr>
          <w:snapToGrid w:val="0"/>
        </w:rPr>
        <w:t>Minimum time to be allowed for submitting tenders</w:t>
      </w:r>
      <w:bookmarkEnd w:id="62"/>
    </w:p>
    <w:p>
      <w:pPr>
        <w:pStyle w:val="Subsection"/>
        <w:keepNext/>
      </w:pPr>
      <w:r>
        <w:tab/>
        <w:t>(1)</w:t>
      </w:r>
      <w:r>
        <w:tab/>
        <w:t xml:space="preserve">If a notice under regulation 14(1) is given, the date and time referred to in regulation 14(3)(d) has to be at least 14 days after the notice is — </w:t>
      </w:r>
    </w:p>
    <w:p>
      <w:pPr>
        <w:pStyle w:val="Indenta"/>
      </w:pPr>
      <w:r>
        <w:tab/>
        <w:t>(a)</w:t>
      </w:r>
      <w:r>
        <w:tab/>
        <w:t xml:space="preserve">published on the local government’s official website; and </w:t>
      </w:r>
    </w:p>
    <w:p>
      <w:pPr>
        <w:pStyle w:val="Indenta"/>
      </w:pPr>
      <w:r>
        <w:lastRenderedPageBreak/>
        <w:tab/>
        <w:t>(b)</w:t>
      </w:r>
      <w:r>
        <w:tab/>
        <w:t xml:space="preserve">published in at least 3 of the ways prescribed in the </w:t>
      </w:r>
      <w:r>
        <w:rPr>
          <w:i/>
        </w:rPr>
        <w:t>Local Government (Administration) Regulations 1996</w:t>
      </w:r>
      <w:r>
        <w:t xml:space="preserve"> regulation 3A(2).</w:t>
      </w:r>
    </w:p>
    <w:p>
      <w:pPr>
        <w:pStyle w:val="Subsection"/>
        <w:keepNext/>
        <w:rPr>
          <w:snapToGrid w:val="0"/>
        </w:rPr>
      </w:pPr>
      <w:r>
        <w:tab/>
        <w:t>(2)</w:t>
      </w:r>
      <w:r>
        <w:tab/>
        <w:t xml:space="preserve">If a notice under regulation 14(2) </w:t>
      </w:r>
      <w:r>
        <w:rPr>
          <w:snapToGrid w:val="0"/>
        </w:rPr>
        <w:t>is given to a person listed as an acceptable tenderer, the date and time referred to in regulation 14(3)(d) has to be at least 14 days after the notice is given.</w:t>
      </w:r>
    </w:p>
    <w:p>
      <w:pPr>
        <w:pStyle w:val="Footnotesection"/>
      </w:pPr>
      <w:r>
        <w:tab/>
        <w:t>[Regulation 15 inserted: Gazette 18 Sep 2015 p. 3806</w:t>
      </w:r>
      <w:r>
        <w:noBreakHyphen/>
        <w:t xml:space="preserve">7; amended: SL 2020/213 r. 35.] </w:t>
      </w:r>
    </w:p>
    <w:p>
      <w:pPr>
        <w:pStyle w:val="Heading5"/>
        <w:rPr>
          <w:snapToGrid w:val="0"/>
        </w:rPr>
      </w:pPr>
      <w:bookmarkStart w:id="63" w:name="_Toc217398808"/>
      <w:r>
        <w:rPr>
          <w:rStyle w:val="CharSectno"/>
        </w:rPr>
        <w:t>16</w:t>
      </w:r>
      <w:r>
        <w:rPr>
          <w:snapToGrid w:val="0"/>
        </w:rPr>
        <w:t>.</w:t>
      </w:r>
      <w:r>
        <w:rPr>
          <w:snapToGrid w:val="0"/>
        </w:rPr>
        <w:tab/>
        <w:t>Receiving and opening tenders, procedure for</w:t>
      </w:r>
      <w:bookmarkEnd w:id="63"/>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keepNext/>
        <w:rPr>
          <w:snapToGrid w:val="0"/>
        </w:rPr>
      </w:pPr>
      <w:r>
        <w:rPr>
          <w:snapToGrid w:val="0"/>
        </w:rPr>
        <w:tab/>
        <w:t>(3)</w:t>
      </w:r>
      <w:r>
        <w:rPr>
          <w:snapToGrid w:val="0"/>
        </w:rPr>
        <w:tab/>
        <w:t>When tenders are opened —</w:t>
      </w:r>
    </w:p>
    <w:p>
      <w:pPr>
        <w:pStyle w:val="Indenta"/>
        <w:keepNext/>
      </w:pPr>
      <w:r>
        <w:tab/>
        <w:t>(a)</w:t>
      </w:r>
      <w:r>
        <w:tab/>
        <w:t xml:space="preserve">there must be present — </w:t>
      </w:r>
    </w:p>
    <w:p>
      <w:pPr>
        <w:pStyle w:val="Indenti"/>
      </w:pPr>
      <w:r>
        <w:tab/>
        <w:t>(i)</w:t>
      </w:r>
      <w:r>
        <w:tab/>
        <w:t>at least 2 employees of the local government; or</w:t>
      </w:r>
    </w:p>
    <w:p>
      <w:pPr>
        <w:pStyle w:val="Indenti"/>
        <w:keepNext/>
        <w:rPr>
          <w:snapToGrid w:val="0"/>
        </w:rPr>
      </w:pPr>
      <w:r>
        <w:tab/>
        <w:t>(ii)</w:t>
      </w:r>
      <w:r>
        <w:tab/>
        <w:t>one employee of the local government and at least one person authorised by the CEO to open tenders;</w:t>
      </w:r>
    </w:p>
    <w:p>
      <w:pPr>
        <w:pStyle w:val="Indenta"/>
      </w:pPr>
      <w:r>
        <w:tab/>
      </w:r>
      <w:r>
        <w:tab/>
        <w:t>and</w:t>
      </w:r>
    </w:p>
    <w:p>
      <w:pPr>
        <w:pStyle w:val="Indenta"/>
        <w:rPr>
          <w:snapToGrid w:val="0"/>
        </w:rPr>
      </w:pPr>
      <w:r>
        <w:rPr>
          <w:snapToGrid w:val="0"/>
        </w:rPr>
        <w:tab/>
        <w:t>(b)</w:t>
      </w:r>
      <w:r>
        <w:rPr>
          <w:snapToGrid w:val="0"/>
        </w:rPr>
        <w:tab/>
        <w:t>members of the public are entitled to be present; and</w:t>
      </w:r>
    </w:p>
    <w:p>
      <w:pPr>
        <w:pStyle w:val="Indenta"/>
        <w:keepNext/>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Gazette 29 Jun 2001 p. 3131; 31 Mar 2005 p. 1055; 18 Sep 2015 p. 3807.]</w:t>
      </w:r>
    </w:p>
    <w:p>
      <w:pPr>
        <w:pStyle w:val="Heading5"/>
        <w:rPr>
          <w:snapToGrid w:val="0"/>
        </w:rPr>
      </w:pPr>
      <w:bookmarkStart w:id="64" w:name="_Toc217398809"/>
      <w:r>
        <w:rPr>
          <w:rStyle w:val="CharSectno"/>
        </w:rPr>
        <w:lastRenderedPageBreak/>
        <w:t>17</w:t>
      </w:r>
      <w:r>
        <w:rPr>
          <w:snapToGrid w:val="0"/>
        </w:rPr>
        <w:t>.</w:t>
      </w:r>
      <w:r>
        <w:rPr>
          <w:snapToGrid w:val="0"/>
        </w:rPr>
        <w:tab/>
        <w:t>Tenders register</w:t>
      </w:r>
      <w:bookmarkEnd w:id="64"/>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pPr>
      <w:r>
        <w:tab/>
        <w:t>(1A)</w:t>
      </w:r>
      <w:r>
        <w:tab/>
        <w:t>The CEO must publish the tenders register on the local government’s official website.</w:t>
      </w:r>
    </w:p>
    <w:p>
      <w:pPr>
        <w:pStyle w:val="Subsection"/>
        <w:keepNext/>
        <w:rPr>
          <w:snapToGrid w:val="0"/>
        </w:rPr>
      </w:pPr>
      <w:r>
        <w:rPr>
          <w:snapToGrid w:val="0"/>
        </w:rPr>
        <w:tab/>
        <w:t>(2)</w:t>
      </w:r>
      <w:r>
        <w:rPr>
          <w:snapToGrid w:val="0"/>
        </w:rPr>
        <w:tab/>
        <w:t>The tenders register is to include, for each invitation to tender —</w:t>
      </w:r>
    </w:p>
    <w:p>
      <w:pPr>
        <w:pStyle w:val="Indenta"/>
        <w:rPr>
          <w:snapToGrid w:val="0"/>
        </w:rPr>
      </w:pPr>
      <w:r>
        <w:rPr>
          <w:snapToGrid w:val="0"/>
        </w:rPr>
        <w:tab/>
        <w:t>(a)</w:t>
      </w:r>
      <w:r>
        <w:rPr>
          <w:snapToGrid w:val="0"/>
        </w:rPr>
        <w:tab/>
        <w:t>a brief description of the goods or services required; and</w:t>
      </w:r>
    </w:p>
    <w:p>
      <w:pPr>
        <w:pStyle w:val="Ednotepara"/>
        <w:rPr>
          <w:snapToGrid w:val="0"/>
        </w:rPr>
      </w:pPr>
      <w:r>
        <w:tab/>
        <w:t>[(b)</w:t>
      </w:r>
      <w:r>
        <w:tab/>
        <w:t>deleted]</w:t>
      </w:r>
    </w:p>
    <w:p>
      <w:pPr>
        <w:pStyle w:val="Indenta"/>
        <w:keepNext/>
        <w:rPr>
          <w:snapToGrid w:val="0"/>
        </w:rPr>
      </w:pPr>
      <w:r>
        <w:rPr>
          <w:snapToGrid w:val="0"/>
        </w:rPr>
        <w:tab/>
        <w:t>(c)</w:t>
      </w:r>
      <w:r>
        <w:rPr>
          <w:snapToGrid w:val="0"/>
        </w:rPr>
        <w:tab/>
        <w:t>particulars of —</w:t>
      </w:r>
    </w:p>
    <w:p>
      <w:pPr>
        <w:pStyle w:val="Indenti"/>
        <w:rPr>
          <w:snapToGrid w:val="0"/>
        </w:rPr>
      </w:pPr>
      <w:r>
        <w:rPr>
          <w:snapToGrid w:val="0"/>
        </w:rPr>
        <w:tab/>
        <w:t>(i)</w:t>
      </w:r>
      <w:r>
        <w:rPr>
          <w:snapToGrid w:val="0"/>
        </w:rPr>
        <w:tab/>
        <w:t>any notice by which expressions of interests from prospective tenderers was sought; and</w:t>
      </w:r>
    </w:p>
    <w:p>
      <w:pPr>
        <w:pStyle w:val="Indenti"/>
        <w:rPr>
          <w:snapToGrid w:val="0"/>
        </w:rPr>
      </w:pPr>
      <w:r>
        <w:rPr>
          <w:snapToGrid w:val="0"/>
        </w:rPr>
        <w:tab/>
        <w:t>(ii)</w:t>
      </w:r>
      <w:r>
        <w:rPr>
          <w:snapToGrid w:val="0"/>
        </w:rPr>
        <w:tab/>
        <w:t>any person who submitted an expression of interest; and</w:t>
      </w:r>
    </w:p>
    <w:p>
      <w:pPr>
        <w:pStyle w:val="Indenti"/>
        <w:keepNext/>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copy of the notice of the invitation to tender; and</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tab/>
        <w:t>(f)</w:t>
      </w:r>
      <w:r>
        <w:rPr>
          <w:snapToGrid w:val="0"/>
        </w:rPr>
        <w:tab/>
        <w:t>the name of any successful tenderer.</w:t>
      </w:r>
    </w:p>
    <w:p>
      <w:pPr>
        <w:pStyle w:val="Subsection"/>
        <w:keepNext/>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Gazette 29 Jun 2001 p. 3131; 18 Sep 2015 p. 3807; SL 2020/213 r. 36.]</w:t>
      </w:r>
    </w:p>
    <w:p>
      <w:pPr>
        <w:pStyle w:val="Heading5"/>
        <w:rPr>
          <w:snapToGrid w:val="0"/>
        </w:rPr>
      </w:pPr>
      <w:bookmarkStart w:id="65" w:name="_Toc217398810"/>
      <w:r>
        <w:rPr>
          <w:rStyle w:val="CharSectno"/>
        </w:rPr>
        <w:lastRenderedPageBreak/>
        <w:t>18</w:t>
      </w:r>
      <w:r>
        <w:rPr>
          <w:snapToGrid w:val="0"/>
        </w:rPr>
        <w:t>.</w:t>
      </w:r>
      <w:r>
        <w:rPr>
          <w:snapToGrid w:val="0"/>
        </w:rPr>
        <w:tab/>
        <w:t>Rejecting and accepting tenders</w:t>
      </w:r>
      <w:bookmarkEnd w:id="65"/>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w:t>
      </w:r>
      <w:r>
        <w:t>(if any)</w:t>
      </w:r>
      <w:r>
        <w:rPr>
          <w:snapToGrid w:val="0"/>
        </w:rPr>
        <w:t xml:space="preserve">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pPr>
        <w:pStyle w:val="Subsection"/>
        <w:keepNext/>
        <w:rPr>
          <w:snapToGrid w:val="0"/>
        </w:rPr>
      </w:pPr>
      <w:r>
        <w:tab/>
        <w:t>(7)</w:t>
      </w:r>
      <w:r>
        <w:tab/>
        <w:t xml:space="preserve">If a local government has accepted a tender and acceptance of the tender creates a contract and within 6 months of the day on which the tender was accepted the local government and the successful tenderer agree to terminate the contract, the local </w:t>
      </w:r>
      <w:r>
        <w:lastRenderedPageBreak/>
        <w:t>government may accept from the other tenders the tender which it thinks it would be most advantageous to the local government to accept.</w:t>
      </w:r>
    </w:p>
    <w:p>
      <w:pPr>
        <w:pStyle w:val="Footnotesection"/>
      </w:pPr>
      <w:r>
        <w:tab/>
        <w:t>[Regulation 18 amended: Gazette 29 Jun 2001 p. 3131</w:t>
      </w:r>
      <w:r>
        <w:noBreakHyphen/>
        <w:t>2; 18 Sep 2015 p. 3807.]</w:t>
      </w:r>
    </w:p>
    <w:p>
      <w:pPr>
        <w:pStyle w:val="Heading5"/>
        <w:rPr>
          <w:snapToGrid w:val="0"/>
        </w:rPr>
      </w:pPr>
      <w:bookmarkStart w:id="66" w:name="_Toc217398811"/>
      <w:r>
        <w:rPr>
          <w:rStyle w:val="CharSectno"/>
        </w:rPr>
        <w:t>19</w:t>
      </w:r>
      <w:r>
        <w:rPr>
          <w:snapToGrid w:val="0"/>
        </w:rPr>
        <w:t>.</w:t>
      </w:r>
      <w:r>
        <w:rPr>
          <w:snapToGrid w:val="0"/>
        </w:rPr>
        <w:tab/>
        <w:t>Tenderers to be notified of outcome</w:t>
      </w:r>
      <w:bookmarkEnd w:id="66"/>
    </w:p>
    <w:p>
      <w:pPr>
        <w:pStyle w:val="Subsection"/>
        <w:keepNext/>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Gazette 29 Jun 2001 p. 3132.]</w:t>
      </w:r>
    </w:p>
    <w:p>
      <w:pPr>
        <w:pStyle w:val="Heading5"/>
        <w:rPr>
          <w:snapToGrid w:val="0"/>
        </w:rPr>
      </w:pPr>
      <w:bookmarkStart w:id="67" w:name="_Toc217398812"/>
      <w:r>
        <w:rPr>
          <w:rStyle w:val="CharSectno"/>
        </w:rPr>
        <w:t>20</w:t>
      </w:r>
      <w:r>
        <w:rPr>
          <w:snapToGrid w:val="0"/>
        </w:rPr>
        <w:t>.</w:t>
      </w:r>
      <w:r>
        <w:rPr>
          <w:snapToGrid w:val="0"/>
        </w:rPr>
        <w:tab/>
        <w:t>Variation of requirements before entry into contract</w:t>
      </w:r>
      <w:bookmarkEnd w:id="67"/>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keepNext/>
        <w:rPr>
          <w:snapToGrid w:val="0"/>
        </w:rPr>
      </w:pPr>
      <w:r>
        <w:rPr>
          <w:snapToGrid w:val="0"/>
        </w:rPr>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keepNext/>
        <w:rPr>
          <w:snapToGrid w:val="0"/>
        </w:rPr>
      </w:pPr>
      <w:r>
        <w:rPr>
          <w:snapToGrid w:val="0"/>
        </w:rPr>
        <w:lastRenderedPageBreak/>
        <w:tab/>
        <w:t>(3)</w:t>
      </w:r>
      <w:r>
        <w:rPr>
          <w:snapToGrid w:val="0"/>
        </w:rPr>
        <w:tab/>
        <w:t>In subregulation (1) —</w:t>
      </w:r>
    </w:p>
    <w:p>
      <w:pPr>
        <w:pStyle w:val="Defstart"/>
      </w:pPr>
      <w:r>
        <w:rPr>
          <w:b/>
        </w:rPr>
        <w:tab/>
      </w:r>
      <w:r>
        <w:rPr>
          <w:rStyle w:val="CharDefText"/>
        </w:rPr>
        <w:t>minor variation</w:t>
      </w:r>
      <w:r>
        <w:t xml:space="preserve"> means a variation that the local government is satisfied is minor having regard to the total goods or services that tenderers were invited to supply.</w:t>
      </w:r>
    </w:p>
    <w:p>
      <w:pPr>
        <w:pStyle w:val="Heading5"/>
      </w:pPr>
      <w:bookmarkStart w:id="68" w:name="_Toc217398813"/>
      <w:r>
        <w:rPr>
          <w:rStyle w:val="CharSectno"/>
        </w:rPr>
        <w:t>21A</w:t>
      </w:r>
      <w:r>
        <w:t>.</w:t>
      </w:r>
      <w:r>
        <w:tab/>
        <w:t>Varying a contract for the supply of goods or services</w:t>
      </w:r>
      <w:bookmarkEnd w:id="68"/>
    </w:p>
    <w:p>
      <w:pPr>
        <w:pStyle w:val="Subsection"/>
        <w:keepNext/>
      </w:pPr>
      <w:r>
        <w:tab/>
      </w:r>
      <w:r>
        <w:tab/>
        <w:t xml:space="preserve">If a local government has entered into a contract for the supply of goods or services with a successful tenderer, the contract must not be varied unless — </w:t>
      </w:r>
    </w:p>
    <w:p>
      <w:pPr>
        <w:pStyle w:val="Indenta"/>
      </w:pPr>
      <w:r>
        <w:tab/>
        <w:t>(a)</w:t>
      </w:r>
      <w:r>
        <w:tab/>
        <w:t>the variation is necessary in order for the goods or services to be supplied and does not change the scope of the contract; or</w:t>
      </w:r>
    </w:p>
    <w:p>
      <w:pPr>
        <w:pStyle w:val="Indenta"/>
        <w:keepNext/>
      </w:pPr>
      <w:r>
        <w:tab/>
        <w:t>(b)</w:t>
      </w:r>
      <w:r>
        <w:tab/>
        <w:t xml:space="preserve">the variation is a renewal or extension of the term of the contract as described in regulation 11(2)(j), (ja) or (jb). </w:t>
      </w:r>
    </w:p>
    <w:p>
      <w:pPr>
        <w:pStyle w:val="Footnotesection"/>
      </w:pPr>
      <w:r>
        <w:tab/>
        <w:t xml:space="preserve">[Regulation 21A inserted: Gazette 18 Sep 2015 p. 3807; amended: SL 2023/47 r. 5.] </w:t>
      </w:r>
    </w:p>
    <w:p>
      <w:pPr>
        <w:pStyle w:val="Heading5"/>
        <w:rPr>
          <w:snapToGrid w:val="0"/>
        </w:rPr>
      </w:pPr>
      <w:bookmarkStart w:id="69" w:name="_Toc217398814"/>
      <w:r>
        <w:rPr>
          <w:rStyle w:val="CharSectno"/>
        </w:rPr>
        <w:t>21</w:t>
      </w:r>
      <w:r>
        <w:rPr>
          <w:snapToGrid w:val="0"/>
        </w:rPr>
        <w:t>.</w:t>
      </w:r>
      <w:r>
        <w:rPr>
          <w:snapToGrid w:val="0"/>
        </w:rPr>
        <w:tab/>
        <w:t>Limiting who can tender, procedure for</w:t>
      </w:r>
      <w:bookmarkEnd w:id="69"/>
    </w:p>
    <w:p>
      <w:pPr>
        <w:pStyle w:val="Subsection"/>
        <w:rPr>
          <w:snapToGrid w:val="0"/>
        </w:rPr>
      </w:pPr>
      <w:r>
        <w:rPr>
          <w:snapToGrid w:val="0"/>
        </w:rPr>
        <w:tab/>
        <w:t>(1)</w:t>
      </w:r>
      <w:r>
        <w:rPr>
          <w:snapToGrid w:val="0"/>
        </w:rPr>
        <w:tab/>
        <w:t xml:space="preserve">If a local government </w:t>
      </w:r>
      <w:r>
        <w:t>decides</w:t>
      </w:r>
      <w:r>
        <w:rPr>
          <w:snapToGrid w:val="0"/>
        </w:rPr>
        <w:t xml:space="preserve"> to make a preliminary selection from amongst prospective tenderers, it may seek expressions of interest with respect to the supply of the goods or services.</w:t>
      </w:r>
    </w:p>
    <w:p>
      <w:pPr>
        <w:pStyle w:val="Ednotesubsection"/>
      </w:pPr>
      <w:r>
        <w:tab/>
        <w:t>[(2)</w:t>
      </w:r>
      <w:r>
        <w:tab/>
        <w:t>deleted]</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keepNext/>
        <w:rPr>
          <w:snapToGrid w:val="0"/>
        </w:rPr>
      </w:pPr>
      <w:r>
        <w:rPr>
          <w:snapToGrid w:val="0"/>
        </w:rPr>
        <w:tab/>
        <w:t>(4)</w:t>
      </w:r>
      <w:r>
        <w:rPr>
          <w:snapToGrid w:val="0"/>
        </w:rPr>
        <w:tab/>
        <w:t>The notice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may be obtained; and</w:t>
      </w:r>
    </w:p>
    <w:p>
      <w:pPr>
        <w:pStyle w:val="Indenta"/>
        <w:rPr>
          <w:snapToGrid w:val="0"/>
        </w:rPr>
      </w:pPr>
      <w:r>
        <w:rPr>
          <w:snapToGrid w:val="0"/>
        </w:rPr>
        <w:tab/>
        <w:t>(c)</w:t>
      </w:r>
      <w:r>
        <w:rPr>
          <w:snapToGrid w:val="0"/>
        </w:rPr>
        <w:tab/>
        <w:t>information as to where and how expressions of interest may be submitted; and</w:t>
      </w:r>
    </w:p>
    <w:p>
      <w:pPr>
        <w:pStyle w:val="Indenta"/>
        <w:keepNext/>
        <w:rPr>
          <w:snapToGrid w:val="0"/>
        </w:rPr>
      </w:pPr>
      <w:r>
        <w:rPr>
          <w:snapToGrid w:val="0"/>
        </w:rPr>
        <w:lastRenderedPageBreak/>
        <w:tab/>
        <w:t>(d)</w:t>
      </w:r>
      <w:r>
        <w:rPr>
          <w:snapToGrid w:val="0"/>
        </w:rPr>
        <w:tab/>
        <w:t>the date and time after which expressions of interest cannot be submitted.</w:t>
      </w:r>
    </w:p>
    <w:p>
      <w:pPr>
        <w:pStyle w:val="Footnotesection"/>
      </w:pPr>
      <w:r>
        <w:tab/>
        <w:t xml:space="preserve">[Regulation 21 amended: Gazette 18 Sep 2015 p. 3808.] </w:t>
      </w:r>
    </w:p>
    <w:p>
      <w:pPr>
        <w:pStyle w:val="Heading5"/>
        <w:rPr>
          <w:snapToGrid w:val="0"/>
        </w:rPr>
      </w:pPr>
      <w:bookmarkStart w:id="70" w:name="_Toc217398815"/>
      <w:r>
        <w:rPr>
          <w:rStyle w:val="CharSectno"/>
        </w:rPr>
        <w:t>22</w:t>
      </w:r>
      <w:r>
        <w:rPr>
          <w:snapToGrid w:val="0"/>
        </w:rPr>
        <w:t>.</w:t>
      </w:r>
      <w:r>
        <w:rPr>
          <w:snapToGrid w:val="0"/>
        </w:rPr>
        <w:tab/>
        <w:t>Minimum time to be allowed for submitting expressions of interest</w:t>
      </w:r>
      <w:bookmarkEnd w:id="70"/>
    </w:p>
    <w:p>
      <w:pPr>
        <w:pStyle w:val="Subsection"/>
        <w:keepNext/>
      </w:pPr>
      <w:r>
        <w:rPr>
          <w:snapToGrid w:val="0"/>
        </w:rPr>
        <w:tab/>
      </w:r>
      <w:r>
        <w:rPr>
          <w:snapToGrid w:val="0"/>
        </w:rPr>
        <w:tab/>
        <w:t xml:space="preserve">The time specified in the notice as the time after which expressions of interest cannot be submitted has to be at least 14 days after the notice </w:t>
      </w:r>
      <w:r>
        <w:t xml:space="preserve">is — </w:t>
      </w:r>
    </w:p>
    <w:p>
      <w:pPr>
        <w:pStyle w:val="Indenta"/>
      </w:pPr>
      <w:r>
        <w:tab/>
        <w:t>(a)</w:t>
      </w:r>
      <w:r>
        <w:tab/>
        <w:t xml:space="preserve">published on the local government’s official website; and </w:t>
      </w:r>
    </w:p>
    <w:p>
      <w:pPr>
        <w:pStyle w:val="Indenta"/>
        <w:keepNext/>
      </w:pPr>
      <w:r>
        <w:tab/>
        <w:t>(b)</w:t>
      </w:r>
      <w:r>
        <w:tab/>
        <w:t xml:space="preserve">published in at least 3 of the ways prescribed in the </w:t>
      </w:r>
      <w:r>
        <w:rPr>
          <w:i/>
        </w:rPr>
        <w:t>Local Government (Administration) Regulations 1996</w:t>
      </w:r>
      <w:r>
        <w:t xml:space="preserve"> regulation 3A(2).</w:t>
      </w:r>
    </w:p>
    <w:p>
      <w:pPr>
        <w:pStyle w:val="Footnotesection"/>
      </w:pPr>
      <w:r>
        <w:tab/>
        <w:t>[Regulation 22 amended: SL 2020/213 r. 37</w:t>
      </w:r>
    </w:p>
    <w:p>
      <w:pPr>
        <w:pStyle w:val="Heading5"/>
        <w:rPr>
          <w:snapToGrid w:val="0"/>
        </w:rPr>
      </w:pPr>
      <w:bookmarkStart w:id="71" w:name="_Toc217398816"/>
      <w:r>
        <w:rPr>
          <w:rStyle w:val="CharSectno"/>
        </w:rPr>
        <w:t>23</w:t>
      </w:r>
      <w:r>
        <w:rPr>
          <w:snapToGrid w:val="0"/>
        </w:rPr>
        <w:t>.</w:t>
      </w:r>
      <w:r>
        <w:rPr>
          <w:snapToGrid w:val="0"/>
        </w:rPr>
        <w:tab/>
        <w:t>Rejecting and accepting expressions of interest to be acceptable tenderer</w:t>
      </w:r>
      <w:bookmarkEnd w:id="71"/>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keepLines/>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pPr>
        <w:pStyle w:val="Subsection"/>
        <w:keepNext/>
        <w:rPr>
          <w:snapToGrid w:val="0"/>
        </w:rPr>
      </w:pPr>
      <w:r>
        <w:rPr>
          <w:snapToGrid w:val="0"/>
        </w:rPr>
        <w:tab/>
        <w:t>(4)</w:t>
      </w:r>
      <w:r>
        <w:rPr>
          <w:snapToGrid w:val="0"/>
        </w:rPr>
        <w:tab/>
        <w:t>The CEO is to list each of those persons as an acceptable tenderer.</w:t>
      </w:r>
    </w:p>
    <w:p>
      <w:pPr>
        <w:pStyle w:val="Footnotesection"/>
      </w:pPr>
      <w:r>
        <w:tab/>
        <w:t>[Regulation 23 amended: Gazette 29 Jun 2001 p. 3132.]</w:t>
      </w:r>
    </w:p>
    <w:p>
      <w:pPr>
        <w:pStyle w:val="Heading5"/>
        <w:rPr>
          <w:snapToGrid w:val="0"/>
        </w:rPr>
      </w:pPr>
      <w:bookmarkStart w:id="72" w:name="_Toc217398817"/>
      <w:r>
        <w:rPr>
          <w:rStyle w:val="CharSectno"/>
        </w:rPr>
        <w:lastRenderedPageBreak/>
        <w:t>24</w:t>
      </w:r>
      <w:r>
        <w:rPr>
          <w:snapToGrid w:val="0"/>
        </w:rPr>
        <w:t>.</w:t>
      </w:r>
      <w:r>
        <w:rPr>
          <w:snapToGrid w:val="0"/>
        </w:rPr>
        <w:tab/>
        <w:t>People who submitted expression of interest to be notified of outcome</w:t>
      </w:r>
      <w:bookmarkEnd w:id="72"/>
    </w:p>
    <w:p>
      <w:pPr>
        <w:pStyle w:val="Subsection"/>
        <w:keepNext/>
        <w:rPr>
          <w:snapToGrid w:val="0"/>
        </w:rPr>
      </w:pPr>
      <w:r>
        <w:rPr>
          <w:snapToGrid w:val="0"/>
        </w:rPr>
        <w:tab/>
      </w:r>
      <w:r>
        <w:rPr>
          <w:snapToGrid w:val="0"/>
        </w:rPr>
        <w:tab/>
        <w:t>The CEO is to give each person who submitted an expression of interest notice in writing —</w:t>
      </w:r>
    </w:p>
    <w:p>
      <w:pPr>
        <w:pStyle w:val="Indenta"/>
        <w:rPr>
          <w:snapToGrid w:val="0"/>
        </w:rPr>
      </w:pPr>
      <w:r>
        <w:rPr>
          <w:snapToGrid w:val="0"/>
        </w:rPr>
        <w:tab/>
        <w:t>(a)</w:t>
      </w:r>
      <w:r>
        <w:rPr>
          <w:snapToGrid w:val="0"/>
        </w:rPr>
        <w:tab/>
        <w:t>containing particulars of the persons the CEO has listed under regulation 23(4) as acceptable tenderers; or</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keepNext/>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Gazette 29 Jun 2001 p. 3133.]</w:t>
      </w:r>
    </w:p>
    <w:p>
      <w:pPr>
        <w:pStyle w:val="Heading3"/>
      </w:pPr>
      <w:bookmarkStart w:id="73" w:name="_Toc217300553"/>
      <w:bookmarkStart w:id="74" w:name="_Toc217300964"/>
      <w:bookmarkStart w:id="75" w:name="_Toc217398057"/>
      <w:bookmarkStart w:id="76" w:name="_Toc217398328"/>
      <w:bookmarkStart w:id="77" w:name="_Toc217398818"/>
      <w:r>
        <w:rPr>
          <w:rStyle w:val="CharDivNo"/>
        </w:rPr>
        <w:t>Division 3</w:t>
      </w:r>
      <w:r>
        <w:t> — </w:t>
      </w:r>
      <w:r>
        <w:rPr>
          <w:rStyle w:val="CharDivText"/>
        </w:rPr>
        <w:t>Panels of pre</w:t>
      </w:r>
      <w:r>
        <w:rPr>
          <w:rStyle w:val="CharDivText"/>
        </w:rPr>
        <w:noBreakHyphen/>
        <w:t>qualified suppliers</w:t>
      </w:r>
      <w:bookmarkEnd w:id="73"/>
      <w:bookmarkEnd w:id="74"/>
      <w:bookmarkEnd w:id="75"/>
      <w:bookmarkEnd w:id="76"/>
      <w:bookmarkEnd w:id="77"/>
    </w:p>
    <w:p>
      <w:pPr>
        <w:pStyle w:val="Footnoteheading"/>
        <w:keepNext/>
      </w:pPr>
      <w:r>
        <w:tab/>
        <w:t>[Heading inserted: Gazette 18 Sep 2015 p. 3808.]</w:t>
      </w:r>
    </w:p>
    <w:p>
      <w:pPr>
        <w:pStyle w:val="Heading5"/>
      </w:pPr>
      <w:bookmarkStart w:id="78" w:name="_Toc217398819"/>
      <w:r>
        <w:rPr>
          <w:rStyle w:val="CharSectno"/>
        </w:rPr>
        <w:t>24AA</w:t>
      </w:r>
      <w:r>
        <w:t>.</w:t>
      </w:r>
      <w:r>
        <w:tab/>
        <w:t>Terms used</w:t>
      </w:r>
      <w:bookmarkEnd w:id="78"/>
    </w:p>
    <w:p>
      <w:pPr>
        <w:pStyle w:val="Subsection"/>
        <w:keepNext/>
      </w:pPr>
      <w:r>
        <w:tab/>
      </w:r>
      <w:r>
        <w:tab/>
        <w:t xml:space="preserve">In this Division — </w:t>
      </w:r>
    </w:p>
    <w:p>
      <w:pPr>
        <w:pStyle w:val="Defstart"/>
      </w:pPr>
      <w:r>
        <w:tab/>
      </w:r>
      <w:r>
        <w:rPr>
          <w:rStyle w:val="CharDefText"/>
        </w:rPr>
        <w:t>panel of pre</w:t>
      </w:r>
      <w:r>
        <w:rPr>
          <w:rStyle w:val="CharDefText"/>
        </w:rPr>
        <w:noBreakHyphen/>
        <w:t>qualified suppliers</w:t>
      </w:r>
      <w:r>
        <w:t xml:space="preserve"> means a panel of pre</w:t>
      </w:r>
      <w:r>
        <w:noBreakHyphen/>
        <w:t>qualified suppliers of goods or services established in accordance with this Division;</w:t>
      </w:r>
    </w:p>
    <w:p>
      <w:pPr>
        <w:pStyle w:val="Defstart"/>
        <w:keepNext/>
      </w:pPr>
      <w:r>
        <w:tab/>
      </w:r>
      <w:r>
        <w:rPr>
          <w:rStyle w:val="CharDefText"/>
        </w:rPr>
        <w:t>pre</w:t>
      </w:r>
      <w:r>
        <w:rPr>
          <w:rStyle w:val="CharDefText"/>
        </w:rPr>
        <w:noBreakHyphen/>
        <w:t>qualified supplier</w:t>
      </w:r>
      <w:r>
        <w:t>, of particular goods or services, means a person who is part of a panel of pre</w:t>
      </w:r>
      <w:r>
        <w:noBreakHyphen/>
        <w:t>qualified suppliers for the supply of those goods or services.</w:t>
      </w:r>
    </w:p>
    <w:p>
      <w:pPr>
        <w:pStyle w:val="Footnotesection"/>
      </w:pPr>
      <w:r>
        <w:tab/>
        <w:t xml:space="preserve">[Regulation 24AA inserted: Gazette 18 Sep 2015 p. 3808.] </w:t>
      </w:r>
    </w:p>
    <w:p>
      <w:pPr>
        <w:pStyle w:val="Heading5"/>
      </w:pPr>
      <w:bookmarkStart w:id="79" w:name="_Toc217398820"/>
      <w:r>
        <w:rPr>
          <w:rStyle w:val="CharSectno"/>
        </w:rPr>
        <w:lastRenderedPageBreak/>
        <w:t>24AB</w:t>
      </w:r>
      <w:r>
        <w:t>.</w:t>
      </w:r>
      <w:r>
        <w:tab/>
        <w:t>Local government may establish panels of pre</w:t>
      </w:r>
      <w:r>
        <w:noBreakHyphen/>
        <w:t>qualified suppliers</w:t>
      </w:r>
      <w:bookmarkEnd w:id="79"/>
    </w:p>
    <w:p>
      <w:pPr>
        <w:pStyle w:val="Subsection"/>
        <w:keepNext/>
      </w:pPr>
      <w:r>
        <w:tab/>
      </w:r>
      <w:r>
        <w:tab/>
        <w:t>A local government may establish a panel of pre</w:t>
      </w:r>
      <w:r>
        <w:noBreakHyphen/>
        <w:t>qualified suppliers to supply particular goods or services to the local government in accordance with this Division.</w:t>
      </w:r>
    </w:p>
    <w:p>
      <w:pPr>
        <w:pStyle w:val="Footnotesection"/>
      </w:pPr>
      <w:r>
        <w:tab/>
        <w:t xml:space="preserve">[Regulation 24AB inserted: Gazette 18 Sep 2015 p. 3808.] </w:t>
      </w:r>
    </w:p>
    <w:p>
      <w:pPr>
        <w:pStyle w:val="Heading5"/>
      </w:pPr>
      <w:bookmarkStart w:id="80" w:name="_Toc217398821"/>
      <w:r>
        <w:rPr>
          <w:rStyle w:val="CharSectno"/>
        </w:rPr>
        <w:t>24AC</w:t>
      </w:r>
      <w:r>
        <w:t>.</w:t>
      </w:r>
      <w:r>
        <w:tab/>
        <w:t>Requirements before establishing panels of pre</w:t>
      </w:r>
      <w:r>
        <w:noBreakHyphen/>
        <w:t>qualified suppliers</w:t>
      </w:r>
      <w:bookmarkEnd w:id="80"/>
    </w:p>
    <w:p>
      <w:pPr>
        <w:pStyle w:val="Subsection"/>
        <w:keepNext/>
      </w:pPr>
      <w:r>
        <w:tab/>
        <w:t>(1)</w:t>
      </w:r>
      <w:r>
        <w:tab/>
        <w:t>A local government must not establish a panel of pre</w:t>
      </w:r>
      <w:r>
        <w:noBreakHyphen/>
        <w:t xml:space="preserve">qualified suppliers unless — </w:t>
      </w:r>
    </w:p>
    <w:p>
      <w:pPr>
        <w:pStyle w:val="Indenta"/>
      </w:pPr>
      <w:r>
        <w:tab/>
        <w:t>(a)</w:t>
      </w:r>
      <w:r>
        <w:tab/>
        <w:t>it has a written policy that makes provision in respect of the matters set out in subregulation (2); and</w:t>
      </w:r>
    </w:p>
    <w:p>
      <w:pPr>
        <w:pStyle w:val="Indenta"/>
      </w:pPr>
      <w:r>
        <w:tab/>
        <w:t>(b)</w:t>
      </w:r>
      <w:r>
        <w:tab/>
        <w:t>the local government is satisfied that there is, or will be, a continuing need for the particular goods or services to be supplied by pre</w:t>
      </w:r>
      <w:r>
        <w:noBreakHyphen/>
        <w:t>qualified suppliers.</w:t>
      </w:r>
    </w:p>
    <w:p>
      <w:pPr>
        <w:pStyle w:val="Subsection"/>
        <w:keepNext/>
      </w:pPr>
      <w:r>
        <w:tab/>
        <w:t>(2)</w:t>
      </w:r>
      <w:r>
        <w:tab/>
        <w:t xml:space="preserve">The matters referred to in subregulation (1)(a) are — </w:t>
      </w:r>
    </w:p>
    <w:p>
      <w:pPr>
        <w:pStyle w:val="Indenta"/>
      </w:pPr>
      <w:r>
        <w:tab/>
        <w:t>(a)</w:t>
      </w:r>
      <w:r>
        <w:tab/>
        <w:t>how the local government will procure goods or services from pre</w:t>
      </w:r>
      <w:r>
        <w:noBreakHyphen/>
        <w:t>qualified suppliers, including any process for obtaining quotations from them; and</w:t>
      </w:r>
    </w:p>
    <w:p>
      <w:pPr>
        <w:pStyle w:val="Indenta"/>
      </w:pPr>
      <w:r>
        <w:tab/>
        <w:t>(b)</w:t>
      </w:r>
      <w:r>
        <w:tab/>
        <w:t>how the local government will ensure that each pre</w:t>
      </w:r>
      <w:r>
        <w:noBreakHyphen/>
        <w:t>qualified supplier on a panel of pre</w:t>
      </w:r>
      <w:r>
        <w:noBreakHyphen/>
        <w:t>qualified suppliers will be invited to quote for the supply of the goods or services that the pre</w:t>
      </w:r>
      <w:r>
        <w:noBreakHyphen/>
        <w:t>qualified suppliers will be expected to supply; and</w:t>
      </w:r>
    </w:p>
    <w:p>
      <w:pPr>
        <w:pStyle w:val="Indenta"/>
      </w:pPr>
      <w:r>
        <w:tab/>
        <w:t>(c)</w:t>
      </w:r>
      <w:r>
        <w:tab/>
        <w:t>how the local government will ensure clear, consistent and regular communication between the local government and pre</w:t>
      </w:r>
      <w:r>
        <w:noBreakHyphen/>
        <w:t>qualified suppliers; and</w:t>
      </w:r>
    </w:p>
    <w:p>
      <w:pPr>
        <w:pStyle w:val="Indenta"/>
      </w:pPr>
      <w:r>
        <w:tab/>
        <w:t>(d)</w:t>
      </w:r>
      <w:r>
        <w:tab/>
        <w:t>any factors that the local government will take into account when distributing work among pre</w:t>
      </w:r>
      <w:r>
        <w:noBreakHyphen/>
        <w:t>qualified suppliers; and</w:t>
      </w:r>
    </w:p>
    <w:p>
      <w:pPr>
        <w:pStyle w:val="Indenta"/>
        <w:keepNext/>
      </w:pPr>
      <w:r>
        <w:lastRenderedPageBreak/>
        <w:tab/>
        <w:t>(e)</w:t>
      </w:r>
      <w:r>
        <w:tab/>
        <w:t>the recording and retention of written information, or documents, in respect of —</w:t>
      </w:r>
    </w:p>
    <w:p>
      <w:pPr>
        <w:pStyle w:val="Indenti"/>
      </w:pPr>
      <w:r>
        <w:tab/>
        <w:t>(i)</w:t>
      </w:r>
      <w:r>
        <w:tab/>
        <w:t>all quotations received from pre</w:t>
      </w:r>
      <w:r>
        <w:noBreakHyphen/>
        <w:t>qualified suppliers; and</w:t>
      </w:r>
    </w:p>
    <w:p>
      <w:pPr>
        <w:pStyle w:val="Indenti"/>
        <w:keepNext/>
      </w:pPr>
      <w:r>
        <w:tab/>
        <w:t>(ii)</w:t>
      </w:r>
      <w:r>
        <w:tab/>
        <w:t>all purchases made from pre</w:t>
      </w:r>
      <w:r>
        <w:noBreakHyphen/>
        <w:t>qualified suppliers.</w:t>
      </w:r>
    </w:p>
    <w:p>
      <w:pPr>
        <w:pStyle w:val="Footnotesection"/>
      </w:pPr>
      <w:r>
        <w:tab/>
        <w:t>[Regulation 24AC inserted: Gazette 18 Sep 2015 p. 3808</w:t>
      </w:r>
      <w:r>
        <w:noBreakHyphen/>
        <w:t xml:space="preserve">9.] </w:t>
      </w:r>
    </w:p>
    <w:p>
      <w:pPr>
        <w:pStyle w:val="Heading5"/>
      </w:pPr>
      <w:bookmarkStart w:id="81" w:name="_Toc217398822"/>
      <w:r>
        <w:rPr>
          <w:rStyle w:val="CharSectno"/>
        </w:rPr>
        <w:t>24AD</w:t>
      </w:r>
      <w:r>
        <w:t>.</w:t>
      </w:r>
      <w:r>
        <w:tab/>
        <w:t>Requirements when inviting persons to apply to join panel of pre</w:t>
      </w:r>
      <w:r>
        <w:noBreakHyphen/>
        <w:t>qualified suppliers</w:t>
      </w:r>
      <w:bookmarkEnd w:id="81"/>
    </w:p>
    <w:p>
      <w:pPr>
        <w:pStyle w:val="Subsection"/>
      </w:pPr>
      <w:r>
        <w:tab/>
        <w:t>(1)</w:t>
      </w:r>
      <w:r>
        <w:tab/>
        <w:t>If a local government decides to establish a panel of pre</w:t>
      </w:r>
      <w:r>
        <w:noBreakHyphen/>
        <w:t>qualified suppliers of particular goods or services, persons are to be publicly invited to apply to join the panel.</w:t>
      </w:r>
    </w:p>
    <w:p>
      <w:pPr>
        <w:pStyle w:val="Subsection"/>
      </w:pPr>
      <w:r>
        <w:tab/>
        <w:t>(2)</w:t>
      </w:r>
      <w:r>
        <w:tab/>
        <w:t>Statewide public notice of the invitation to apply to join a panel of pre</w:t>
      </w:r>
      <w:r>
        <w:noBreakHyphen/>
        <w:t>qualified suppliers is to be given.</w:t>
      </w:r>
    </w:p>
    <w:p>
      <w:pPr>
        <w:pStyle w:val="Subsection"/>
      </w:pPr>
      <w:r>
        <w:tab/>
        <w:t>(3)</w:t>
      </w:r>
      <w:r>
        <w:tab/>
        <w:t>The local government must, before applications to join a panel of pre</w:t>
      </w:r>
      <w:r>
        <w:noBreakHyphen/>
        <w:t>qualified suppliers for particular goods or services are publicly invited, determine in writing the criteria for deciding which applications should be accepted.</w:t>
      </w:r>
    </w:p>
    <w:p>
      <w:pPr>
        <w:pStyle w:val="Subsection"/>
        <w:keepNext/>
      </w:pPr>
      <w:r>
        <w:tab/>
        <w:t>(4)</w:t>
      </w:r>
      <w:r>
        <w:tab/>
        <w:t xml:space="preserve">A notice under subregulation (2) is to include — </w:t>
      </w:r>
    </w:p>
    <w:p>
      <w:pPr>
        <w:pStyle w:val="Indenta"/>
      </w:pPr>
      <w:r>
        <w:tab/>
        <w:t>(a)</w:t>
      </w:r>
      <w:r>
        <w:tab/>
        <w:t>a brief description of the goods or services that persons on the panel of pre</w:t>
      </w:r>
      <w:r>
        <w:noBreakHyphen/>
        <w:t>qualified suppliers will be expected to supply; and</w:t>
      </w:r>
    </w:p>
    <w:p>
      <w:pPr>
        <w:pStyle w:val="Indenta"/>
      </w:pPr>
      <w:r>
        <w:tab/>
        <w:t>(b)</w:t>
      </w:r>
      <w:r>
        <w:tab/>
        <w:t>particulars identifying a person from whom more detailed information about the proposed panel of pre</w:t>
      </w:r>
      <w:r>
        <w:noBreakHyphen/>
        <w:t>qualified suppliers of particular goods or services may be obtained; and</w:t>
      </w:r>
    </w:p>
    <w:p>
      <w:pPr>
        <w:pStyle w:val="Indenta"/>
      </w:pPr>
      <w:r>
        <w:tab/>
        <w:t>(c)</w:t>
      </w:r>
      <w:r>
        <w:tab/>
        <w:t>information as to where and how applications to join the panel of pre</w:t>
      </w:r>
      <w:r>
        <w:noBreakHyphen/>
        <w:t>qualified suppliers may be submitted; and</w:t>
      </w:r>
    </w:p>
    <w:p>
      <w:pPr>
        <w:pStyle w:val="Indenta"/>
      </w:pPr>
      <w:r>
        <w:tab/>
        <w:t>(d)</w:t>
      </w:r>
      <w:r>
        <w:tab/>
        <w:t>the date and time after which applications to join the panel of pre</w:t>
      </w:r>
      <w:r>
        <w:noBreakHyphen/>
        <w:t>qualified suppliers cannot be submitted.</w:t>
      </w:r>
    </w:p>
    <w:p>
      <w:pPr>
        <w:pStyle w:val="Subsection"/>
        <w:keepNext/>
      </w:pPr>
      <w:r>
        <w:lastRenderedPageBreak/>
        <w:tab/>
        <w:t>(5)</w:t>
      </w:r>
      <w:r>
        <w:tab/>
        <w:t>In subregulation (4)(b) a reference to detailed information about a proposed panel of pre</w:t>
      </w:r>
      <w:r>
        <w:noBreakHyphen/>
        <w:t xml:space="preserve">qualified suppliers of particular goods or services includes a reference to — </w:t>
      </w:r>
    </w:p>
    <w:p>
      <w:pPr>
        <w:pStyle w:val="Indenta"/>
      </w:pPr>
      <w:r>
        <w:tab/>
        <w:t>(a)</w:t>
      </w:r>
      <w:r>
        <w:tab/>
        <w:t>the local government’s written policy referred to in regulation 24AC(1)(a); and</w:t>
      </w:r>
    </w:p>
    <w:p>
      <w:pPr>
        <w:pStyle w:val="Indenta"/>
      </w:pPr>
      <w:r>
        <w:tab/>
        <w:t>(b)</w:t>
      </w:r>
      <w:r>
        <w:tab/>
        <w:t>such information as the local government decides should be disclosed to those interested in applying to join the panel; and</w:t>
      </w:r>
    </w:p>
    <w:p>
      <w:pPr>
        <w:pStyle w:val="Indenta"/>
      </w:pPr>
      <w:r>
        <w:tab/>
        <w:t>(c)</w:t>
      </w:r>
      <w:r>
        <w:tab/>
        <w:t>detailed specifications of the goods or services that pre</w:t>
      </w:r>
      <w:r>
        <w:noBreakHyphen/>
        <w:t>qualified suppliers on the panel will be expected to supply; and</w:t>
      </w:r>
    </w:p>
    <w:p>
      <w:pPr>
        <w:pStyle w:val="Indenta"/>
      </w:pPr>
      <w:r>
        <w:tab/>
        <w:t>(d)</w:t>
      </w:r>
      <w:r>
        <w:tab/>
        <w:t>the criteria for deciding which applications to join the panel should be accepted; and</w:t>
      </w:r>
    </w:p>
    <w:p>
      <w:pPr>
        <w:pStyle w:val="Indenta"/>
      </w:pPr>
      <w:r>
        <w:tab/>
        <w:t>(e)</w:t>
      </w:r>
      <w:r>
        <w:tab/>
        <w:t>an explanation of how the panel will operate; and</w:t>
      </w:r>
    </w:p>
    <w:p>
      <w:pPr>
        <w:pStyle w:val="Indenta"/>
      </w:pPr>
      <w:r>
        <w:tab/>
        <w:t>(f)</w:t>
      </w:r>
      <w:r>
        <w:tab/>
        <w:t>whether or not the local government intends to purchase the goods or services exclusively from pre</w:t>
      </w:r>
      <w:r>
        <w:noBreakHyphen/>
        <w:t>qualified suppliers on the panel; and</w:t>
      </w:r>
    </w:p>
    <w:p>
      <w:pPr>
        <w:pStyle w:val="Indenta"/>
      </w:pPr>
      <w:r>
        <w:tab/>
        <w:t>(g)</w:t>
      </w:r>
      <w:r>
        <w:tab/>
        <w:t>a statement to the effect that there is no guarantee that the local government will purchase goods or services from pre</w:t>
      </w:r>
      <w:r>
        <w:noBreakHyphen/>
        <w:t>qualified suppliers on the panel; and</w:t>
      </w:r>
    </w:p>
    <w:p>
      <w:pPr>
        <w:pStyle w:val="Indenta"/>
      </w:pPr>
      <w:r>
        <w:tab/>
        <w:t>(h)</w:t>
      </w:r>
      <w:r>
        <w:tab/>
        <w:t>the period for which the panel will be established; and</w:t>
      </w:r>
    </w:p>
    <w:p>
      <w:pPr>
        <w:pStyle w:val="Indenta"/>
      </w:pPr>
      <w:r>
        <w:tab/>
        <w:t>(i)</w:t>
      </w:r>
      <w:r>
        <w:tab/>
        <w:t>the number of pre</w:t>
      </w:r>
      <w:r>
        <w:noBreakHyphen/>
        <w:t>qualified suppliers the local government intends to put on the panel.</w:t>
      </w:r>
    </w:p>
    <w:p>
      <w:pPr>
        <w:pStyle w:val="Subsection"/>
        <w:keepNext/>
      </w:pPr>
      <w:r>
        <w:tab/>
        <w:t>(6)</w:t>
      </w:r>
      <w:r>
        <w:tab/>
        <w:t>After a notice has been given under subregulation (2), a local government may vary the information referred to in subregulations (4) and (5) by taking reasonable steps to give each person who has sought detailed information about the proposed panel or each person who has submitted an application, as the case may be, notice of the variation.</w:t>
      </w:r>
    </w:p>
    <w:p>
      <w:pPr>
        <w:pStyle w:val="Footnotesection"/>
      </w:pPr>
      <w:r>
        <w:tab/>
        <w:t>[Regulation 24AD inserted: Gazette 18 Sep 2015 p. 3809</w:t>
      </w:r>
      <w:r>
        <w:noBreakHyphen/>
        <w:t xml:space="preserve">10.] </w:t>
      </w:r>
    </w:p>
    <w:p>
      <w:pPr>
        <w:pStyle w:val="Heading5"/>
      </w:pPr>
      <w:bookmarkStart w:id="82" w:name="_Toc217398823"/>
      <w:r>
        <w:rPr>
          <w:rStyle w:val="CharSectno"/>
        </w:rPr>
        <w:lastRenderedPageBreak/>
        <w:t>24AE</w:t>
      </w:r>
      <w:r>
        <w:t>.</w:t>
      </w:r>
      <w:r>
        <w:tab/>
        <w:t>Minimum time to be allowed for submitting application to join panel of pre</w:t>
      </w:r>
      <w:r>
        <w:noBreakHyphen/>
        <w:t>qualified suppliers</w:t>
      </w:r>
      <w:bookmarkEnd w:id="82"/>
    </w:p>
    <w:p>
      <w:pPr>
        <w:pStyle w:val="Subsection"/>
        <w:keepNext/>
      </w:pPr>
      <w:r>
        <w:tab/>
      </w:r>
      <w:r>
        <w:tab/>
        <w:t xml:space="preserve">If notice under regulation 24AD(2) is given, the date and time referred to in regulation 24AD(4)(d) has to be at least 14 days after the notice is — </w:t>
      </w:r>
    </w:p>
    <w:p>
      <w:pPr>
        <w:pStyle w:val="Indenta"/>
      </w:pPr>
      <w:r>
        <w:tab/>
        <w:t>(a)</w:t>
      </w:r>
      <w:r>
        <w:tab/>
        <w:t xml:space="preserve">published on the local government’s official website; and </w:t>
      </w:r>
    </w:p>
    <w:p>
      <w:pPr>
        <w:pStyle w:val="Indenta"/>
        <w:keepNext/>
      </w:pPr>
      <w:r>
        <w:tab/>
        <w:t>(b)</w:t>
      </w:r>
      <w:r>
        <w:tab/>
        <w:t xml:space="preserve">published in at least 3 of the ways prescribed in the </w:t>
      </w:r>
      <w:r>
        <w:rPr>
          <w:i/>
        </w:rPr>
        <w:t>Local Government (Administration) Regulations 1996</w:t>
      </w:r>
      <w:r>
        <w:t xml:space="preserve"> regulation 3A(2).</w:t>
      </w:r>
    </w:p>
    <w:p>
      <w:pPr>
        <w:pStyle w:val="Footnotesection"/>
      </w:pPr>
      <w:r>
        <w:tab/>
        <w:t xml:space="preserve">[Regulation 24AE inserted: Gazette 18 Sep 2015 p. 3810; amended: SL 2020/213 r. 38.] </w:t>
      </w:r>
    </w:p>
    <w:p>
      <w:pPr>
        <w:pStyle w:val="Heading5"/>
      </w:pPr>
      <w:bookmarkStart w:id="83" w:name="_Toc217398824"/>
      <w:r>
        <w:rPr>
          <w:rStyle w:val="CharSectno"/>
        </w:rPr>
        <w:t>24AF</w:t>
      </w:r>
      <w:r>
        <w:t>.</w:t>
      </w:r>
      <w:r>
        <w:tab/>
        <w:t>Procedure for receiving and opening applications</w:t>
      </w:r>
      <w:bookmarkEnd w:id="83"/>
    </w:p>
    <w:p>
      <w:pPr>
        <w:pStyle w:val="Subsection"/>
        <w:keepNext/>
      </w:pPr>
      <w:r>
        <w:tab/>
      </w:r>
      <w:r>
        <w:tab/>
        <w:t>Regulation 16 applies to the receiving and opening of applications to join a panel of pre</w:t>
      </w:r>
      <w:r>
        <w:noBreakHyphen/>
        <w:t>qualified suppliers as if a reference in that regulation to a tender were a reference to an application to join a panel of pre</w:t>
      </w:r>
      <w:r>
        <w:noBreakHyphen/>
        <w:t>qualified suppliers.</w:t>
      </w:r>
    </w:p>
    <w:p>
      <w:pPr>
        <w:pStyle w:val="Footnotesection"/>
      </w:pPr>
      <w:r>
        <w:tab/>
        <w:t>[Regulation 24AF inserted: Gazette 18 Sep 2015 p. 3810.]</w:t>
      </w:r>
    </w:p>
    <w:p>
      <w:pPr>
        <w:pStyle w:val="Heading5"/>
      </w:pPr>
      <w:bookmarkStart w:id="84" w:name="_Toc217398825"/>
      <w:r>
        <w:rPr>
          <w:rStyle w:val="CharSectno"/>
        </w:rPr>
        <w:t>24AG</w:t>
      </w:r>
      <w:r>
        <w:t>.</w:t>
      </w:r>
      <w:r>
        <w:tab/>
        <w:t>Information about panels of pre</w:t>
      </w:r>
      <w:r>
        <w:noBreakHyphen/>
        <w:t>qualified suppliers to be included in tenders register</w:t>
      </w:r>
      <w:bookmarkEnd w:id="84"/>
    </w:p>
    <w:p>
      <w:pPr>
        <w:pStyle w:val="Subsection"/>
        <w:keepNext/>
      </w:pPr>
      <w:r>
        <w:tab/>
        <w:t>(1)</w:t>
      </w:r>
      <w:r>
        <w:tab/>
        <w:t>The tenders register kept under these regulations must include, for each invitation to apply to join a panel of pre</w:t>
      </w:r>
      <w:r>
        <w:noBreakHyphen/>
        <w:t xml:space="preserve">qualified suppliers — </w:t>
      </w:r>
    </w:p>
    <w:p>
      <w:pPr>
        <w:pStyle w:val="Indenta"/>
      </w:pPr>
      <w:r>
        <w:tab/>
        <w:t>(a)</w:t>
      </w:r>
      <w:r>
        <w:tab/>
        <w:t>a brief description of the goods or services persons on the panel will be expected to supply; and</w:t>
      </w:r>
    </w:p>
    <w:p>
      <w:pPr>
        <w:pStyle w:val="Indenta"/>
      </w:pPr>
      <w:r>
        <w:tab/>
        <w:t>(b)</w:t>
      </w:r>
      <w:r>
        <w:tab/>
        <w:t>a copy of the notice of the invitation to apply to join the panel; and</w:t>
      </w:r>
    </w:p>
    <w:p>
      <w:pPr>
        <w:pStyle w:val="Indenta"/>
      </w:pPr>
      <w:r>
        <w:tab/>
        <w:t>(c)</w:t>
      </w:r>
      <w:r>
        <w:tab/>
        <w:t>the name of each applicant whose application has been opened; and</w:t>
      </w:r>
    </w:p>
    <w:p>
      <w:pPr>
        <w:pStyle w:val="Indenta"/>
      </w:pPr>
      <w:r>
        <w:tab/>
        <w:t>(d)</w:t>
      </w:r>
      <w:r>
        <w:tab/>
        <w:t>the name of any successful applicant.</w:t>
      </w:r>
    </w:p>
    <w:p>
      <w:pPr>
        <w:pStyle w:val="Subsection"/>
        <w:keepNext/>
      </w:pPr>
      <w:r>
        <w:lastRenderedPageBreak/>
        <w:tab/>
        <w:t>(2)</w:t>
      </w:r>
      <w:r>
        <w:tab/>
        <w:t>The tenders register is to include for each invitation to apply to join a panel of pre</w:t>
      </w:r>
      <w:r>
        <w:noBreakHyphen/>
        <w:t>qualified suppliers the pricing schedule, or a summary of the amount of the consideration sought, in the applications accepted by the local government.</w:t>
      </w:r>
    </w:p>
    <w:p>
      <w:pPr>
        <w:pStyle w:val="Footnotesection"/>
      </w:pPr>
      <w:r>
        <w:tab/>
        <w:t xml:space="preserve">[Regulation 24AG inserted: Gazette 18 Sep 2015 p. 3811.] </w:t>
      </w:r>
    </w:p>
    <w:p>
      <w:pPr>
        <w:pStyle w:val="Heading5"/>
      </w:pPr>
      <w:bookmarkStart w:id="85" w:name="_Toc217398826"/>
      <w:r>
        <w:rPr>
          <w:rStyle w:val="CharSectno"/>
        </w:rPr>
        <w:t>24AH</w:t>
      </w:r>
      <w:r>
        <w:t>.</w:t>
      </w:r>
      <w:r>
        <w:tab/>
        <w:t>Rejecting and accepting applications to join panel of pre</w:t>
      </w:r>
      <w:r>
        <w:noBreakHyphen/>
        <w:t>qualified suppliers</w:t>
      </w:r>
      <w:bookmarkEnd w:id="85"/>
    </w:p>
    <w:p>
      <w:pPr>
        <w:pStyle w:val="Subsection"/>
      </w:pPr>
      <w:r>
        <w:tab/>
        <w:t>(1)</w:t>
      </w:r>
      <w:r>
        <w:tab/>
        <w:t>An application to join a panel of pre</w:t>
      </w:r>
      <w:r>
        <w:noBreakHyphen/>
        <w:t xml:space="preserve">qualified suppliers (an </w:t>
      </w:r>
      <w:r>
        <w:rPr>
          <w:rStyle w:val="CharDefText"/>
        </w:rPr>
        <w:t>application</w:t>
      </w:r>
      <w:r>
        <w:t>) is required to be rejected unless it is submitted at a place, and within the time, specified in the invitation for applications to join the panel.</w:t>
      </w:r>
    </w:p>
    <w:p>
      <w:pPr>
        <w:pStyle w:val="Subsection"/>
      </w:pPr>
      <w:r>
        <w:tab/>
        <w:t>(2)</w:t>
      </w:r>
      <w:r>
        <w:tab/>
        <w:t>An application that is submitted at a place, and within the time, specified in the invitation but that fails to comply with any other requirement specified in the invitation may be rejected without considering the merits of the application.</w:t>
      </w:r>
    </w:p>
    <w:p>
      <w:pPr>
        <w:pStyle w:val="Subsection"/>
      </w:pPr>
      <w:r>
        <w:tab/>
        <w:t>(3)</w:t>
      </w:r>
      <w:r>
        <w:tab/>
        <w:t>Applications that have not been rejected under subregulation (1) or (2) are to be assessed by the local government by means of a written evaluation of the extent to which each application satisfies the criteria for deciding which applications to accept and it is to decide which of them (if any) it thinks it would be most advantageous to the local government to accept.</w:t>
      </w:r>
    </w:p>
    <w:p>
      <w:pPr>
        <w:pStyle w:val="Subsection"/>
      </w:pPr>
      <w:r>
        <w:tab/>
        <w:t>(4)</w:t>
      </w:r>
      <w:r>
        <w:tab/>
        <w:t>To assist the local government in deciding whether an application would be advantageous to it to accept, the person who submitted the application may be requested to clarify the information provided in it.</w:t>
      </w:r>
    </w:p>
    <w:p>
      <w:pPr>
        <w:pStyle w:val="Subsection"/>
        <w:keepNext/>
      </w:pPr>
      <w:r>
        <w:tab/>
        <w:t>(5)</w:t>
      </w:r>
      <w:r>
        <w:tab/>
        <w:t>The local government may decline to accept any application.</w:t>
      </w:r>
    </w:p>
    <w:p>
      <w:pPr>
        <w:pStyle w:val="Footnotesection"/>
      </w:pPr>
      <w:r>
        <w:tab/>
        <w:t xml:space="preserve">[Regulation 24AH inserted: Gazette 18 Sep 2015 p. 3811.] </w:t>
      </w:r>
    </w:p>
    <w:p>
      <w:pPr>
        <w:pStyle w:val="Heading5"/>
      </w:pPr>
      <w:bookmarkStart w:id="86" w:name="_Toc217398827"/>
      <w:r>
        <w:rPr>
          <w:rStyle w:val="CharSectno"/>
        </w:rPr>
        <w:t>24AI</w:t>
      </w:r>
      <w:r>
        <w:t>.</w:t>
      </w:r>
      <w:r>
        <w:tab/>
        <w:t>Applicants to be notified of outcome</w:t>
      </w:r>
      <w:bookmarkEnd w:id="86"/>
    </w:p>
    <w:p>
      <w:pPr>
        <w:pStyle w:val="Subsection"/>
        <w:keepNext/>
      </w:pPr>
      <w:r>
        <w:tab/>
      </w:r>
      <w:r>
        <w:tab/>
        <w:t xml:space="preserve">After the local government has decided under regulation 24AH which applications (if any) it will accept, the CEO is to give </w:t>
      </w:r>
      <w:r>
        <w:lastRenderedPageBreak/>
        <w:t xml:space="preserve">each person who submitted an application notice in writing advising — </w:t>
      </w:r>
    </w:p>
    <w:p>
      <w:pPr>
        <w:pStyle w:val="Indenta"/>
      </w:pPr>
      <w:r>
        <w:tab/>
        <w:t>(a)</w:t>
      </w:r>
      <w:r>
        <w:tab/>
        <w:t>that the person’s application was accepted and that the person is, for the period specified in the notice, to be part of a panel of pre</w:t>
      </w:r>
      <w:r>
        <w:noBreakHyphen/>
        <w:t>qualified suppliers of the particular goods or services; or</w:t>
      </w:r>
    </w:p>
    <w:p>
      <w:pPr>
        <w:pStyle w:val="Indenta"/>
        <w:keepNext/>
      </w:pPr>
      <w:r>
        <w:tab/>
        <w:t>(b)</w:t>
      </w:r>
      <w:r>
        <w:tab/>
        <w:t>that the person’s application was not accepted.</w:t>
      </w:r>
    </w:p>
    <w:p>
      <w:pPr>
        <w:pStyle w:val="Footnotesection"/>
      </w:pPr>
      <w:r>
        <w:tab/>
        <w:t xml:space="preserve">[Regulation 24AI inserted: Gazette 18 Sep 2015 p. 3812.] </w:t>
      </w:r>
    </w:p>
    <w:p>
      <w:pPr>
        <w:pStyle w:val="Heading5"/>
      </w:pPr>
      <w:bookmarkStart w:id="87" w:name="_Toc217398828"/>
      <w:r>
        <w:rPr>
          <w:rStyle w:val="CharSectno"/>
        </w:rPr>
        <w:t>24AJ</w:t>
      </w:r>
      <w:r>
        <w:t>.</w:t>
      </w:r>
      <w:r>
        <w:tab/>
        <w:t>Contracts with pre</w:t>
      </w:r>
      <w:r>
        <w:noBreakHyphen/>
        <w:t>qualified suppliers</w:t>
      </w:r>
      <w:bookmarkEnd w:id="87"/>
    </w:p>
    <w:p>
      <w:pPr>
        <w:pStyle w:val="Subsection"/>
      </w:pPr>
      <w:r>
        <w:tab/>
        <w:t>(1)</w:t>
      </w:r>
      <w:r>
        <w:tab/>
        <w:t>The local government may enter into a contract, or contracts, for the supply of goods or services with a pre</w:t>
      </w:r>
      <w:r>
        <w:noBreakHyphen/>
        <w:t>qualified supplier who is part of a panel of pre</w:t>
      </w:r>
      <w:r>
        <w:noBreakHyphen/>
        <w:t>qualified suppliers for the supply of those particular goods or services.</w:t>
      </w:r>
    </w:p>
    <w:p>
      <w:pPr>
        <w:pStyle w:val="Subsection"/>
        <w:keepNext/>
      </w:pPr>
      <w:r>
        <w:tab/>
        <w:t>(2)</w:t>
      </w:r>
      <w:r>
        <w:tab/>
        <w:t xml:space="preserve">A contract referred to in subregulation (1) must not — </w:t>
      </w:r>
    </w:p>
    <w:p>
      <w:pPr>
        <w:pStyle w:val="Indenta"/>
      </w:pPr>
      <w:r>
        <w:tab/>
        <w:t>(a)</w:t>
      </w:r>
      <w:r>
        <w:tab/>
        <w:t>be for a term exceeding 12 months; or</w:t>
      </w:r>
    </w:p>
    <w:p>
      <w:pPr>
        <w:pStyle w:val="Indenta"/>
        <w:keepNext/>
      </w:pPr>
      <w:r>
        <w:tab/>
        <w:t>(b)</w:t>
      </w:r>
      <w:r>
        <w:tab/>
        <w:t>contain an option to renew or extend its term.</w:t>
      </w:r>
    </w:p>
    <w:p>
      <w:pPr>
        <w:pStyle w:val="Footnotesection"/>
      </w:pPr>
      <w:r>
        <w:tab/>
        <w:t xml:space="preserve">[Regulation 24AJ inserted: Gazette 18 Sep 2015 p. 3812.] </w:t>
      </w:r>
    </w:p>
    <w:p>
      <w:pPr>
        <w:pStyle w:val="Heading2"/>
      </w:pPr>
      <w:bookmarkStart w:id="88" w:name="_Toc217300564"/>
      <w:bookmarkStart w:id="89" w:name="_Toc217300975"/>
      <w:bookmarkStart w:id="90" w:name="_Toc217398068"/>
      <w:bookmarkStart w:id="91" w:name="_Toc217398339"/>
      <w:bookmarkStart w:id="92" w:name="_Toc217398829"/>
      <w:r>
        <w:rPr>
          <w:rStyle w:val="CharPartNo"/>
        </w:rPr>
        <w:lastRenderedPageBreak/>
        <w:t>Part 4A</w:t>
      </w:r>
      <w:r>
        <w:rPr>
          <w:rStyle w:val="CharDivNo"/>
        </w:rPr>
        <w:t xml:space="preserve"> </w:t>
      </w:r>
      <w:r>
        <w:t>—</w:t>
      </w:r>
      <w:r>
        <w:rPr>
          <w:rStyle w:val="CharDivText"/>
        </w:rPr>
        <w:t xml:space="preserve"> </w:t>
      </w:r>
      <w:r>
        <w:rPr>
          <w:rStyle w:val="CharPartText"/>
        </w:rPr>
        <w:t>Regional price preference</w:t>
      </w:r>
      <w:bookmarkEnd w:id="88"/>
      <w:bookmarkEnd w:id="89"/>
      <w:bookmarkEnd w:id="90"/>
      <w:bookmarkEnd w:id="91"/>
      <w:bookmarkEnd w:id="92"/>
    </w:p>
    <w:p>
      <w:pPr>
        <w:pStyle w:val="Footnoteheading"/>
      </w:pPr>
      <w:r>
        <w:tab/>
        <w:t>[Heading inserted: Gazette 25 Feb 2000 p. 971.]</w:t>
      </w:r>
    </w:p>
    <w:p>
      <w:pPr>
        <w:pStyle w:val="Heading5"/>
        <w:spacing w:before="180"/>
      </w:pPr>
      <w:bookmarkStart w:id="93" w:name="_Toc217398830"/>
      <w:r>
        <w:rPr>
          <w:rStyle w:val="CharSectno"/>
        </w:rPr>
        <w:t>24A</w:t>
      </w:r>
      <w:r>
        <w:t>.</w:t>
      </w:r>
      <w:r>
        <w:tab/>
        <w:t>Application of this Part</w:t>
      </w:r>
      <w:bookmarkEnd w:id="93"/>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Gazette 25 Feb 2000 p. 971.]</w:t>
      </w:r>
    </w:p>
    <w:p>
      <w:pPr>
        <w:pStyle w:val="Heading5"/>
        <w:spacing w:before="180"/>
      </w:pPr>
      <w:bookmarkStart w:id="94" w:name="_Toc217398831"/>
      <w:r>
        <w:rPr>
          <w:rStyle w:val="CharSectno"/>
        </w:rPr>
        <w:t>24B</w:t>
      </w:r>
      <w:r>
        <w:t>.</w:t>
      </w:r>
      <w:r>
        <w:tab/>
        <w:t>Terms used</w:t>
      </w:r>
      <w:bookmarkEnd w:id="94"/>
    </w:p>
    <w:p>
      <w:pPr>
        <w:pStyle w:val="Subsection"/>
        <w:spacing w:before="120"/>
      </w:pPr>
      <w:r>
        <w:tab/>
        <w:t>(1)</w:t>
      </w:r>
      <w:r>
        <w:tab/>
        <w:t>In this Part —</w:t>
      </w:r>
    </w:p>
    <w:p>
      <w:pPr>
        <w:pStyle w:val="Defstart"/>
      </w:pPr>
      <w:r>
        <w:tab/>
      </w:r>
      <w:r>
        <w:rPr>
          <w:rStyle w:val="CharDefText"/>
        </w:rPr>
        <w:t>regional price preference</w:t>
      </w:r>
      <w:r>
        <w:t>, in relation to a tender submitted by a regional tenderer, involves assessing the tender as if the proposed tender price were discounted in accordance with regulation 24D;</w:t>
      </w:r>
    </w:p>
    <w:p>
      <w:pPr>
        <w:pStyle w:val="Defstart"/>
      </w:pPr>
      <w:r>
        <w:rPr>
          <w:b/>
        </w:rPr>
        <w:tab/>
      </w:r>
      <w:r>
        <w:rPr>
          <w:rStyle w:val="CharDefText"/>
        </w:rPr>
        <w:t>regional tenderer</w:t>
      </w:r>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spacing w:before="60"/>
      </w:pPr>
      <w:r>
        <w:tab/>
        <w:t>(a)</w:t>
      </w:r>
      <w:r>
        <w:tab/>
        <w:t>that supplier has been operating a business continuously out of premises in the appropriate region for at least 6 months before the time after which further tenders cannot be submitted; or</w:t>
      </w:r>
    </w:p>
    <w:p>
      <w:pPr>
        <w:pStyle w:val="Indenta"/>
        <w:spacing w:before="60"/>
      </w:pPr>
      <w:r>
        <w:tab/>
        <w:t>(b)</w:t>
      </w:r>
      <w:r>
        <w:tab/>
        <w:t>some or all of the goods or services are to be supplied from regional sources.</w:t>
      </w:r>
    </w:p>
    <w:p>
      <w:pPr>
        <w:pStyle w:val="Footnotesection"/>
        <w:spacing w:before="100"/>
        <w:ind w:left="890" w:hanging="890"/>
      </w:pPr>
      <w:r>
        <w:tab/>
        <w:t>[Regulation 24B inserted: Gazette 25 Feb 2000 p. 971.]</w:t>
      </w:r>
    </w:p>
    <w:p>
      <w:pPr>
        <w:pStyle w:val="Heading5"/>
        <w:spacing w:before="180"/>
      </w:pPr>
      <w:bookmarkStart w:id="95" w:name="_Toc217398832"/>
      <w:r>
        <w:rPr>
          <w:rStyle w:val="CharSectno"/>
        </w:rPr>
        <w:lastRenderedPageBreak/>
        <w:t>24C</w:t>
      </w:r>
      <w:r>
        <w:t>.</w:t>
      </w:r>
      <w:r>
        <w:tab/>
        <w:t>Regional price preference may be given</w:t>
      </w:r>
      <w:bookmarkEnd w:id="95"/>
    </w:p>
    <w:p>
      <w:pPr>
        <w:pStyle w:val="Subsection"/>
        <w:keepNext/>
        <w:spacing w:before="120"/>
      </w:pPr>
      <w:r>
        <w:tab/>
      </w:r>
      <w:r>
        <w:tab/>
        <w:t>A local government located outside the metropolitan area may give a regional price preference to a regional tenderer in accordance with this Part.</w:t>
      </w:r>
    </w:p>
    <w:p>
      <w:pPr>
        <w:pStyle w:val="Footnotesection"/>
      </w:pPr>
      <w:r>
        <w:tab/>
        <w:t>[Regulation 24C inserted: Gazette 25 Feb 2000 p. 971.]</w:t>
      </w:r>
    </w:p>
    <w:p>
      <w:pPr>
        <w:pStyle w:val="Heading5"/>
      </w:pPr>
      <w:bookmarkStart w:id="96" w:name="_Toc217398833"/>
      <w:r>
        <w:rPr>
          <w:rStyle w:val="CharSectno"/>
        </w:rPr>
        <w:t>24D</w:t>
      </w:r>
      <w:r>
        <w:t>.</w:t>
      </w:r>
      <w:r>
        <w:tab/>
        <w:t>Discounts permitted for regional price preferences</w:t>
      </w:r>
      <w:bookmarkEnd w:id="96"/>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 or</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wholly supplied from regional sources; or</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lastRenderedPageBreak/>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Gazette 25 Feb 2000 p. 972.]</w:t>
      </w:r>
    </w:p>
    <w:p>
      <w:pPr>
        <w:pStyle w:val="Heading5"/>
      </w:pPr>
      <w:bookmarkStart w:id="97" w:name="_Toc217398834"/>
      <w:r>
        <w:rPr>
          <w:rStyle w:val="CharSectno"/>
        </w:rPr>
        <w:t>24E</w:t>
      </w:r>
      <w:r>
        <w:t>.</w:t>
      </w:r>
      <w:r>
        <w:tab/>
        <w:t>Regional price preference policies for local governments</w:t>
      </w:r>
      <w:bookmarkEnd w:id="97"/>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 and</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 and</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 and</w:t>
      </w:r>
    </w:p>
    <w:p>
      <w:pPr>
        <w:pStyle w:val="Indenta"/>
      </w:pPr>
      <w:r>
        <w:tab/>
        <w:t>(d)</w:t>
      </w:r>
      <w:r>
        <w:tab/>
        <w:t>publish the proposed regional price preference policy on the local government’s official website.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w:t>
      </w:r>
    </w:p>
    <w:p>
      <w:pPr>
        <w:pStyle w:val="Indenta"/>
      </w:pPr>
      <w:r>
        <w:lastRenderedPageBreak/>
        <w:tab/>
        <w:t>(b)</w:t>
      </w:r>
      <w:r>
        <w:tab/>
      </w:r>
      <w:r>
        <w:rPr>
          <w:u w:val="single"/>
        </w:rPr>
        <w:t>for different goods or services</w:t>
      </w:r>
      <w:r>
        <w:t xml:space="preserve"> within a single contract or various contracts;</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Gazette 25 Feb 2000 p. 972</w:t>
      </w:r>
      <w:r>
        <w:noBreakHyphen/>
        <w:t>3; amended: Gazette 31 Mar 2005 p. 1055; SL 2020/213 r. 39.]</w:t>
      </w:r>
    </w:p>
    <w:p>
      <w:pPr>
        <w:pStyle w:val="Heading5"/>
        <w:spacing w:before="180"/>
      </w:pPr>
      <w:bookmarkStart w:id="98" w:name="_Toc217398835"/>
      <w:r>
        <w:rPr>
          <w:rStyle w:val="CharSectno"/>
        </w:rPr>
        <w:t>24F</w:t>
      </w:r>
      <w:r>
        <w:t>.</w:t>
      </w:r>
      <w:r>
        <w:tab/>
        <w:t>Adoption and notice of regional price preference policy</w:t>
      </w:r>
      <w:bookmarkEnd w:id="98"/>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spacing w:before="60"/>
      </w:pPr>
      <w:r>
        <w:tab/>
        <w:t>(a)</w:t>
      </w:r>
      <w:r>
        <w:tab/>
        <w:t>the region or regions within which each aspect of it is to be applied; and</w:t>
      </w:r>
    </w:p>
    <w:p>
      <w:pPr>
        <w:pStyle w:val="Indenta"/>
        <w:spacing w:before="60"/>
      </w:pPr>
      <w:r>
        <w:tab/>
        <w:t>(b)</w:t>
      </w:r>
      <w:r>
        <w:tab/>
        <w:t>the types and nature of businesses that may be considered for each type of preference; and</w:t>
      </w:r>
    </w:p>
    <w:p>
      <w:pPr>
        <w:pStyle w:val="Indenta"/>
        <w:keepNext/>
        <w:spacing w:before="60"/>
      </w:pPr>
      <w:r>
        <w:lastRenderedPageBreak/>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different goods or services within a single contract or various contracts;</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pPr>
      <w:r>
        <w:tab/>
        <w:t>(b)</w:t>
      </w:r>
      <w:r>
        <w:tab/>
        <w:t>published on the local government’s official website.</w:t>
      </w:r>
    </w:p>
    <w:p>
      <w:pPr>
        <w:pStyle w:val="Footnotesection"/>
      </w:pPr>
      <w:r>
        <w:tab/>
        <w:t>[Regulation 24F inserted: Gazette 25 Feb 2000 p. 973</w:t>
      </w:r>
      <w:r>
        <w:noBreakHyphen/>
        <w:t>4; amended: Gazette 31 Mar 2005 p. 1055; SL 2020/213 r. 40.]</w:t>
      </w:r>
    </w:p>
    <w:p>
      <w:pPr>
        <w:pStyle w:val="Heading5"/>
      </w:pPr>
      <w:bookmarkStart w:id="99" w:name="_Toc217398836"/>
      <w:r>
        <w:rPr>
          <w:rStyle w:val="CharSectno"/>
        </w:rPr>
        <w:t>24G</w:t>
      </w:r>
      <w:r>
        <w:t>.</w:t>
      </w:r>
      <w:r>
        <w:tab/>
        <w:t>Adopted regional price preference policy, effect of</w:t>
      </w:r>
      <w:bookmarkEnd w:id="99"/>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Gazette 25 Feb 2000 p. 974.]</w:t>
      </w:r>
    </w:p>
    <w:p>
      <w:pPr>
        <w:pStyle w:val="Ednotepart"/>
      </w:pPr>
      <w:r>
        <w:t>[Part 4B (r. 24H-24I) deleted: Gazette 27 Sep 2011 p. 3846.]</w:t>
      </w:r>
    </w:p>
    <w:p>
      <w:pPr>
        <w:pStyle w:val="Heading2"/>
      </w:pPr>
      <w:bookmarkStart w:id="100" w:name="_Toc217300572"/>
      <w:bookmarkStart w:id="101" w:name="_Toc217300983"/>
      <w:bookmarkStart w:id="102" w:name="_Toc217398076"/>
      <w:bookmarkStart w:id="103" w:name="_Toc217398347"/>
      <w:bookmarkStart w:id="104" w:name="_Toc217398837"/>
      <w:r>
        <w:rPr>
          <w:rStyle w:val="CharPartNo"/>
        </w:rPr>
        <w:lastRenderedPageBreak/>
        <w:t>Part 5</w:t>
      </w:r>
      <w:r>
        <w:rPr>
          <w:rStyle w:val="CharDivNo"/>
        </w:rPr>
        <w:t> </w:t>
      </w:r>
      <w:r>
        <w:t>—</w:t>
      </w:r>
      <w:r>
        <w:rPr>
          <w:rStyle w:val="CharDivText"/>
        </w:rPr>
        <w:t> </w:t>
      </w:r>
      <w:r>
        <w:rPr>
          <w:rStyle w:val="CharPartText"/>
        </w:rPr>
        <w:t>Owner onus and infringement notices</w:t>
      </w:r>
      <w:bookmarkEnd w:id="100"/>
      <w:bookmarkEnd w:id="101"/>
      <w:bookmarkEnd w:id="102"/>
      <w:bookmarkEnd w:id="103"/>
      <w:bookmarkEnd w:id="104"/>
    </w:p>
    <w:p>
      <w:pPr>
        <w:pStyle w:val="Heading5"/>
        <w:ind w:right="376"/>
        <w:rPr>
          <w:snapToGrid w:val="0"/>
        </w:rPr>
      </w:pPr>
      <w:bookmarkStart w:id="105" w:name="_Toc217398838"/>
      <w:r>
        <w:rPr>
          <w:rStyle w:val="CharSectno"/>
        </w:rPr>
        <w:t>25</w:t>
      </w:r>
      <w:r>
        <w:rPr>
          <w:snapToGrid w:val="0"/>
        </w:rPr>
        <w:t>.</w:t>
      </w:r>
      <w:r>
        <w:rPr>
          <w:snapToGrid w:val="0"/>
        </w:rPr>
        <w:tab/>
        <w:t>Notice to put onus on vehicle owner, form of (Act s. 9.13)</w:t>
      </w:r>
      <w:bookmarkEnd w:id="105"/>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106" w:name="_Toc217398839"/>
      <w:r>
        <w:rPr>
          <w:rStyle w:val="CharSectno"/>
        </w:rPr>
        <w:t>26</w:t>
      </w:r>
      <w:r>
        <w:rPr>
          <w:snapToGrid w:val="0"/>
        </w:rPr>
        <w:t>.</w:t>
      </w:r>
      <w:r>
        <w:rPr>
          <w:snapToGrid w:val="0"/>
        </w:rPr>
        <w:tab/>
        <w:t>Infringement notice, form of (Act s. 9.16)</w:t>
      </w:r>
      <w:bookmarkEnd w:id="106"/>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107" w:name="_Toc217398840"/>
      <w:r>
        <w:rPr>
          <w:rStyle w:val="CharSectno"/>
        </w:rPr>
        <w:t>27</w:t>
      </w:r>
      <w:r>
        <w:rPr>
          <w:snapToGrid w:val="0"/>
        </w:rPr>
        <w:t>.</w:t>
      </w:r>
      <w:r>
        <w:rPr>
          <w:snapToGrid w:val="0"/>
        </w:rPr>
        <w:tab/>
        <w:t>Withdrawal of infringement notice, form of (Act s. 9.20)</w:t>
      </w:r>
      <w:bookmarkEnd w:id="107"/>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r>
        <w:rPr>
          <w:rStyle w:val="CharSectno"/>
        </w:rPr>
        <w:t>[</w:t>
      </w:r>
      <w:r>
        <w:rPr>
          <w:rStyle w:val="CharSectno"/>
          <w:b/>
          <w:bCs/>
        </w:rPr>
        <w:t>28</w:t>
      </w:r>
      <w:r>
        <w:rPr>
          <w:b/>
          <w:bCs/>
        </w:rPr>
        <w:t>.</w:t>
      </w:r>
      <w:r>
        <w:tab/>
        <w:t>Omitted under the Reprints Act 1984 s. 7(4)(g).]</w:t>
      </w:r>
    </w:p>
    <w:p>
      <w:pPr>
        <w:pStyle w:val="Heading2"/>
      </w:pPr>
      <w:bookmarkStart w:id="108" w:name="_Toc217300576"/>
      <w:bookmarkStart w:id="109" w:name="_Toc217300987"/>
      <w:bookmarkStart w:id="110" w:name="_Toc217398080"/>
      <w:bookmarkStart w:id="111" w:name="_Toc217398351"/>
      <w:bookmarkStart w:id="112" w:name="_Toc217398841"/>
      <w:r>
        <w:rPr>
          <w:rStyle w:val="CharPartNo"/>
        </w:rPr>
        <w:lastRenderedPageBreak/>
        <w:t>Part 6</w:t>
      </w:r>
      <w:r>
        <w:rPr>
          <w:rStyle w:val="CharDivNo"/>
        </w:rPr>
        <w:t> </w:t>
      </w:r>
      <w:r>
        <w:t>—</w:t>
      </w:r>
      <w:r>
        <w:rPr>
          <w:rStyle w:val="CharDivText"/>
        </w:rPr>
        <w:t> </w:t>
      </w:r>
      <w:r>
        <w:rPr>
          <w:rStyle w:val="CharPartText"/>
        </w:rPr>
        <w:t>Miscellaneous</w:t>
      </w:r>
      <w:bookmarkEnd w:id="108"/>
      <w:bookmarkEnd w:id="109"/>
      <w:bookmarkEnd w:id="110"/>
      <w:bookmarkEnd w:id="111"/>
      <w:bookmarkEnd w:id="112"/>
    </w:p>
    <w:p>
      <w:pPr>
        <w:pStyle w:val="Heading5"/>
        <w:ind w:right="856"/>
        <w:rPr>
          <w:snapToGrid w:val="0"/>
        </w:rPr>
      </w:pPr>
      <w:bookmarkStart w:id="113" w:name="_Toc217398842"/>
      <w:r>
        <w:rPr>
          <w:rStyle w:val="CharSectno"/>
        </w:rPr>
        <w:t>29</w:t>
      </w:r>
      <w:r>
        <w:rPr>
          <w:snapToGrid w:val="0"/>
        </w:rPr>
        <w:t>.</w:t>
      </w:r>
      <w:r>
        <w:rPr>
          <w:snapToGrid w:val="0"/>
        </w:rPr>
        <w:tab/>
        <w:t>Contraventions that may lead to impounding of goods (Act s. </w:t>
      </w:r>
      <w:r>
        <w:rPr>
          <w:rStyle w:val="CharSectno"/>
        </w:rPr>
        <w:t>3</w:t>
      </w:r>
      <w:r>
        <w:rPr>
          <w:snapToGrid w:val="0"/>
        </w:rPr>
        <w:t>.37)</w:t>
      </w:r>
      <w:bookmarkEnd w:id="113"/>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presence of the goods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obstructs the lawful use of any place;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w:t>
      </w:r>
    </w:p>
    <w:p>
      <w:pPr>
        <w:pStyle w:val="Defstart"/>
      </w:pPr>
      <w:r>
        <w:rPr>
          <w:b/>
        </w:rPr>
        <w:tab/>
      </w:r>
      <w:r>
        <w:rPr>
          <w:rStyle w:val="CharDefText"/>
        </w:rPr>
        <w:t>public place</w:t>
      </w:r>
      <w:r>
        <w:t xml:space="preserve"> includes a place that is on private property that the public are allowed to use.</w:t>
      </w:r>
    </w:p>
    <w:p>
      <w:pPr>
        <w:pStyle w:val="Footnotesection"/>
      </w:pPr>
      <w:r>
        <w:tab/>
        <w:t>[Regulation 29 amended: Gazette 29 Apr 1997 p. 2145; 25 Feb 2000 p. 974.]</w:t>
      </w:r>
    </w:p>
    <w:p>
      <w:pPr>
        <w:pStyle w:val="Heading5"/>
      </w:pPr>
      <w:bookmarkStart w:id="114" w:name="_Toc217398843"/>
      <w:r>
        <w:rPr>
          <w:rStyle w:val="CharSectno"/>
        </w:rPr>
        <w:lastRenderedPageBreak/>
        <w:t>29A</w:t>
      </w:r>
      <w:r>
        <w:t>.</w:t>
      </w:r>
      <w:r>
        <w:tab/>
        <w:t xml:space="preserve">Abandoned vehicle wrecks, value etc. prescribed for </w:t>
      </w:r>
      <w:r>
        <w:rPr>
          <w:snapToGrid w:val="0"/>
        </w:rPr>
        <w:t>(Act </w:t>
      </w:r>
      <w:r>
        <w:t>s. 3.40A(5)(c))</w:t>
      </w:r>
      <w:bookmarkEnd w:id="114"/>
    </w:p>
    <w:p>
      <w:pPr>
        <w:pStyle w:val="Subsection"/>
        <w:keepNext/>
      </w:pPr>
      <w:r>
        <w:tab/>
      </w:r>
      <w:r>
        <w:tab/>
        <w:t xml:space="preserve">For the purposes of the definition of </w:t>
      </w:r>
      <w:r>
        <w:rPr>
          <w:b/>
          <w:i/>
        </w:rPr>
        <w:t>abandoned vehicle wreck</w:t>
      </w:r>
      <w:r>
        <w:t xml:space="preserve"> in section 3.40A(5)(c) of the Act —</w:t>
      </w:r>
    </w:p>
    <w:p>
      <w:pPr>
        <w:pStyle w:val="Indenta"/>
      </w:pPr>
      <w:r>
        <w:tab/>
        <w:t>(a)</w:t>
      </w:r>
      <w:r>
        <w:tab/>
        <w:t xml:space="preserve">the prescribed value is $500; and </w:t>
      </w:r>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Gazette 31 Mar 2005 p. 1058; amended: Gazette 27 Sep 2011 p. 3846; 18 Sep 2015 p. 3812.]</w:t>
      </w:r>
    </w:p>
    <w:p>
      <w:pPr>
        <w:pStyle w:val="Heading5"/>
      </w:pPr>
      <w:bookmarkStart w:id="115" w:name="_Toc217398844"/>
      <w:r>
        <w:rPr>
          <w:rStyle w:val="CharSectno"/>
        </w:rPr>
        <w:t>29B</w:t>
      </w:r>
      <w:r>
        <w:t>.</w:t>
      </w:r>
      <w:r>
        <w:tab/>
        <w:t>Prescribed non</w:t>
      </w:r>
      <w:r>
        <w:noBreakHyphen/>
        <w:t xml:space="preserve">perishable goods </w:t>
      </w:r>
      <w:r>
        <w:rPr>
          <w:snapToGrid w:val="0"/>
        </w:rPr>
        <w:t>(Act </w:t>
      </w:r>
      <w:r>
        <w:t>s. 3.47(2b)(ca))</w:t>
      </w:r>
      <w:bookmarkEnd w:id="115"/>
    </w:p>
    <w:p>
      <w:pPr>
        <w:pStyle w:val="Subsection"/>
      </w:pPr>
      <w:r>
        <w:tab/>
      </w:r>
      <w:r>
        <w:tab/>
        <w:t>For the purposes of section 3.47(2b)(ca) of the Act, shopping trolleys are prescribed non</w:t>
      </w:r>
      <w:r>
        <w:noBreakHyphen/>
        <w:t>perishable goods.</w:t>
      </w:r>
    </w:p>
    <w:p>
      <w:pPr>
        <w:pStyle w:val="Footnotesection"/>
      </w:pPr>
      <w:r>
        <w:tab/>
        <w:t>[Regulation 29B inserted: Gazette 20 Nov 2009 p. 4660.]</w:t>
      </w:r>
    </w:p>
    <w:p>
      <w:pPr>
        <w:pStyle w:val="Heading5"/>
        <w:rPr>
          <w:snapToGrid w:val="0"/>
        </w:rPr>
      </w:pPr>
      <w:bookmarkStart w:id="116" w:name="_Toc217398845"/>
      <w:r>
        <w:rPr>
          <w:rStyle w:val="CharSectno"/>
        </w:rPr>
        <w:t>30</w:t>
      </w:r>
      <w:r>
        <w:rPr>
          <w:snapToGrid w:val="0"/>
        </w:rPr>
        <w:t>.</w:t>
      </w:r>
      <w:r>
        <w:rPr>
          <w:snapToGrid w:val="0"/>
        </w:rPr>
        <w:tab/>
        <w:t>Dispositions of property excluded from Act s. 3.58</w:t>
      </w:r>
      <w:bookmarkEnd w:id="116"/>
    </w:p>
    <w:p>
      <w:pPr>
        <w:pStyle w:val="Subsection"/>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rPr>
          <w:snapToGrid w:val="0"/>
        </w:rPr>
      </w:pPr>
      <w:r>
        <w:rPr>
          <w:snapToGrid w:val="0"/>
        </w:rPr>
        <w:tab/>
        <w:t>(2)</w:t>
      </w:r>
      <w:r>
        <w:rPr>
          <w:snapToGrid w:val="0"/>
        </w:rPr>
        <w:tab/>
        <w:t>A disposition of land is an exempt disposition if —</w:t>
      </w:r>
    </w:p>
    <w:p>
      <w:pPr>
        <w:pStyle w:val="Indenta"/>
        <w:rPr>
          <w:snapToGrid w:val="0"/>
        </w:rPr>
      </w:pPr>
      <w:r>
        <w:rPr>
          <w:snapToGrid w:val="0"/>
        </w:rPr>
        <w:tab/>
        <w:t>(a)</w:t>
      </w:r>
      <w:r>
        <w:rPr>
          <w:snapToGrid w:val="0"/>
        </w:rPr>
        <w:tab/>
        <w:t xml:space="preserve">the land is disposed of to an owner of adjoining land (in this paragraph called </w:t>
      </w:r>
      <w:r>
        <w:t xml:space="preserve">the </w:t>
      </w:r>
      <w:r>
        <w:rPr>
          <w:rStyle w:val="CharDefText"/>
        </w:rPr>
        <w:t>transferee</w:t>
      </w:r>
      <w:r>
        <w:rPr>
          <w:snapToGrid w:val="0"/>
        </w:rPr>
        <w:t>) and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rPr>
          <w:snapToGrid w:val="0"/>
        </w:rPr>
      </w:pPr>
      <w:r>
        <w:rPr>
          <w:snapToGrid w:val="0"/>
        </w:rPr>
        <w:tab/>
      </w:r>
      <w:r>
        <w:rPr>
          <w:snapToGrid w:val="0"/>
        </w:rPr>
        <w:tab/>
        <w:t>or</w:t>
      </w:r>
    </w:p>
    <w:p>
      <w:pPr>
        <w:pStyle w:val="Indenta"/>
        <w:keepNext/>
        <w:rPr>
          <w:snapToGrid w:val="0"/>
        </w:rPr>
      </w:pPr>
      <w:r>
        <w:rPr>
          <w:snapToGrid w:val="0"/>
        </w:rPr>
        <w:lastRenderedPageBreak/>
        <w:tab/>
        <w:t>(b)</w:t>
      </w:r>
      <w:r>
        <w:rPr>
          <w:snapToGrid w:val="0"/>
        </w:rPr>
        <w:tab/>
        <w:t>the land is disposed of to a body, whether incorporated or not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keepNext/>
        <w:rPr>
          <w:snapToGrid w:val="0"/>
        </w:rPr>
      </w:pPr>
      <w:r>
        <w:rPr>
          <w:snapToGrid w:val="0"/>
        </w:rPr>
        <w:tab/>
        <w:t>(ii)</w:t>
      </w:r>
      <w:r>
        <w:rPr>
          <w:snapToGrid w:val="0"/>
        </w:rPr>
        <w:tab/>
        <w:t>the members of which are not entitled or permitted to receive any pecuniary profit from the body’s transactions;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land is disposed of to —</w:t>
      </w:r>
    </w:p>
    <w:p>
      <w:pPr>
        <w:pStyle w:val="Indenti"/>
        <w:rPr>
          <w:snapToGrid w:val="0"/>
        </w:rPr>
      </w:pPr>
      <w:r>
        <w:rPr>
          <w:snapToGrid w:val="0"/>
        </w:rPr>
        <w:tab/>
        <w:t>(i)</w:t>
      </w:r>
      <w:r>
        <w:rPr>
          <w:snapToGrid w:val="0"/>
        </w:rPr>
        <w:tab/>
        <w:t>the Crown in right of the State or the Commonwealth; or</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it is the leasing of land to an employee of the local government for use as the employee’s residence; or</w:t>
      </w:r>
    </w:p>
    <w:p>
      <w:pPr>
        <w:pStyle w:val="Indenta"/>
        <w:rPr>
          <w:snapToGrid w:val="0"/>
        </w:rPr>
      </w:pPr>
      <w:r>
        <w:rPr>
          <w:snapToGrid w:val="0"/>
        </w:rPr>
        <w:tab/>
        <w:t>(e)</w:t>
      </w:r>
      <w:r>
        <w:rPr>
          <w:snapToGrid w:val="0"/>
        </w:rPr>
        <w:tab/>
        <w:t>it is the leasing of land for a period of less than 2 years during all or any of which time the lease does not give the lessee the exclusive use of the land; or</w:t>
      </w:r>
    </w:p>
    <w:p>
      <w:pPr>
        <w:pStyle w:val="Indenta"/>
      </w:pPr>
      <w:r>
        <w:tab/>
        <w:t>(f)</w:t>
      </w:r>
      <w:r>
        <w:tab/>
        <w:t xml:space="preserve">it is the leasing of land to a person registered under the </w:t>
      </w:r>
      <w:r>
        <w:rPr>
          <w:i/>
        </w:rPr>
        <w:t>Health Practitioner Regulation National Law (Western Australia)</w:t>
      </w:r>
      <w:r>
        <w:t xml:space="preserve"> in the dental profession or medical profession to be used for carrying on the person’s dental practice or medical practice; or</w:t>
      </w:r>
    </w:p>
    <w:p>
      <w:pPr>
        <w:pStyle w:val="Indenta"/>
        <w:rPr>
          <w:snapToGrid w:val="0"/>
        </w:rPr>
      </w:pPr>
      <w:r>
        <w:tab/>
        <w:t>(g)</w:t>
      </w:r>
      <w:r>
        <w:tab/>
        <w:t>it is the leasing of residential property to a person.</w:t>
      </w:r>
    </w:p>
    <w:p>
      <w:pPr>
        <w:pStyle w:val="Subsection"/>
        <w:keepNext/>
      </w:pPr>
      <w:r>
        <w:lastRenderedPageBreak/>
        <w:tab/>
        <w:t>(2a)</w:t>
      </w:r>
      <w:r>
        <w:tab/>
        <w:t>A disposition of property is an exempt disposition if the property is disposed of within 6 months after it has been —</w:t>
      </w:r>
    </w:p>
    <w:p>
      <w:pPr>
        <w:pStyle w:val="Indenta"/>
      </w:pPr>
      <w:r>
        <w:tab/>
        <w:t>(a)</w:t>
      </w:r>
      <w:r>
        <w:tab/>
        <w:t>put out to the highest bidder at public auction, in accordance with section 3.58(2)(a) of the Act, but either no bid is made or any bid made does not reach a reserve price fixed by the local government; or</w:t>
      </w:r>
    </w:p>
    <w:p>
      <w:pPr>
        <w:pStyle w:val="Indenta"/>
      </w:pPr>
      <w:r>
        <w:tab/>
        <w:t>(b)</w:t>
      </w:r>
      <w:r>
        <w:tab/>
        <w:t>the subject of a public tender process called by the local government, in accordance with section 3.58(2)(b) of the Act, but either no tender is received or any tender received is unacceptable; or</w:t>
      </w:r>
    </w:p>
    <w:p>
      <w:pPr>
        <w:pStyle w:val="Indenta"/>
      </w:pPr>
      <w:r>
        <w:tab/>
        <w:t>(c)</w:t>
      </w:r>
      <w:r>
        <w:tab/>
        <w:t>the subject of Statewide public notice under section 3.59(4) of the Act, and if the business plan referred to in that notice described the property concerned and gave details of the proposed disposition including —</w:t>
      </w:r>
    </w:p>
    <w:p>
      <w:pPr>
        <w:pStyle w:val="Indenti"/>
      </w:pPr>
      <w:r>
        <w:tab/>
        <w:t>(i)</w:t>
      </w:r>
      <w:r>
        <w:tab/>
        <w:t>the names of all other parties concerned; and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pPr>
      <w:r>
        <w:tab/>
        <w:t>(2b)</w:t>
      </w:r>
      <w:r>
        <w:tab/>
        <w:t xml:space="preserve">Details of a disposition of property under subregulation (2a) must, for a period of 1 year beginning on the day of the initial auction or tender — </w:t>
      </w:r>
    </w:p>
    <w:p>
      <w:pPr>
        <w:pStyle w:val="Indenta"/>
      </w:pPr>
      <w:r>
        <w:tab/>
        <w:t>(a)</w:t>
      </w:r>
      <w:r>
        <w:tab/>
        <w:t>be made available for public inspection; and</w:t>
      </w:r>
    </w:p>
    <w:p>
      <w:pPr>
        <w:pStyle w:val="Indenta"/>
      </w:pPr>
      <w:r>
        <w:tab/>
        <w:t>(b)</w:t>
      </w:r>
      <w:r>
        <w:tab/>
        <w:t>be published on the local government’s official website.</w:t>
      </w:r>
    </w:p>
    <w:p>
      <w:pPr>
        <w:pStyle w:val="Subsection"/>
        <w:rPr>
          <w:snapToGrid w:val="0"/>
        </w:rPr>
      </w:pPr>
      <w:r>
        <w:rPr>
          <w:snapToGrid w:val="0"/>
        </w:rPr>
        <w:tab/>
        <w:t>(3)</w:t>
      </w:r>
      <w:r>
        <w:rPr>
          <w:snapToGrid w:val="0"/>
        </w:rPr>
        <w:tab/>
        <w:t>A disposition of property other than land is an exempt disposition if —</w:t>
      </w:r>
    </w:p>
    <w:p>
      <w:pPr>
        <w:pStyle w:val="Indenta"/>
        <w:rPr>
          <w:snapToGrid w:val="0"/>
        </w:rPr>
      </w:pPr>
      <w:r>
        <w:rPr>
          <w:snapToGrid w:val="0"/>
        </w:rPr>
        <w:tab/>
        <w:t>(a)</w:t>
      </w:r>
      <w:r>
        <w:rPr>
          <w:snapToGrid w:val="0"/>
        </w:rPr>
        <w:tab/>
        <w:t>its market value is less than $20 000; or</w:t>
      </w:r>
    </w:p>
    <w:p>
      <w:pPr>
        <w:pStyle w:val="Indenta"/>
        <w:keepNext/>
      </w:pPr>
      <w:r>
        <w:tab/>
        <w:t>(b)</w:t>
      </w:r>
      <w:r>
        <w:tab/>
        <w:t xml:space="preserve">the entire consideration received by the local government for the disposition is used to purchase other </w:t>
      </w:r>
      <w:r>
        <w:lastRenderedPageBreak/>
        <w:t>property, and where the total consideration for the other property is not more, or worth more, than $75 000.</w:t>
      </w:r>
    </w:p>
    <w:p>
      <w:pPr>
        <w:pStyle w:val="Footnotesection"/>
      </w:pPr>
      <w:r>
        <w:tab/>
        <w:t>[Regulation 30 amended: Gazette 25 Feb 2000 p. 974</w:t>
      </w:r>
      <w:r>
        <w:noBreakHyphen/>
        <w:t>5; 28 Apr 2000 p. 2041; 31 Mar 2005 p. 1055</w:t>
      </w:r>
      <w:r>
        <w:noBreakHyphen/>
        <w:t>6; 27 Sep 2011 p. 3846; 18 Sep 2015 p. 3812; SL 2020/213 r. 41; SL 2023/47 r. 6.]</w:t>
      </w:r>
    </w:p>
    <w:p>
      <w:pPr>
        <w:pStyle w:val="Heading5"/>
        <w:rPr>
          <w:snapToGrid w:val="0"/>
        </w:rPr>
      </w:pPr>
      <w:bookmarkStart w:id="117" w:name="_Toc217398846"/>
      <w:r>
        <w:rPr>
          <w:rStyle w:val="CharSectno"/>
        </w:rPr>
        <w:t>31</w:t>
      </w:r>
      <w:r>
        <w:rPr>
          <w:snapToGrid w:val="0"/>
        </w:rPr>
        <w:t>.</w:t>
      </w:r>
      <w:r>
        <w:rPr>
          <w:snapToGrid w:val="0"/>
        </w:rPr>
        <w:tab/>
        <w:t>Anti</w:t>
      </w:r>
      <w:r>
        <w:rPr>
          <w:snapToGrid w:val="0"/>
        </w:rPr>
        <w:noBreakHyphen/>
        <w:t>avoidance provision for Act s. 3.58</w:t>
      </w:r>
      <w:bookmarkEnd w:id="117"/>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keepLines w:val="0"/>
        <w:rPr>
          <w:snapToGrid w:val="0"/>
        </w:rPr>
      </w:pPr>
      <w:bookmarkStart w:id="118" w:name="_Toc217398847"/>
      <w:r>
        <w:rPr>
          <w:rStyle w:val="CharSectno"/>
        </w:rPr>
        <w:t>32</w:t>
      </w:r>
      <w:r>
        <w:rPr>
          <w:snapToGrid w:val="0"/>
        </w:rPr>
        <w:t>.</w:t>
      </w:r>
      <w:r>
        <w:rPr>
          <w:snapToGrid w:val="0"/>
        </w:rPr>
        <w:tab/>
      </w:r>
      <w:r>
        <w:t>Local government permitted to form bodies corporate (Act s. 3.60)</w:t>
      </w:r>
      <w:bookmarkEnd w:id="118"/>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rPr>
        <w:t>Associations Incorporation Act 2015</w:t>
      </w:r>
      <w:r>
        <w:rPr>
          <w:snapToGrid w:val="0"/>
        </w:rPr>
        <w:t xml:space="preserve"> and may do things for the purpose of the incorporation of the association under that Act.</w:t>
      </w:r>
    </w:p>
    <w:p>
      <w:pPr>
        <w:pStyle w:val="Subsection"/>
      </w:pPr>
      <w:r>
        <w:tab/>
        <w:t>(2)</w:t>
      </w:r>
      <w:r>
        <w:tab/>
        <w:t xml:space="preserve">A local government may form or take part in forming a body corporate established under — </w:t>
      </w:r>
    </w:p>
    <w:p>
      <w:pPr>
        <w:pStyle w:val="Indenta"/>
      </w:pPr>
      <w:r>
        <w:tab/>
        <w:t>(a)</w:t>
      </w:r>
      <w:r>
        <w:tab/>
        <w:t xml:space="preserve">the </w:t>
      </w:r>
      <w:r>
        <w:rPr>
          <w:i/>
        </w:rPr>
        <w:t>Strata Titles Act 1985</w:t>
      </w:r>
      <w:r>
        <w:t xml:space="preserve"> section 14(1); or</w:t>
      </w:r>
    </w:p>
    <w:p>
      <w:pPr>
        <w:pStyle w:val="Indenta"/>
      </w:pPr>
      <w:r>
        <w:tab/>
        <w:t>(b)</w:t>
      </w:r>
      <w:r>
        <w:tab/>
        <w:t xml:space="preserve">the </w:t>
      </w:r>
      <w:r>
        <w:rPr>
          <w:i/>
        </w:rPr>
        <w:t>Community Titles Act 2018</w:t>
      </w:r>
      <w:r>
        <w:t xml:space="preserve"> section 17(1).</w:t>
      </w:r>
    </w:p>
    <w:p>
      <w:pPr>
        <w:pStyle w:val="Footnotesection"/>
      </w:pPr>
      <w:r>
        <w:tab/>
        <w:t>[Regulation 32 amended: Gazette 4 Dec 1998 p. 6500; 30 Dec 2016 p. 5970; 31 Dec 2019 p. 4649; SL 2021/75 r. 4.]</w:t>
      </w:r>
    </w:p>
    <w:p>
      <w:pPr>
        <w:pStyle w:val="Heading5"/>
      </w:pPr>
      <w:bookmarkStart w:id="119" w:name="_Toc217398848"/>
      <w:r>
        <w:rPr>
          <w:rStyle w:val="CharSectno"/>
        </w:rPr>
        <w:t>32A</w:t>
      </w:r>
      <w:r>
        <w:t>.</w:t>
      </w:r>
      <w:r>
        <w:tab/>
        <w:t xml:space="preserve">Excluded authorisations </w:t>
      </w:r>
      <w:r>
        <w:rPr>
          <w:snapToGrid w:val="0"/>
        </w:rPr>
        <w:t>(Act </w:t>
      </w:r>
      <w:r>
        <w:t>s. 9.2)</w:t>
      </w:r>
      <w:bookmarkEnd w:id="119"/>
    </w:p>
    <w:p>
      <w:pPr>
        <w:pStyle w:val="Subsection"/>
      </w:pPr>
      <w:r>
        <w:tab/>
        <w:t>(1)</w:t>
      </w:r>
      <w:r>
        <w:tab/>
        <w:t xml:space="preserve">The following are excluded from being authorisations for the purposes of the definition of </w:t>
      </w:r>
      <w:r>
        <w:rPr>
          <w:b/>
          <w:i/>
        </w:rPr>
        <w:t>authorisation</w:t>
      </w:r>
      <w:r>
        <w:t xml:space="preserve"> in section 9.2 of the Act —</w:t>
      </w:r>
    </w:p>
    <w:p>
      <w:pPr>
        <w:pStyle w:val="Indenta"/>
      </w:pPr>
      <w:r>
        <w:tab/>
        <w:t>(a)</w:t>
      </w:r>
      <w:r>
        <w:tab/>
        <w:t>an authority to carry out private works on local government property;</w:t>
      </w:r>
    </w:p>
    <w:p>
      <w:pPr>
        <w:pStyle w:val="Indenta"/>
      </w:pPr>
      <w:r>
        <w:lastRenderedPageBreak/>
        <w:tab/>
        <w:t>(b)</w:t>
      </w:r>
      <w:r>
        <w:tab/>
        <w:t>an authority allowing the use of local government land or premises, or the use of local government goods or equipment.</w:t>
      </w:r>
    </w:p>
    <w:p>
      <w:pPr>
        <w:pStyle w:val="Subsection"/>
      </w:pPr>
      <w:r>
        <w:tab/>
        <w:t>(2)</w:t>
      </w:r>
      <w:r>
        <w:tab/>
        <w:t xml:space="preserve">Despite subregulation (1), an authority set out in paragraph (a) or (b) of that subregulation is to be regarded as an </w:t>
      </w:r>
      <w:r>
        <w:rPr>
          <w:b/>
          <w:i/>
        </w:rPr>
        <w:t>authorisation</w:t>
      </w:r>
      <w:r>
        <w:t xml:space="preserve"> under section 9.2 of the Act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Gazette 25 Feb 2000 p. 975</w:t>
      </w:r>
      <w:r>
        <w:noBreakHyphen/>
        <w:t>6; amended: Gazette 27 Sep 2011 p. 3846-7.]</w:t>
      </w:r>
    </w:p>
    <w:p>
      <w:pPr>
        <w:pStyle w:val="Heading5"/>
        <w:rPr>
          <w:snapToGrid w:val="0"/>
        </w:rPr>
      </w:pPr>
      <w:bookmarkStart w:id="120" w:name="_Toc217398849"/>
      <w:r>
        <w:rPr>
          <w:rStyle w:val="CharSectno"/>
        </w:rPr>
        <w:t>33</w:t>
      </w:r>
      <w:r>
        <w:rPr>
          <w:snapToGrid w:val="0"/>
        </w:rPr>
        <w:t>.</w:t>
      </w:r>
      <w:r>
        <w:rPr>
          <w:snapToGrid w:val="0"/>
        </w:rPr>
        <w:tab/>
        <w:t>Objections to decisions, form of etc. prescribed (Act s. 9.5)</w:t>
      </w:r>
      <w:bookmarkEnd w:id="120"/>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Heading5"/>
      </w:pPr>
      <w:bookmarkStart w:id="121" w:name="_Toc217398850"/>
      <w:r>
        <w:rPr>
          <w:rStyle w:val="CharSectno"/>
        </w:rPr>
        <w:lastRenderedPageBreak/>
        <w:t>34</w:t>
      </w:r>
      <w:r>
        <w:t>.</w:t>
      </w:r>
      <w:r>
        <w:tab/>
        <w:t>Common seal, unauthorised use of</w:t>
      </w:r>
      <w:bookmarkEnd w:id="121"/>
    </w:p>
    <w:p>
      <w:pPr>
        <w:pStyle w:val="Subsection"/>
      </w:pPr>
      <w:r>
        <w:tab/>
      </w:r>
      <w:r>
        <w:tab/>
        <w:t>A person who affixes the common seal, or a replica of the common seal, of a local government to any document except as authorised by the local government commits an offence.</w:t>
      </w:r>
    </w:p>
    <w:p>
      <w:pPr>
        <w:pStyle w:val="Penstart"/>
      </w:pPr>
      <w:r>
        <w:tab/>
        <w:t>Penalty: a fine of $1 000.</w:t>
      </w:r>
    </w:p>
    <w:p>
      <w:pPr>
        <w:pStyle w:val="Footnotesection"/>
      </w:pPr>
      <w:r>
        <w:tab/>
        <w:t>[Regulation 34 inserted: Gazette 27 Sep 2011 p. 3846.]</w:t>
      </w:r>
    </w:p>
    <w:p>
      <w:pPr>
        <w:pStyle w:val="Heading5"/>
        <w:rPr>
          <w:snapToGrid w:val="0"/>
        </w:rPr>
      </w:pPr>
      <w:bookmarkStart w:id="122" w:name="_Toc217398851"/>
      <w:r>
        <w:rPr>
          <w:rStyle w:val="CharSectno"/>
        </w:rPr>
        <w:t>35</w:t>
      </w:r>
      <w:r>
        <w:rPr>
          <w:snapToGrid w:val="0"/>
        </w:rPr>
        <w:t>.</w:t>
      </w:r>
      <w:r>
        <w:rPr>
          <w:snapToGrid w:val="0"/>
        </w:rPr>
        <w:tab/>
        <w:t>Certain persons protected from liability for wrongdoing (Act s. </w:t>
      </w:r>
      <w:r>
        <w:rPr>
          <w:rStyle w:val="CharSectno"/>
        </w:rPr>
        <w:t>9</w:t>
      </w:r>
      <w:r>
        <w:rPr>
          <w:snapToGrid w:val="0"/>
        </w:rPr>
        <w:t>.56(1)(c))</w:t>
      </w:r>
      <w:bookmarkEnd w:id="122"/>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123" w:name="_Toc217398852"/>
      <w:r>
        <w:rPr>
          <w:rStyle w:val="CharSectno"/>
        </w:rPr>
        <w:t>35A</w:t>
      </w:r>
      <w:r>
        <w:t>.</w:t>
      </w:r>
      <w:r>
        <w:tab/>
        <w:t xml:space="preserve">Delegable functions of Minister </w:t>
      </w:r>
      <w:r>
        <w:rPr>
          <w:snapToGrid w:val="0"/>
        </w:rPr>
        <w:t>(Act </w:t>
      </w:r>
      <w:r>
        <w:t>s. 9.66)</w:t>
      </w:r>
      <w:bookmarkEnd w:id="123"/>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6.35(5)</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6.74</w:t>
            </w:r>
          </w:p>
        </w:tc>
      </w:tr>
      <w:tr>
        <w:trPr>
          <w:jc w:val="center"/>
        </w:trPr>
        <w:tc>
          <w:tcPr>
            <w:tcW w:w="1701" w:type="dxa"/>
          </w:tcPr>
          <w:p>
            <w:pPr>
              <w:pStyle w:val="Table"/>
            </w:pPr>
            <w:r>
              <w:t>s. 5.69</w:t>
            </w:r>
          </w:p>
        </w:tc>
        <w:tc>
          <w:tcPr>
            <w:tcW w:w="1418" w:type="dxa"/>
          </w:tcPr>
          <w:p>
            <w:pPr>
              <w:pStyle w:val="Table"/>
            </w:pPr>
            <w:r>
              <w:t>s. 6.28(1)</w:t>
            </w:r>
          </w:p>
        </w:tc>
        <w:tc>
          <w:tcPr>
            <w:tcW w:w="1194" w:type="dxa"/>
          </w:tcPr>
          <w:p>
            <w:pPr>
              <w:pStyle w:val="Table"/>
            </w:pPr>
            <w:r>
              <w:t>s. 7.5</w:t>
            </w:r>
          </w:p>
        </w:tc>
      </w:tr>
      <w:tr>
        <w:trPr>
          <w:jc w:val="center"/>
        </w:trPr>
        <w:tc>
          <w:tcPr>
            <w:tcW w:w="1701" w:type="dxa"/>
          </w:tcPr>
          <w:p>
            <w:pPr>
              <w:pStyle w:val="Table"/>
            </w:pPr>
            <w:r>
              <w:t>s. 5.69A</w:t>
            </w:r>
          </w:p>
        </w:tc>
        <w:tc>
          <w:tcPr>
            <w:tcW w:w="1418" w:type="dxa"/>
          </w:tcPr>
          <w:p>
            <w:pPr>
              <w:pStyle w:val="Table"/>
            </w:pPr>
            <w:r>
              <w:t>s. 6.33(3)</w:t>
            </w:r>
          </w:p>
        </w:tc>
        <w:tc>
          <w:tcPr>
            <w:tcW w:w="1194" w:type="dxa"/>
          </w:tcPr>
          <w:p>
            <w:pPr>
              <w:pStyle w:val="Table"/>
            </w:pPr>
          </w:p>
        </w:tc>
      </w:tr>
    </w:tbl>
    <w:p>
      <w:pPr>
        <w:pStyle w:val="Footnotesection"/>
      </w:pPr>
      <w:r>
        <w:tab/>
        <w:t>[Regulation 35A inserted: Gazette 28 Jun 2002 p. 3082; amended: Gazette 27 Sep 2011 p. 3846.]</w:t>
      </w:r>
    </w:p>
    <w:p>
      <w:pPr>
        <w:pStyle w:val="Heading5"/>
      </w:pPr>
      <w:bookmarkStart w:id="124" w:name="_Toc216355901"/>
      <w:bookmarkStart w:id="125" w:name="_Toc216783409"/>
      <w:bookmarkStart w:id="126" w:name="_Toc217398853"/>
      <w:r>
        <w:lastRenderedPageBreak/>
        <w:t>35B.</w:t>
      </w:r>
      <w:r>
        <w:tab/>
        <w:t>Delegable functions of Departmental CEO (Act s. 9.67)</w:t>
      </w:r>
      <w:bookmarkEnd w:id="124"/>
      <w:bookmarkEnd w:id="125"/>
      <w:bookmarkEnd w:id="126"/>
    </w:p>
    <w:p>
      <w:pPr>
        <w:pStyle w:val="Subsection"/>
        <w:keepNext/>
      </w:pPr>
      <w:r>
        <w:tab/>
      </w:r>
      <w:r>
        <w:tab/>
        <w:t>The Departmental CEO’s functions under section 5.23AA(2) of the Act are delegable functions.</w:t>
      </w:r>
    </w:p>
    <w:p>
      <w:pPr>
        <w:pStyle w:val="Footnotesection"/>
      </w:pPr>
      <w:r>
        <w:tab/>
        <w:t>[Regulation 35B inserted: SL 2025/208 r. 38.]</w:t>
      </w:r>
    </w:p>
    <w:p>
      <w:pPr>
        <w:pStyle w:val="Heading5"/>
        <w:rPr>
          <w:snapToGrid w:val="0"/>
        </w:rPr>
      </w:pPr>
      <w:bookmarkStart w:id="127" w:name="_Toc217398854"/>
      <w:r>
        <w:rPr>
          <w:rStyle w:val="CharSectno"/>
        </w:rPr>
        <w:t>36</w:t>
      </w:r>
      <w:r>
        <w:rPr>
          <w:snapToGrid w:val="0"/>
        </w:rPr>
        <w:t>.</w:t>
      </w:r>
      <w:r>
        <w:rPr>
          <w:snapToGrid w:val="0"/>
        </w:rPr>
        <w:tab/>
      </w:r>
      <w:r>
        <w:t>Form of warrant to enter (Act s. 3.33(1))</w:t>
      </w:r>
      <w:bookmarkEnd w:id="127"/>
    </w:p>
    <w:p>
      <w:pPr>
        <w:pStyle w:val="Subsection"/>
        <w:rPr>
          <w:snapToGrid w:val="0"/>
        </w:rPr>
      </w:pPr>
      <w:r>
        <w:rPr>
          <w:snapToGrid w:val="0"/>
        </w:rPr>
        <w:tab/>
      </w:r>
      <w:r>
        <w:rPr>
          <w:snapToGrid w:val="0"/>
        </w:rPr>
        <w:tab/>
        <w:t>The form in which a warrant may be granted under section 3.33(1) of the Act is the form set out in Form 6 in Schedule 1.</w:t>
      </w:r>
    </w:p>
    <w:p>
      <w:pPr>
        <w:pStyle w:val="Footnotesection"/>
      </w:pPr>
      <w:r>
        <w:tab/>
        <w:t>[Regulation 36 amended: SL 2025/208 r. 39.]</w:t>
      </w:r>
    </w:p>
    <w:p>
      <w:pPr>
        <w:pStyle w:val="Heading2"/>
      </w:pPr>
      <w:bookmarkStart w:id="128" w:name="_Toc217300590"/>
      <w:bookmarkStart w:id="129" w:name="_Toc217301001"/>
      <w:bookmarkStart w:id="130" w:name="_Toc217398094"/>
      <w:bookmarkStart w:id="131" w:name="_Toc217398365"/>
      <w:bookmarkStart w:id="132" w:name="_Toc217398855"/>
      <w:r>
        <w:rPr>
          <w:rStyle w:val="CharPartNo"/>
        </w:rPr>
        <w:lastRenderedPageBreak/>
        <w:t>Part 7</w:t>
      </w:r>
      <w:r>
        <w:rPr>
          <w:rStyle w:val="CharDivNo"/>
        </w:rPr>
        <w:t> </w:t>
      </w:r>
      <w:r>
        <w:t>—</w:t>
      </w:r>
      <w:r>
        <w:rPr>
          <w:rStyle w:val="CharDivText"/>
        </w:rPr>
        <w:t> </w:t>
      </w:r>
      <w:r>
        <w:rPr>
          <w:rStyle w:val="CharPartText"/>
        </w:rPr>
        <w:t>Other transitional provisions</w:t>
      </w:r>
      <w:bookmarkEnd w:id="128"/>
      <w:bookmarkEnd w:id="129"/>
      <w:bookmarkEnd w:id="130"/>
      <w:bookmarkEnd w:id="131"/>
      <w:bookmarkEnd w:id="132"/>
    </w:p>
    <w:p>
      <w:pPr>
        <w:pStyle w:val="Ednotesection"/>
        <w:ind w:left="890" w:hanging="890"/>
      </w:pPr>
      <w:r>
        <w:t>[</w:t>
      </w:r>
      <w:r>
        <w:rPr>
          <w:b/>
          <w:bCs/>
        </w:rPr>
        <w:t>37.</w:t>
      </w:r>
      <w:r>
        <w:tab/>
      </w:r>
      <w:r>
        <w:rPr>
          <w:snapToGrid/>
        </w:rPr>
        <w:t>Omitted under the Reprints Act 1984 s. 7(4)(e).]</w:t>
      </w:r>
    </w:p>
    <w:p>
      <w:pPr>
        <w:pStyle w:val="Heading5"/>
        <w:rPr>
          <w:snapToGrid w:val="0"/>
        </w:rPr>
      </w:pPr>
      <w:bookmarkStart w:id="133" w:name="_Toc217398856"/>
      <w:r>
        <w:rPr>
          <w:rStyle w:val="CharSectno"/>
        </w:rPr>
        <w:t>38</w:t>
      </w:r>
      <w:r>
        <w:t>.</w:t>
      </w:r>
      <w:r>
        <w:rPr>
          <w:snapToGrid w:val="0"/>
        </w:rPr>
        <w:tab/>
        <w:t>Adopting former model by</w:t>
      </w:r>
      <w:r>
        <w:rPr>
          <w:snapToGrid w:val="0"/>
        </w:rPr>
        <w:noBreakHyphen/>
        <w:t>laws as local laws (Act s. 3.8(2) and (3))</w:t>
      </w:r>
      <w:bookmarkEnd w:id="133"/>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draft model by</w:t>
      </w:r>
      <w:r>
        <w:rPr>
          <w:rStyle w:val="CharDefText"/>
        </w:rPr>
        <w:noBreakHyphen/>
        <w:t>law</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34" w:name="_Toc217300592"/>
      <w:bookmarkStart w:id="135" w:name="_Toc217301003"/>
      <w:bookmarkStart w:id="136" w:name="_Toc217398096"/>
      <w:bookmarkStart w:id="137" w:name="_Toc217398367"/>
      <w:bookmarkStart w:id="138" w:name="_Toc217398857"/>
      <w:r>
        <w:rPr>
          <w:rStyle w:val="CharSchNo"/>
        </w:rPr>
        <w:lastRenderedPageBreak/>
        <w:t>Schedule 1</w:t>
      </w:r>
      <w:r>
        <w:t> — </w:t>
      </w:r>
      <w:r>
        <w:rPr>
          <w:rStyle w:val="CharSchText"/>
        </w:rPr>
        <w:t>Forms</w:t>
      </w:r>
      <w:bookmarkEnd w:id="134"/>
      <w:bookmarkEnd w:id="135"/>
      <w:bookmarkEnd w:id="136"/>
      <w:bookmarkEnd w:id="137"/>
      <w:bookmarkEnd w:id="138"/>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lastRenderedPageBreak/>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lastRenderedPageBreak/>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lastRenderedPageBreak/>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lastRenderedPageBreak/>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Gazette 30 Dec 2004 p. 7016.]</w:t>
      </w:r>
    </w:p>
    <w:p>
      <w:pPr>
        <w:pStyle w:val="yTable"/>
        <w:pageBreakBefore/>
        <w:tabs>
          <w:tab w:val="right" w:leader="dot" w:pos="7088"/>
        </w:tabs>
        <w:jc w:val="center"/>
        <w:rPr>
          <w:b/>
          <w:snapToGrid w:val="0"/>
        </w:rPr>
      </w:pPr>
      <w:r>
        <w:rPr>
          <w:b/>
          <w:snapToGrid w:val="0"/>
        </w:rPr>
        <w:lastRenderedPageBreak/>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in the State of Western Australia, Justice of the Peace, being satisfied that the entry is reasonably required but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notice cannot be given under section </w:t>
      </w:r>
      <w:r>
        <w:rPr>
          <w:snapToGrid w:val="0"/>
          <w:szCs w:val="22"/>
        </w:rPr>
        <w:t>3.32</w:t>
      </w:r>
      <w:r>
        <w:rPr>
          <w:snapToGrid w:val="0"/>
        </w:rPr>
        <w:t xml:space="preserve">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yFootnotesection"/>
        <w:spacing w:before="240"/>
      </w:pPr>
      <w:r>
        <w:t>[Form 6 amended: SL 2025/208 r. 40.]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type w:val="continuous"/>
          <w:pgSz w:w="11907" w:h="16840" w:code="9"/>
          <w:pgMar w:top="2381" w:right="2410" w:bottom="2977" w:left="2410" w:header="720" w:footer="3544" w:gutter="0"/>
          <w:cols w:space="720"/>
          <w:noEndnote/>
          <w:docGrid w:linePitch="326"/>
        </w:sectPr>
      </w:pPr>
    </w:p>
    <w:p>
      <w:pPr>
        <w:pStyle w:val="nHeading2"/>
      </w:pPr>
      <w:bookmarkStart w:id="140" w:name="_Toc217300593"/>
      <w:bookmarkStart w:id="141" w:name="_Toc217301004"/>
      <w:bookmarkStart w:id="142" w:name="_Toc217398097"/>
      <w:bookmarkStart w:id="143" w:name="_Toc217398368"/>
      <w:bookmarkStart w:id="144" w:name="_Toc217398858"/>
      <w:r>
        <w:lastRenderedPageBreak/>
        <w:t>Notes</w:t>
      </w:r>
      <w:bookmarkEnd w:id="140"/>
      <w:bookmarkEnd w:id="141"/>
      <w:bookmarkEnd w:id="142"/>
      <w:bookmarkEnd w:id="143"/>
      <w:bookmarkEnd w:id="144"/>
    </w:p>
    <w:p>
      <w:pPr>
        <w:pStyle w:val="nStatement"/>
      </w:pPr>
      <w:r>
        <w:t xml:space="preserve">This is a compilation of the </w:t>
      </w:r>
      <w:r>
        <w:rPr>
          <w:i/>
          <w:noProof/>
        </w:rPr>
        <w:t>Local Government (Functions and General) Regulations 1996</w:t>
      </w:r>
      <w:r>
        <w:t xml:space="preserve"> and includes amendments made by other written laws. For provisions that have come into operation, and for information about any reprints, see the compilation table. </w:t>
      </w:r>
    </w:p>
    <w:p>
      <w:pPr>
        <w:pStyle w:val="nHeading3"/>
      </w:pPr>
      <w:bookmarkStart w:id="145" w:name="_Toc217398859"/>
      <w:r>
        <w:t>Compilation table</w:t>
      </w:r>
      <w:bookmarkEnd w:id="145"/>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Local Government (Functions and General) Regulations 1996</w:t>
            </w:r>
          </w:p>
        </w:tc>
        <w:tc>
          <w:tcPr>
            <w:tcW w:w="1276" w:type="dxa"/>
            <w:tcBorders>
              <w:top w:val="single" w:sz="8" w:space="0" w:color="auto"/>
            </w:tcBorders>
          </w:tcPr>
          <w:p>
            <w:pPr>
              <w:pStyle w:val="nTable"/>
              <w:spacing w:after="40"/>
            </w:pPr>
            <w:r>
              <w:t>24 Jun 1996 p. 2771</w:t>
            </w:r>
            <w:r>
              <w:noBreakHyphen/>
              <w:t>97</w:t>
            </w:r>
          </w:p>
        </w:tc>
        <w:tc>
          <w:tcPr>
            <w:tcW w:w="2693" w:type="dxa"/>
            <w:tcBorders>
              <w:top w:val="single" w:sz="8" w:space="0" w:color="auto"/>
            </w:tcBorders>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1997</w:t>
            </w:r>
          </w:p>
        </w:tc>
        <w:tc>
          <w:tcPr>
            <w:tcW w:w="1276" w:type="dxa"/>
          </w:tcPr>
          <w:p>
            <w:pPr>
              <w:pStyle w:val="nTable"/>
              <w:spacing w:after="40"/>
            </w:pPr>
            <w:r>
              <w:t>29 Apr 1997 p. 2144</w:t>
            </w:r>
            <w:r>
              <w:noBreakHyphen/>
              <w:t>5</w:t>
            </w:r>
          </w:p>
        </w:tc>
        <w:tc>
          <w:tcPr>
            <w:tcW w:w="2693" w:type="dxa"/>
          </w:tcPr>
          <w:p>
            <w:pPr>
              <w:pStyle w:val="nTable"/>
              <w:spacing w:after="40"/>
            </w:pPr>
            <w:r>
              <w:t>29 Apr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(No. 2) 1997</w:t>
            </w:r>
          </w:p>
        </w:tc>
        <w:tc>
          <w:tcPr>
            <w:tcW w:w="1276" w:type="dxa"/>
          </w:tcPr>
          <w:p>
            <w:pPr>
              <w:pStyle w:val="nTable"/>
              <w:spacing w:after="40"/>
            </w:pPr>
            <w:r>
              <w:t>29 Aug 1997 p. 4867</w:t>
            </w:r>
            <w:r>
              <w:noBreakHyphen/>
              <w:t>8</w:t>
            </w:r>
          </w:p>
        </w:tc>
        <w:tc>
          <w:tcPr>
            <w:tcW w:w="2693" w:type="dxa"/>
          </w:tcPr>
          <w:p>
            <w:pPr>
              <w:pStyle w:val="nTable"/>
              <w:spacing w:after="40"/>
            </w:pPr>
            <w:r>
              <w:t>29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1998</w:t>
            </w:r>
          </w:p>
        </w:tc>
        <w:tc>
          <w:tcPr>
            <w:tcW w:w="1276" w:type="dxa"/>
          </w:tcPr>
          <w:p>
            <w:pPr>
              <w:pStyle w:val="nTable"/>
              <w:spacing w:after="40"/>
            </w:pPr>
            <w:r>
              <w:t>26 Jun 1998 p. 3447</w:t>
            </w:r>
          </w:p>
        </w:tc>
        <w:tc>
          <w:tcPr>
            <w:tcW w:w="2693" w:type="dxa"/>
          </w:tcPr>
          <w:p>
            <w:pPr>
              <w:pStyle w:val="nTable"/>
              <w:spacing w:after="40"/>
            </w:pPr>
            <w:r>
              <w:t>26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1998</w:t>
            </w:r>
          </w:p>
        </w:tc>
        <w:tc>
          <w:tcPr>
            <w:tcW w:w="1276" w:type="dxa"/>
          </w:tcPr>
          <w:p>
            <w:pPr>
              <w:pStyle w:val="nTable"/>
              <w:spacing w:after="40"/>
            </w:pPr>
            <w:r>
              <w:t>11 Sep 1998 p. 4926</w:t>
            </w:r>
            <w:r>
              <w:noBreakHyphen/>
              <w:t>7</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3) 1998</w:t>
            </w:r>
          </w:p>
        </w:tc>
        <w:tc>
          <w:tcPr>
            <w:tcW w:w="1276" w:type="dxa"/>
          </w:tcPr>
          <w:p>
            <w:pPr>
              <w:pStyle w:val="nTable"/>
              <w:spacing w:after="40"/>
            </w:pPr>
            <w:r>
              <w:t>4 Dec 1998 p. 6500</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2000</w:t>
            </w:r>
          </w:p>
        </w:tc>
        <w:tc>
          <w:tcPr>
            <w:tcW w:w="1276" w:type="dxa"/>
          </w:tcPr>
          <w:p>
            <w:pPr>
              <w:pStyle w:val="nTable"/>
              <w:spacing w:after="40"/>
            </w:pPr>
            <w:r>
              <w:t>25 Feb 2000 p. 970</w:t>
            </w:r>
            <w:r>
              <w:noBreakHyphen/>
              <w:t>6</w:t>
            </w:r>
          </w:p>
        </w:tc>
        <w:tc>
          <w:tcPr>
            <w:tcW w:w="2693" w:type="dxa"/>
          </w:tcPr>
          <w:p>
            <w:pPr>
              <w:pStyle w:val="nTable"/>
              <w:spacing w:after="40"/>
            </w:pPr>
            <w:r>
              <w:t>25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2000</w:t>
            </w:r>
          </w:p>
        </w:tc>
        <w:tc>
          <w:tcPr>
            <w:tcW w:w="1276" w:type="dxa"/>
          </w:tcPr>
          <w:p>
            <w:pPr>
              <w:pStyle w:val="nTable"/>
              <w:spacing w:after="40"/>
            </w:pPr>
            <w:r>
              <w:t>28 Apr 2000 p. 2039</w:t>
            </w:r>
            <w:r>
              <w:noBreakHyphen/>
              <w:t>41</w:t>
            </w:r>
          </w:p>
        </w:tc>
        <w:tc>
          <w:tcPr>
            <w:tcW w:w="2693" w:type="dxa"/>
          </w:tcPr>
          <w:p>
            <w:pPr>
              <w:pStyle w:val="nTable"/>
              <w:spacing w:after="40"/>
            </w:pPr>
            <w:r>
              <w:t>28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 xml:space="preserve">Local Government (Functions and General) Regulations 1996 </w:t>
            </w:r>
            <w:r>
              <w:rPr>
                <w:b/>
                <w:bCs/>
                <w:iCs/>
              </w:rPr>
              <w:t>as at 8 Sep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2001</w:t>
            </w:r>
            <w:r>
              <w:rPr>
                <w:vertAlign w:val="superscript"/>
              </w:rPr>
              <w:t xml:space="preserve"> 2</w:t>
            </w:r>
          </w:p>
        </w:tc>
        <w:tc>
          <w:tcPr>
            <w:tcW w:w="1276" w:type="dxa"/>
          </w:tcPr>
          <w:p>
            <w:pPr>
              <w:pStyle w:val="nTable"/>
              <w:spacing w:after="40"/>
            </w:pPr>
            <w:r>
              <w:t>29 Jun 2001</w:t>
            </w:r>
            <w:r>
              <w:br/>
              <w:t>p. 3129</w:t>
            </w:r>
            <w:r>
              <w:noBreakHyphen/>
              <w:t>33</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Local Government (Functions and General) Amendment Regulations 2002 </w:t>
            </w:r>
          </w:p>
        </w:tc>
        <w:tc>
          <w:tcPr>
            <w:tcW w:w="1276" w:type="dxa"/>
          </w:tcPr>
          <w:p>
            <w:pPr>
              <w:pStyle w:val="nTable"/>
              <w:spacing w:after="40"/>
            </w:pPr>
            <w:r>
              <w:t>28 Jun 2002 p. 3081</w:t>
            </w:r>
            <w:r>
              <w:noBreakHyphen/>
              <w:t>2</w:t>
            </w:r>
          </w:p>
        </w:tc>
        <w:tc>
          <w:tcPr>
            <w:tcW w:w="2693" w:type="dxa"/>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Local Government (Functions and General) Amendment Regulations (No. 2) 2004</w:t>
            </w:r>
          </w:p>
        </w:tc>
        <w:tc>
          <w:tcPr>
            <w:tcW w:w="1276" w:type="dxa"/>
          </w:tcPr>
          <w:p>
            <w:pPr>
              <w:pStyle w:val="nTable"/>
              <w:spacing w:after="40"/>
            </w:pPr>
            <w:r>
              <w:t>30 Dec 2004 p. 7016</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2005</w:t>
            </w:r>
          </w:p>
        </w:tc>
        <w:tc>
          <w:tcPr>
            <w:tcW w:w="1276" w:type="dxa"/>
          </w:tcPr>
          <w:p>
            <w:pPr>
              <w:pStyle w:val="nTable"/>
              <w:spacing w:after="40"/>
            </w:pPr>
            <w:r>
              <w:t>31 Mar 2005 p. 1054</w:t>
            </w:r>
            <w:r>
              <w:noBreakHyphen/>
              <w:t>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2005</w:t>
            </w:r>
          </w:p>
        </w:tc>
        <w:tc>
          <w:tcPr>
            <w:tcW w:w="1276" w:type="dxa"/>
          </w:tcPr>
          <w:p>
            <w:pPr>
              <w:pStyle w:val="nTable"/>
              <w:spacing w:after="40"/>
            </w:pPr>
            <w:r>
              <w:t>31 Mar 2005 p. 1057</w:t>
            </w:r>
            <w:r>
              <w:noBreakHyphen/>
              <w:t>8</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Local Government (Functions and General) Regulations 1996 </w:t>
            </w:r>
            <w:r>
              <w:rPr>
                <w:b/>
                <w:bCs/>
                <w:iCs/>
              </w:rPr>
              <w:t>as at 20 Jan 2006</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Local Government (Functions and General) Amendment Regulations 2007</w:t>
            </w:r>
            <w:r>
              <w:rPr>
                <w:iCs/>
              </w:rPr>
              <w:t xml:space="preserve"> </w:t>
            </w:r>
          </w:p>
        </w:tc>
        <w:tc>
          <w:tcPr>
            <w:tcW w:w="1276" w:type="dxa"/>
          </w:tcPr>
          <w:p>
            <w:pPr>
              <w:pStyle w:val="nTable"/>
              <w:spacing w:after="40"/>
            </w:pPr>
            <w:r>
              <w:t>2 Feb 2007 p. 244-6</w:t>
            </w:r>
          </w:p>
        </w:tc>
        <w:tc>
          <w:tcPr>
            <w:tcW w:w="2693" w:type="dxa"/>
          </w:tcPr>
          <w:p>
            <w:pPr>
              <w:pStyle w:val="nTable"/>
              <w:spacing w:after="40"/>
            </w:pPr>
            <w:r>
              <w:t>30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2009</w:t>
            </w:r>
          </w:p>
        </w:tc>
        <w:tc>
          <w:tcPr>
            <w:tcW w:w="1276" w:type="dxa"/>
          </w:tcPr>
          <w:p>
            <w:pPr>
              <w:pStyle w:val="nTable"/>
              <w:spacing w:after="40"/>
            </w:pPr>
            <w:r>
              <w:t>20 Nov 2009 p. 4659-60</w:t>
            </w:r>
          </w:p>
        </w:tc>
        <w:tc>
          <w:tcPr>
            <w:tcW w:w="2693" w:type="dxa"/>
          </w:tcPr>
          <w:p>
            <w:pPr>
              <w:pStyle w:val="nTable"/>
              <w:spacing w:after="40"/>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2011</w:t>
            </w:r>
          </w:p>
        </w:tc>
        <w:tc>
          <w:tcPr>
            <w:tcW w:w="1276" w:type="dxa"/>
            <w:shd w:val="clear" w:color="auto" w:fill="auto"/>
          </w:tcPr>
          <w:p>
            <w:pPr>
              <w:pStyle w:val="nTable"/>
              <w:spacing w:after="40"/>
            </w:pPr>
            <w:r>
              <w:t>27 Sep 2011 p. 3843-7</w:t>
            </w:r>
          </w:p>
        </w:tc>
        <w:tc>
          <w:tcPr>
            <w:tcW w:w="2693" w:type="dxa"/>
            <w:shd w:val="clear" w:color="auto" w:fill="auto"/>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3: The </w:t>
            </w:r>
            <w:r>
              <w:rPr>
                <w:b/>
                <w:bCs/>
                <w:i/>
              </w:rPr>
              <w:t xml:space="preserve">Local Government (Functions and General) Regulations 1996 </w:t>
            </w:r>
            <w:r>
              <w:rPr>
                <w:b/>
                <w:bCs/>
                <w:iCs/>
              </w:rPr>
              <w:t>as at 16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 xml:space="preserve">Local Government (Functions and General) Amendment Regulations 2015 </w:t>
            </w:r>
            <w:r>
              <w:t>Pt. 2</w:t>
            </w:r>
          </w:p>
        </w:tc>
        <w:tc>
          <w:tcPr>
            <w:tcW w:w="1276" w:type="dxa"/>
            <w:shd w:val="clear" w:color="auto" w:fill="auto"/>
          </w:tcPr>
          <w:p>
            <w:pPr>
              <w:pStyle w:val="nTable"/>
              <w:spacing w:after="40"/>
            </w:pPr>
            <w:r>
              <w:t>18 Sep 2015 p. 3804</w:t>
            </w:r>
            <w:r>
              <w:noBreakHyphen/>
              <w:t>13</w:t>
            </w:r>
          </w:p>
        </w:tc>
        <w:tc>
          <w:tcPr>
            <w:tcW w:w="2693" w:type="dxa"/>
            <w:shd w:val="clear" w:color="auto" w:fill="auto"/>
          </w:tcPr>
          <w:p>
            <w:pPr>
              <w:pStyle w:val="nTable"/>
              <w:spacing w:after="40"/>
              <w:rPr>
                <w:snapToGrid w:val="0"/>
              </w:rPr>
            </w:pPr>
            <w:r>
              <w:rPr>
                <w:snapToGrid w:val="0"/>
              </w:rPr>
              <w:t>1 Oct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Local Government Regulations Amendment (Associations Incorporation) Regulations 2016</w:t>
            </w:r>
            <w:r>
              <w:t xml:space="preserve"> Pt. 3</w:t>
            </w:r>
          </w:p>
        </w:tc>
        <w:tc>
          <w:tcPr>
            <w:tcW w:w="1276" w:type="dxa"/>
            <w:shd w:val="clear" w:color="auto" w:fill="auto"/>
          </w:tcPr>
          <w:p>
            <w:pPr>
              <w:pStyle w:val="nTable"/>
              <w:spacing w:after="40"/>
            </w:pPr>
            <w:r>
              <w:t>30 Dec 2016 p. 5969</w:t>
            </w:r>
            <w:r>
              <w:noBreakHyphen/>
              <w:t>70</w:t>
            </w:r>
          </w:p>
        </w:tc>
        <w:tc>
          <w:tcPr>
            <w:tcW w:w="2693" w:type="dxa"/>
            <w:shd w:val="clear" w:color="auto" w:fill="auto"/>
          </w:tcPr>
          <w:p>
            <w:pPr>
              <w:pStyle w:val="nTable"/>
              <w:spacing w:after="40"/>
              <w:rPr>
                <w:snapToGrid w:val="0"/>
              </w:rPr>
            </w:pPr>
            <w:r>
              <w:rPr>
                <w:snapToGrid w:val="0"/>
              </w:rPr>
              <w:t>31 Dec 2016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2017</w:t>
            </w:r>
          </w:p>
        </w:tc>
        <w:tc>
          <w:tcPr>
            <w:tcW w:w="1276" w:type="dxa"/>
            <w:tcBorders>
              <w:top w:val="nil"/>
              <w:bottom w:val="nil"/>
            </w:tcBorders>
            <w:shd w:val="clear" w:color="auto" w:fill="auto"/>
          </w:tcPr>
          <w:p>
            <w:pPr>
              <w:pStyle w:val="nTable"/>
              <w:spacing w:after="40"/>
            </w:pPr>
            <w:r>
              <w:t>8 Dec 2017 p. 5844</w:t>
            </w:r>
            <w:r>
              <w:noBreakHyphen/>
              <w:t>5</w:t>
            </w:r>
          </w:p>
        </w:tc>
        <w:tc>
          <w:tcPr>
            <w:tcW w:w="2693" w:type="dxa"/>
            <w:tcBorders>
              <w:top w:val="nil"/>
              <w:bottom w:val="nil"/>
            </w:tcBorders>
            <w:shd w:val="clear" w:color="auto" w:fill="auto"/>
          </w:tcPr>
          <w:p>
            <w:pPr>
              <w:pStyle w:val="nTable"/>
              <w:spacing w:after="40"/>
              <w:rPr>
                <w:snapToGrid w:val="0"/>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2019</w:t>
            </w:r>
          </w:p>
        </w:tc>
        <w:tc>
          <w:tcPr>
            <w:tcW w:w="1276" w:type="dxa"/>
            <w:shd w:val="clear" w:color="auto" w:fill="auto"/>
          </w:tcPr>
          <w:p>
            <w:pPr>
              <w:pStyle w:val="nTable"/>
              <w:spacing w:after="40"/>
            </w:pPr>
            <w:r>
              <w:t>31 Dec 2019 p. 4649</w:t>
            </w:r>
          </w:p>
        </w:tc>
        <w:tc>
          <w:tcPr>
            <w:tcW w:w="2693" w:type="dxa"/>
            <w:shd w:val="clear" w:color="auto" w:fill="auto"/>
          </w:tcPr>
          <w:p>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rPr>
          <w:cantSplit/>
        </w:trPr>
        <w:tc>
          <w:tcPr>
            <w:tcW w:w="3119" w:type="dxa"/>
            <w:tcBorders>
              <w:top w:val="nil"/>
              <w:bottom w:val="nil"/>
            </w:tcBorders>
            <w:shd w:val="clear" w:color="auto" w:fill="auto"/>
          </w:tcPr>
          <w:p>
            <w:pPr>
              <w:pStyle w:val="nTable"/>
              <w:spacing w:after="40"/>
              <w:ind w:right="113"/>
            </w:pPr>
            <w:r>
              <w:rPr>
                <w:i/>
              </w:rPr>
              <w:lastRenderedPageBreak/>
              <w:t>Local Government Regulations Amendment Regulations 2020</w:t>
            </w:r>
            <w:r>
              <w:t xml:space="preserve"> Pt. 3</w:t>
            </w:r>
          </w:p>
        </w:tc>
        <w:tc>
          <w:tcPr>
            <w:tcW w:w="1276" w:type="dxa"/>
            <w:tcBorders>
              <w:top w:val="nil"/>
              <w:bottom w:val="nil"/>
            </w:tcBorders>
            <w:shd w:val="clear" w:color="auto" w:fill="auto"/>
          </w:tcPr>
          <w:p>
            <w:pPr>
              <w:pStyle w:val="nTable"/>
              <w:spacing w:after="40"/>
            </w:pPr>
            <w:r>
              <w:t>SL 2020/35 9 Apr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10 Apr 2020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2020</w:t>
            </w:r>
          </w:p>
        </w:tc>
        <w:tc>
          <w:tcPr>
            <w:tcW w:w="1276" w:type="dxa"/>
            <w:tcBorders>
              <w:top w:val="nil"/>
              <w:bottom w:val="nil"/>
            </w:tcBorders>
            <w:shd w:val="clear" w:color="auto" w:fill="auto"/>
          </w:tcPr>
          <w:p>
            <w:pPr>
              <w:pStyle w:val="nTable"/>
              <w:spacing w:after="40"/>
            </w:pPr>
            <w:r>
              <w:t xml:space="preserve">SL 2020/55 8 May 2020 </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8</w:t>
            </w:r>
            <w:r>
              <w:t xml:space="preserve"> May 2020 </w:t>
            </w:r>
            <w:r>
              <w:rPr>
                <w:bCs/>
                <w:snapToGrid w:val="0"/>
                <w:spacing w:val="-2"/>
              </w:rPr>
              <w:t>(see r. 2(a));</w:t>
            </w:r>
            <w:r>
              <w:rPr>
                <w:bCs/>
                <w:snapToGrid w:val="0"/>
                <w:spacing w:val="-2"/>
              </w:rPr>
              <w:br/>
              <w:t xml:space="preserve">Regulations other than r. 1 and 2: </w:t>
            </w:r>
            <w:r>
              <w:t>9 May 2020 (see r. 2(b))</w:t>
            </w:r>
          </w:p>
        </w:tc>
      </w:tr>
      <w:tr>
        <w:trPr>
          <w:cantSplit/>
        </w:trPr>
        <w:tc>
          <w:tcPr>
            <w:tcW w:w="3119" w:type="dxa"/>
            <w:tcBorders>
              <w:top w:val="nil"/>
              <w:bottom w:val="nil"/>
            </w:tcBorders>
            <w:shd w:val="clear" w:color="auto" w:fill="auto"/>
          </w:tcPr>
          <w:p>
            <w:pPr>
              <w:pStyle w:val="nTable"/>
              <w:spacing w:after="40"/>
              <w:ind w:right="113"/>
            </w:pPr>
            <w:r>
              <w:rPr>
                <w:i/>
              </w:rPr>
              <w:t>Local Government Regulations Amendment Regulations (No. 2) 2020</w:t>
            </w:r>
            <w:r>
              <w:t xml:space="preserve"> Pt. 8</w:t>
            </w:r>
          </w:p>
        </w:tc>
        <w:tc>
          <w:tcPr>
            <w:tcW w:w="1276" w:type="dxa"/>
            <w:tcBorders>
              <w:top w:val="nil"/>
              <w:bottom w:val="nil"/>
            </w:tcBorders>
            <w:shd w:val="clear" w:color="auto" w:fill="auto"/>
          </w:tcPr>
          <w:p>
            <w:pPr>
              <w:pStyle w:val="nTable"/>
              <w:spacing w:after="40"/>
            </w:pPr>
            <w:r>
              <w:t>SL 2020/213 6 Nov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7 Nov 2020 (see r. 2(b) and SL 2020/212 cl. 2)</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2021</w:t>
            </w:r>
          </w:p>
        </w:tc>
        <w:tc>
          <w:tcPr>
            <w:tcW w:w="1276" w:type="dxa"/>
            <w:tcBorders>
              <w:top w:val="nil"/>
              <w:bottom w:val="nil"/>
            </w:tcBorders>
            <w:shd w:val="clear" w:color="auto" w:fill="auto"/>
          </w:tcPr>
          <w:p>
            <w:pPr>
              <w:pStyle w:val="nTable"/>
              <w:spacing w:after="40"/>
            </w:pPr>
            <w:r>
              <w:t>SL 2021/75 18 Jun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 xml:space="preserve">18 Jun 2021 </w:t>
            </w:r>
            <w:r>
              <w:rPr>
                <w:bCs/>
                <w:snapToGrid w:val="0"/>
                <w:spacing w:val="-2"/>
              </w:rPr>
              <w:t>(see r. 2(a));</w:t>
            </w:r>
            <w:r>
              <w:rPr>
                <w:bCs/>
                <w:snapToGrid w:val="0"/>
                <w:spacing w:val="-2"/>
              </w:rPr>
              <w:br/>
              <w:t xml:space="preserve">Regulations other than r. 1 and 2: </w:t>
            </w:r>
            <w:r>
              <w:t>30 Jun 2021 (see r. 2(b) and SL 2021/69 cl. 2)</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Regulations Amendment Regulations 2022</w:t>
            </w:r>
            <w:r>
              <w:t xml:space="preserve"> Pt. 4</w:t>
            </w:r>
          </w:p>
        </w:tc>
        <w:tc>
          <w:tcPr>
            <w:tcW w:w="1276" w:type="dxa"/>
            <w:tcBorders>
              <w:top w:val="nil"/>
              <w:bottom w:val="nil"/>
            </w:tcBorders>
            <w:shd w:val="clear" w:color="auto" w:fill="auto"/>
          </w:tcPr>
          <w:p>
            <w:pPr>
              <w:pStyle w:val="nTable"/>
              <w:spacing w:after="40"/>
            </w:pPr>
            <w:r>
              <w:t>SL 2022/177 2 Nov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Pt. 4 (other than Div. 3): 3 Nov 2022 (see r. 2(b) and SL 2022/175 cl. 2);</w:t>
            </w:r>
            <w:r>
              <w:rPr>
                <w:bCs/>
                <w:snapToGrid w:val="0"/>
                <w:spacing w:val="-2"/>
              </w:rPr>
              <w:br/>
              <w:t xml:space="preserve">Pt. 4 Div. 3: </w:t>
            </w:r>
            <w:r>
              <w:t>3 Nov 2024 (see r. 2(c) and SL 2022/175 cl. 2)</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2023</w:t>
            </w:r>
          </w:p>
        </w:tc>
        <w:tc>
          <w:tcPr>
            <w:tcW w:w="1276" w:type="dxa"/>
            <w:tcBorders>
              <w:top w:val="nil"/>
              <w:bottom w:val="nil"/>
            </w:tcBorders>
            <w:shd w:val="clear" w:color="auto" w:fill="auto"/>
          </w:tcPr>
          <w:p>
            <w:pPr>
              <w:pStyle w:val="nTable"/>
              <w:spacing w:after="40"/>
            </w:pPr>
            <w:r>
              <w:t>SL 2023/47 19 May 2023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19 May 2023 (see r. 2(a));</w:t>
            </w:r>
            <w:r>
              <w:rPr>
                <w:bCs/>
                <w:snapToGrid w:val="0"/>
                <w:spacing w:val="-2"/>
              </w:rPr>
              <w:br/>
              <w:t>Regulations other than r. 1 and 2: 20 May 2023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Regulations Amendment Regulations (No. 2) 2023</w:t>
            </w:r>
            <w:r>
              <w:t xml:space="preserve"> Pt. 5</w:t>
            </w:r>
          </w:p>
        </w:tc>
        <w:tc>
          <w:tcPr>
            <w:tcW w:w="1276" w:type="dxa"/>
            <w:tcBorders>
              <w:top w:val="nil"/>
              <w:bottom w:val="nil"/>
            </w:tcBorders>
            <w:shd w:val="clear" w:color="auto" w:fill="auto"/>
          </w:tcPr>
          <w:p>
            <w:pPr>
              <w:pStyle w:val="nTable"/>
              <w:spacing w:after="40"/>
            </w:pPr>
            <w:r>
              <w:t>SL 2023/102 30 Jun 2023</w:t>
            </w:r>
          </w:p>
        </w:tc>
        <w:tc>
          <w:tcPr>
            <w:tcW w:w="2693" w:type="dxa"/>
            <w:tcBorders>
              <w:top w:val="nil"/>
              <w:bottom w:val="nil"/>
            </w:tcBorders>
            <w:shd w:val="clear" w:color="auto" w:fill="auto"/>
          </w:tcPr>
          <w:p>
            <w:pPr>
              <w:pStyle w:val="nTable"/>
              <w:spacing w:after="40"/>
              <w:rPr>
                <w:bCs/>
                <w:snapToGrid w:val="0"/>
                <w:spacing w:val="-2"/>
              </w:rPr>
            </w:pPr>
            <w:r>
              <w:t>1 Jul 2024 (see r. 2(c))</w:t>
            </w:r>
          </w:p>
        </w:tc>
      </w:tr>
      <w:tr>
        <w:trPr>
          <w:cantSplit/>
        </w:trPr>
        <w:tc>
          <w:tcPr>
            <w:tcW w:w="3119" w:type="dxa"/>
            <w:tcBorders>
              <w:top w:val="nil"/>
              <w:bottom w:val="single" w:sz="4" w:space="0" w:color="auto"/>
            </w:tcBorders>
            <w:shd w:val="clear" w:color="auto" w:fill="auto"/>
          </w:tcPr>
          <w:p>
            <w:pPr>
              <w:pStyle w:val="nTable"/>
              <w:spacing w:after="40"/>
              <w:ind w:right="113"/>
              <w:rPr>
                <w:i/>
              </w:rPr>
            </w:pPr>
            <w:r>
              <w:rPr>
                <w:i/>
              </w:rPr>
              <w:t>Local Government Regulations Amendment (Local Government Amendment Act 2024) Regulations 2025</w:t>
            </w:r>
            <w:r>
              <w:rPr>
                <w:iCs/>
              </w:rPr>
              <w:t xml:space="preserve"> Pt. 5</w:t>
            </w:r>
          </w:p>
        </w:tc>
        <w:tc>
          <w:tcPr>
            <w:tcW w:w="1276" w:type="dxa"/>
            <w:tcBorders>
              <w:top w:val="nil"/>
              <w:bottom w:val="single" w:sz="4" w:space="0" w:color="auto"/>
            </w:tcBorders>
            <w:shd w:val="clear" w:color="auto" w:fill="auto"/>
          </w:tcPr>
          <w:p>
            <w:pPr>
              <w:pStyle w:val="nTable"/>
              <w:spacing w:after="40"/>
            </w:pPr>
            <w:r>
              <w:t>SL 2025/208 17 Dec 2025</w:t>
            </w:r>
          </w:p>
        </w:tc>
        <w:tc>
          <w:tcPr>
            <w:tcW w:w="2693" w:type="dxa"/>
            <w:tcBorders>
              <w:top w:val="nil"/>
              <w:bottom w:val="single" w:sz="4" w:space="0" w:color="auto"/>
            </w:tcBorders>
            <w:shd w:val="clear" w:color="auto" w:fill="auto"/>
          </w:tcPr>
          <w:p>
            <w:pPr>
              <w:pStyle w:val="nTable"/>
              <w:spacing w:after="40"/>
            </w:pPr>
            <w:r>
              <w:t xml:space="preserve">1 Jan 2026 </w:t>
            </w:r>
            <w:r>
              <w:rPr>
                <w:snapToGrid w:val="0"/>
              </w:rPr>
              <w:t>(see r. 2(c))</w:t>
            </w:r>
          </w:p>
        </w:tc>
      </w:tr>
    </w:tbl>
    <w:p>
      <w:pPr>
        <w:pStyle w:val="nHeading3"/>
      </w:pPr>
      <w:bookmarkStart w:id="146" w:name="_Toc217398860"/>
      <w:r>
        <w:t>Other notes</w:t>
      </w:r>
      <w:bookmarkEnd w:id="146"/>
    </w:p>
    <w:p>
      <w:pPr>
        <w:pStyle w:val="nNote"/>
        <w:spacing w:before="160"/>
      </w:pPr>
      <w:r>
        <w:rPr>
          <w:vertAlign w:val="superscript"/>
        </w:rPr>
        <w:t>1</w:t>
      </w:r>
      <w:r>
        <w:tab/>
        <w:t xml:space="preserve">The </w:t>
      </w:r>
      <w:r>
        <w:rPr>
          <w:i/>
          <w:iCs/>
        </w:rPr>
        <w:t>Local Government Act 1995</w:t>
      </w:r>
      <w:r>
        <w:t xml:space="preserve"> came into operation on 1 July 1996.</w:t>
      </w:r>
    </w:p>
    <w:p>
      <w:pPr>
        <w:pStyle w:val="nNote"/>
      </w:pPr>
      <w:r>
        <w:rPr>
          <w:vertAlign w:val="superscript"/>
        </w:rPr>
        <w:t>2</w:t>
      </w:r>
      <w:r>
        <w:tab/>
        <w:t xml:space="preserve">The </w:t>
      </w:r>
      <w:r>
        <w:rPr>
          <w:i/>
        </w:rPr>
        <w:t>Local Government (Functions and General) Amendment Regulations 2001</w:t>
      </w:r>
      <w:r>
        <w:t xml:space="preserve"> r. 11 is a transitional provision that is of no further effect.</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48" w:name="_Toc217300597"/>
      <w:bookmarkStart w:id="149" w:name="_Toc217301007"/>
      <w:bookmarkStart w:id="150" w:name="_Toc217398100"/>
      <w:bookmarkStart w:id="151" w:name="_Toc217398371"/>
      <w:bookmarkStart w:id="152" w:name="_Toc217398861"/>
      <w:r>
        <w:rPr>
          <w:sz w:val="28"/>
        </w:rPr>
        <w:lastRenderedPageBreak/>
        <w:t>Defined terms</w:t>
      </w:r>
      <w:bookmarkEnd w:id="148"/>
      <w:bookmarkEnd w:id="149"/>
      <w:bookmarkEnd w:id="150"/>
      <w:bookmarkEnd w:id="151"/>
      <w:bookmarkEnd w:id="1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3A(4)</w:t>
      </w:r>
    </w:p>
    <w:p>
      <w:pPr>
        <w:pStyle w:val="DefinedTerms"/>
      </w:pPr>
      <w:r>
        <w:t>application</w:t>
      </w:r>
      <w:r>
        <w:tab/>
        <w:t>24AH(1)</w:t>
      </w:r>
    </w:p>
    <w:p>
      <w:pPr>
        <w:pStyle w:val="DefinedTerms"/>
      </w:pPr>
      <w:r>
        <w:t>contract</w:t>
      </w:r>
      <w:r>
        <w:tab/>
        <w:t>3A(4)</w:t>
      </w:r>
    </w:p>
    <w:p>
      <w:pPr>
        <w:pStyle w:val="DefinedTerms"/>
      </w:pPr>
      <w:r>
        <w:t>contracts</w:t>
      </w:r>
      <w:r>
        <w:tab/>
        <w:t>12(1)</w:t>
      </w:r>
    </w:p>
    <w:p>
      <w:pPr>
        <w:pStyle w:val="DefinedTerms"/>
      </w:pPr>
      <w:r>
        <w:t>dispose</w:t>
      </w:r>
      <w:r>
        <w:tab/>
        <w:t>3A(4)</w:t>
      </w:r>
    </w:p>
    <w:p>
      <w:pPr>
        <w:pStyle w:val="DefinedTerms"/>
      </w:pPr>
      <w:r>
        <w:t>former draft model by-law</w:t>
      </w:r>
      <w:r>
        <w:tab/>
        <w:t>38(4)</w:t>
      </w:r>
    </w:p>
    <w:p>
      <w:pPr>
        <w:pStyle w:val="DefinedTerms"/>
      </w:pPr>
      <w:r>
        <w:t>former section</w:t>
      </w:r>
      <w:r>
        <w:tab/>
        <w:t>6(4)</w:t>
      </w:r>
    </w:p>
    <w:p>
      <w:pPr>
        <w:pStyle w:val="DefinedTerms"/>
      </w:pPr>
      <w:r>
        <w:t>joint venture</w:t>
      </w:r>
      <w:r>
        <w:tab/>
        <w:t>10(2)</w:t>
      </w:r>
    </w:p>
    <w:p>
      <w:pPr>
        <w:pStyle w:val="DefinedTerms"/>
      </w:pPr>
      <w:r>
        <w:t>joint venturer</w:t>
      </w:r>
      <w:r>
        <w:tab/>
        <w:t>10(2)</w:t>
      </w:r>
    </w:p>
    <w:p>
      <w:pPr>
        <w:pStyle w:val="DefinedTerms"/>
      </w:pPr>
      <w:r>
        <w:t>land that will lose its access</w:t>
      </w:r>
      <w:r>
        <w:tab/>
        <w:t>4(3)</w:t>
      </w:r>
    </w:p>
    <w:p>
      <w:pPr>
        <w:pStyle w:val="DefinedTerms"/>
      </w:pPr>
      <w:r>
        <w:t>major regional centre</w:t>
      </w:r>
      <w:r>
        <w:tab/>
        <w:t>7(1)</w:t>
      </w:r>
    </w:p>
    <w:p>
      <w:pPr>
        <w:pStyle w:val="DefinedTerms"/>
      </w:pPr>
      <w:r>
        <w:t>minor variation</w:t>
      </w:r>
      <w:r>
        <w:tab/>
        <w:t>20(3)</w:t>
      </w:r>
    </w:p>
    <w:p>
      <w:pPr>
        <w:pStyle w:val="DefinedTerms"/>
      </w:pPr>
      <w:r>
        <w:t>original contract</w:t>
      </w:r>
      <w:r>
        <w:tab/>
        <w:t>11(2), 11(2), 11(2)</w:t>
      </w:r>
    </w:p>
    <w:p>
      <w:pPr>
        <w:pStyle w:val="DefinedTerms"/>
      </w:pPr>
      <w:r>
        <w:t>panel of pre-qualified suppliers</w:t>
      </w:r>
      <w:r>
        <w:tab/>
        <w:t>24AA</w:t>
      </w:r>
    </w:p>
    <w:p>
      <w:pPr>
        <w:pStyle w:val="DefinedTerms"/>
      </w:pPr>
      <w:r>
        <w:t>pre-qualified supplier</w:t>
      </w:r>
      <w:r>
        <w:tab/>
        <w:t>24AA</w:t>
      </w:r>
    </w:p>
    <w:p>
      <w:pPr>
        <w:pStyle w:val="DefinedTerms"/>
      </w:pPr>
      <w:r>
        <w:t>property</w:t>
      </w:r>
      <w:r>
        <w:tab/>
        <w:t>3A(4)</w:t>
      </w:r>
    </w:p>
    <w:p>
      <w:pPr>
        <w:pStyle w:val="DefinedTerms"/>
      </w:pPr>
      <w:r>
        <w:t>public place</w:t>
      </w:r>
      <w:r>
        <w:tab/>
        <w:t>29(2)</w:t>
      </w:r>
    </w:p>
    <w:p>
      <w:pPr>
        <w:pStyle w:val="DefinedTerms"/>
      </w:pPr>
      <w:r>
        <w:t>regional price preference</w:t>
      </w:r>
      <w:r>
        <w:tab/>
        <w:t>24B(1)</w:t>
      </w:r>
    </w:p>
    <w:p>
      <w:pPr>
        <w:pStyle w:val="DefinedTerms"/>
      </w:pPr>
      <w:r>
        <w:t>regional tenderer</w:t>
      </w:r>
      <w:r>
        <w:tab/>
        <w:t>24B(1)</w:t>
      </w:r>
    </w:p>
    <w:p>
      <w:pPr>
        <w:pStyle w:val="DefinedTerms"/>
      </w:pPr>
      <w:r>
        <w:t>state of emergency declaration</w:t>
      </w:r>
      <w:r>
        <w:tab/>
        <w:t>11(1A)</w:t>
      </w:r>
    </w:p>
    <w:p>
      <w:pPr>
        <w:pStyle w:val="DefinedTerms"/>
      </w:pPr>
      <w:r>
        <w:t>transferee</w:t>
      </w:r>
      <w:r>
        <w:tab/>
        <w:t>30(2)</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41BA71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6C705A7" w14:textId="3E074D24" w:rsidR="002B01B2" w:rsidRDefault="0014507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31CCD">
                        <w:rPr>
                          <w:sz w:val="16"/>
                        </w:rPr>
                        <w:t>2026</w:t>
                      </w:r>
                      <w:r>
                        <w:rPr>
                          <w:sz w:val="16"/>
                        </w:rPr>
                        <w:fldChar w:fldCharType="end"/>
                      </w:r>
                      <w:r>
                        <w:rPr>
                          <w:sz w:val="16"/>
                        </w:rPr>
                        <w:t>.</w:t>
                      </w:r>
                    </w:p>
                    <w:p w14:paraId="2C30C37E" w14:textId="77777777" w:rsidR="002B01B2" w:rsidRDefault="0014507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5C87ADC" w14:textId="5683EBB8" w:rsidR="002B01B2" w:rsidRDefault="0014507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31CCD">
                        <w:rPr>
                          <w:sz w:val="16"/>
                        </w:rPr>
                        <w:t>2026</w:t>
                      </w:r>
                      <w:r>
                        <w:rPr>
                          <w:sz w:val="16"/>
                        </w:rPr>
                        <w:fldChar w:fldCharType="end"/>
                      </w:r>
                      <w:r>
                        <w:rPr>
                          <w:sz w:val="16"/>
                        </w:rPr>
                        <w:t>.</w:t>
                      </w:r>
                    </w:p>
                    <w:p w14:paraId="571E2BB4" w14:textId="77777777" w:rsidR="002B01B2" w:rsidRDefault="0014507D">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trPr>
        <w:cantSplit/>
        <w:jc w:val="center"/>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612"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612" w:type="dxa"/>
        </w:tcPr>
        <w:p>
          <w:pPr>
            <w:pStyle w:val="Header"/>
            <w:spacing w:before="40"/>
          </w:pPr>
        </w:p>
      </w:tc>
    </w:tr>
    <w:tr>
      <w:trPr>
        <w:cantSplit/>
        <w:jc w:val="center"/>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39" w:name="Schedule"/>
    <w:bookmarkEnd w:id="13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7" w:name="Compilation"/>
    <w:bookmarkEnd w:id="14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53" w:name="DefinedTerms"/>
    <w:bookmarkEnd w:id="15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4" w:name="Coversheet"/>
    <w:bookmarkEnd w:id="1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2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22125341"/>
    <w:docVar w:name="WAFER_20140203152655" w:val="RemoveTocBookmarks,RemoveUnusedBookmarks,RemoveLanguageTags,UsedStyles,ResetPageSize,UpdateArrangement"/>
    <w:docVar w:name="WAFER_20140203152655_GUID" w:val="21f845e7-e0b8-4955-8ccc-04a15f8c908d"/>
    <w:docVar w:name="WAFER_20140203153822" w:val="RemoveTocBookmarks,RunningHeaders"/>
    <w:docVar w:name="WAFER_20140203153822_GUID" w:val="b467dcf4-3bfd-4c1e-a781-7443a11fe7ec"/>
    <w:docVar w:name="WAFER_20150602110926" w:val="ResetPageSize,UpdateArrangement,UpdateNTable"/>
    <w:docVar w:name="WAFER_20150602110926_GUID" w:val="d60fe664-6031-450d-8f19-a1686c0e95c4"/>
    <w:docVar w:name="WAFER_20150917130056" w:val="RemoveTocBookmarks,RemoveUnusedBookmarks,RemoveLanguageTags,UsedStyles,ResetPageSize"/>
    <w:docVar w:name="WAFER_20150917130056_GUID" w:val="7adf76eb-cc59-45a9-9920-34cea77a6b18"/>
    <w:docVar w:name="WAFER_20151106100525" w:val="UpdateStyles,UsedStyles"/>
    <w:docVar w:name="WAFER_20151106100525_GUID" w:val="7eef940c-1a23-4c28-a0b4-850570712449"/>
    <w:docVar w:name="WAFER_20151130164803" w:val="RemoveTrackChanges"/>
    <w:docVar w:name="WAFER_20151130164803_GUID" w:val="0c9e1353-4db3-43af-8667-d258b52269dd"/>
    <w:docVar w:name="WAFER_20171207105328" w:val="RemoveTocBookmarks,RemoveUnusedBookmarks,RemoveLanguageTags,UsedStyles,ResetPageSize"/>
    <w:docVar w:name="WAFER_20171207105328_GUID" w:val="1421a779-b912-4ce8-a8c7-af32431e4417"/>
    <w:docVar w:name="WAFER_20171207115802" w:val="RemoveTocBookmarks,RemoveUnusedBookmarks,RemoveLanguageTags,UsedStyles,ResetPageSize"/>
    <w:docVar w:name="WAFER_20171207115802_GUID" w:val="86549e10-5878-40f9-b375-038c17683e46"/>
    <w:docVar w:name="WAFER_20171207115825" w:val="RemoveTocBookmarks,RemoveUnusedBookmarks,RemoveLanguageTags,UsedStyles,ResetPageSize"/>
    <w:docVar w:name="WAFER_20171207115825_GUID" w:val="d52c36cb-da0b-45eb-8b44-913855b6b89a"/>
    <w:docVar w:name="WAFER_20171207120039" w:val="RemoveTocBookmarks,RemoveUnusedBookmarks,RemoveLanguageTags,UsedStyles,ResetPageSize"/>
    <w:docVar w:name="WAFER_20171207120039_GUID" w:val="886383aa-4e43-4a67-8483-0516bab34336"/>
    <w:docVar w:name="WAFER_20171207120058" w:val="RemoveTocBookmarks,RemoveUnusedBookmarks,RemoveLanguageTags,UsedStyles,ResetPageSize"/>
    <w:docVar w:name="WAFER_20171207120058_GUID" w:val="d8ff3925-b4ff-4353-bf91-274182f2eaf2"/>
    <w:docVar w:name="WAFER_20191218152628" w:val="RemoveTocBookmarks,RemoveUnusedBookmarks,RemoveLanguageTags,ResetPageSize,RunningHeaders,UpdateStyles,UsedStyles"/>
    <w:docVar w:name="WAFER_20191218152628_GUID" w:val="2b75b0fa-c10a-4f36-90d5-4615a7e8354c"/>
    <w:docVar w:name="WAFER_202002110857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723_GUID" w:val="579a2ed0-872e-47e4-93fd-a6eeb89d65ee"/>
    <w:docVar w:name="WAFER_202004081421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142148_GUID" w:val="49eeb3c4-efce-4254-85c2-251e70273447"/>
    <w:docVar w:name="WAFER_202004171513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302_GUID" w:val="981cb513-0e76-48ee-8570-57495907068a"/>
    <w:docVar w:name="WAFER_20200420093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900_GUID" w:val="5a41054a-2ee8-43cf-8a1f-26bb9bef30c7"/>
    <w:docVar w:name="WAFER_202005071449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07144939_GUID" w:val="628e7ee1-8e14-4df1-98e2-36817933a63e"/>
    <w:docVar w:name="WAFER_20201103090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090737_GUID" w:val="1c935dd3-59cc-4062-82f6-21acb1f62951"/>
    <w:docVar w:name="WAFER_202106151023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2340_GUID" w:val="8677039b-e8d2-49dc-b7c9-27942ab9aa0f"/>
    <w:docVar w:name="WAFER_202106221326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32607_GUID" w:val="fcfa720f-ecb9-4ba2-b6bd-45456f5a6329"/>
    <w:docVar w:name="WAFER_202210311106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10627_GUID" w:val="4d7922ea-3e5e-4ba3-95c1-1d8e1ba3a82f"/>
    <w:docVar w:name="WAFER_20230516151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1608_GUID" w:val="46a1728b-23ff-49aa-922b-445d78e3cbec"/>
    <w:docVar w:name="WAFER_202306281045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104520_GUID" w:val="e0e248b4-29d5-4c13-8ffb-98f99c6b70da"/>
    <w:docVar w:name="WAFER_202406251344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34421_GUID" w:val="08ea456a-08fe-4787-9990-373d374babbf"/>
    <w:docVar w:name="WAFER_202410281040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104013_GUID" w:val="32c1067a-7e58-457f-beca-f992c04e57f6"/>
    <w:docVar w:name="WAFER_20251211162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62301_GUID" w:val="b808785f-6afb-46b3-9785-85dfbec64b0f"/>
    <w:docVar w:name="WAFER_20251222125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22125341_GUID" w:val="5d20625e-ce03-4517-b869-204b013b48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2577"/>
    <o:shapelayout v:ext="edit">
      <o:idmap v:ext="edit" data="1"/>
    </o:shapelayout>
  </w:shapeDefaults>
  <w:decimalSymbol w:val="."/>
  <w:listSeparator w:val=","/>
  <w15:docId w15:val="{8B3690B1-1D52-4C15-917F-8CAD6B57F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13782</Words>
  <Characters>73601</Characters>
  <Application>Microsoft Office Word</Application>
  <DocSecurity>0</DocSecurity>
  <Lines>1989</Lines>
  <Paragraphs>1180</Paragraphs>
  <ScaleCrop>false</ScaleCrop>
  <HeadingPairs>
    <vt:vector size="2" baseType="variant">
      <vt:variant>
        <vt:lpstr>Title</vt:lpstr>
      </vt:variant>
      <vt:variant>
        <vt:i4>1</vt:i4>
      </vt:variant>
    </vt:vector>
  </HeadingPairs>
  <TitlesOfParts>
    <vt:vector size="1" baseType="lpstr">
      <vt:lpstr>Local Government (Functions and General) Regulations 1996</vt:lpstr>
    </vt:vector>
  </TitlesOfParts>
  <Manager/>
  <Company/>
  <LinksUpToDate>false</LinksUpToDate>
  <CharactersWithSpaces>86203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1996 - 03-r0-00</dc:title>
  <dc:subject/>
  <dc:creator/>
  <cp:keywords/>
  <dc:description/>
  <cp:lastModifiedBy>Master Repository Process</cp:lastModifiedBy>
  <cp:revision>4</cp:revision>
  <cp:lastPrinted>2012-04-02T07:14:00Z</cp:lastPrinted>
  <dcterms:created xsi:type="dcterms:W3CDTF">2025-12-30T02:42:00Z</dcterms:created>
  <dcterms:modified xsi:type="dcterms:W3CDTF">2025-12-30T02:42:00Z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DocumentType">
    <vt:lpwstr>Reg</vt:lpwstr>
  </property>
  <property fmtid="{D5CDD505-2E9C-101B-9397-08002B2CF9AE}" pid="4" name="OwlsUID">
    <vt:i4>4578</vt:i4>
  </property>
  <property fmtid="{D5CDD505-2E9C-101B-9397-08002B2CF9AE}" pid="5" name="ReprintNo">
    <vt:lpwstr>3</vt:lpwstr>
  </property>
  <property fmtid="{D5CDD505-2E9C-101B-9397-08002B2CF9AE}" pid="6" name="ReprintedAsAt">
    <vt:filetime>2012-03-15T16:00:00Z</vt:filetime>
  </property>
  <property fmtid="{D5CDD505-2E9C-101B-9397-08002B2CF9AE}" pid="7" name="CommencementDate">
    <vt:lpwstr>20260101</vt:lpwstr>
  </property>
  <property fmtid="{D5CDD505-2E9C-101B-9397-08002B2CF9AE}" pid="8" name="CommencementAsAt">
    <vt:filetime>2025-12-31T16:00:00Z</vt:filetime>
  </property>
  <property fmtid="{D5CDD505-2E9C-101B-9397-08002B2CF9AE}" pid="9" name="CommencementYear">
    <vt:lpwstr>2026</vt:lpwstr>
  </property>
  <property fmtid="{D5CDD505-2E9C-101B-9397-08002B2CF9AE}" pid="10" name="AsAtDate">
    <vt:lpwstr>01 Jan 2026</vt:lpwstr>
  </property>
  <property fmtid="{D5CDD505-2E9C-101B-9397-08002B2CF9AE}" pid="11" name="Suffix">
    <vt:lpwstr>03-r0-00</vt:lpwstr>
  </property>
  <property fmtid="{D5CDD505-2E9C-101B-9397-08002B2CF9AE}" pid="12" name="Official">
    <vt:lpwstr/>
  </property>
</Properties>
</file>