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_Toc217380660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_Toc217380661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_Toc217380662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Fees</w:t>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_Toc217380664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_Toc217380665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Educational requirements</w:t>
      </w:r>
    </w:p>
    <w:p>
      <w:pPr>
        <w:pStyle w:val="TOC8"/>
        <w:rPr>
          <w:rFonts w:asciiTheme="minorHAnsi" w:eastAsiaTheme="minorEastAsia" w:hAnsiTheme="minorHAnsi" w:cstheme="minorBidi"/>
          <w:szCs w:val="22"/>
        </w:rPr>
      </w:pPr>
      <w:r>
        <w:t>4AA.</w:t>
      </w:r>
      <w:r>
        <w:tab/>
        <w:t>Educational requirements (Act s. 40B and 50C)</w:t>
      </w:r>
      <w:r>
        <w:tab/>
      </w:r>
      <w:r>
        <w:fldChar w:fldCharType="begin"/>
      </w:r>
      <w:r>
        <w:instrText xml:space="preserve"> PAGEREF _Toc217380667 \h </w:instrText>
      </w:r>
      <w:r>
        <w:fldChar w:fldCharType="separate"/>
      </w:r>
      <w:r>
        <w:t>7</w:t>
      </w:r>
      <w:r>
        <w:fldChar w:fldCharType="end"/>
      </w:r>
    </w:p>
    <w:p>
      <w:pPr>
        <w:pStyle w:val="TOC8"/>
        <w:rPr>
          <w:rFonts w:asciiTheme="minorHAnsi" w:eastAsiaTheme="minorEastAsia" w:hAnsiTheme="minorHAnsi" w:cstheme="minorBidi"/>
          <w:szCs w:val="22"/>
        </w:rPr>
      </w:pPr>
      <w:r>
        <w:t>4AB.</w:t>
      </w:r>
      <w:r>
        <w:tab/>
        <w:t>Exemption from educational requirements</w:t>
      </w:r>
      <w:r>
        <w:tab/>
      </w:r>
      <w:r>
        <w:fldChar w:fldCharType="begin"/>
      </w:r>
      <w:r>
        <w:instrText xml:space="preserve"> PAGEREF _Toc217380668 \h </w:instrText>
      </w:r>
      <w:r>
        <w:fldChar w:fldCharType="separate"/>
      </w:r>
      <w:r>
        <w:t>8</w:t>
      </w:r>
      <w:r>
        <w:fldChar w:fldCharType="end"/>
      </w:r>
    </w:p>
    <w:p>
      <w:pPr>
        <w:pStyle w:val="TOC8"/>
        <w:rPr>
          <w:rFonts w:asciiTheme="minorHAnsi" w:eastAsiaTheme="minorEastAsia" w:hAnsiTheme="minorHAnsi" w:cstheme="minorBidi"/>
          <w:szCs w:val="22"/>
        </w:rPr>
      </w:pPr>
      <w:r>
        <w:t>4AC.</w:t>
      </w:r>
      <w:r>
        <w:tab/>
        <w:t>CPD points</w:t>
      </w:r>
      <w:r>
        <w:tab/>
      </w:r>
      <w:r>
        <w:fldChar w:fldCharType="begin"/>
      </w:r>
      <w:r>
        <w:instrText xml:space="preserve"> PAGEREF _Toc217380669 \h </w:instrText>
      </w:r>
      <w:r>
        <w:fldChar w:fldCharType="separate"/>
      </w:r>
      <w:r>
        <w:t>10</w:t>
      </w:r>
      <w:r>
        <w:fldChar w:fldCharType="end"/>
      </w:r>
    </w:p>
    <w:p>
      <w:pPr>
        <w:pStyle w:val="TOC8"/>
        <w:rPr>
          <w:rFonts w:asciiTheme="minorHAnsi" w:eastAsiaTheme="minorEastAsia" w:hAnsiTheme="minorHAnsi" w:cstheme="minorBidi"/>
          <w:szCs w:val="22"/>
        </w:rPr>
      </w:pPr>
      <w:r>
        <w:t>4AE.</w:t>
      </w:r>
      <w:r>
        <w:tab/>
        <w:t>Approval of CPD providers</w:t>
      </w:r>
      <w:r>
        <w:tab/>
      </w:r>
      <w:r>
        <w:fldChar w:fldCharType="begin"/>
      </w:r>
      <w:r>
        <w:instrText xml:space="preserve"> PAGEREF _Toc217380670 \h </w:instrText>
      </w:r>
      <w:r>
        <w:fldChar w:fldCharType="separate"/>
      </w:r>
      <w:r>
        <w:t>10</w:t>
      </w:r>
      <w:r>
        <w:fldChar w:fldCharType="end"/>
      </w:r>
    </w:p>
    <w:p>
      <w:pPr>
        <w:pStyle w:val="TOC8"/>
        <w:rPr>
          <w:rFonts w:asciiTheme="minorHAnsi" w:eastAsiaTheme="minorEastAsia" w:hAnsiTheme="minorHAnsi" w:cstheme="minorBidi"/>
          <w:szCs w:val="22"/>
        </w:rPr>
      </w:pPr>
      <w:r>
        <w:t>4AF.</w:t>
      </w:r>
      <w:r>
        <w:tab/>
        <w:t>Approval of CPD topics</w:t>
      </w:r>
      <w:r>
        <w:tab/>
      </w:r>
      <w:r>
        <w:fldChar w:fldCharType="begin"/>
      </w:r>
      <w:r>
        <w:instrText xml:space="preserve"> PAGEREF _Toc217380671 \h </w:instrText>
      </w:r>
      <w:r>
        <w:fldChar w:fldCharType="separate"/>
      </w:r>
      <w:r>
        <w:t>11</w:t>
      </w:r>
      <w:r>
        <w:fldChar w:fldCharType="end"/>
      </w:r>
    </w:p>
    <w:p>
      <w:pPr>
        <w:pStyle w:val="TOC8"/>
        <w:rPr>
          <w:rFonts w:asciiTheme="minorHAnsi" w:eastAsiaTheme="minorEastAsia" w:hAnsiTheme="minorHAnsi" w:cstheme="minorBidi"/>
          <w:szCs w:val="22"/>
        </w:rPr>
      </w:pPr>
      <w:r>
        <w:t>4AG.</w:t>
      </w:r>
      <w:r>
        <w:tab/>
        <w:t>Mandatory CPD topic for CPD year</w:t>
      </w:r>
      <w:r>
        <w:tab/>
      </w:r>
      <w:r>
        <w:fldChar w:fldCharType="begin"/>
      </w:r>
      <w:r>
        <w:instrText xml:space="preserve"> PAGEREF _Toc217380672 \h </w:instrText>
      </w:r>
      <w:r>
        <w:fldChar w:fldCharType="separate"/>
      </w:r>
      <w:r>
        <w:t>11</w:t>
      </w:r>
      <w:r>
        <w:fldChar w:fldCharType="end"/>
      </w:r>
    </w:p>
    <w:p>
      <w:pPr>
        <w:pStyle w:val="TOC8"/>
        <w:rPr>
          <w:rFonts w:asciiTheme="minorHAnsi" w:eastAsiaTheme="minorEastAsia" w:hAnsiTheme="minorHAnsi" w:cstheme="minorBidi"/>
          <w:szCs w:val="22"/>
        </w:rPr>
      </w:pPr>
      <w:r>
        <w:t>4AH.</w:t>
      </w:r>
      <w:r>
        <w:tab/>
        <w:t>CPD content</w:t>
      </w:r>
      <w:r>
        <w:tab/>
      </w:r>
      <w:r>
        <w:fldChar w:fldCharType="begin"/>
      </w:r>
      <w:r>
        <w:instrText xml:space="preserve"> PAGEREF _Toc217380673 \h </w:instrText>
      </w:r>
      <w:r>
        <w:fldChar w:fldCharType="separate"/>
      </w:r>
      <w:r>
        <w:t>12</w:t>
      </w:r>
      <w:r>
        <w:fldChar w:fldCharType="end"/>
      </w:r>
    </w:p>
    <w:p>
      <w:pPr>
        <w:pStyle w:val="TOC8"/>
        <w:rPr>
          <w:rFonts w:asciiTheme="minorHAnsi" w:eastAsiaTheme="minorEastAsia" w:hAnsiTheme="minorHAnsi" w:cstheme="minorBidi"/>
          <w:szCs w:val="22"/>
        </w:rPr>
      </w:pPr>
      <w:r>
        <w:t>4AI.</w:t>
      </w:r>
      <w:r>
        <w:tab/>
        <w:t>CPD records: providers</w:t>
      </w:r>
      <w:r>
        <w:tab/>
      </w:r>
      <w:r>
        <w:fldChar w:fldCharType="begin"/>
      </w:r>
      <w:r>
        <w:instrText xml:space="preserve"> PAGEREF _Toc217380674 \h </w:instrText>
      </w:r>
      <w:r>
        <w:fldChar w:fldCharType="separate"/>
      </w:r>
      <w:r>
        <w:t>12</w:t>
      </w:r>
      <w:r>
        <w:fldChar w:fldCharType="end"/>
      </w:r>
    </w:p>
    <w:p>
      <w:pPr>
        <w:pStyle w:val="TOC8"/>
        <w:rPr>
          <w:rFonts w:asciiTheme="minorHAnsi" w:eastAsiaTheme="minorEastAsia" w:hAnsiTheme="minorHAnsi" w:cstheme="minorBidi"/>
          <w:szCs w:val="22"/>
        </w:rPr>
      </w:pPr>
      <w:r>
        <w:t>4AJ.</w:t>
      </w:r>
      <w:r>
        <w:tab/>
        <w:t>CPD records: regulated persons</w:t>
      </w:r>
      <w:r>
        <w:tab/>
      </w:r>
      <w:r>
        <w:fldChar w:fldCharType="begin"/>
      </w:r>
      <w:r>
        <w:instrText xml:space="preserve"> PAGEREF _Toc217380675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agents and registration of sales representatives</w:t>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_Toc217380677 \h </w:instrText>
      </w:r>
      <w:r>
        <w:fldChar w:fldCharType="separate"/>
      </w:r>
      <w:r>
        <w:t>15</w:t>
      </w:r>
      <w:r>
        <w:fldChar w:fldCharType="end"/>
      </w:r>
    </w:p>
    <w:p>
      <w:pPr>
        <w:pStyle w:val="TOC8"/>
        <w:rPr>
          <w:rFonts w:asciiTheme="minorHAnsi" w:eastAsiaTheme="minorEastAsia" w:hAnsiTheme="minorHAnsi" w:cstheme="minorBidi"/>
          <w:szCs w:val="22"/>
        </w:rPr>
      </w:pPr>
      <w:r>
        <w:t>6.</w:t>
      </w:r>
      <w:r>
        <w:tab/>
        <w:t>Prescribed examinations for licence applicants (Act Sch. 1 cl. 1(a))</w:t>
      </w:r>
      <w:r>
        <w:tab/>
      </w:r>
      <w:r>
        <w:fldChar w:fldCharType="begin"/>
      </w:r>
      <w:r>
        <w:instrText xml:space="preserve"> PAGEREF _Toc217380678 \h </w:instrText>
      </w:r>
      <w:r>
        <w:fldChar w:fldCharType="separate"/>
      </w:r>
      <w:r>
        <w:t>15</w:t>
      </w:r>
      <w:r>
        <w:fldChar w:fldCharType="end"/>
      </w:r>
    </w:p>
    <w:p>
      <w:pPr>
        <w:pStyle w:val="TOC8"/>
        <w:rPr>
          <w:rFonts w:asciiTheme="minorHAnsi" w:eastAsiaTheme="minorEastAsia" w:hAnsiTheme="minorHAnsi" w:cstheme="minorBidi"/>
          <w:szCs w:val="22"/>
        </w:rPr>
      </w:pPr>
      <w:r>
        <w:lastRenderedPageBreak/>
        <w:t>6A.</w:t>
      </w:r>
      <w:r>
        <w:tab/>
        <w:t>Prescribed qualifications for certificate applicants (Act s. 47(2))</w:t>
      </w:r>
      <w:r>
        <w:tab/>
      </w:r>
      <w:r>
        <w:fldChar w:fldCharType="begin"/>
      </w:r>
      <w:r>
        <w:instrText xml:space="preserve"> PAGEREF _Toc217380679 \h </w:instrText>
      </w:r>
      <w:r>
        <w:fldChar w:fldCharType="separate"/>
      </w:r>
      <w:r>
        <w:t>20</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_Toc217380680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General controls</w:t>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_Toc217380682 \h </w:instrText>
      </w:r>
      <w:r>
        <w:fldChar w:fldCharType="separate"/>
      </w:r>
      <w:r>
        <w:t>24</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_Toc217380683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Agents’ trust accounts</w:t>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_Toc217380685 \h </w:instrText>
      </w:r>
      <w:r>
        <w:fldChar w:fldCharType="separate"/>
      </w:r>
      <w:r>
        <w:t>26</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_Toc217380686 \h </w:instrText>
      </w:r>
      <w:r>
        <w:fldChar w:fldCharType="separate"/>
      </w:r>
      <w:r>
        <w:t>26</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_Toc217380687 \h </w:instrText>
      </w:r>
      <w:r>
        <w:fldChar w:fldCharType="separate"/>
      </w:r>
      <w:r>
        <w:t>27</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_Toc217380688 \h </w:instrText>
      </w:r>
      <w:r>
        <w:fldChar w:fldCharType="separate"/>
      </w:r>
      <w:r>
        <w:t>27</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_Toc217380689 \h </w:instrText>
      </w:r>
      <w:r>
        <w:fldChar w:fldCharType="separate"/>
      </w:r>
      <w:r>
        <w:t>28</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 (Act s. 69(2))</w:t>
      </w:r>
      <w:r>
        <w:tab/>
      </w:r>
      <w:r>
        <w:fldChar w:fldCharType="begin"/>
      </w:r>
      <w:r>
        <w:instrText xml:space="preserve"> PAGEREF _Toc217380690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7</w:t>
      </w:r>
      <w:r>
        <w:rPr>
          <w:snapToGrid w:val="0"/>
        </w:rPr>
        <w:t>.</w:t>
      </w:r>
      <w:r>
        <w:rPr>
          <w:snapToGrid w:val="0"/>
        </w:rPr>
        <w:tab/>
        <w:t>Registers (Act s. 133(2))</w:t>
      </w:r>
      <w:r>
        <w:tab/>
      </w:r>
      <w:r>
        <w:fldChar w:fldCharType="begin"/>
      </w:r>
      <w:r>
        <w:instrText xml:space="preserve"> PAGEREF _Toc217380692 \h </w:instrText>
      </w:r>
      <w:r>
        <w:fldChar w:fldCharType="separate"/>
      </w:r>
      <w:r>
        <w:t>30</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_Toc217380693 \h </w:instrText>
      </w:r>
      <w:r>
        <w:fldChar w:fldCharType="separate"/>
      </w:r>
      <w:r>
        <w:t>32</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_Toc217380694 \h </w:instrText>
      </w:r>
      <w:r>
        <w:fldChar w:fldCharType="separate"/>
      </w:r>
      <w:r>
        <w:t>32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_Toc217380695 \h </w:instrText>
      </w:r>
      <w:r>
        <w:fldChar w:fldCharType="separate"/>
      </w:r>
      <w:r>
        <w:t>32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_Toc217380696 \h </w:instrText>
      </w:r>
      <w:r>
        <w:fldChar w:fldCharType="separate"/>
      </w:r>
      <w:r>
        <w:t>33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_Toc217380697 \h </w:instrText>
      </w:r>
      <w:r>
        <w:fldChar w:fldCharType="separate"/>
      </w:r>
      <w:r>
        <w:t>33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_Toc217380698 \h </w:instrText>
      </w:r>
      <w:r>
        <w:fldChar w:fldCharType="separate"/>
      </w:r>
      <w:r>
        <w:t>34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_Toc217380699 \h </w:instrText>
      </w:r>
      <w:r>
        <w:fldChar w:fldCharType="separate"/>
      </w:r>
      <w:r>
        <w:t>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_Toc217380700 \h </w:instrText>
      </w:r>
      <w:r>
        <w:fldChar w:fldCharType="separate"/>
      </w:r>
      <w:r>
        <w:t>35</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_Toc217380701 \h </w:instrText>
      </w:r>
      <w:r>
        <w:fldChar w:fldCharType="separate"/>
      </w:r>
      <w:r>
        <w:t>35</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_Toc217380702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8 — Transitional provisions</w:t>
      </w:r>
    </w:p>
    <w:p>
      <w:pPr>
        <w:pStyle w:val="TOC8"/>
        <w:rPr>
          <w:rFonts w:asciiTheme="minorHAnsi" w:eastAsiaTheme="minorEastAsia" w:hAnsiTheme="minorHAnsi" w:cstheme="minorBidi"/>
          <w:szCs w:val="22"/>
        </w:rPr>
      </w:pPr>
      <w:r>
        <w:t>16.</w:t>
      </w:r>
      <w:r>
        <w:tab/>
        <w:t xml:space="preserve">Transitional regulation for </w:t>
      </w:r>
      <w:r>
        <w:rPr>
          <w:i/>
        </w:rPr>
        <w:t>Real Estate and Business Agents (General) Amendment Regulations (No. 2) 2020</w:t>
      </w:r>
      <w:r>
        <w:tab/>
      </w:r>
      <w:r>
        <w:fldChar w:fldCharType="begin"/>
      </w:r>
      <w:r>
        <w:instrText xml:space="preserve"> PAGEREF _Toc217380704 \h </w:instrText>
      </w:r>
      <w:r>
        <w:fldChar w:fldCharType="separate"/>
      </w:r>
      <w:r>
        <w:t>36</w:t>
      </w:r>
      <w:r>
        <w:fldChar w:fldCharType="end"/>
      </w:r>
    </w:p>
    <w:p>
      <w:pPr>
        <w:pStyle w:val="TOC8"/>
        <w:rPr>
          <w:rFonts w:asciiTheme="minorHAnsi" w:eastAsiaTheme="minorEastAsia" w:hAnsiTheme="minorHAnsi" w:cstheme="minorBidi"/>
          <w:szCs w:val="22"/>
        </w:rPr>
      </w:pPr>
      <w:r>
        <w:lastRenderedPageBreak/>
        <w:t>17.</w:t>
      </w:r>
      <w:r>
        <w:tab/>
        <w:t xml:space="preserve">Transitional regulation for </w:t>
      </w:r>
      <w:r>
        <w:rPr>
          <w:i/>
          <w:iCs/>
        </w:rPr>
        <w:t>Real Estate and Business Agents (General) Amendment Regulations 2024</w:t>
      </w:r>
      <w:r>
        <w:tab/>
      </w:r>
      <w:r>
        <w:fldChar w:fldCharType="begin"/>
      </w:r>
      <w:r>
        <w:instrText xml:space="preserve"> PAGEREF _Toc217380705 \h </w:instrText>
      </w:r>
      <w:r>
        <w:fldChar w:fldCharType="separate"/>
      </w:r>
      <w:r>
        <w:t>36</w:t>
      </w:r>
      <w:r>
        <w:fldChar w:fldCharType="end"/>
      </w:r>
    </w:p>
    <w:p>
      <w:pPr>
        <w:pStyle w:val="TOC8"/>
        <w:rPr>
          <w:rFonts w:asciiTheme="minorHAnsi" w:eastAsiaTheme="minorEastAsia" w:hAnsiTheme="minorHAnsi" w:cstheme="minorBidi"/>
          <w:szCs w:val="22"/>
        </w:rPr>
      </w:pPr>
      <w:r>
        <w:t>18.</w:t>
      </w:r>
      <w:r>
        <w:tab/>
        <w:t xml:space="preserve">Transitional regulation for </w:t>
      </w:r>
      <w:r>
        <w:rPr>
          <w:i/>
        </w:rPr>
        <w:t>Commerce Regulations Amendment (Real Estate, Business and Settlement Agents) Regulations 2025</w:t>
      </w:r>
      <w:r>
        <w:tab/>
      </w:r>
      <w:r>
        <w:fldChar w:fldCharType="begin"/>
      </w:r>
      <w:r>
        <w:instrText xml:space="preserve"> PAGEREF _Toc217380706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_Toc217380711 \h </w:instrText>
      </w:r>
      <w:r>
        <w:fldChar w:fldCharType="separate"/>
      </w:r>
      <w:r>
        <w:t>46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_Toc217380712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Real Estate and Business Agents Act 1978</w:t>
      </w:r>
    </w:p>
    <w:p>
      <w:pPr>
        <w:pStyle w:val="NameofActReg"/>
        <w:spacing w:before="360"/>
      </w:pPr>
      <w:r>
        <w:t>Real Estate and Business Agents (General) Regulations 1979</w:t>
      </w:r>
    </w:p>
    <w:p>
      <w:pPr>
        <w:pStyle w:val="Heading2"/>
        <w:pageBreakBefore w:val="0"/>
      </w:pPr>
      <w:bookmarkStart w:id="2" w:name="_Toc214538704"/>
      <w:bookmarkStart w:id="3" w:name="_Toc214538803"/>
      <w:bookmarkStart w:id="4" w:name="_Toc214538887"/>
      <w:bookmarkStart w:id="5" w:name="_Toc214539005"/>
      <w:bookmarkStart w:id="6" w:name="_Toc214631764"/>
      <w:bookmarkStart w:id="7" w:name="_Toc21738065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SL 2025/194 r. 4.]</w:t>
      </w:r>
    </w:p>
    <w:p>
      <w:pPr>
        <w:pStyle w:val="Heading5"/>
        <w:rPr>
          <w:snapToGrid w:val="0"/>
        </w:rPr>
      </w:pPr>
      <w:bookmarkStart w:id="8" w:name="_Toc217380660"/>
      <w:r>
        <w:rPr>
          <w:rStyle w:val="CharSectno"/>
        </w:rPr>
        <w:t>1</w:t>
      </w:r>
      <w:r>
        <w:rPr>
          <w:snapToGrid w:val="0"/>
        </w:rPr>
        <w:t>.</w:t>
      </w:r>
      <w:r>
        <w:rPr>
          <w:snapToGrid w:val="0"/>
        </w:rPr>
        <w:tab/>
        <w:t>Citation</w:t>
      </w:r>
      <w:bookmarkEnd w:id="8"/>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9" w:name="_Toc217380661"/>
      <w:r>
        <w:rPr>
          <w:rStyle w:val="CharSectno"/>
        </w:rPr>
        <w:t>2</w:t>
      </w:r>
      <w:r>
        <w:rPr>
          <w:snapToGrid w:val="0"/>
        </w:rPr>
        <w:t>.</w:t>
      </w:r>
      <w:r>
        <w:rPr>
          <w:snapToGrid w:val="0"/>
        </w:rPr>
        <w:tab/>
        <w:t>Terms used</w:t>
      </w:r>
      <w:bookmarkEnd w:id="9"/>
    </w:p>
    <w:p>
      <w:pPr>
        <w:pStyle w:val="Subsection"/>
        <w:rPr>
          <w:snapToGrid w:val="0"/>
        </w:rPr>
      </w:pPr>
      <w:r>
        <w:tab/>
        <w:t>(1)</w:t>
      </w:r>
      <w:r>
        <w:tab/>
        <w:t xml:space="preserve">In these regulations — </w:t>
      </w:r>
    </w:p>
    <w:p>
      <w:pPr>
        <w:pStyle w:val="Defstart"/>
      </w:pPr>
      <w:r>
        <w:tab/>
      </w:r>
      <w:r>
        <w:rPr>
          <w:rStyle w:val="CharDefText"/>
        </w:rPr>
        <w:t>approved CPD provider</w:t>
      </w:r>
      <w:r>
        <w:t xml:space="preserve"> means a person who holds an approval granted under regulation 4AE that is in effect;</w:t>
      </w:r>
    </w:p>
    <w:p>
      <w:pPr>
        <w:pStyle w:val="Defstart"/>
        <w:rPr>
          <w:iCs/>
        </w:rPr>
      </w:pPr>
      <w:r>
        <w:tab/>
      </w:r>
      <w:r>
        <w:rPr>
          <w:rStyle w:val="CharDefText"/>
        </w:rPr>
        <w:t>approved CPD topic</w:t>
      </w:r>
      <w:r>
        <w:t xml:space="preserve"> means a topic listed in a notice under regulation 4AF(1);</w:t>
      </w:r>
    </w:p>
    <w:p>
      <w:pPr>
        <w:pStyle w:val="Defstart"/>
      </w:pPr>
      <w:r>
        <w:rPr>
          <w:i/>
        </w:rPr>
        <w:tab/>
      </w:r>
      <w:r>
        <w:rPr>
          <w:rStyle w:val="CharDefText"/>
        </w:rPr>
        <w:t>Commissioner’s website</w:t>
      </w:r>
      <w:r>
        <w:t xml:space="preserve"> means a website maintained by or on behalf of — </w:t>
      </w:r>
    </w:p>
    <w:p>
      <w:pPr>
        <w:pStyle w:val="Defpara"/>
      </w:pPr>
      <w:r>
        <w:tab/>
        <w:t>(a)</w:t>
      </w:r>
      <w:r>
        <w:tab/>
        <w:t>the Commissioner; or</w:t>
      </w:r>
    </w:p>
    <w:p>
      <w:pPr>
        <w:pStyle w:val="Defpara"/>
      </w:pPr>
      <w:r>
        <w:tab/>
        <w:t>(b)</w:t>
      </w:r>
      <w:r>
        <w:tab/>
        <w:t>if there is no website maintained by, or on behalf of the Commissioner — the department;</w:t>
      </w:r>
    </w:p>
    <w:p>
      <w:pPr>
        <w:pStyle w:val="Defstart"/>
      </w:pPr>
      <w:r>
        <w:tab/>
      </w:r>
      <w:r>
        <w:rPr>
          <w:rStyle w:val="CharDefText"/>
        </w:rPr>
        <w:t>CPD activity</w:t>
      </w:r>
      <w:r>
        <w:t xml:space="preserve"> means an educational activity that — </w:t>
      </w:r>
    </w:p>
    <w:p>
      <w:pPr>
        <w:pStyle w:val="Defpara"/>
      </w:pPr>
      <w:r>
        <w:tab/>
        <w:t>(a)</w:t>
      </w:r>
      <w:r>
        <w:tab/>
        <w:t>is provided by an approved CPD provider; and</w:t>
      </w:r>
    </w:p>
    <w:p>
      <w:pPr>
        <w:pStyle w:val="Defpara"/>
      </w:pPr>
      <w:r>
        <w:tab/>
        <w:t>(b)</w:t>
      </w:r>
      <w:r>
        <w:tab/>
        <w:t>relates to an approved CPD topic; and</w:t>
      </w:r>
    </w:p>
    <w:p>
      <w:pPr>
        <w:pStyle w:val="Defpara"/>
      </w:pPr>
      <w:r>
        <w:tab/>
        <w:t>(c)</w:t>
      </w:r>
      <w:r>
        <w:tab/>
        <w:t>meets the requirements of regulation 4AH;</w:t>
      </w:r>
    </w:p>
    <w:p>
      <w:pPr>
        <w:pStyle w:val="Defstart"/>
      </w:pPr>
      <w:r>
        <w:tab/>
      </w:r>
      <w:r>
        <w:rPr>
          <w:rStyle w:val="CharDefText"/>
        </w:rPr>
        <w:t>CPD subject</w:t>
      </w:r>
      <w:r>
        <w:t xml:space="preserve"> means any of the following subjects — </w:t>
      </w:r>
    </w:p>
    <w:p>
      <w:pPr>
        <w:pStyle w:val="Defpara"/>
      </w:pPr>
      <w:r>
        <w:tab/>
        <w:t>(a)</w:t>
      </w:r>
      <w:r>
        <w:tab/>
        <w:t>ethics or professional responsibility;</w:t>
      </w:r>
    </w:p>
    <w:p>
      <w:pPr>
        <w:pStyle w:val="Defpara"/>
      </w:pPr>
      <w:r>
        <w:lastRenderedPageBreak/>
        <w:tab/>
        <w:t>(b)</w:t>
      </w:r>
      <w:r>
        <w:tab/>
        <w:t>professional skills;</w:t>
      </w:r>
    </w:p>
    <w:p>
      <w:pPr>
        <w:pStyle w:val="Defpara"/>
      </w:pPr>
      <w:r>
        <w:tab/>
        <w:t>(c)</w:t>
      </w:r>
      <w:r>
        <w:tab/>
        <w:t>legal requirements;</w:t>
      </w:r>
    </w:p>
    <w:p>
      <w:pPr>
        <w:pStyle w:val="Defstart"/>
      </w:pPr>
      <w:r>
        <w:tab/>
      </w:r>
      <w:r>
        <w:rPr>
          <w:rStyle w:val="CharDefText"/>
        </w:rPr>
        <w:t>CPD year</w:t>
      </w:r>
      <w:r>
        <w:t xml:space="preserve"> means a year beginning on 1 April and ending on 31 March;</w:t>
      </w:r>
    </w:p>
    <w:p>
      <w:pPr>
        <w:pStyle w:val="Defstart"/>
        <w:keepNext/>
      </w:pPr>
      <w:r>
        <w:tab/>
      </w:r>
      <w:r>
        <w:rPr>
          <w:rStyle w:val="CharDefText"/>
        </w:rPr>
        <w:t>educational activity</w:t>
      </w:r>
      <w:r>
        <w:t xml:space="preserve"> — </w:t>
      </w:r>
    </w:p>
    <w:p>
      <w:pPr>
        <w:pStyle w:val="Defpara"/>
      </w:pPr>
      <w:r>
        <w:tab/>
        <w:t>(a)</w:t>
      </w:r>
      <w:r>
        <w:tab/>
        <w:t xml:space="preserve">means an activity that is — </w:t>
      </w:r>
    </w:p>
    <w:p>
      <w:pPr>
        <w:pStyle w:val="Defsubpara"/>
      </w:pPr>
      <w:r>
        <w:tab/>
        <w:t>(i)</w:t>
      </w:r>
      <w:r>
        <w:tab/>
        <w:t>delivered in person, electronically or by audio or audiovisual means; or</w:t>
      </w:r>
    </w:p>
    <w:p>
      <w:pPr>
        <w:pStyle w:val="Defsubpara"/>
      </w:pPr>
      <w:r>
        <w:tab/>
        <w:t>(ii)</w:t>
      </w:r>
      <w:r>
        <w:tab/>
        <w:t>a recording;</w:t>
      </w:r>
    </w:p>
    <w:p>
      <w:pPr>
        <w:pStyle w:val="Defpara"/>
      </w:pPr>
      <w:r>
        <w:tab/>
      </w:r>
      <w:r>
        <w:tab/>
        <w:t>and</w:t>
      </w:r>
    </w:p>
    <w:p>
      <w:pPr>
        <w:pStyle w:val="Defpara"/>
        <w:keepNext/>
      </w:pPr>
      <w:r>
        <w:tab/>
        <w:t>(b)</w:t>
      </w:r>
      <w:r>
        <w:tab/>
        <w:t xml:space="preserve">includes — </w:t>
      </w:r>
    </w:p>
    <w:p>
      <w:pPr>
        <w:pStyle w:val="Defsubpara"/>
      </w:pPr>
      <w:r>
        <w:tab/>
        <w:t>(i)</w:t>
      </w:r>
      <w:r>
        <w:tab/>
        <w:t>a course of study; and</w:t>
      </w:r>
    </w:p>
    <w:p>
      <w:pPr>
        <w:pStyle w:val="Defsubpara"/>
      </w:pPr>
      <w:r>
        <w:tab/>
        <w:t>(ii)</w:t>
      </w:r>
      <w:r>
        <w:tab/>
        <w:t>the successful completion of any assessment required by the activity;</w:t>
      </w:r>
    </w:p>
    <w:p>
      <w:pPr>
        <w:pStyle w:val="Defstart"/>
        <w:rPr>
          <w:rStyle w:val="DraftersNotes"/>
          <w:i w:val="0"/>
          <w:iCs/>
        </w:rPr>
      </w:pPr>
      <w:r>
        <w:rPr>
          <w:rStyle w:val="DraftersNotes"/>
        </w:rPr>
        <w:tab/>
      </w:r>
      <w:r>
        <w:rPr>
          <w:rStyle w:val="CharDefText"/>
        </w:rPr>
        <w:t>mandatory CPD topic</w:t>
      </w:r>
      <w:r>
        <w:t>, for a regulated person and a CPD year, means an approved CPD topic specified by the Commissioner under regulation 4AG as a mandatory CPD topic for the regulated person for the CPD year;</w:t>
      </w:r>
    </w:p>
    <w:p>
      <w:pPr>
        <w:pStyle w:val="Defstart"/>
      </w:pPr>
      <w:r>
        <w:tab/>
      </w:r>
      <w:r>
        <w:rPr>
          <w:rStyle w:val="CharDefText"/>
        </w:rPr>
        <w:t>point</w:t>
      </w:r>
      <w:r>
        <w:t xml:space="preserve"> has the meaning given in regulation 4AC(1);</w:t>
      </w:r>
    </w:p>
    <w:p>
      <w:pPr>
        <w:pStyle w:val="Defstart"/>
      </w:pPr>
      <w:r>
        <w:tab/>
      </w:r>
      <w:r>
        <w:rPr>
          <w:rStyle w:val="CharDefText"/>
        </w:rPr>
        <w:t>point value</w:t>
      </w:r>
      <w:r>
        <w:t>, in relation to a CPD activity, means the number of points earned for the activity determined in accordance with regulation 4AC(1);</w:t>
      </w:r>
    </w:p>
    <w:p>
      <w:pPr>
        <w:pStyle w:val="Defstart"/>
      </w:pPr>
      <w:r>
        <w:tab/>
      </w:r>
      <w:r>
        <w:rPr>
          <w:rStyle w:val="CharDefText"/>
        </w:rPr>
        <w:t>regulated person</w:t>
      </w:r>
      <w:r>
        <w:t xml:space="preserve"> means a licensee who is an individual, or a sales representative;</w:t>
      </w:r>
    </w:p>
    <w:p>
      <w:pPr>
        <w:pStyle w:val="Defstart"/>
      </w:pPr>
      <w:r>
        <w:tab/>
      </w:r>
      <w:r>
        <w:rPr>
          <w:rStyle w:val="CharDefText"/>
        </w:rPr>
        <w:t>required number of points</w:t>
      </w:r>
      <w:r>
        <w:t>, in relation to a mandatory CPD topic, means the number of points specified in the notice under regulation 4AG(3);</w:t>
      </w:r>
    </w:p>
    <w:p>
      <w:pPr>
        <w:pStyle w:val="Defstart"/>
      </w:pPr>
      <w:r>
        <w:tab/>
      </w:r>
      <w:r>
        <w:rPr>
          <w:rStyle w:val="CharDefText"/>
        </w:rPr>
        <w:t>restricted certificate (property management)</w:t>
      </w:r>
      <w:r>
        <w:t xml:space="preserve"> means a certificate of registration that is subject to a special condition restricting the sales representative to property management transactions only;</w:t>
      </w:r>
    </w:p>
    <w:p>
      <w:pPr>
        <w:pStyle w:val="Defstart"/>
      </w:pPr>
      <w:r>
        <w:lastRenderedPageBreak/>
        <w:tab/>
      </w:r>
      <w:r>
        <w:rPr>
          <w:rStyle w:val="CharDefText"/>
        </w:rPr>
        <w:t>restricted certificate (sales)</w:t>
      </w:r>
      <w:r>
        <w:t xml:space="preserve"> means a certificate of registration that is subject to a special condition restricting the sales representative to sales transactions only;</w:t>
      </w:r>
    </w:p>
    <w:p>
      <w:pPr>
        <w:pStyle w:val="Defstart"/>
      </w:pPr>
      <w:r>
        <w:tab/>
      </w:r>
      <w:r>
        <w:rPr>
          <w:rStyle w:val="CharDefText"/>
        </w:rPr>
        <w:t>topic</w:t>
      </w:r>
      <w:r>
        <w:t xml:space="preserve"> means a subject matter to which an educational activity relates or may relate;</w:t>
      </w:r>
    </w:p>
    <w:p>
      <w:pPr>
        <w:pStyle w:val="Defstart"/>
      </w:pPr>
      <w:r>
        <w:tab/>
      </w:r>
      <w:r>
        <w:rPr>
          <w:rStyle w:val="CharDefText"/>
        </w:rPr>
        <w:t>unrestricted certificate</w:t>
      </w:r>
      <w:r>
        <w:t xml:space="preserve"> means a certificate of registration that is neither a restricted certificate (property management) nor a restricted certificate (sales);</w:t>
      </w:r>
    </w:p>
    <w:p>
      <w:pPr>
        <w:pStyle w:val="Defstart"/>
      </w:pPr>
      <w:r>
        <w:tab/>
      </w:r>
      <w:r>
        <w:rPr>
          <w:rStyle w:val="CharDefText"/>
        </w:rPr>
        <w:t>working day</w:t>
      </w:r>
      <w:r>
        <w:t xml:space="preserve"> means a day that is not a Saturday, Sunday, public holiday or public service holiday.</w:t>
      </w:r>
    </w:p>
    <w:p>
      <w:pPr>
        <w:pStyle w:val="Subsection"/>
      </w:pPr>
      <w:r>
        <w:tab/>
        <w:t>(2)</w:t>
      </w:r>
      <w:r>
        <w:tab/>
        <w:t>In these regulations a reference to the examinations required to be passed for the conferral of a particular degree or qualification is a reference to the examinations that are or were required to be passed for the conferral of that degree or qualification at any time when it is or was conferred.</w:t>
      </w:r>
    </w:p>
    <w:p>
      <w:pPr>
        <w:pStyle w:val="Subsection"/>
      </w:pPr>
      <w:r>
        <w:tab/>
        <w:t>(3)</w:t>
      </w:r>
      <w:r>
        <w:tab/>
        <w:t>In these regulations a reference to a registered qualification, a training package or a module of a training package is a reference to a registered qualification, training package or module of a training package that is —</w:t>
      </w:r>
    </w:p>
    <w:p>
      <w:pPr>
        <w:pStyle w:val="Indenta"/>
      </w:pPr>
      <w:r>
        <w:tab/>
        <w:t>(a)</w:t>
      </w:r>
      <w:r>
        <w:tab/>
        <w:t>recorded on the National Register on Vocational Education and Training managed by the Department of Education, Skills and Employment of the Commonwealth; and</w:t>
      </w:r>
    </w:p>
    <w:p>
      <w:pPr>
        <w:pStyle w:val="Indenta"/>
      </w:pPr>
      <w:r>
        <w:tab/>
        <w:t>(b)</w:t>
      </w:r>
      <w:r>
        <w:tab/>
        <w:t xml:space="preserve">provided by a registered training provider as defined in the </w:t>
      </w:r>
      <w:r>
        <w:rPr>
          <w:i/>
        </w:rPr>
        <w:t>Vocational Education and Training Act 1996</w:t>
      </w:r>
      <w:r>
        <w:t xml:space="preserve"> section 5(1).</w:t>
      </w:r>
    </w:p>
    <w:p>
      <w:pPr>
        <w:pStyle w:val="Footnotesection"/>
      </w:pPr>
      <w:r>
        <w:tab/>
        <w:t>[Regulation 2 inserted: Gazette 25 Jun 1996 p. 2918; amended: Gazette 7 Feb 2003 p. 385; 28 Dec 2007 p. 6403</w:t>
      </w:r>
      <w:r>
        <w:noBreakHyphen/>
        <w:t>4; 17 Apr 2009 p. 1319</w:t>
      </w:r>
      <w:r>
        <w:noBreakHyphen/>
        <w:t>21; 30 Jun 2011 p. 2671; 24 Dec 2019 p. 4417-18; SL 2020/196 r. 56; SL 2020/209 r. 4; SL 2020/257 r. 4; SL 2021/86 r. 61; SL 2025/194 r. 5.]</w:t>
      </w:r>
    </w:p>
    <w:p>
      <w:pPr>
        <w:pStyle w:val="Ednotesection"/>
      </w:pPr>
      <w:r>
        <w:t>[</w:t>
      </w:r>
      <w:r>
        <w:rPr>
          <w:b/>
        </w:rPr>
        <w:t>3.</w:t>
      </w:r>
      <w:r>
        <w:tab/>
        <w:t>Deleted: Gazette 30 Jun 2011 p. 2669.]</w:t>
      </w:r>
    </w:p>
    <w:p>
      <w:pPr>
        <w:pStyle w:val="Heading5"/>
      </w:pPr>
      <w:bookmarkStart w:id="10" w:name="_Toc217380662"/>
      <w:r>
        <w:rPr>
          <w:rStyle w:val="CharSectno"/>
        </w:rPr>
        <w:lastRenderedPageBreak/>
        <w:t>3A</w:t>
      </w:r>
      <w:r>
        <w:t>.</w:t>
      </w:r>
      <w:r>
        <w:tab/>
        <w:t>Prescribed duty (Act s. 4(4)(d))</w:t>
      </w:r>
      <w:bookmarkEnd w:id="10"/>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2"/>
      </w:pPr>
      <w:bookmarkStart w:id="11" w:name="_Toc214538707"/>
      <w:bookmarkStart w:id="12" w:name="_Toc214538806"/>
      <w:bookmarkStart w:id="13" w:name="_Toc214538890"/>
      <w:bookmarkStart w:id="14" w:name="_Toc214539008"/>
      <w:bookmarkStart w:id="15" w:name="_Toc214631768"/>
      <w:bookmarkStart w:id="16" w:name="_Toc217380663"/>
      <w:r>
        <w:rPr>
          <w:rStyle w:val="CharPartNo"/>
        </w:rPr>
        <w:lastRenderedPageBreak/>
        <w:t>Part 2</w:t>
      </w:r>
      <w:r>
        <w:rPr>
          <w:rStyle w:val="CharDivNo"/>
        </w:rPr>
        <w:t> </w:t>
      </w:r>
      <w:r>
        <w:t>—</w:t>
      </w:r>
      <w:r>
        <w:rPr>
          <w:rStyle w:val="CharDivText"/>
        </w:rPr>
        <w:t> </w:t>
      </w:r>
      <w:r>
        <w:rPr>
          <w:rStyle w:val="CharPartText"/>
        </w:rPr>
        <w:t>Fees</w:t>
      </w:r>
      <w:bookmarkEnd w:id="11"/>
      <w:bookmarkEnd w:id="12"/>
      <w:bookmarkEnd w:id="13"/>
      <w:bookmarkEnd w:id="14"/>
      <w:bookmarkEnd w:id="15"/>
      <w:bookmarkEnd w:id="16"/>
    </w:p>
    <w:p>
      <w:pPr>
        <w:pStyle w:val="Footnoteheading"/>
      </w:pPr>
      <w:r>
        <w:tab/>
        <w:t>[Heading inserted: SL 2025/194 r. 6.]</w:t>
      </w:r>
    </w:p>
    <w:p>
      <w:pPr>
        <w:pStyle w:val="Heading5"/>
      </w:pPr>
      <w:bookmarkStart w:id="17" w:name="_Toc217380664"/>
      <w:r>
        <w:rPr>
          <w:rStyle w:val="CharSectno"/>
        </w:rPr>
        <w:t>4</w:t>
      </w:r>
      <w:r>
        <w:t>.</w:t>
      </w:r>
      <w:r>
        <w:tab/>
        <w:t>Fees (Sch. 1)</w:t>
      </w:r>
      <w:bookmarkEnd w:id="17"/>
    </w:p>
    <w:p>
      <w:pPr>
        <w:pStyle w:val="Subsection"/>
        <w:keepNext/>
        <w:rPr>
          <w:snapToGrid w:val="0"/>
        </w:rPr>
      </w:pPr>
      <w:r>
        <w:rPr>
          <w:snapToGrid w:val="0"/>
        </w:rPr>
        <w:tab/>
        <w:t>(1)</w:t>
      </w:r>
      <w:r>
        <w:rPr>
          <w:snapToGrid w:val="0"/>
        </w:rPr>
        <w:tab/>
        <w:t xml:space="preserve">The fees set out in Schedule 1 </w:t>
      </w:r>
      <w:r>
        <w:t>are</w:t>
      </w:r>
      <w:r>
        <w:rPr>
          <w:snapToGrid w:val="0"/>
        </w:rPr>
        <w:t xml:space="preserve"> payable in respect of the matters prescribed in that Schedule.</w:t>
      </w:r>
    </w:p>
    <w:p>
      <w:pPr>
        <w:pStyle w:val="Subsection"/>
        <w:keepLines/>
        <w:rPr>
          <w:snapToGrid w:val="0"/>
        </w:rPr>
      </w:pPr>
      <w:r>
        <w:rPr>
          <w:snapToGrid w:val="0"/>
        </w:rPr>
        <w:tab/>
        <w:t>(2)</w:t>
      </w:r>
      <w:r>
        <w:rPr>
          <w:snapToGrid w:val="0"/>
        </w:rPr>
        <w:tab/>
        <w:t xml:space="preserve">If a certificate of registration is renewed in accordance with section 49 of the Act after the day on which the certificate expired, a late fee equal to one quarter of the fee specified in </w:t>
      </w:r>
      <w:r>
        <w:t>item 9</w:t>
      </w:r>
      <w:r>
        <w:rPr>
          <w:snapToGrid w:val="0"/>
        </w:rPr>
        <w:t xml:space="preserve"> of Schedule 1 for the renewal of the certificate is payable in addition to that specified fee.</w:t>
      </w:r>
    </w:p>
    <w:p>
      <w:pPr>
        <w:pStyle w:val="Ednotesubsection"/>
      </w:pPr>
      <w:r>
        <w:tab/>
        <w:t>[(3)</w:t>
      </w:r>
      <w:r>
        <w:tab/>
        <w:t>deleted]</w:t>
      </w:r>
    </w:p>
    <w:p>
      <w:pPr>
        <w:pStyle w:val="Footnotesection"/>
      </w:pPr>
      <w:r>
        <w:tab/>
        <w:t>[Regulation 4 amended: Gazette 2 Jul 1982 p. 2334; 25 Jun 1996 p. 2924; SL 2024/96 r. 50; SL 2025/89 r. 41; SL 2025/194 r. 7.]</w:t>
      </w:r>
    </w:p>
    <w:p>
      <w:pPr>
        <w:pStyle w:val="Heading5"/>
        <w:rPr>
          <w:snapToGrid w:val="0"/>
        </w:rPr>
      </w:pPr>
      <w:bookmarkStart w:id="18" w:name="_Toc217380665"/>
      <w:r>
        <w:rPr>
          <w:rStyle w:val="CharSectno"/>
        </w:rPr>
        <w:t>4A</w:t>
      </w:r>
      <w:r>
        <w:rPr>
          <w:snapToGrid w:val="0"/>
        </w:rPr>
        <w:t>.</w:t>
      </w:r>
      <w:r>
        <w:rPr>
          <w:snapToGrid w:val="0"/>
        </w:rPr>
        <w:tab/>
        <w:t xml:space="preserve">Holding </w:t>
      </w:r>
      <w:r>
        <w:t>fee</w:t>
      </w:r>
      <w:bookmarkEnd w:id="18"/>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5 and referred to in section 30(2a)(b) of the Act.</w:t>
      </w:r>
    </w:p>
    <w:p>
      <w:pPr>
        <w:pStyle w:val="Subsection"/>
      </w:pPr>
      <w:r>
        <w:tab/>
        <w:t>(2)</w:t>
      </w:r>
      <w:r>
        <w:tab/>
        <w:t xml:space="preserve">The holding fee is payable — </w:t>
      </w:r>
    </w:p>
    <w:p>
      <w:pPr>
        <w:pStyle w:val="Indenta"/>
        <w:rPr>
          <w:snapToGrid w:val="0"/>
        </w:rPr>
      </w:pPr>
      <w:r>
        <w:rPr>
          <w:snapToGrid w:val="0"/>
        </w:rPr>
        <w:tab/>
        <w:t>(a)</w:t>
      </w:r>
      <w:r>
        <w:rPr>
          <w:snapToGrid w:val="0"/>
        </w:rPr>
        <w:tab/>
        <w:t xml:space="preserve">on or before the day that is 60 days after the day on which a licensee ceases to hold a current triennial certificate in respect of their licence; and </w:t>
      </w:r>
    </w:p>
    <w:p>
      <w:pPr>
        <w:pStyle w:val="Indenta"/>
      </w:pPr>
      <w:r>
        <w:tab/>
        <w:t>(b)</w:t>
      </w:r>
      <w:r>
        <w:tab/>
        <w:t>subsequently at 3</w:t>
      </w:r>
      <w:r>
        <w:noBreakHyphen/>
        <w:t>year intervals on or before the day in that year that is 30 days after the anniversary of the day on which the licensee pays the holding fee under paragraph (a).</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lastRenderedPageBreak/>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keepNext/>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 SL 2020/257 r. 5; SL 2024/96 r. 51.]</w:t>
      </w:r>
    </w:p>
    <w:p>
      <w:pPr>
        <w:pStyle w:val="Ednotesection"/>
      </w:pPr>
      <w:r>
        <w:t>[</w:t>
      </w:r>
      <w:r>
        <w:rPr>
          <w:b/>
        </w:rPr>
        <w:t>4AAA.</w:t>
      </w:r>
      <w:r>
        <w:tab/>
        <w:t>Deleted: SL 2021/86 r. 62.]</w:t>
      </w:r>
    </w:p>
    <w:p>
      <w:pPr>
        <w:pStyle w:val="Heading2"/>
      </w:pPr>
      <w:bookmarkStart w:id="19" w:name="_Toc214538710"/>
      <w:bookmarkStart w:id="20" w:name="_Toc214538809"/>
      <w:bookmarkStart w:id="21" w:name="_Toc214538893"/>
      <w:bookmarkStart w:id="22" w:name="_Toc214539011"/>
      <w:bookmarkStart w:id="23" w:name="_Toc214631771"/>
      <w:bookmarkStart w:id="24" w:name="_Toc217380666"/>
      <w:r>
        <w:rPr>
          <w:rStyle w:val="CharPartNo"/>
        </w:rPr>
        <w:lastRenderedPageBreak/>
        <w:t>Part 3</w:t>
      </w:r>
      <w:r>
        <w:rPr>
          <w:rStyle w:val="CharDivNo"/>
        </w:rPr>
        <w:t> </w:t>
      </w:r>
      <w:r>
        <w:t>—</w:t>
      </w:r>
      <w:r>
        <w:rPr>
          <w:rStyle w:val="CharDivText"/>
        </w:rPr>
        <w:t> </w:t>
      </w:r>
      <w:r>
        <w:rPr>
          <w:rStyle w:val="CharPartText"/>
        </w:rPr>
        <w:t>Educational requirements</w:t>
      </w:r>
      <w:bookmarkEnd w:id="19"/>
      <w:bookmarkEnd w:id="20"/>
      <w:bookmarkEnd w:id="21"/>
      <w:bookmarkEnd w:id="22"/>
      <w:bookmarkEnd w:id="23"/>
      <w:bookmarkEnd w:id="24"/>
    </w:p>
    <w:p>
      <w:pPr>
        <w:pStyle w:val="Footnoteheading"/>
      </w:pPr>
      <w:r>
        <w:tab/>
        <w:t>[Heading inserted: SL 2025/194 r. 8.]</w:t>
      </w:r>
    </w:p>
    <w:p>
      <w:pPr>
        <w:pStyle w:val="Heading5"/>
      </w:pPr>
      <w:bookmarkStart w:id="25" w:name="_Toc217380667"/>
      <w:r>
        <w:rPr>
          <w:rStyle w:val="CharSectno"/>
        </w:rPr>
        <w:t>4AA</w:t>
      </w:r>
      <w:r>
        <w:t>.</w:t>
      </w:r>
      <w:r>
        <w:tab/>
        <w:t>Educational requirements (Act s. 40B and 50C)</w:t>
      </w:r>
      <w:bookmarkEnd w:id="25"/>
    </w:p>
    <w:p>
      <w:pPr>
        <w:pStyle w:val="Subsection"/>
      </w:pPr>
      <w:r>
        <w:tab/>
        <w:t>(1)</w:t>
      </w:r>
      <w:r>
        <w:tab/>
        <w:t xml:space="preserve">For the purposes of sections 40B and 50C of the Act, the educational requirements for a regulated person for a CPD year are that the person complete CPD activities that have a combined point value of at least 5 points, which must include — </w:t>
      </w:r>
    </w:p>
    <w:p>
      <w:pPr>
        <w:pStyle w:val="Indenta"/>
      </w:pPr>
      <w:r>
        <w:tab/>
        <w:t>(a)</w:t>
      </w:r>
      <w:r>
        <w:tab/>
        <w:t>at least 1 point relating to each CPD subject; and</w:t>
      </w:r>
    </w:p>
    <w:p>
      <w:pPr>
        <w:pStyle w:val="Indenta"/>
      </w:pPr>
      <w:r>
        <w:tab/>
        <w:t>(b)</w:t>
      </w:r>
      <w:r>
        <w:tab/>
        <w:t>if there is a mandatory CPD topic for the person for the year — at least the required number of points relating to the mandatory CPD topic.</w:t>
      </w:r>
    </w:p>
    <w:p>
      <w:pPr>
        <w:pStyle w:val="Subsection"/>
      </w:pPr>
      <w:r>
        <w:tab/>
        <w:t>(2)</w:t>
      </w:r>
      <w:r>
        <w:tab/>
        <w:t xml:space="preserve">A regulated person is taken to have complied with subregulation (1) for a CPD year if the person is — </w:t>
      </w:r>
    </w:p>
    <w:p>
      <w:pPr>
        <w:pStyle w:val="Indenta"/>
      </w:pPr>
      <w:r>
        <w:tab/>
        <w:t>(a)</w:t>
      </w:r>
      <w:r>
        <w:tab/>
        <w:t xml:space="preserve">a licensee to whom both of the following apply — </w:t>
      </w:r>
    </w:p>
    <w:p>
      <w:pPr>
        <w:pStyle w:val="Indenti"/>
      </w:pPr>
      <w:r>
        <w:tab/>
        <w:t>(i)</w:t>
      </w:r>
      <w:r>
        <w:tab/>
        <w:t>the licensee’s licence is granted between 1 January and 31 March of the CPD year;</w:t>
      </w:r>
    </w:p>
    <w:p>
      <w:pPr>
        <w:pStyle w:val="Indenti"/>
      </w:pPr>
      <w:r>
        <w:tab/>
        <w:t>(ii)</w:t>
      </w:r>
      <w:r>
        <w:tab/>
        <w:t xml:space="preserve">the licensee completes a prescribed examination for the grant of the licence in the 12 months immediately before the day on which the licence is granted; </w:t>
      </w:r>
    </w:p>
    <w:p>
      <w:pPr>
        <w:pStyle w:val="Indenta"/>
      </w:pPr>
      <w:r>
        <w:tab/>
      </w:r>
      <w:r>
        <w:tab/>
        <w:t>or</w:t>
      </w:r>
    </w:p>
    <w:p>
      <w:pPr>
        <w:pStyle w:val="Indenta"/>
      </w:pPr>
      <w:r>
        <w:tab/>
        <w:t>(b)</w:t>
      </w:r>
      <w:r>
        <w:tab/>
        <w:t>a sales representative whose certificate of registration is granted between 1 January and 31 March of the CPD year; or</w:t>
      </w:r>
    </w:p>
    <w:p>
      <w:pPr>
        <w:pStyle w:val="Indenta"/>
        <w:keepNext/>
      </w:pPr>
      <w:r>
        <w:tab/>
        <w:t>(c)</w:t>
      </w:r>
      <w:r>
        <w:tab/>
        <w:t xml:space="preserve">a regulated person — </w:t>
      </w:r>
    </w:p>
    <w:p>
      <w:pPr>
        <w:pStyle w:val="Indenti"/>
      </w:pPr>
      <w:r>
        <w:tab/>
        <w:t>(i)</w:t>
      </w:r>
      <w:r>
        <w:tab/>
        <w:t xml:space="preserve">to whom the Commissioner grants an exemption under regulation 4AB from all or part of the education requirements for the CPD year; and </w:t>
      </w:r>
    </w:p>
    <w:p>
      <w:pPr>
        <w:pStyle w:val="Indenti"/>
      </w:pPr>
      <w:r>
        <w:tab/>
        <w:t>(ii)</w:t>
      </w:r>
      <w:r>
        <w:tab/>
        <w:t xml:space="preserve">who complies with the requirements of the exemption. </w:t>
      </w:r>
    </w:p>
    <w:p>
      <w:pPr>
        <w:pStyle w:val="Subsection"/>
      </w:pPr>
      <w:r>
        <w:lastRenderedPageBreak/>
        <w:tab/>
        <w:t>(3)</w:t>
      </w:r>
      <w:r>
        <w:tab/>
        <w:t xml:space="preserve">If a person becomes a regulated person between 1 June and 31 December in a CPD year — </w:t>
      </w:r>
    </w:p>
    <w:p>
      <w:pPr>
        <w:pStyle w:val="Indenta"/>
      </w:pPr>
      <w:r>
        <w:tab/>
        <w:t>(a)</w:t>
      </w:r>
      <w:r>
        <w:tab/>
        <w:t>the combined point value of the CPD activities the person must complete during the balance of the CPD year is the value determined under the Table rather than the value that would otherwise apply under subregulation (1); and</w:t>
      </w:r>
    </w:p>
    <w:p>
      <w:pPr>
        <w:pStyle w:val="Indenta"/>
      </w:pPr>
      <w:r>
        <w:tab/>
        <w:t>(b)</w:t>
      </w:r>
      <w:r>
        <w:tab/>
        <w:t>subregulation (1)(a) and (b) apply to the person in relation to the CPD year, but only to the extent that is practicable for the person to comply with the requirements of those paragraphs without needing to complete CPD activities with a combined point value that is higher than the value determined under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7"/>
        <w:gridCol w:w="1530"/>
      </w:tblGrid>
      <w:tr>
        <w:trPr>
          <w:tblHeader/>
        </w:trPr>
        <w:tc>
          <w:tcPr>
            <w:tcW w:w="4537" w:type="dxa"/>
          </w:tcPr>
          <w:p>
            <w:pPr>
              <w:pStyle w:val="TableNAm"/>
              <w:jc w:val="center"/>
              <w:rPr>
                <w:b/>
                <w:bCs/>
              </w:rPr>
            </w:pPr>
            <w:r>
              <w:rPr>
                <w:b/>
                <w:bCs/>
              </w:rPr>
              <w:t>Month in which person becomes a regulated person</w:t>
            </w:r>
          </w:p>
        </w:tc>
        <w:tc>
          <w:tcPr>
            <w:tcW w:w="1530" w:type="dxa"/>
          </w:tcPr>
          <w:p>
            <w:pPr>
              <w:pStyle w:val="TableNAm"/>
              <w:jc w:val="center"/>
              <w:rPr>
                <w:b/>
                <w:bCs/>
              </w:rPr>
            </w:pPr>
            <w:r>
              <w:rPr>
                <w:b/>
                <w:bCs/>
              </w:rPr>
              <w:t>Combined point value</w:t>
            </w:r>
          </w:p>
        </w:tc>
      </w:tr>
      <w:tr>
        <w:tc>
          <w:tcPr>
            <w:tcW w:w="4537" w:type="dxa"/>
          </w:tcPr>
          <w:p>
            <w:pPr>
              <w:pStyle w:val="TableNAm"/>
            </w:pPr>
            <w:r>
              <w:t>June or July</w:t>
            </w:r>
          </w:p>
        </w:tc>
        <w:tc>
          <w:tcPr>
            <w:tcW w:w="1530" w:type="dxa"/>
          </w:tcPr>
          <w:p>
            <w:pPr>
              <w:pStyle w:val="TableNAm"/>
              <w:jc w:val="center"/>
            </w:pPr>
            <w:r>
              <w:t>4</w:t>
            </w:r>
          </w:p>
        </w:tc>
      </w:tr>
      <w:tr>
        <w:tc>
          <w:tcPr>
            <w:tcW w:w="4537" w:type="dxa"/>
          </w:tcPr>
          <w:p>
            <w:pPr>
              <w:pStyle w:val="TableNAm"/>
            </w:pPr>
            <w:r>
              <w:t>August or September</w:t>
            </w:r>
          </w:p>
        </w:tc>
        <w:tc>
          <w:tcPr>
            <w:tcW w:w="1530" w:type="dxa"/>
          </w:tcPr>
          <w:p>
            <w:pPr>
              <w:pStyle w:val="TableNAm"/>
              <w:jc w:val="center"/>
            </w:pPr>
            <w:r>
              <w:t>3</w:t>
            </w:r>
          </w:p>
        </w:tc>
      </w:tr>
      <w:tr>
        <w:tc>
          <w:tcPr>
            <w:tcW w:w="4537" w:type="dxa"/>
          </w:tcPr>
          <w:p>
            <w:pPr>
              <w:pStyle w:val="TableNAm"/>
            </w:pPr>
            <w:r>
              <w:t>October or November</w:t>
            </w:r>
          </w:p>
        </w:tc>
        <w:tc>
          <w:tcPr>
            <w:tcW w:w="1530" w:type="dxa"/>
          </w:tcPr>
          <w:p>
            <w:pPr>
              <w:pStyle w:val="TableNAm"/>
              <w:jc w:val="center"/>
            </w:pPr>
            <w:r>
              <w:t>2</w:t>
            </w:r>
          </w:p>
        </w:tc>
      </w:tr>
      <w:tr>
        <w:tc>
          <w:tcPr>
            <w:tcW w:w="4537" w:type="dxa"/>
          </w:tcPr>
          <w:p>
            <w:pPr>
              <w:pStyle w:val="TableNAm"/>
            </w:pPr>
            <w:r>
              <w:t>December</w:t>
            </w:r>
          </w:p>
        </w:tc>
        <w:tc>
          <w:tcPr>
            <w:tcW w:w="1530" w:type="dxa"/>
          </w:tcPr>
          <w:p>
            <w:pPr>
              <w:pStyle w:val="TableNAm"/>
              <w:jc w:val="center"/>
            </w:pPr>
            <w:r>
              <w:t>1</w:t>
            </w:r>
          </w:p>
        </w:tc>
      </w:tr>
    </w:tbl>
    <w:p>
      <w:pPr>
        <w:pStyle w:val="Footnotesection"/>
      </w:pPr>
      <w:r>
        <w:tab/>
        <w:t>[Regulation 4AA inserted: SL 2020/257 r. 6; amended: SL 2025/194 r. 9.]</w:t>
      </w:r>
    </w:p>
    <w:p>
      <w:pPr>
        <w:pStyle w:val="Heading5"/>
      </w:pPr>
      <w:bookmarkStart w:id="26" w:name="_Toc217380668"/>
      <w:r>
        <w:rPr>
          <w:rStyle w:val="CharSectno"/>
        </w:rPr>
        <w:t>4AB</w:t>
      </w:r>
      <w:r>
        <w:t>.</w:t>
      </w:r>
      <w:r>
        <w:tab/>
        <w:t>Exemption from educational requirements</w:t>
      </w:r>
      <w:bookmarkEnd w:id="26"/>
    </w:p>
    <w:p>
      <w:pPr>
        <w:pStyle w:val="Subsection"/>
      </w:pPr>
      <w:r>
        <w:tab/>
        <w:t>(1)</w:t>
      </w:r>
      <w:r>
        <w:tab/>
        <w:t xml:space="preserve">A regulated person (the </w:t>
      </w:r>
      <w:r>
        <w:rPr>
          <w:rStyle w:val="CharDefText"/>
        </w:rPr>
        <w:t>applicant</w:t>
      </w:r>
      <w:r>
        <w:t xml:space="preserve">) may apply to the Commissioner for a total or partial exemption from the education requirements under regulation 4AA(1) for a CPD year. </w:t>
      </w:r>
    </w:p>
    <w:p>
      <w:pPr>
        <w:pStyle w:val="Subsection"/>
        <w:keepNext/>
      </w:pPr>
      <w:r>
        <w:lastRenderedPageBreak/>
        <w:tab/>
        <w:t>(2)</w:t>
      </w:r>
      <w:r>
        <w:tab/>
        <w:t xml:space="preserve">The application for the exemption must — </w:t>
      </w:r>
    </w:p>
    <w:p>
      <w:pPr>
        <w:pStyle w:val="Indenta"/>
      </w:pPr>
      <w:r>
        <w:tab/>
        <w:t>(a)</w:t>
      </w:r>
      <w:r>
        <w:tab/>
        <w:t>be made in the CPD year to which the application relates; and</w:t>
      </w:r>
    </w:p>
    <w:p>
      <w:pPr>
        <w:pStyle w:val="Indenta"/>
      </w:pPr>
      <w:r>
        <w:tab/>
        <w:t>(b)</w:t>
      </w:r>
      <w:r>
        <w:tab/>
        <w:t xml:space="preserve">set out in sufficient detail — </w:t>
      </w:r>
    </w:p>
    <w:p>
      <w:pPr>
        <w:pStyle w:val="Indenti"/>
      </w:pPr>
      <w:r>
        <w:tab/>
        <w:t>(i)</w:t>
      </w:r>
      <w:r>
        <w:tab/>
        <w:t xml:space="preserve">the exemption applied for, including whether the application is for a total or partial exemption; and </w:t>
      </w:r>
    </w:p>
    <w:p>
      <w:pPr>
        <w:pStyle w:val="Indenti"/>
      </w:pPr>
      <w:r>
        <w:tab/>
        <w:t>(ii)</w:t>
      </w:r>
      <w:r>
        <w:tab/>
        <w:t>the basis upon which the exemption is being sought;</w:t>
      </w:r>
    </w:p>
    <w:p>
      <w:pPr>
        <w:pStyle w:val="Indenta"/>
      </w:pPr>
      <w:r>
        <w:tab/>
      </w:r>
      <w:r>
        <w:tab/>
        <w:t>and</w:t>
      </w:r>
    </w:p>
    <w:p>
      <w:pPr>
        <w:pStyle w:val="Indenta"/>
      </w:pPr>
      <w:r>
        <w:tab/>
        <w:t>(c)</w:t>
      </w:r>
      <w:r>
        <w:tab/>
        <w:t>be in the approved form.</w:t>
      </w:r>
    </w:p>
    <w:p>
      <w:pPr>
        <w:pStyle w:val="Ednotesubsection"/>
      </w:pPr>
      <w:r>
        <w:tab/>
        <w:t>[(3)</w:t>
      </w:r>
      <w:r>
        <w:tab/>
        <w:t>deleted]</w:t>
      </w:r>
    </w:p>
    <w:p>
      <w:pPr>
        <w:pStyle w:val="Subsection"/>
      </w:pPr>
      <w:r>
        <w:tab/>
        <w:t>(4)</w:t>
      </w:r>
      <w:r>
        <w:tab/>
        <w:t xml:space="preserve">The Commissioner may grant the applicant the exemption if, during the CPD year to which the application relates, the applicant — </w:t>
      </w:r>
    </w:p>
    <w:p>
      <w:pPr>
        <w:pStyle w:val="Indenta"/>
      </w:pPr>
      <w:r>
        <w:tab/>
        <w:t>(a)</w:t>
      </w:r>
      <w:r>
        <w:tab/>
        <w:t>has a disability or is affected by illness or injury; or</w:t>
      </w:r>
    </w:p>
    <w:p>
      <w:pPr>
        <w:pStyle w:val="Indenta"/>
      </w:pPr>
      <w:r>
        <w:tab/>
        <w:t>(b)</w:t>
      </w:r>
      <w:r>
        <w:tab/>
        <w:t>has undertaken other educational or professional activities; or</w:t>
      </w:r>
    </w:p>
    <w:p>
      <w:pPr>
        <w:pStyle w:val="Indenta"/>
      </w:pPr>
      <w:r>
        <w:tab/>
        <w:t>(c)</w:t>
      </w:r>
      <w:r>
        <w:tab/>
        <w:t>would suffer undue hardship if required to comply with the educational requirements.</w:t>
      </w:r>
    </w:p>
    <w:p>
      <w:pPr>
        <w:pStyle w:val="Subsection"/>
        <w:keepNext/>
      </w:pPr>
      <w:r>
        <w:tab/>
        <w:t>(5)</w:t>
      </w:r>
      <w:r>
        <w:tab/>
        <w:t xml:space="preserve">The Commissioner may grant the exemption subject to conditions. </w:t>
      </w:r>
    </w:p>
    <w:p>
      <w:pPr>
        <w:pStyle w:val="Subsection"/>
      </w:pPr>
      <w:r>
        <w:tab/>
        <w:t>(6)</w:t>
      </w:r>
      <w:r>
        <w:tab/>
        <w:t xml:space="preserve">The Commissioner must give the applicant a notice in writing setting out — </w:t>
      </w:r>
    </w:p>
    <w:p>
      <w:pPr>
        <w:pStyle w:val="Indenta"/>
      </w:pPr>
      <w:r>
        <w:tab/>
        <w:t>(a)</w:t>
      </w:r>
      <w:r>
        <w:tab/>
        <w:t>the Commissioner’s decision on the application; and</w:t>
      </w:r>
    </w:p>
    <w:p>
      <w:pPr>
        <w:pStyle w:val="Indenta"/>
        <w:keepNext/>
      </w:pPr>
      <w:r>
        <w:tab/>
        <w:t>(b)</w:t>
      </w:r>
      <w:r>
        <w:tab/>
        <w:t xml:space="preserve">if the decision is to grant the exemption — </w:t>
      </w:r>
    </w:p>
    <w:p>
      <w:pPr>
        <w:pStyle w:val="Indenti"/>
      </w:pPr>
      <w:r>
        <w:tab/>
        <w:t>(i)</w:t>
      </w:r>
      <w:r>
        <w:tab/>
        <w:t>whether the exemption is a total or partial exemption; and</w:t>
      </w:r>
    </w:p>
    <w:p>
      <w:pPr>
        <w:pStyle w:val="Indenti"/>
      </w:pPr>
      <w:r>
        <w:tab/>
        <w:t>(ii)</w:t>
      </w:r>
      <w:r>
        <w:tab/>
        <w:t>if the exemption is a partial exemption — the educational requirements the applicant must comply with; and</w:t>
      </w:r>
    </w:p>
    <w:p>
      <w:pPr>
        <w:pStyle w:val="Indenti"/>
      </w:pPr>
      <w:r>
        <w:lastRenderedPageBreak/>
        <w:tab/>
        <w:t>(iii)</w:t>
      </w:r>
      <w:r>
        <w:tab/>
        <w:t>any conditions to which the exemption is subject.</w:t>
      </w:r>
    </w:p>
    <w:p>
      <w:pPr>
        <w:pStyle w:val="Footnotesection"/>
      </w:pPr>
      <w:r>
        <w:tab/>
        <w:t>[Regulation 4AB inserted: SL 2020/257 r. 6; amended: SL 2025/194 r. 10.]</w:t>
      </w:r>
    </w:p>
    <w:p>
      <w:pPr>
        <w:pStyle w:val="Heading5"/>
      </w:pPr>
      <w:bookmarkStart w:id="27" w:name="_Toc214538714"/>
      <w:bookmarkStart w:id="28" w:name="_Toc214539015"/>
      <w:bookmarkStart w:id="29" w:name="_Toc217380669"/>
      <w:r>
        <w:rPr>
          <w:rStyle w:val="CharSectno"/>
        </w:rPr>
        <w:t>4AC</w:t>
      </w:r>
      <w:r>
        <w:t>.</w:t>
      </w:r>
      <w:r>
        <w:tab/>
        <w:t>CPD points</w:t>
      </w:r>
      <w:bookmarkEnd w:id="27"/>
      <w:bookmarkEnd w:id="28"/>
      <w:bookmarkEnd w:id="29"/>
    </w:p>
    <w:p>
      <w:pPr>
        <w:pStyle w:val="Subsection"/>
      </w:pPr>
      <w:r>
        <w:tab/>
        <w:t>(1)</w:t>
      </w:r>
      <w:r>
        <w:tab/>
        <w:t>A regulated person earns 1 </w:t>
      </w:r>
      <w:r>
        <w:rPr>
          <w:rStyle w:val="CharDefText"/>
        </w:rPr>
        <w:t>point</w:t>
      </w:r>
      <w:r>
        <w:t xml:space="preserve"> for each hour of a CPD activity that the regulated person completes.</w:t>
      </w:r>
    </w:p>
    <w:p>
      <w:pPr>
        <w:pStyle w:val="Subsection"/>
      </w:pPr>
      <w:r>
        <w:tab/>
        <w:t>(2)</w:t>
      </w:r>
      <w:r>
        <w:tab/>
        <w:t>A point is earned in relation to a CPD subject or a mandatory CPD topic if the CPD activity for which the point is earned relates to the subject or topic.</w:t>
      </w:r>
    </w:p>
    <w:p>
      <w:pPr>
        <w:pStyle w:val="Footnotesection"/>
      </w:pPr>
      <w:r>
        <w:tab/>
        <w:t>[Regulation 4AC inserted: SL 2025/194 r. 11.]</w:t>
      </w:r>
    </w:p>
    <w:p>
      <w:pPr>
        <w:pStyle w:val="Ednotesection"/>
      </w:pPr>
      <w:r>
        <w:t>[</w:t>
      </w:r>
      <w:r>
        <w:rPr>
          <w:b/>
        </w:rPr>
        <w:t>4AD.</w:t>
      </w:r>
      <w:r>
        <w:tab/>
        <w:t>Deleted: SL 2025/194 r. 11.]</w:t>
      </w:r>
    </w:p>
    <w:p>
      <w:pPr>
        <w:pStyle w:val="Heading5"/>
      </w:pPr>
      <w:bookmarkStart w:id="30" w:name="_Toc214538716"/>
      <w:bookmarkStart w:id="31" w:name="_Toc214539017"/>
      <w:bookmarkStart w:id="32" w:name="_Toc217380670"/>
      <w:r>
        <w:rPr>
          <w:rStyle w:val="CharSectno"/>
        </w:rPr>
        <w:t>4AE</w:t>
      </w:r>
      <w:r>
        <w:t>.</w:t>
      </w:r>
      <w:r>
        <w:tab/>
        <w:t>Approval of CPD providers</w:t>
      </w:r>
      <w:bookmarkEnd w:id="30"/>
      <w:bookmarkEnd w:id="31"/>
      <w:bookmarkEnd w:id="32"/>
    </w:p>
    <w:p>
      <w:pPr>
        <w:pStyle w:val="Subsection"/>
      </w:pPr>
      <w:r>
        <w:tab/>
        <w:t>(1)</w:t>
      </w:r>
      <w:r>
        <w:tab/>
        <w:t>A person may apply, in the approved form, to the Commissioner for approval to provide CPD activities.</w:t>
      </w:r>
    </w:p>
    <w:p>
      <w:pPr>
        <w:pStyle w:val="Subsection"/>
      </w:pPr>
      <w:r>
        <w:tab/>
        <w:t>(2)</w:t>
      </w:r>
      <w:r>
        <w:tab/>
        <w:t xml:space="preserve">The Commissioner may, by written notice given to the applicant — </w:t>
      </w:r>
    </w:p>
    <w:p>
      <w:pPr>
        <w:pStyle w:val="Indenta"/>
      </w:pPr>
      <w:r>
        <w:tab/>
        <w:t>(a)</w:t>
      </w:r>
      <w:r>
        <w:tab/>
        <w:t>grant the approval; or</w:t>
      </w:r>
    </w:p>
    <w:p>
      <w:pPr>
        <w:pStyle w:val="Indenta"/>
      </w:pPr>
      <w:r>
        <w:tab/>
        <w:t>(b)</w:t>
      </w:r>
      <w:r>
        <w:tab/>
        <w:t>refuse to grant the approval.</w:t>
      </w:r>
    </w:p>
    <w:p>
      <w:pPr>
        <w:pStyle w:val="Subsection"/>
      </w:pPr>
      <w:r>
        <w:tab/>
        <w:t>(3)</w:t>
      </w:r>
      <w:r>
        <w:tab/>
        <w:t>The Commissioner may grant an approval under subregulation (2) if the Commissioner is satisfied that the applicant is qualified by practical or academic experience to provide educational activities that meet the requirements of regulation 4AH.</w:t>
      </w:r>
    </w:p>
    <w:p>
      <w:pPr>
        <w:pStyle w:val="Subsection"/>
      </w:pPr>
      <w:r>
        <w:tab/>
        <w:t>(4)</w:t>
      </w:r>
      <w:r>
        <w:tab/>
        <w:t>A notice given under subregulation (2)(a) of a decision to grant an approval must specify the period during which the approval has effect (which must not be more than 3 years).</w:t>
      </w:r>
    </w:p>
    <w:p>
      <w:pPr>
        <w:pStyle w:val="Subsection"/>
      </w:pPr>
      <w:r>
        <w:tab/>
        <w:t>(5)</w:t>
      </w:r>
      <w:r>
        <w:tab/>
        <w:t>A notice given under subregulation (2)(b) of a decision to refuse to grant an approval must include the reasons for the decision.</w:t>
      </w:r>
    </w:p>
    <w:p>
      <w:pPr>
        <w:pStyle w:val="Subsection"/>
      </w:pPr>
      <w:r>
        <w:lastRenderedPageBreak/>
        <w:tab/>
        <w:t>(6)</w:t>
      </w:r>
      <w:r>
        <w:tab/>
        <w:t>The Commissioner must publish a list of approved CPD providers on the Commissioner’s website.</w:t>
      </w:r>
    </w:p>
    <w:p>
      <w:pPr>
        <w:pStyle w:val="Footnotesection"/>
      </w:pPr>
      <w:r>
        <w:tab/>
        <w:t>[Regulation 4AE inserted: SL 2025/194 r. 12.]</w:t>
      </w:r>
    </w:p>
    <w:p>
      <w:pPr>
        <w:pStyle w:val="Heading5"/>
      </w:pPr>
      <w:bookmarkStart w:id="33" w:name="_Toc214538718"/>
      <w:bookmarkStart w:id="34" w:name="_Toc214539019"/>
      <w:bookmarkStart w:id="35" w:name="_Toc217380671"/>
      <w:r>
        <w:rPr>
          <w:rStyle w:val="CharSectno"/>
        </w:rPr>
        <w:t>4AF</w:t>
      </w:r>
      <w:r>
        <w:t>.</w:t>
      </w:r>
      <w:r>
        <w:tab/>
        <w:t>Approval of CPD topics</w:t>
      </w:r>
      <w:bookmarkEnd w:id="33"/>
      <w:bookmarkEnd w:id="34"/>
      <w:bookmarkEnd w:id="35"/>
    </w:p>
    <w:p>
      <w:pPr>
        <w:pStyle w:val="Subsection"/>
      </w:pPr>
      <w:r>
        <w:tab/>
        <w:t>(1)</w:t>
      </w:r>
      <w:r>
        <w:tab/>
        <w:t>The Commissioner must, by written notice, approve a list of CPD topics for regulated persons.</w:t>
      </w:r>
    </w:p>
    <w:p>
      <w:pPr>
        <w:pStyle w:val="Subsection"/>
      </w:pPr>
      <w:r>
        <w:tab/>
        <w:t>(2)</w:t>
      </w:r>
      <w:r>
        <w:tab/>
        <w:t xml:space="preserve">A topic may be approved under subregulation (1) if the Commissioner considers that — </w:t>
      </w:r>
    </w:p>
    <w:p>
      <w:pPr>
        <w:pStyle w:val="Indenta"/>
      </w:pPr>
      <w:r>
        <w:tab/>
        <w:t>(a)</w:t>
      </w:r>
      <w:r>
        <w:tab/>
        <w:t>the topic relates to a CPD subject; and</w:t>
      </w:r>
    </w:p>
    <w:p>
      <w:pPr>
        <w:pStyle w:val="Indenta"/>
      </w:pPr>
      <w:r>
        <w:tab/>
        <w:t>(b)</w:t>
      </w:r>
      <w:r>
        <w:tab/>
        <w:t>the topic is relevant to a regulated person’s work as a licensee or sales representative; and</w:t>
      </w:r>
    </w:p>
    <w:p>
      <w:pPr>
        <w:pStyle w:val="Indenta"/>
      </w:pPr>
      <w:r>
        <w:tab/>
        <w:t>(c)</w:t>
      </w:r>
      <w:r>
        <w:tab/>
        <w:t>the completion of an educational activity dealing with the topic would extend a regulated person’s knowledge and skills in an area relevant to the regulated person’s legal or professional obligations, professional skills or business needs.</w:t>
      </w:r>
    </w:p>
    <w:p>
      <w:pPr>
        <w:pStyle w:val="Subsection"/>
      </w:pPr>
      <w:r>
        <w:tab/>
        <w:t>(3)</w:t>
      </w:r>
      <w:r>
        <w:tab/>
        <w:t xml:space="preserve">The notice under subregulation (1) must — </w:t>
      </w:r>
    </w:p>
    <w:p>
      <w:pPr>
        <w:pStyle w:val="Indenta"/>
      </w:pPr>
      <w:r>
        <w:tab/>
        <w:t>(a)</w:t>
      </w:r>
      <w:r>
        <w:tab/>
        <w:t>specify the CPD subject to which each approved CPD topic relates; and</w:t>
      </w:r>
    </w:p>
    <w:p>
      <w:pPr>
        <w:pStyle w:val="Indenta"/>
      </w:pPr>
      <w:r>
        <w:tab/>
        <w:t>(b)</w:t>
      </w:r>
      <w:r>
        <w:tab/>
        <w:t>be published on the Commissioner’s website.</w:t>
      </w:r>
    </w:p>
    <w:p>
      <w:pPr>
        <w:pStyle w:val="Footnotesection"/>
      </w:pPr>
      <w:bookmarkStart w:id="36" w:name="_Toc214538719"/>
      <w:bookmarkStart w:id="37" w:name="_Toc214539020"/>
      <w:r>
        <w:tab/>
        <w:t>[Regulation 4AF inserted: SL 2025/194 r. 13.]</w:t>
      </w:r>
    </w:p>
    <w:p>
      <w:pPr>
        <w:pStyle w:val="Heading5"/>
      </w:pPr>
      <w:bookmarkStart w:id="38" w:name="_Toc217380672"/>
      <w:r>
        <w:rPr>
          <w:rStyle w:val="CharSectno"/>
        </w:rPr>
        <w:t>4AG</w:t>
      </w:r>
      <w:r>
        <w:t>.</w:t>
      </w:r>
      <w:r>
        <w:tab/>
        <w:t>Mandatory CPD topic for CPD year</w:t>
      </w:r>
      <w:bookmarkEnd w:id="36"/>
      <w:bookmarkEnd w:id="37"/>
      <w:bookmarkEnd w:id="38"/>
    </w:p>
    <w:p>
      <w:pPr>
        <w:pStyle w:val="Subsection"/>
      </w:pPr>
      <w:r>
        <w:tab/>
        <w:t>(1)</w:t>
      </w:r>
      <w:r>
        <w:tab/>
        <w:t xml:space="preserve">The Commissioner may, by written notice, specify that an approved CPD topic is a mandatory CPD topic for a CPD year for — </w:t>
      </w:r>
    </w:p>
    <w:p>
      <w:pPr>
        <w:pStyle w:val="Indenta"/>
      </w:pPr>
      <w:r>
        <w:tab/>
        <w:t>(a)</w:t>
      </w:r>
      <w:r>
        <w:tab/>
        <w:t xml:space="preserve">regulated persons generally; or </w:t>
      </w:r>
    </w:p>
    <w:p>
      <w:pPr>
        <w:pStyle w:val="Indenta"/>
      </w:pPr>
      <w:r>
        <w:tab/>
        <w:t>(b)</w:t>
      </w:r>
      <w:r>
        <w:tab/>
        <w:t>a specified class of regulated persons.</w:t>
      </w:r>
    </w:p>
    <w:p>
      <w:pPr>
        <w:pStyle w:val="Subsection"/>
      </w:pPr>
      <w:r>
        <w:tab/>
        <w:t>(2)</w:t>
      </w:r>
      <w:r>
        <w:tab/>
        <w:t xml:space="preserve">An approved CPD topic may be specified as a mandatory CPD topic under subregulation (1) if the Commissioner considers that </w:t>
      </w:r>
      <w:r>
        <w:lastRenderedPageBreak/>
        <w:t xml:space="preserve">it is necessary or desirable for regulated persons, or regulated persons of the specified class, to extend their knowledge or skills in relation to the topic, including because there have been — </w:t>
      </w:r>
    </w:p>
    <w:p>
      <w:pPr>
        <w:pStyle w:val="Indenta"/>
      </w:pPr>
      <w:r>
        <w:tab/>
        <w:t>(a)</w:t>
      </w:r>
      <w:r>
        <w:tab/>
        <w:t>legislative or regulatory changes relevant to the topic; or</w:t>
      </w:r>
    </w:p>
    <w:p>
      <w:pPr>
        <w:pStyle w:val="Indenta"/>
      </w:pPr>
      <w:r>
        <w:tab/>
        <w:t>(b)</w:t>
      </w:r>
      <w:r>
        <w:tab/>
        <w:t>industry developments relevant to the topic; or</w:t>
      </w:r>
    </w:p>
    <w:p>
      <w:pPr>
        <w:pStyle w:val="Indenta"/>
      </w:pPr>
      <w:r>
        <w:tab/>
        <w:t>(c)</w:t>
      </w:r>
      <w:r>
        <w:tab/>
        <w:t>instances of non</w:t>
      </w:r>
      <w:r>
        <w:noBreakHyphen/>
        <w:t>compliance or suspected non</w:t>
      </w:r>
      <w:r>
        <w:noBreakHyphen/>
        <w:t>compliance in connection with the topic.</w:t>
      </w:r>
    </w:p>
    <w:p>
      <w:pPr>
        <w:pStyle w:val="Subsection"/>
      </w:pPr>
      <w:r>
        <w:tab/>
        <w:t>(3)</w:t>
      </w:r>
      <w:r>
        <w:tab/>
        <w:t xml:space="preserve">The notice under subregulation (1) must — </w:t>
      </w:r>
    </w:p>
    <w:p>
      <w:pPr>
        <w:pStyle w:val="Indenta"/>
      </w:pPr>
      <w:r>
        <w:tab/>
        <w:t>(a)</w:t>
      </w:r>
      <w:r>
        <w:tab/>
        <w:t>specify the number of CPD points required to be earned in relation to the mandatory CPD topic; and</w:t>
      </w:r>
    </w:p>
    <w:p>
      <w:pPr>
        <w:pStyle w:val="Indenta"/>
      </w:pPr>
      <w:r>
        <w:tab/>
        <w:t>(b)</w:t>
      </w:r>
      <w:r>
        <w:tab/>
        <w:t>be published on the Commissioner’s website before the beginning of the CPD year to which it relates.</w:t>
      </w:r>
    </w:p>
    <w:p>
      <w:pPr>
        <w:pStyle w:val="Footnotesection"/>
      </w:pPr>
      <w:bookmarkStart w:id="39" w:name="_Toc214538720"/>
      <w:bookmarkStart w:id="40" w:name="_Toc214539021"/>
      <w:r>
        <w:tab/>
        <w:t>[Regulation 4AG inserted: SL 2025/194 r. 13.]</w:t>
      </w:r>
    </w:p>
    <w:p>
      <w:pPr>
        <w:pStyle w:val="Heading5"/>
      </w:pPr>
      <w:bookmarkStart w:id="41" w:name="_Toc217380673"/>
      <w:r>
        <w:rPr>
          <w:rStyle w:val="CharSectno"/>
        </w:rPr>
        <w:t>4AH</w:t>
      </w:r>
      <w:r>
        <w:t>.</w:t>
      </w:r>
      <w:r>
        <w:tab/>
        <w:t>CPD content</w:t>
      </w:r>
      <w:bookmarkEnd w:id="39"/>
      <w:bookmarkEnd w:id="40"/>
      <w:bookmarkEnd w:id="41"/>
    </w:p>
    <w:p>
      <w:pPr>
        <w:pStyle w:val="Subsection"/>
      </w:pPr>
      <w:r>
        <w:tab/>
      </w:r>
      <w:r>
        <w:tab/>
        <w:t xml:space="preserve">An educational activity meets the requirements of this regulation if it — </w:t>
      </w:r>
    </w:p>
    <w:p>
      <w:pPr>
        <w:pStyle w:val="Indenta"/>
      </w:pPr>
      <w:r>
        <w:tab/>
        <w:t>(a)</w:t>
      </w:r>
      <w:r>
        <w:tab/>
        <w:t>is an activity of significant intellectual or practical content; and</w:t>
      </w:r>
    </w:p>
    <w:p>
      <w:pPr>
        <w:pStyle w:val="Indenta"/>
      </w:pPr>
      <w:r>
        <w:tab/>
        <w:t>(b)</w:t>
      </w:r>
      <w:r>
        <w:tab/>
        <w:t>deals primarily with matters relating to a regulated person’s work of acting as a licensee or sales representative; and</w:t>
      </w:r>
    </w:p>
    <w:p>
      <w:pPr>
        <w:pStyle w:val="Indenta"/>
      </w:pPr>
      <w:r>
        <w:tab/>
        <w:t>(c)</w:t>
      </w:r>
      <w:r>
        <w:tab/>
        <w:t>extends a regulated person’s knowledge and skills in areas that are relevant to the person’s legal or professional obligations, professional skills or business needs.</w:t>
      </w:r>
    </w:p>
    <w:p>
      <w:pPr>
        <w:pStyle w:val="Footnotesection"/>
      </w:pPr>
      <w:bookmarkStart w:id="42" w:name="_Toc214538721"/>
      <w:bookmarkStart w:id="43" w:name="_Toc214539022"/>
      <w:r>
        <w:tab/>
        <w:t>[Regulation 4AH inserted: SL 2025/194 r. 13.]</w:t>
      </w:r>
    </w:p>
    <w:p>
      <w:pPr>
        <w:pStyle w:val="Heading5"/>
      </w:pPr>
      <w:bookmarkStart w:id="44" w:name="_Toc217380674"/>
      <w:r>
        <w:rPr>
          <w:rStyle w:val="CharSectno"/>
        </w:rPr>
        <w:t>4AI</w:t>
      </w:r>
      <w:r>
        <w:t>.</w:t>
      </w:r>
      <w:r>
        <w:tab/>
        <w:t>CPD records: providers</w:t>
      </w:r>
      <w:bookmarkEnd w:id="42"/>
      <w:bookmarkEnd w:id="43"/>
      <w:bookmarkEnd w:id="44"/>
    </w:p>
    <w:p>
      <w:pPr>
        <w:pStyle w:val="Subsection"/>
      </w:pPr>
      <w:r>
        <w:tab/>
        <w:t>(1)</w:t>
      </w:r>
      <w:r>
        <w:tab/>
        <w:t>This regulation applies if a regulated person completes a CPD activity.</w:t>
      </w:r>
    </w:p>
    <w:p>
      <w:pPr>
        <w:pStyle w:val="Subsection"/>
      </w:pPr>
      <w:r>
        <w:lastRenderedPageBreak/>
        <w:tab/>
        <w:t>(2)</w:t>
      </w:r>
      <w:r>
        <w:tab/>
        <w:t>The approved CPD provider in relation to the activity must give the regulated person a record that confirms the person has completed the activity.</w:t>
      </w:r>
    </w:p>
    <w:p>
      <w:pPr>
        <w:pStyle w:val="Subsection"/>
      </w:pPr>
      <w:r>
        <w:tab/>
        <w:t>(3)</w:t>
      </w:r>
      <w:r>
        <w:tab/>
        <w:t>The record must be given to the regulated person within 14 days after the day on which the person completes the activity.</w:t>
      </w:r>
    </w:p>
    <w:p>
      <w:pPr>
        <w:pStyle w:val="Subsection"/>
      </w:pPr>
      <w:r>
        <w:tab/>
        <w:t>(4)</w:t>
      </w:r>
      <w:r>
        <w:tab/>
        <w:t>The approved CPD provider must keep a copy of the record given under subregulation (2) for a period of 4 years from the day on which the person completes the activity.</w:t>
      </w:r>
    </w:p>
    <w:p>
      <w:pPr>
        <w:pStyle w:val="Subsection"/>
      </w:pPr>
      <w:r>
        <w:tab/>
        <w:t>(5)</w:t>
      </w:r>
      <w:r>
        <w:tab/>
        <w:t>The Commissioner may, by written notice, require an approved CPD provider to produce a copy of the record kept under subregulation (4).</w:t>
      </w:r>
    </w:p>
    <w:p>
      <w:pPr>
        <w:pStyle w:val="Subsection"/>
      </w:pPr>
      <w:r>
        <w:tab/>
        <w:t>(6)</w:t>
      </w:r>
      <w:r>
        <w:tab/>
        <w:t>A failure of an approved CPD provider to comply with this regulation may be taken into account by the Commissioner when deciding whether to grant the provider a further approval under regulation 4AE(2)(a).</w:t>
      </w:r>
    </w:p>
    <w:p>
      <w:pPr>
        <w:pStyle w:val="Footnotesection"/>
      </w:pPr>
      <w:bookmarkStart w:id="45" w:name="_Toc214538722"/>
      <w:bookmarkStart w:id="46" w:name="_Toc214539023"/>
      <w:r>
        <w:tab/>
        <w:t>[Regulation 4AI inserted: SL 2025/194 r. 13.]</w:t>
      </w:r>
    </w:p>
    <w:p>
      <w:pPr>
        <w:pStyle w:val="Heading5"/>
      </w:pPr>
      <w:bookmarkStart w:id="47" w:name="_Toc217380675"/>
      <w:r>
        <w:rPr>
          <w:rStyle w:val="CharSectno"/>
        </w:rPr>
        <w:t>4AJ</w:t>
      </w:r>
      <w:r>
        <w:t>.</w:t>
      </w:r>
      <w:r>
        <w:tab/>
        <w:t>CPD records: regulated persons</w:t>
      </w:r>
      <w:bookmarkEnd w:id="45"/>
      <w:bookmarkEnd w:id="46"/>
      <w:bookmarkEnd w:id="47"/>
    </w:p>
    <w:p>
      <w:pPr>
        <w:pStyle w:val="Subsection"/>
      </w:pPr>
      <w:r>
        <w:tab/>
        <w:t>(1)</w:t>
      </w:r>
      <w:r>
        <w:tab/>
        <w:t>A regulated person must keep evidence demonstrating compliance with the educational requirements applicable to the person under section 40B or 50C of the Act, including any record given to the person under regulation 4AI(2).</w:t>
      </w:r>
    </w:p>
    <w:p>
      <w:pPr>
        <w:pStyle w:val="Penstart"/>
      </w:pPr>
      <w:r>
        <w:tab/>
        <w:t>Penalty for this subregulation: a fine of $1 000.</w:t>
      </w:r>
    </w:p>
    <w:p>
      <w:pPr>
        <w:pStyle w:val="Subsection"/>
      </w:pPr>
      <w:r>
        <w:tab/>
        <w:t>(2)</w:t>
      </w:r>
      <w:r>
        <w:tab/>
        <w:t>The regulated person must keep the evidence referred to in subregulation (1) for a period of 4 years after the last day of the CPD year to which the evidence relates.</w:t>
      </w:r>
    </w:p>
    <w:p>
      <w:pPr>
        <w:pStyle w:val="Subsection"/>
      </w:pPr>
      <w:r>
        <w:tab/>
        <w:t>(3)</w:t>
      </w:r>
      <w:r>
        <w:tab/>
        <w:t>The Commissioner may, by written notice, require a regulated person to produce, in the approved manner, the evidence required to be kept under this regulation.</w:t>
      </w:r>
    </w:p>
    <w:p>
      <w:pPr>
        <w:pStyle w:val="Subsection"/>
      </w:pPr>
      <w:r>
        <w:tab/>
        <w:t>(4)</w:t>
      </w:r>
      <w:r>
        <w:tab/>
        <w:t>The regulated person must produce the evidence unless the regulated person has a reasonable excuse for not producing it.</w:t>
      </w:r>
    </w:p>
    <w:p>
      <w:pPr>
        <w:pStyle w:val="Penstart"/>
      </w:pPr>
      <w:r>
        <w:lastRenderedPageBreak/>
        <w:tab/>
        <w:t>Penalty for this subregulation: a fine of $1 000.</w:t>
      </w:r>
    </w:p>
    <w:p>
      <w:pPr>
        <w:pStyle w:val="Footnotesection"/>
      </w:pPr>
      <w:r>
        <w:tab/>
        <w:t>[Regulation 4AJ inserted: SL 2025/194 r. 13.]</w:t>
      </w:r>
    </w:p>
    <w:p>
      <w:pPr>
        <w:pStyle w:val="Heading2"/>
      </w:pPr>
      <w:bookmarkStart w:id="48" w:name="_Toc214538724"/>
      <w:bookmarkStart w:id="49" w:name="_Toc214538823"/>
      <w:bookmarkStart w:id="50" w:name="_Toc214538907"/>
      <w:bookmarkStart w:id="51" w:name="_Toc214539025"/>
      <w:bookmarkStart w:id="52" w:name="_Toc214631781"/>
      <w:bookmarkStart w:id="53" w:name="_Toc217380676"/>
      <w:r>
        <w:rPr>
          <w:rStyle w:val="CharPartNo"/>
        </w:rPr>
        <w:lastRenderedPageBreak/>
        <w:t>Part 4</w:t>
      </w:r>
      <w:r>
        <w:rPr>
          <w:rStyle w:val="CharDivNo"/>
        </w:rPr>
        <w:t> </w:t>
      </w:r>
      <w:r>
        <w:t>—</w:t>
      </w:r>
      <w:r>
        <w:rPr>
          <w:rStyle w:val="CharDivText"/>
        </w:rPr>
        <w:t> </w:t>
      </w:r>
      <w:r>
        <w:rPr>
          <w:rStyle w:val="CharPartText"/>
        </w:rPr>
        <w:t>Licensing of agents and registration of sales representatives</w:t>
      </w:r>
      <w:bookmarkEnd w:id="48"/>
      <w:bookmarkEnd w:id="49"/>
      <w:bookmarkEnd w:id="50"/>
      <w:bookmarkEnd w:id="51"/>
      <w:bookmarkEnd w:id="52"/>
      <w:bookmarkEnd w:id="53"/>
    </w:p>
    <w:p>
      <w:pPr>
        <w:pStyle w:val="Footnoteheading"/>
      </w:pPr>
      <w:r>
        <w:tab/>
        <w:t>[Heading inserted: SL 2025/194 r. 14.]</w:t>
      </w:r>
    </w:p>
    <w:p>
      <w:pPr>
        <w:pStyle w:val="Heading5"/>
        <w:spacing w:before="260"/>
      </w:pPr>
      <w:bookmarkStart w:id="54" w:name="_Toc217380677"/>
      <w:r>
        <w:rPr>
          <w:rStyle w:val="CharSectno"/>
        </w:rPr>
        <w:t>4B</w:t>
      </w:r>
      <w:r>
        <w:t>.</w:t>
      </w:r>
      <w:r>
        <w:tab/>
        <w:t>Prescribed periods (Act s. 48(1), (2) and 49(2))</w:t>
      </w:r>
      <w:bookmarkEnd w:id="54"/>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55" w:name="_Toc217380678"/>
      <w:r>
        <w:rPr>
          <w:rStyle w:val="CharSectno"/>
        </w:rPr>
        <w:t>6</w:t>
      </w:r>
      <w:r>
        <w:t>.</w:t>
      </w:r>
      <w:r>
        <w:tab/>
        <w:t>Prescribed examinations for licence applicants (Act Sch. 1 cl. 1(a))</w:t>
      </w:r>
      <w:bookmarkEnd w:id="55"/>
    </w:p>
    <w:p>
      <w:pPr>
        <w:pStyle w:val="Subsection"/>
      </w:pPr>
      <w:r>
        <w:tab/>
        <w:t>(1)</w:t>
      </w:r>
      <w:r>
        <w:tab/>
        <w:t xml:space="preserve">The prescribed examinations for the purposes of Schedule 1 clause 1(a) of the Act are — </w:t>
      </w:r>
    </w:p>
    <w:p>
      <w:pPr>
        <w:pStyle w:val="Indenta"/>
      </w:pPr>
      <w:r>
        <w:tab/>
        <w:t>(a)</w:t>
      </w:r>
      <w:r>
        <w:tab/>
        <w:t xml:space="preserve">the examinations required to be passed for the conferral by Curtin University of any of the following degrees or diplomas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(iva)</w:t>
      </w:r>
      <w:r>
        <w:tab/>
        <w:t>Bachelor of Commerce (Property Development and Valuation Extension Major);</w:t>
      </w:r>
    </w:p>
    <w:p>
      <w:pPr>
        <w:pStyle w:val="Indenti"/>
      </w:pPr>
      <w:r>
        <w:tab/>
        <w:t>(v)</w:t>
      </w:r>
      <w:r>
        <w:tab/>
        <w:t>Bachelor of Commerce (Property Valuation);</w:t>
      </w:r>
    </w:p>
    <w:p>
      <w:pPr>
        <w:pStyle w:val="Indenti"/>
      </w:pPr>
      <w:r>
        <w:tab/>
        <w:t>(vi)</w:t>
      </w:r>
      <w:r>
        <w:tab/>
        <w:t>Master of Property;</w:t>
      </w:r>
    </w:p>
    <w:p>
      <w:pPr>
        <w:pStyle w:val="Indenti"/>
        <w:keepNext/>
      </w:pPr>
      <w:r>
        <w:lastRenderedPageBreak/>
        <w:tab/>
        <w:t>(vii)</w:t>
      </w:r>
      <w:r>
        <w:tab/>
        <w:t>Graduate Diploma in Property;</w:t>
      </w:r>
    </w:p>
    <w:p>
      <w:pPr>
        <w:pStyle w:val="Indenta"/>
      </w:pPr>
      <w:r>
        <w:tab/>
      </w:r>
      <w:r>
        <w:tab/>
        <w:t>or</w:t>
      </w:r>
    </w:p>
    <w:p>
      <w:pPr>
        <w:pStyle w:val="Indenta"/>
      </w:pPr>
      <w:r>
        <w:tab/>
        <w:t>(b)</w:t>
      </w:r>
      <w:r>
        <w:tab/>
        <w:t>the examinations required to be passed for the conferral of a Diploma of Property Services (Agency Management) registered qualification CPP50307; or</w:t>
      </w:r>
    </w:p>
    <w:p>
      <w:pPr>
        <w:pStyle w:val="Indenta"/>
      </w:pPr>
      <w:r>
        <w:tab/>
        <w:t>(c)</w:t>
      </w:r>
      <w:r>
        <w:tab/>
        <w:t>the examinations required to be passed for the conferral of a Diploma of Property (Agency Management) registered qualification CPP51119, together with any additional examinations prescribed for the applicant under subregulation (2); or</w:t>
      </w:r>
    </w:p>
    <w:p>
      <w:pPr>
        <w:pStyle w:val="Indenta"/>
      </w:pPr>
      <w:r>
        <w:tab/>
        <w:t>(ca)</w:t>
      </w:r>
      <w:r>
        <w:tab/>
        <w:t>the examinations required to be passed for the conferral of a Diploma of Property (Agency Management) registered qualification CPP51122, together with any additional examinations prescribed for the applicant under subregulation (2); or</w:t>
      </w:r>
    </w:p>
    <w:p>
      <w:pPr>
        <w:pStyle w:val="Indenta"/>
      </w:pPr>
      <w:r>
        <w:tab/>
        <w:t>(d)</w:t>
      </w:r>
      <w:r>
        <w:tab/>
        <w:t xml:space="preserve">for an applicant who was a licensee and who ceased to be licensed under section 30(2a) of the Act, the examinations which were prescribed under regulation 6 of these regulations immediately before the commencement of the </w:t>
      </w:r>
      <w:r>
        <w:rPr>
          <w:i/>
        </w:rPr>
        <w:t>Real Estate and Business Agents (General) Amendment Regulations 2003</w:t>
      </w:r>
      <w:r>
        <w:t>.</w:t>
      </w:r>
    </w:p>
    <w:p>
      <w:pPr>
        <w:pStyle w:val="Subsection"/>
      </w:pPr>
      <w:r>
        <w:tab/>
        <w:t>(2)</w:t>
      </w:r>
      <w:r>
        <w:tab/>
        <w:t>Additional examinations are prescribed for an applicant mentioned in subregulation (1)(c) or (ca) as shown in the Tables to this regulation according to the certificate of registration that the applicant holds.</w:t>
      </w:r>
    </w:p>
    <w:p>
      <w:pPr>
        <w:pStyle w:val="THeadingNAm"/>
        <w:keepLines/>
      </w:pPr>
      <w:r>
        <w:t>Table 1 — Additional prescribed examinations</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1"/>
        <w:gridCol w:w="3260"/>
      </w:tblGrid>
      <w:tr>
        <w:trPr>
          <w:tblHeader/>
        </w:trPr>
        <w:tc>
          <w:tcPr>
            <w:tcW w:w="3261" w:type="dxa"/>
            <w:noWrap/>
            <w:vAlign w:val="center"/>
          </w:tcPr>
          <w:p>
            <w:pPr>
              <w:pStyle w:val="TableNAm"/>
              <w:keepNext/>
              <w:keepLines/>
              <w:jc w:val="center"/>
              <w:rPr>
                <w:b/>
              </w:rPr>
            </w:pPr>
            <w:r>
              <w:rPr>
                <w:rFonts w:asciiTheme="minorHAnsi" w:eastAsiaTheme="minorHAnsi" w:hAnsiTheme="minorHAnsi" w:cstheme="minorBidi"/>
                <w:b/>
                <w:szCs w:val="22"/>
              </w:rPr>
              <w:br w:type="page"/>
            </w:r>
            <w:r>
              <w:rPr>
                <w:b/>
              </w:rPr>
              <w:t>Kind of certificate held</w:t>
            </w:r>
          </w:p>
        </w:tc>
        <w:tc>
          <w:tcPr>
            <w:tcW w:w="3260" w:type="dxa"/>
            <w:noWrap/>
            <w:vAlign w:val="center"/>
          </w:tcPr>
          <w:p>
            <w:pPr>
              <w:pStyle w:val="TableNAm"/>
              <w:keepNext/>
              <w:keepLines/>
              <w:jc w:val="center"/>
              <w:rPr>
                <w:b/>
              </w:rPr>
            </w:pPr>
            <w:r>
              <w:rPr>
                <w:b/>
              </w:rPr>
              <w:t>Additional prescribed examinations</w:t>
            </w:r>
          </w:p>
        </w:tc>
      </w:tr>
      <w:tr>
        <w:tc>
          <w:tcPr>
            <w:tcW w:w="3261" w:type="dxa"/>
            <w:noWrap/>
            <w:vAlign w:val="center"/>
          </w:tcPr>
          <w:p>
            <w:pPr>
              <w:pStyle w:val="TableNAm"/>
              <w:rPr>
                <w:sz w:val="22"/>
              </w:rPr>
            </w:pPr>
            <w:r>
              <w:rPr>
                <w:sz w:val="22"/>
              </w:rPr>
              <w:t xml:space="preserve">Unrestricted certificate acquired by completing the qualification prescribed in regulation 6A(3)(a) </w:t>
            </w:r>
          </w:p>
        </w:tc>
        <w:tc>
          <w:tcPr>
            <w:tcW w:w="3260" w:type="dxa"/>
            <w:noWrap/>
            <w:vAlign w:val="center"/>
          </w:tcPr>
          <w:p>
            <w:pPr>
              <w:pStyle w:val="TableNAm"/>
            </w:pPr>
            <w:r>
              <w:rPr>
                <w:sz w:val="22"/>
              </w:rPr>
              <w:t>No additional examinations</w:t>
            </w:r>
          </w:p>
        </w:tc>
      </w:tr>
      <w:tr>
        <w:tc>
          <w:tcPr>
            <w:tcW w:w="3261" w:type="dxa"/>
            <w:noWrap/>
            <w:vAlign w:val="center"/>
          </w:tcPr>
          <w:p>
            <w:pPr>
              <w:pStyle w:val="TableNAm"/>
              <w:rPr>
                <w:sz w:val="22"/>
              </w:rPr>
            </w:pPr>
            <w:r>
              <w:rPr>
                <w:sz w:val="22"/>
              </w:rPr>
              <w:lastRenderedPageBreak/>
              <w:t>Any other unrestricted certificate</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t>(a)</w:t>
            </w:r>
            <w:r>
              <w:rPr>
                <w:sz w:val="22"/>
              </w:rPr>
              <w:tab/>
            </w:r>
            <w:r>
              <w:rPr>
                <w:sz w:val="22"/>
              </w:rPr>
              <w:tab/>
              <w:t xml:space="preserve">each of the modules indicated as mandatory in </w:t>
            </w:r>
            <w:r>
              <w:t>column 1</w:t>
            </w:r>
            <w:r>
              <w:rPr>
                <w:sz w:val="22"/>
              </w:rPr>
              <w:t>;</w:t>
            </w:r>
          </w:p>
          <w:p>
            <w:pPr>
              <w:pStyle w:val="TableNAm"/>
              <w:ind w:left="738" w:hanging="454"/>
              <w:rPr>
                <w:sz w:val="22"/>
              </w:rPr>
            </w:pPr>
            <w:r>
              <w:rPr>
                <w:sz w:val="22"/>
              </w:rPr>
              <w:t>(b)</w:t>
            </w:r>
            <w:r>
              <w:rPr>
                <w:sz w:val="22"/>
              </w:rPr>
              <w:tab/>
              <w:t xml:space="preserve">any 3 of the modules indicated as elective in </w:t>
            </w:r>
            <w:r>
              <w:t>column 1</w:t>
            </w:r>
            <w:r>
              <w:rPr>
                <w:sz w:val="22"/>
              </w:rPr>
              <w:t xml:space="preserve">; </w:t>
            </w:r>
          </w:p>
          <w:p>
            <w:pPr>
              <w:pStyle w:val="TableNAm"/>
              <w:spacing w:before="80"/>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t>Restricted certificate (property management) </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 xml:space="preserve">the examinations required to be passed for successful completion of modules from the CPP Property Services Training Package listed in Table 2 to this regulation as follows — </w:t>
            </w:r>
          </w:p>
          <w:p>
            <w:pPr>
              <w:pStyle w:val="TableNAm"/>
              <w:ind w:left="738" w:hanging="454"/>
              <w:rPr>
                <w:sz w:val="22"/>
              </w:rPr>
            </w:pPr>
            <w:r>
              <w:rPr>
                <w:sz w:val="22"/>
              </w:rPr>
              <w:lastRenderedPageBreak/>
              <w:t>(a)</w:t>
            </w:r>
            <w:r>
              <w:rPr>
                <w:sz w:val="22"/>
              </w:rPr>
              <w:tab/>
            </w:r>
            <w:r>
              <w:rPr>
                <w:sz w:val="22"/>
              </w:rPr>
              <w:tab/>
              <w:t xml:space="preserve">each of the modules indicated as mandatory in </w:t>
            </w:r>
            <w:r>
              <w:t>column 2</w:t>
            </w:r>
            <w:r>
              <w:rPr>
                <w:sz w:val="22"/>
              </w:rPr>
              <w:t>;</w:t>
            </w:r>
          </w:p>
          <w:p>
            <w:pPr>
              <w:pStyle w:val="TableNAm"/>
              <w:ind w:left="738" w:hanging="454"/>
              <w:rPr>
                <w:sz w:val="22"/>
              </w:rPr>
            </w:pPr>
            <w:r>
              <w:rPr>
                <w:sz w:val="22"/>
              </w:rPr>
              <w:t>(b)</w:t>
            </w:r>
            <w:r>
              <w:rPr>
                <w:sz w:val="22"/>
              </w:rPr>
              <w:tab/>
            </w:r>
            <w:r>
              <w:rPr>
                <w:sz w:val="22"/>
              </w:rPr>
              <w:tab/>
              <w:t xml:space="preserve">any 3 of the modules indicated as elective in </w:t>
            </w:r>
            <w:r>
              <w:t>column 2</w:t>
            </w:r>
            <w:r>
              <w:rPr>
                <w:sz w:val="22"/>
              </w:rPr>
              <w:t xml:space="preserve">; </w:t>
            </w:r>
          </w:p>
          <w:p>
            <w:pPr>
              <w:pStyle w:val="TableNAm"/>
              <w:spacing w:before="80"/>
              <w:ind w:left="284" w:hanging="284"/>
              <w:rPr>
                <w:sz w:val="22"/>
              </w:rPr>
            </w:pPr>
            <w:r>
              <w:rPr>
                <w:sz w:val="22"/>
              </w:rPr>
              <w:tab/>
              <w:t>or</w:t>
            </w:r>
          </w:p>
          <w:p>
            <w:pPr>
              <w:pStyle w:val="TableNAm"/>
              <w:keepNext/>
              <w:keepLines/>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rPr>
                <w:sz w:val="22"/>
              </w:rPr>
            </w:pPr>
            <w:r>
              <w:rPr>
                <w:sz w:val="22"/>
              </w:rPr>
              <w:lastRenderedPageBreak/>
              <w:t>Restricted certificate (sales)</w:t>
            </w:r>
          </w:p>
        </w:tc>
        <w:tc>
          <w:tcPr>
            <w:tcW w:w="3260" w:type="dxa"/>
            <w:noWrap/>
            <w:vAlign w:val="center"/>
          </w:tcPr>
          <w:p>
            <w:pPr>
              <w:pStyle w:val="TableNAm"/>
              <w:rPr>
                <w:sz w:val="22"/>
              </w:rPr>
            </w:pPr>
            <w:r>
              <w:rPr>
                <w:sz w:val="22"/>
              </w:rPr>
              <w:t>Either:</w:t>
            </w:r>
          </w:p>
          <w:p>
            <w:pPr>
              <w:pStyle w:val="TableNAm"/>
              <w:ind w:left="284" w:hanging="284"/>
              <w:rPr>
                <w:sz w:val="22"/>
              </w:rPr>
            </w:pPr>
            <w:r>
              <w:rPr>
                <w:sz w:val="22"/>
              </w:rPr>
              <w:t>1.</w:t>
            </w:r>
            <w:r>
              <w:rPr>
                <w:sz w:val="22"/>
              </w:rPr>
              <w:tab/>
              <w:t>the examinations required to be passed for successful completion of modules from the CPP Property Services Training Package which would be the prescribed qualification under regulation 6A(3)(a) if the applicant were applying for an unrestricted certificate;</w:t>
            </w:r>
          </w:p>
          <w:p>
            <w:pPr>
              <w:pStyle w:val="TableNAm"/>
              <w:ind w:left="284" w:hanging="284"/>
              <w:rPr>
                <w:sz w:val="22"/>
              </w:rPr>
            </w:pPr>
            <w:r>
              <w:rPr>
                <w:sz w:val="22"/>
              </w:rPr>
              <w:tab/>
              <w:t>or</w:t>
            </w:r>
          </w:p>
          <w:p>
            <w:pPr>
              <w:pStyle w:val="TableNAm"/>
              <w:ind w:left="284" w:hanging="284"/>
              <w:rPr>
                <w:sz w:val="22"/>
              </w:rPr>
            </w:pPr>
            <w:r>
              <w:rPr>
                <w:sz w:val="22"/>
              </w:rPr>
              <w:t>2.</w:t>
            </w:r>
            <w:r>
              <w:rPr>
                <w:sz w:val="22"/>
              </w:rPr>
              <w:tab/>
              <w:t>the examinations required to be passed for the conferral of a Certificate IV in Property Services (Real Estate) registered qualification CPP40307.</w:t>
            </w:r>
          </w:p>
        </w:tc>
      </w:tr>
      <w:tr>
        <w:tc>
          <w:tcPr>
            <w:tcW w:w="3261" w:type="dxa"/>
            <w:noWrap/>
            <w:vAlign w:val="center"/>
          </w:tcPr>
          <w:p>
            <w:pPr>
              <w:pStyle w:val="TableNAm"/>
              <w:keepLines/>
              <w:rPr>
                <w:sz w:val="22"/>
              </w:rPr>
            </w:pPr>
            <w:r>
              <w:rPr>
                <w:sz w:val="22"/>
              </w:rPr>
              <w:lastRenderedPageBreak/>
              <w:t>No certificate of registration</w:t>
            </w:r>
          </w:p>
        </w:tc>
        <w:tc>
          <w:tcPr>
            <w:tcW w:w="3260" w:type="dxa"/>
            <w:noWrap/>
            <w:vAlign w:val="center"/>
          </w:tcPr>
          <w:p>
            <w:pPr>
              <w:pStyle w:val="TableNAm"/>
              <w:keepLines/>
              <w:rPr>
                <w:sz w:val="22"/>
              </w:rPr>
            </w:pPr>
            <w:r>
              <w:rPr>
                <w:sz w:val="22"/>
              </w:rPr>
              <w:t>The examinations required to be passed for successful completion of modules from the CPP Property Services Training Package which would be the prescribed qualification under regulation 6A(3)(a) if the applicant were applying for an unrestricted certificate.</w:t>
            </w:r>
          </w:p>
        </w:tc>
      </w:tr>
    </w:tbl>
    <w:p>
      <w:pPr>
        <w:pStyle w:val="THeadingNAm"/>
      </w:pPr>
      <w:r>
        <w:t>Table 2 — Modules of CPP Property Services Training Package</w:t>
      </w:r>
    </w:p>
    <w:tbl>
      <w:tblPr>
        <w:tblW w:w="652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2693"/>
        <w:gridCol w:w="1985"/>
      </w:tblGrid>
      <w:tr>
        <w:trPr>
          <w:tblHeader/>
        </w:trPr>
        <w:tc>
          <w:tcPr>
            <w:tcW w:w="1843" w:type="dxa"/>
            <w:noWrap/>
          </w:tcPr>
          <w:p>
            <w:pPr>
              <w:pStyle w:val="TableNAm"/>
              <w:keepNext/>
            </w:pPr>
          </w:p>
        </w:tc>
        <w:tc>
          <w:tcPr>
            <w:tcW w:w="2693" w:type="dxa"/>
            <w:noWrap/>
            <w:vAlign w:val="center"/>
          </w:tcPr>
          <w:p>
            <w:pPr>
              <w:pStyle w:val="TableNAm"/>
              <w:keepNext/>
              <w:jc w:val="center"/>
              <w:rPr>
                <w:b/>
              </w:rPr>
            </w:pPr>
            <w:r>
              <w:rPr>
                <w:b/>
              </w:rPr>
              <w:t>Column 1</w:t>
            </w:r>
          </w:p>
        </w:tc>
        <w:tc>
          <w:tcPr>
            <w:tcW w:w="1985" w:type="dxa"/>
            <w:noWrap/>
            <w:vAlign w:val="center"/>
          </w:tcPr>
          <w:p>
            <w:pPr>
              <w:pStyle w:val="TableNAm"/>
              <w:keepNext/>
              <w:jc w:val="center"/>
              <w:rPr>
                <w:b/>
                <w:sz w:val="20"/>
              </w:rPr>
            </w:pPr>
            <w:r>
              <w:rPr>
                <w:b/>
              </w:rPr>
              <w:t>Column 2</w:t>
            </w:r>
          </w:p>
        </w:tc>
      </w:tr>
      <w:tr>
        <w:tc>
          <w:tcPr>
            <w:tcW w:w="1843" w:type="dxa"/>
            <w:noWrap/>
            <w:vAlign w:val="center"/>
          </w:tcPr>
          <w:p>
            <w:pPr>
              <w:pStyle w:val="TableNAm"/>
              <w:rPr>
                <w:szCs w:val="22"/>
              </w:rPr>
            </w:pPr>
            <w:r>
              <w:rPr>
                <w:szCs w:val="22"/>
              </w:rPr>
              <w:t>CPPREP4005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CPPREP4103</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CPPREP4104</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CPPREP4105</w:t>
            </w:r>
          </w:p>
        </w:tc>
        <w:tc>
          <w:tcPr>
            <w:tcW w:w="2693" w:type="dxa"/>
            <w:noWrap/>
          </w:tcPr>
          <w:p>
            <w:pPr>
              <w:pStyle w:val="TableNAm"/>
              <w:jc w:val="center"/>
              <w:rPr>
                <w:szCs w:val="24"/>
              </w:rPr>
            </w:pPr>
            <w:r>
              <w:rPr>
                <w:szCs w:val="24"/>
              </w:rPr>
              <w:t>Not accepted</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keepNext/>
              <w:rPr>
                <w:szCs w:val="22"/>
              </w:rPr>
            </w:pPr>
            <w:r>
              <w:rPr>
                <w:szCs w:val="22"/>
              </w:rPr>
              <w:t>CPPREP4121</w:t>
            </w:r>
          </w:p>
        </w:tc>
        <w:tc>
          <w:tcPr>
            <w:tcW w:w="2693" w:type="dxa"/>
            <w:noWrap/>
          </w:tcPr>
          <w:p>
            <w:pPr>
              <w:pStyle w:val="TableNAm"/>
              <w:keepNext/>
              <w:jc w:val="center"/>
              <w:rPr>
                <w:szCs w:val="24"/>
              </w:rPr>
            </w:pPr>
            <w:r>
              <w:rPr>
                <w:szCs w:val="24"/>
              </w:rPr>
              <w:t>Mandatory</w:t>
            </w:r>
          </w:p>
        </w:tc>
        <w:tc>
          <w:tcPr>
            <w:tcW w:w="1985" w:type="dxa"/>
            <w:noWrap/>
          </w:tcPr>
          <w:p>
            <w:pPr>
              <w:pStyle w:val="TableNAm"/>
              <w:keepNext/>
              <w:jc w:val="center"/>
              <w:rPr>
                <w:szCs w:val="24"/>
              </w:rPr>
            </w:pPr>
            <w:r>
              <w:rPr>
                <w:szCs w:val="24"/>
              </w:rPr>
              <w:t>Not accepted</w:t>
            </w:r>
          </w:p>
        </w:tc>
      </w:tr>
      <w:tr>
        <w:tc>
          <w:tcPr>
            <w:tcW w:w="1843" w:type="dxa"/>
            <w:noWrap/>
            <w:vAlign w:val="center"/>
          </w:tcPr>
          <w:p>
            <w:pPr>
              <w:pStyle w:val="TableNAm"/>
              <w:rPr>
                <w:szCs w:val="22"/>
              </w:rPr>
            </w:pPr>
            <w:r>
              <w:rPr>
                <w:szCs w:val="22"/>
              </w:rPr>
              <w:t>CPPREP4122</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CPPREP4123</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CPPREP4124</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Not accepted</w:t>
            </w:r>
          </w:p>
        </w:tc>
      </w:tr>
      <w:tr>
        <w:tc>
          <w:tcPr>
            <w:tcW w:w="1843" w:type="dxa"/>
            <w:noWrap/>
            <w:vAlign w:val="center"/>
          </w:tcPr>
          <w:p>
            <w:pPr>
              <w:pStyle w:val="TableNAm"/>
              <w:rPr>
                <w:szCs w:val="22"/>
              </w:rPr>
            </w:pPr>
            <w:r>
              <w:rPr>
                <w:szCs w:val="22"/>
              </w:rPr>
              <w:t>CPPREP4125</w:t>
            </w:r>
          </w:p>
        </w:tc>
        <w:tc>
          <w:tcPr>
            <w:tcW w:w="2693" w:type="dxa"/>
            <w:noWrap/>
          </w:tcPr>
          <w:p>
            <w:pPr>
              <w:pStyle w:val="TableNAm"/>
              <w:jc w:val="center"/>
              <w:rPr>
                <w:szCs w:val="24"/>
              </w:rPr>
            </w:pPr>
            <w:r>
              <w:rPr>
                <w:szCs w:val="24"/>
              </w:rPr>
              <w:t>Mandatory</w:t>
            </w:r>
          </w:p>
        </w:tc>
        <w:tc>
          <w:tcPr>
            <w:tcW w:w="1985" w:type="dxa"/>
            <w:noWrap/>
          </w:tcPr>
          <w:p>
            <w:pPr>
              <w:pStyle w:val="TableNAm"/>
              <w:jc w:val="center"/>
              <w:rPr>
                <w:szCs w:val="24"/>
              </w:rPr>
            </w:pPr>
            <w:r>
              <w:rPr>
                <w:szCs w:val="24"/>
              </w:rPr>
              <w:t>Mandatory</w:t>
            </w:r>
          </w:p>
        </w:tc>
      </w:tr>
      <w:tr>
        <w:tc>
          <w:tcPr>
            <w:tcW w:w="1843" w:type="dxa"/>
            <w:noWrap/>
            <w:vAlign w:val="center"/>
          </w:tcPr>
          <w:p>
            <w:pPr>
              <w:pStyle w:val="TableNAm"/>
              <w:rPr>
                <w:szCs w:val="22"/>
              </w:rPr>
            </w:pPr>
            <w:r>
              <w:rPr>
                <w:szCs w:val="22"/>
              </w:rPr>
              <w:t>CPPREP4102</w:t>
            </w:r>
          </w:p>
        </w:tc>
        <w:tc>
          <w:tcPr>
            <w:tcW w:w="2693" w:type="dxa"/>
            <w:noWrap/>
            <w:vAlign w:val="center"/>
          </w:tcPr>
          <w:p>
            <w:pPr>
              <w:pStyle w:val="TableNAm"/>
              <w:jc w:val="center"/>
              <w:rPr>
                <w:szCs w:val="24"/>
              </w:rPr>
            </w:pPr>
            <w:r>
              <w:rPr>
                <w:szCs w:val="24"/>
              </w:rPr>
              <w:t>Elective</w:t>
            </w:r>
          </w:p>
        </w:tc>
        <w:tc>
          <w:tcPr>
            <w:tcW w:w="1985" w:type="dxa"/>
            <w:noWrap/>
            <w:vAlign w:val="center"/>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lastRenderedPageBreak/>
              <w:t>CPPREP4201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CPPREP4202</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CPPREP4203</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CPPREP4204</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r>
        <w:tc>
          <w:tcPr>
            <w:tcW w:w="1843" w:type="dxa"/>
            <w:noWrap/>
            <w:vAlign w:val="center"/>
          </w:tcPr>
          <w:p>
            <w:pPr>
              <w:pStyle w:val="TableNAm"/>
              <w:rPr>
                <w:szCs w:val="22"/>
              </w:rPr>
            </w:pPr>
            <w:r>
              <w:rPr>
                <w:szCs w:val="22"/>
              </w:rPr>
              <w:t>CPPREP5201</w:t>
            </w:r>
          </w:p>
        </w:tc>
        <w:tc>
          <w:tcPr>
            <w:tcW w:w="2693" w:type="dxa"/>
            <w:noWrap/>
          </w:tcPr>
          <w:p>
            <w:pPr>
              <w:pStyle w:val="TableNAm"/>
              <w:jc w:val="center"/>
              <w:rPr>
                <w:szCs w:val="24"/>
              </w:rPr>
            </w:pPr>
            <w:r>
              <w:rPr>
                <w:szCs w:val="24"/>
              </w:rPr>
              <w:t>Elective</w:t>
            </w:r>
          </w:p>
        </w:tc>
        <w:tc>
          <w:tcPr>
            <w:tcW w:w="1985" w:type="dxa"/>
            <w:noWrap/>
          </w:tcPr>
          <w:p>
            <w:pPr>
              <w:pStyle w:val="TableNAm"/>
              <w:jc w:val="center"/>
              <w:rPr>
                <w:szCs w:val="24"/>
              </w:rPr>
            </w:pPr>
            <w:r>
              <w:rPr>
                <w:szCs w:val="24"/>
              </w:rPr>
              <w:t>Elective</w:t>
            </w:r>
          </w:p>
        </w:tc>
      </w:tr>
    </w:tbl>
    <w:p>
      <w:pPr>
        <w:pStyle w:val="Footnotesection"/>
      </w:pPr>
      <w:r>
        <w:tab/>
        <w:t>[Regulation 6 inserted: SL 2020/209 r. 5; amended: SL 2023/131 r. 7; SL 2024/152 r. 4; SL 2025/194 r. 15.]</w:t>
      </w:r>
    </w:p>
    <w:p>
      <w:pPr>
        <w:pStyle w:val="Heading5"/>
      </w:pPr>
      <w:bookmarkStart w:id="56" w:name="_Toc214538727"/>
      <w:bookmarkStart w:id="57" w:name="_Toc214539028"/>
      <w:bookmarkStart w:id="58" w:name="_Toc217380679"/>
      <w:r>
        <w:rPr>
          <w:rStyle w:val="CharSectno"/>
        </w:rPr>
        <w:t>6A</w:t>
      </w:r>
      <w:r>
        <w:t>.</w:t>
      </w:r>
      <w:r>
        <w:tab/>
        <w:t>Prescribed qualifications for certificate applicants (Act s. 47(2))</w:t>
      </w:r>
      <w:bookmarkEnd w:id="56"/>
      <w:bookmarkEnd w:id="57"/>
      <w:bookmarkEnd w:id="58"/>
    </w:p>
    <w:p>
      <w:pPr>
        <w:pStyle w:val="Subsection"/>
      </w:pPr>
      <w:r>
        <w:tab/>
        <w:t>(1)</w:t>
      </w:r>
      <w:r>
        <w:tab/>
        <w:t xml:space="preserve">For a person who applies for a restricted certificate (sales), the prescribed qualification for the purposes of section 47(2) of the Act is the successful completion of modules from the CPP Property Services Training Package listed in the Table as follows — </w:t>
      </w:r>
    </w:p>
    <w:p>
      <w:pPr>
        <w:pStyle w:val="Indenta"/>
      </w:pPr>
      <w:r>
        <w:tab/>
        <w:t>(a)</w:t>
      </w:r>
      <w:r>
        <w:tab/>
        <w:t>each of the modules indicated as mandatory in column 1;</w:t>
      </w:r>
    </w:p>
    <w:p>
      <w:pPr>
        <w:pStyle w:val="Indenta"/>
      </w:pPr>
      <w:r>
        <w:tab/>
        <w:t>(b)</w:t>
      </w:r>
      <w:r>
        <w:tab/>
        <w:t>any 3 of the modules indicated as elective in column 1.</w:t>
      </w:r>
    </w:p>
    <w:p>
      <w:pPr>
        <w:pStyle w:val="Subsection"/>
      </w:pPr>
      <w:r>
        <w:tab/>
        <w:t>(2)</w:t>
      </w:r>
      <w:r>
        <w:tab/>
        <w:t>For a person who applies for a restricted certificate (property management), the prescribed qualification for the purposes of section 47(2) of the Act is the successful completion of each of the modules from the CPP Property Services Training Package indicated as mandatory in the Table column 2.</w:t>
      </w:r>
    </w:p>
    <w:p>
      <w:pPr>
        <w:pStyle w:val="Subsection"/>
      </w:pPr>
      <w:r>
        <w:tab/>
        <w:t>(3)</w:t>
      </w:r>
      <w:r>
        <w:tab/>
        <w:t xml:space="preserve">For a person who applies for an unrestricted certificate, the prescribed qualification for the purposes of section 47(2) of the Act is the successful completion of modules from the CPP Property Services Training Package listed in the Table as follows — </w:t>
      </w:r>
    </w:p>
    <w:p>
      <w:pPr>
        <w:pStyle w:val="Indenta"/>
      </w:pPr>
      <w:r>
        <w:lastRenderedPageBreak/>
        <w:tab/>
        <w:t>(a)</w:t>
      </w:r>
      <w:r>
        <w:tab/>
        <w:t>each of the modules indicated as mandatory in column 3;</w:t>
      </w:r>
    </w:p>
    <w:p>
      <w:pPr>
        <w:pStyle w:val="Indenta"/>
      </w:pPr>
      <w:r>
        <w:tab/>
        <w:t>(b)</w:t>
      </w:r>
      <w:r>
        <w:tab/>
        <w:t>any 3 of the modules indicated as elective in column 3.</w:t>
      </w:r>
    </w:p>
    <w:p>
      <w:pPr>
        <w:pStyle w:val="THeadingNAm"/>
      </w:pPr>
      <w:r>
        <w:t>Table</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843"/>
        <w:gridCol w:w="1701"/>
        <w:gridCol w:w="1701"/>
      </w:tblGrid>
      <w:tr>
        <w:trPr>
          <w:tblHeader/>
        </w:trPr>
        <w:tc>
          <w:tcPr>
            <w:tcW w:w="1701" w:type="dxa"/>
            <w:vAlign w:val="center"/>
          </w:tcPr>
          <w:p>
            <w:pPr>
              <w:pStyle w:val="TableNAm"/>
              <w:rPr>
                <w:szCs w:val="24"/>
              </w:rPr>
            </w:pPr>
          </w:p>
        </w:tc>
        <w:tc>
          <w:tcPr>
            <w:tcW w:w="1843" w:type="dxa"/>
          </w:tcPr>
          <w:p>
            <w:pPr>
              <w:pStyle w:val="TableNAm"/>
              <w:jc w:val="center"/>
              <w:rPr>
                <w:b/>
                <w:szCs w:val="24"/>
              </w:rPr>
            </w:pPr>
            <w:r>
              <w:rPr>
                <w:b/>
                <w:szCs w:val="24"/>
              </w:rPr>
              <w:t>Column 1</w:t>
            </w:r>
          </w:p>
          <w:p>
            <w:pPr>
              <w:pStyle w:val="TableNAm"/>
              <w:jc w:val="center"/>
              <w:rPr>
                <w:szCs w:val="24"/>
              </w:rPr>
            </w:pPr>
            <w:r>
              <w:rPr>
                <w:sz w:val="22"/>
                <w:szCs w:val="24"/>
              </w:rPr>
              <w:t>Applicants for restricted certificate (sales)</w:t>
            </w:r>
          </w:p>
        </w:tc>
        <w:tc>
          <w:tcPr>
            <w:tcW w:w="1701" w:type="dxa"/>
          </w:tcPr>
          <w:p>
            <w:pPr>
              <w:pStyle w:val="TableNAm"/>
              <w:jc w:val="center"/>
              <w:rPr>
                <w:b/>
                <w:szCs w:val="24"/>
              </w:rPr>
            </w:pPr>
            <w:r>
              <w:rPr>
                <w:b/>
                <w:szCs w:val="24"/>
              </w:rPr>
              <w:t>Column 2</w:t>
            </w:r>
          </w:p>
          <w:p>
            <w:pPr>
              <w:pStyle w:val="TableNAm"/>
              <w:jc w:val="center"/>
              <w:rPr>
                <w:szCs w:val="24"/>
              </w:rPr>
            </w:pPr>
            <w:r>
              <w:rPr>
                <w:sz w:val="22"/>
                <w:szCs w:val="24"/>
              </w:rPr>
              <w:t>Applicants for restricted certificate (property management)</w:t>
            </w:r>
          </w:p>
        </w:tc>
        <w:tc>
          <w:tcPr>
            <w:tcW w:w="1701" w:type="dxa"/>
          </w:tcPr>
          <w:p>
            <w:pPr>
              <w:pStyle w:val="TableNAm"/>
              <w:jc w:val="center"/>
              <w:rPr>
                <w:b/>
                <w:szCs w:val="24"/>
              </w:rPr>
            </w:pPr>
            <w:r>
              <w:rPr>
                <w:b/>
                <w:szCs w:val="24"/>
              </w:rPr>
              <w:t>Column 3</w:t>
            </w:r>
          </w:p>
          <w:p>
            <w:pPr>
              <w:pStyle w:val="TableNAm"/>
              <w:jc w:val="center"/>
              <w:rPr>
                <w:szCs w:val="24"/>
              </w:rPr>
            </w:pPr>
            <w:r>
              <w:rPr>
                <w:sz w:val="22"/>
                <w:szCs w:val="24"/>
              </w:rPr>
              <w:t>Applicants for unrestricted certificate</w:t>
            </w:r>
          </w:p>
        </w:tc>
      </w:tr>
      <w:tr>
        <w:tc>
          <w:tcPr>
            <w:tcW w:w="1701" w:type="dxa"/>
            <w:vAlign w:val="center"/>
          </w:tcPr>
          <w:p>
            <w:pPr>
              <w:pStyle w:val="TableNAm"/>
              <w:rPr>
                <w:szCs w:val="24"/>
              </w:rPr>
            </w:pPr>
            <w:r>
              <w:rPr>
                <w:szCs w:val="24"/>
              </w:rPr>
              <w:t>CPPREP4001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CPPREP4005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CPPREP4101</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CPPREP4102</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CPPREP4103</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CPPREP4104</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CPPREP4105</w:t>
            </w:r>
          </w:p>
        </w:tc>
        <w:tc>
          <w:tcPr>
            <w:tcW w:w="1843"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CPPREP4121</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CPPREP4122</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CPPREP4123</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lastRenderedPageBreak/>
              <w:t>CPPREP4124</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keepNext/>
              <w:rPr>
                <w:szCs w:val="24"/>
              </w:rPr>
            </w:pPr>
            <w:r>
              <w:rPr>
                <w:szCs w:val="24"/>
              </w:rPr>
              <w:t>CPPREP4125</w:t>
            </w:r>
          </w:p>
        </w:tc>
        <w:tc>
          <w:tcPr>
            <w:tcW w:w="1843"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Mandatory</w:t>
            </w:r>
          </w:p>
        </w:tc>
        <w:tc>
          <w:tcPr>
            <w:tcW w:w="1701" w:type="dxa"/>
            <w:vAlign w:val="center"/>
          </w:tcPr>
          <w:p>
            <w:pPr>
              <w:pStyle w:val="TableNAm"/>
              <w:jc w:val="center"/>
              <w:rPr>
                <w:szCs w:val="24"/>
              </w:rPr>
            </w:pPr>
            <w:r>
              <w:rPr>
                <w:szCs w:val="24"/>
              </w:rPr>
              <w:t>Mandatory</w:t>
            </w:r>
          </w:p>
        </w:tc>
      </w:tr>
      <w:tr>
        <w:tc>
          <w:tcPr>
            <w:tcW w:w="1701" w:type="dxa"/>
            <w:vAlign w:val="center"/>
          </w:tcPr>
          <w:p>
            <w:pPr>
              <w:pStyle w:val="TableNAm"/>
              <w:rPr>
                <w:szCs w:val="24"/>
              </w:rPr>
            </w:pPr>
            <w:r>
              <w:rPr>
                <w:szCs w:val="24"/>
              </w:rPr>
              <w:t>CPPREP4201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CPPREP4202</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CPPREP4203</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CPPREP4204</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r>
        <w:tc>
          <w:tcPr>
            <w:tcW w:w="1701" w:type="dxa"/>
            <w:vAlign w:val="center"/>
          </w:tcPr>
          <w:p>
            <w:pPr>
              <w:pStyle w:val="TableNAm"/>
              <w:rPr>
                <w:szCs w:val="24"/>
              </w:rPr>
            </w:pPr>
            <w:r>
              <w:rPr>
                <w:szCs w:val="24"/>
              </w:rPr>
              <w:t>CPPREP5201</w:t>
            </w:r>
          </w:p>
        </w:tc>
        <w:tc>
          <w:tcPr>
            <w:tcW w:w="1843" w:type="dxa"/>
            <w:vAlign w:val="center"/>
          </w:tcPr>
          <w:p>
            <w:pPr>
              <w:pStyle w:val="TableNAm"/>
              <w:jc w:val="center"/>
              <w:rPr>
                <w:szCs w:val="24"/>
              </w:rPr>
            </w:pPr>
            <w:r>
              <w:rPr>
                <w:szCs w:val="24"/>
              </w:rPr>
              <w:t>Elective</w:t>
            </w:r>
          </w:p>
        </w:tc>
        <w:tc>
          <w:tcPr>
            <w:tcW w:w="1701" w:type="dxa"/>
            <w:vAlign w:val="center"/>
          </w:tcPr>
          <w:p>
            <w:pPr>
              <w:pStyle w:val="TableNAm"/>
              <w:jc w:val="center"/>
              <w:rPr>
                <w:szCs w:val="24"/>
              </w:rPr>
            </w:pPr>
            <w:r>
              <w:rPr>
                <w:szCs w:val="24"/>
              </w:rPr>
              <w:t>Not accepted</w:t>
            </w:r>
          </w:p>
        </w:tc>
        <w:tc>
          <w:tcPr>
            <w:tcW w:w="1701" w:type="dxa"/>
            <w:vAlign w:val="center"/>
          </w:tcPr>
          <w:p>
            <w:pPr>
              <w:pStyle w:val="TableNAm"/>
              <w:jc w:val="center"/>
              <w:rPr>
                <w:szCs w:val="24"/>
              </w:rPr>
            </w:pPr>
            <w:r>
              <w:rPr>
                <w:szCs w:val="24"/>
              </w:rPr>
              <w:t>Elective</w:t>
            </w:r>
          </w:p>
        </w:tc>
      </w:tr>
    </w:tbl>
    <w:p>
      <w:pPr>
        <w:pStyle w:val="Footnotesection"/>
      </w:pPr>
      <w:r>
        <w:tab/>
        <w:t>[Regulation 6A inserted: SL 2025/194 r. 16.]</w:t>
      </w:r>
    </w:p>
    <w:p>
      <w:pPr>
        <w:pStyle w:val="Heading5"/>
      </w:pPr>
      <w:bookmarkStart w:id="59" w:name="_Toc217380680"/>
      <w:r>
        <w:rPr>
          <w:rStyle w:val="CharSectno"/>
        </w:rPr>
        <w:t>6B</w:t>
      </w:r>
      <w:r>
        <w:t>.</w:t>
      </w:r>
      <w:r>
        <w:tab/>
        <w:t>Certificate of registration, grant of (Act s. 47)</w:t>
      </w:r>
      <w:bookmarkEnd w:id="59"/>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3 years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pPr>
      <w:r>
        <w:tab/>
        <w:t>(c)</w:t>
      </w:r>
      <w:r>
        <w:tab/>
        <w:t>who has passed the examinations prescribed by regulation 6 to qualify for the grant of a licence; or</w:t>
      </w:r>
    </w:p>
    <w:p>
      <w:pPr>
        <w:pStyle w:val="Indenta"/>
        <w:keepNext/>
      </w:pPr>
      <w:r>
        <w:lastRenderedPageBreak/>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 SL 2020/209 r. 6.]</w:t>
      </w:r>
    </w:p>
    <w:p>
      <w:pPr>
        <w:pStyle w:val="Heading2"/>
      </w:pPr>
      <w:bookmarkStart w:id="60" w:name="_Toc214538729"/>
      <w:bookmarkStart w:id="61" w:name="_Toc214538828"/>
      <w:bookmarkStart w:id="62" w:name="_Toc214538912"/>
      <w:bookmarkStart w:id="63" w:name="_Toc214539030"/>
      <w:bookmarkStart w:id="64" w:name="_Toc214631786"/>
      <w:bookmarkStart w:id="65" w:name="_Toc217380681"/>
      <w:r>
        <w:rPr>
          <w:rStyle w:val="CharPartNo"/>
        </w:rPr>
        <w:lastRenderedPageBreak/>
        <w:t>Part 5</w:t>
      </w:r>
      <w:r>
        <w:rPr>
          <w:rStyle w:val="CharDivNo"/>
        </w:rPr>
        <w:t> </w:t>
      </w:r>
      <w:r>
        <w:t>—</w:t>
      </w:r>
      <w:r>
        <w:rPr>
          <w:rStyle w:val="CharDivText"/>
        </w:rPr>
        <w:t> </w:t>
      </w:r>
      <w:r>
        <w:rPr>
          <w:rStyle w:val="CharPartText"/>
        </w:rPr>
        <w:t>General controls</w:t>
      </w:r>
      <w:bookmarkEnd w:id="60"/>
      <w:bookmarkEnd w:id="61"/>
      <w:bookmarkEnd w:id="62"/>
      <w:bookmarkEnd w:id="63"/>
      <w:bookmarkEnd w:id="64"/>
      <w:bookmarkEnd w:id="65"/>
    </w:p>
    <w:p>
      <w:pPr>
        <w:pStyle w:val="Footnoteheading"/>
      </w:pPr>
      <w:r>
        <w:tab/>
        <w:t>[Heading inserted: SL 2025/194 r. 17.]</w:t>
      </w:r>
    </w:p>
    <w:p>
      <w:pPr>
        <w:pStyle w:val="Heading5"/>
        <w:rPr>
          <w:snapToGrid w:val="0"/>
        </w:rPr>
      </w:pPr>
      <w:bookmarkStart w:id="66" w:name="_Toc217380682"/>
      <w:r>
        <w:rPr>
          <w:rStyle w:val="CharSectno"/>
        </w:rPr>
        <w:t>6BA</w:t>
      </w:r>
      <w:r>
        <w:rPr>
          <w:snapToGrid w:val="0"/>
        </w:rPr>
        <w:t>.</w:t>
      </w:r>
      <w:r>
        <w:rPr>
          <w:snapToGrid w:val="0"/>
        </w:rPr>
        <w:tab/>
        <w:t>Appointment to act as agent, content of</w:t>
      </w:r>
      <w:bookmarkEnd w:id="66"/>
    </w:p>
    <w:p>
      <w:pPr>
        <w:pStyle w:val="Subsection"/>
        <w:keepNext/>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keepNext/>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lastRenderedPageBreak/>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67" w:name="_Toc217380683"/>
      <w:r>
        <w:rPr>
          <w:rStyle w:val="CharSectno"/>
        </w:rPr>
        <w:t>6BB</w:t>
      </w:r>
      <w:r>
        <w:t>.</w:t>
      </w:r>
      <w:r>
        <w:tab/>
        <w:t>Prescribed transaction</w:t>
      </w:r>
      <w:bookmarkEnd w:id="67"/>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2"/>
      </w:pPr>
      <w:bookmarkStart w:id="68" w:name="_Toc214538731"/>
      <w:bookmarkStart w:id="69" w:name="_Toc214538830"/>
      <w:bookmarkStart w:id="70" w:name="_Toc214538914"/>
      <w:bookmarkStart w:id="71" w:name="_Toc214539032"/>
      <w:bookmarkStart w:id="72" w:name="_Toc214631789"/>
      <w:bookmarkStart w:id="73" w:name="_Toc217380684"/>
      <w:r>
        <w:rPr>
          <w:rStyle w:val="CharPartNo"/>
        </w:rPr>
        <w:lastRenderedPageBreak/>
        <w:t>Part 6</w:t>
      </w:r>
      <w:r>
        <w:rPr>
          <w:rStyle w:val="CharDivNo"/>
        </w:rPr>
        <w:t> </w:t>
      </w:r>
      <w:r>
        <w:t>—</w:t>
      </w:r>
      <w:r>
        <w:rPr>
          <w:rStyle w:val="CharDivText"/>
        </w:rPr>
        <w:t> </w:t>
      </w:r>
      <w:r>
        <w:rPr>
          <w:rStyle w:val="CharPartText"/>
        </w:rPr>
        <w:t>Agents’ trust accounts</w:t>
      </w:r>
      <w:bookmarkEnd w:id="68"/>
      <w:bookmarkEnd w:id="69"/>
      <w:bookmarkEnd w:id="70"/>
      <w:bookmarkEnd w:id="71"/>
      <w:bookmarkEnd w:id="72"/>
      <w:bookmarkEnd w:id="73"/>
    </w:p>
    <w:p>
      <w:pPr>
        <w:pStyle w:val="Footnoteheading"/>
      </w:pPr>
      <w:r>
        <w:tab/>
        <w:t>[Heading inserted: SL 2025/194 r. 18.]</w:t>
      </w:r>
    </w:p>
    <w:p>
      <w:pPr>
        <w:pStyle w:val="Heading5"/>
      </w:pPr>
      <w:bookmarkStart w:id="74" w:name="_Toc217380685"/>
      <w:r>
        <w:rPr>
          <w:rStyle w:val="CharSectno"/>
        </w:rPr>
        <w:t>6C</w:t>
      </w:r>
      <w:r>
        <w:t>.</w:t>
      </w:r>
      <w:r>
        <w:tab/>
        <w:t>Authorised financial institution (Act s. 67), classes of body prescribed</w:t>
      </w:r>
      <w:bookmarkEnd w:id="74"/>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keepNext/>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75" w:name="_Toc217380686"/>
      <w:r>
        <w:rPr>
          <w:rStyle w:val="CharSectno"/>
        </w:rPr>
        <w:t>6D</w:t>
      </w:r>
      <w:r>
        <w:t>.</w:t>
      </w:r>
      <w:r>
        <w:tab/>
        <w:t>Trust accounts, designation of (Act s. 68(1))</w:t>
      </w:r>
      <w:bookmarkEnd w:id="75"/>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keepNext/>
        <w:spacing w:before="100"/>
        <w:rPr>
          <w:snapToGrid w:val="0"/>
        </w:rPr>
      </w:pPr>
      <w:r>
        <w:rPr>
          <w:snapToGrid w:val="0"/>
        </w:rPr>
        <w:lastRenderedPageBreak/>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76" w:name="_Toc217380687"/>
      <w:r>
        <w:rPr>
          <w:rStyle w:val="CharSectno"/>
        </w:rPr>
        <w:t>6E</w:t>
      </w:r>
      <w:r>
        <w:t>.</w:t>
      </w:r>
      <w:r>
        <w:tab/>
        <w:t>Separate trust accounts, requests for, requirements prescribed (Act s. 68A(4))</w:t>
      </w:r>
      <w:bookmarkEnd w:id="76"/>
    </w:p>
    <w:p>
      <w:pPr>
        <w:pStyle w:val="Subsection"/>
        <w:keepNext/>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77" w:name="_Toc217380688"/>
      <w:r>
        <w:rPr>
          <w:rStyle w:val="CharSectno"/>
        </w:rPr>
        <w:t>6F</w:t>
      </w:r>
      <w:r>
        <w:t>.</w:t>
      </w:r>
      <w:r>
        <w:tab/>
        <w:t>Trust accounts, interest on (Act s. 68B(1))</w:t>
      </w:r>
      <w:bookmarkEnd w:id="77"/>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keepNext/>
      </w:pPr>
      <w:r>
        <w:rPr>
          <w:b/>
        </w:rPr>
        <w:tab/>
      </w:r>
      <w:r>
        <w:rPr>
          <w:rStyle w:val="CharDefText"/>
        </w:rPr>
        <w:t>relevant bank accepted bills rate</w:t>
      </w:r>
      <w:r>
        <w:t xml:space="preserve"> means the 30 day bank accepted bills rate as published in Table F.1 of the “Reserve </w:t>
      </w:r>
      <w:r>
        <w:lastRenderedPageBreak/>
        <w:t>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78" w:name="_Toc217380689"/>
      <w:r>
        <w:rPr>
          <w:rStyle w:val="CharSectno"/>
        </w:rPr>
        <w:t>6G</w:t>
      </w:r>
      <w:r>
        <w:t>.</w:t>
      </w:r>
      <w:r>
        <w:tab/>
        <w:t>Receipts by agents, information in (Act s. 69(1)(a))</w:t>
      </w:r>
      <w:bookmarkEnd w:id="78"/>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79" w:name="_Toc217380690"/>
      <w:r>
        <w:rPr>
          <w:rStyle w:val="CharSectno"/>
        </w:rPr>
        <w:t>6H</w:t>
      </w:r>
      <w:r>
        <w:rPr>
          <w:snapToGrid w:val="0"/>
        </w:rPr>
        <w:t>.</w:t>
      </w:r>
      <w:r>
        <w:rPr>
          <w:snapToGrid w:val="0"/>
        </w:rPr>
        <w:tab/>
        <w:t>Record keeping requirements (Act s. 69(2))</w:t>
      </w:r>
      <w:bookmarkEnd w:id="79"/>
    </w:p>
    <w:p>
      <w:pPr>
        <w:pStyle w:val="Subsection"/>
      </w:pPr>
      <w:r>
        <w:tab/>
        <w:t>(1A)</w:t>
      </w:r>
      <w:r>
        <w:tab/>
        <w:t xml:space="preserve">In this regulation — </w:t>
      </w:r>
    </w:p>
    <w:p>
      <w:pPr>
        <w:pStyle w:val="Defstart"/>
      </w:pPr>
      <w:r>
        <w:rPr>
          <w:b/>
        </w:rPr>
        <w:tab/>
      </w:r>
      <w:r>
        <w:rPr>
          <w:rStyle w:val="CharDefText"/>
        </w:rPr>
        <w:t>money record</w:t>
      </w:r>
      <w:r>
        <w:t xml:space="preserve"> means a record under section 69(1)(b) of the Act.</w:t>
      </w:r>
    </w:p>
    <w:p>
      <w:pPr>
        <w:pStyle w:val="Subsection"/>
        <w:keepNext/>
        <w:rPr>
          <w:snapToGrid w:val="0"/>
        </w:rPr>
      </w:pPr>
      <w:r>
        <w:rPr>
          <w:snapToGrid w:val="0"/>
        </w:rPr>
        <w:lastRenderedPageBreak/>
        <w:tab/>
        <w:t>(1)</w:t>
      </w:r>
      <w:r>
        <w:rPr>
          <w:snapToGrid w:val="0"/>
        </w:rPr>
        <w:tab/>
        <w:t xml:space="preserve">A </w:t>
      </w:r>
      <w:r>
        <w:t xml:space="preserve">money record must be —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 xml:space="preserve">Where a receipt has been given for money received, a </w:t>
      </w:r>
      <w:r>
        <w:t>money record must</w:t>
      </w:r>
      <w:r>
        <w:rPr>
          <w:snapToGrid w:val="0"/>
        </w:rPr>
        <w:t xml:space="preserve"> contain the information contained in the receipt and may take the form of a duplicate copy of the receipt.</w:t>
      </w:r>
    </w:p>
    <w:p>
      <w:pPr>
        <w:pStyle w:val="Subsection"/>
        <w:keepLines/>
        <w:rPr>
          <w:snapToGrid w:val="0"/>
        </w:rPr>
      </w:pPr>
      <w:r>
        <w:rPr>
          <w:snapToGrid w:val="0"/>
        </w:rPr>
        <w:tab/>
        <w:t>(3)</w:t>
      </w:r>
      <w:r>
        <w:rPr>
          <w:snapToGrid w:val="0"/>
        </w:rPr>
        <w:tab/>
        <w:t xml:space="preserve">Where money has been received by electronic transfer, a </w:t>
      </w:r>
      <w:r>
        <w:t>money record must</w:t>
      </w:r>
      <w:r>
        <w:rPr>
          <w:snapToGrid w:val="0"/>
        </w:rPr>
        <w:t xml:space="preserve"> contain the information specified in regulation 6G(b), (c), (d), (e) and (f) and, for that purpose, the reference in regulation 6G(b) to “receipt” is to be read as a reference to </w:t>
      </w:r>
      <w:r>
        <w:t>“money record”.</w:t>
      </w:r>
    </w:p>
    <w:p>
      <w:pPr>
        <w:pStyle w:val="Footnotesection"/>
      </w:pPr>
      <w:r>
        <w:tab/>
        <w:t>[Regulation 6H inserted: Gazette 25 Jun 1996 p. 2919</w:t>
      </w:r>
      <w:r>
        <w:noBreakHyphen/>
        <w:t>20; amended: SL 2025/194 r. 19.]</w:t>
      </w:r>
    </w:p>
    <w:p>
      <w:pPr>
        <w:pStyle w:val="Heading2"/>
      </w:pPr>
      <w:bookmarkStart w:id="80" w:name="_Toc214538734"/>
      <w:bookmarkStart w:id="81" w:name="_Toc214538833"/>
      <w:bookmarkStart w:id="82" w:name="_Toc214538917"/>
      <w:bookmarkStart w:id="83" w:name="_Toc214539035"/>
      <w:bookmarkStart w:id="84" w:name="_Toc214631796"/>
      <w:bookmarkStart w:id="85" w:name="_Toc217380691"/>
      <w:r>
        <w:rPr>
          <w:rStyle w:val="CharPartNo"/>
        </w:rPr>
        <w:lastRenderedPageBreak/>
        <w:t>Part 7</w:t>
      </w:r>
      <w:r>
        <w:rPr>
          <w:rStyle w:val="CharDivNo"/>
        </w:rPr>
        <w:t> </w:t>
      </w:r>
      <w:r>
        <w:t>—</w:t>
      </w:r>
      <w:r>
        <w:rPr>
          <w:rStyle w:val="CharDivText"/>
        </w:rPr>
        <w:t> </w:t>
      </w:r>
      <w:r>
        <w:rPr>
          <w:rStyle w:val="CharPartText"/>
        </w:rPr>
        <w:t>Miscellaneous</w:t>
      </w:r>
      <w:bookmarkEnd w:id="80"/>
      <w:bookmarkEnd w:id="81"/>
      <w:bookmarkEnd w:id="82"/>
      <w:bookmarkEnd w:id="83"/>
      <w:bookmarkEnd w:id="84"/>
      <w:bookmarkEnd w:id="85"/>
    </w:p>
    <w:p>
      <w:pPr>
        <w:pStyle w:val="Footnoteheading"/>
      </w:pPr>
      <w:r>
        <w:tab/>
        <w:t>[Heading inserted: SL 2025/194 r. 20.]</w:t>
      </w:r>
    </w:p>
    <w:p>
      <w:pPr>
        <w:pStyle w:val="Heading5"/>
        <w:rPr>
          <w:snapToGrid w:val="0"/>
        </w:rPr>
      </w:pPr>
      <w:bookmarkStart w:id="86" w:name="_Toc217380692"/>
      <w:r>
        <w:rPr>
          <w:rStyle w:val="CharSectno"/>
        </w:rPr>
        <w:t>7</w:t>
      </w:r>
      <w:r>
        <w:rPr>
          <w:snapToGrid w:val="0"/>
        </w:rPr>
        <w:t>.</w:t>
      </w:r>
      <w:r>
        <w:rPr>
          <w:snapToGrid w:val="0"/>
        </w:rPr>
        <w:tab/>
        <w:t>Registers (Act s. 133(2))</w:t>
      </w:r>
      <w:bookmarkEnd w:id="86"/>
    </w:p>
    <w:p>
      <w:pPr>
        <w:pStyle w:val="Subsection"/>
        <w:keepNext/>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keepNext/>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keepNext/>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lastRenderedPageBreak/>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 xml:space="preserve">the date upon which a holder commenced in that capacity to act for and on behalf of, or be </w:t>
      </w:r>
      <w:r>
        <w:rPr>
          <w:snapToGrid w:val="0"/>
        </w:rPr>
        <w:lastRenderedPageBreak/>
        <w:t>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87" w:name="_Toc217380693"/>
      <w:r>
        <w:rPr>
          <w:rStyle w:val="CharSectno"/>
        </w:rPr>
        <w:t>7AA</w:t>
      </w:r>
      <w:r>
        <w:t>.</w:t>
      </w:r>
      <w:r>
        <w:tab/>
        <w:t>Lending institution (Act s. 131A), classes of body prescribed</w:t>
      </w:r>
      <w:bookmarkEnd w:id="87"/>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88" w:name="_Toc217380694"/>
      <w:r>
        <w:rPr>
          <w:rStyle w:val="CharSectno"/>
        </w:rPr>
        <w:t>7B</w:t>
      </w:r>
      <w:r>
        <w:rPr>
          <w:snapToGrid w:val="0"/>
        </w:rPr>
        <w:t>.</w:t>
      </w:r>
      <w:r>
        <w:rPr>
          <w:snapToGrid w:val="0"/>
        </w:rPr>
        <w:tab/>
        <w:t>Maximum amount prescribed (Act s. 131M(3))</w:t>
      </w:r>
      <w:bookmarkEnd w:id="88"/>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89" w:name="_Toc217380695"/>
      <w:r>
        <w:rPr>
          <w:rStyle w:val="CharSectno"/>
        </w:rPr>
        <w:t>8</w:t>
      </w:r>
      <w:r>
        <w:rPr>
          <w:snapToGrid w:val="0"/>
        </w:rPr>
        <w:t>.</w:t>
      </w:r>
      <w:r>
        <w:rPr>
          <w:snapToGrid w:val="0"/>
        </w:rPr>
        <w:tab/>
        <w:t>Changes in particulars, licensees to notify Commissioner of</w:t>
      </w:r>
      <w:bookmarkEnd w:id="89"/>
    </w:p>
    <w:p>
      <w:pPr>
        <w:pStyle w:val="Subsection"/>
        <w:keepNext/>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lastRenderedPageBreak/>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pPr>
      <w:r>
        <w:tab/>
        <w:t>Penalty: a fine of $1 000.</w:t>
      </w:r>
    </w:p>
    <w:p>
      <w:pPr>
        <w:pStyle w:val="Footnotesection"/>
      </w:pPr>
      <w:r>
        <w:tab/>
        <w:t>[Regulation 8 amended: Gazette 30 Jun 2011 p. 2672; SL 2020/257 r. 7.]</w:t>
      </w:r>
    </w:p>
    <w:p>
      <w:pPr>
        <w:pStyle w:val="Heading5"/>
        <w:rPr>
          <w:snapToGrid w:val="0"/>
        </w:rPr>
      </w:pPr>
      <w:bookmarkStart w:id="90" w:name="_Toc217380696"/>
      <w:r>
        <w:rPr>
          <w:rStyle w:val="CharSectno"/>
        </w:rPr>
        <w:t>9</w:t>
      </w:r>
      <w:r>
        <w:rPr>
          <w:snapToGrid w:val="0"/>
        </w:rPr>
        <w:t>.</w:t>
      </w:r>
      <w:r>
        <w:rPr>
          <w:snapToGrid w:val="0"/>
        </w:rPr>
        <w:tab/>
        <w:t xml:space="preserve">Fees and costs, </w:t>
      </w:r>
      <w:r>
        <w:t>recovery</w:t>
      </w:r>
      <w:r>
        <w:rPr>
          <w:snapToGrid w:val="0"/>
        </w:rPr>
        <w:t xml:space="preserve"> of</w:t>
      </w:r>
      <w:bookmarkEnd w:id="90"/>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91" w:name="_Toc217380697"/>
      <w:r>
        <w:rPr>
          <w:rStyle w:val="CharSectno"/>
        </w:rPr>
        <w:t>10</w:t>
      </w:r>
      <w:r>
        <w:rPr>
          <w:snapToGrid w:val="0"/>
        </w:rPr>
        <w:t>.</w:t>
      </w:r>
      <w:r>
        <w:rPr>
          <w:snapToGrid w:val="0"/>
        </w:rPr>
        <w:tab/>
      </w:r>
      <w:r>
        <w:t>Unsuccessful</w:t>
      </w:r>
      <w:r>
        <w:rPr>
          <w:snapToGrid w:val="0"/>
        </w:rPr>
        <w:t xml:space="preserve"> applicant for licence etc., refund to (Act s. 113)</w:t>
      </w:r>
      <w:bookmarkEnd w:id="91"/>
    </w:p>
    <w:p>
      <w:pPr>
        <w:pStyle w:val="Subsection"/>
        <w:keepNext/>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w:t>
      </w:r>
      <w:r>
        <w:rPr>
          <w:snapToGrid w:val="0"/>
        </w:rPr>
        <w:lastRenderedPageBreak/>
        <w:t>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keepNext w:val="0"/>
        <w:rPr>
          <w:snapToGrid w:val="0"/>
        </w:rPr>
      </w:pPr>
      <w:bookmarkStart w:id="92" w:name="_Toc217380698"/>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92"/>
    </w:p>
    <w:p>
      <w:pPr>
        <w:pStyle w:val="Subsection"/>
        <w:keepLines/>
        <w:rPr>
          <w:snapToGrid w:val="0"/>
        </w:rPr>
      </w:pPr>
      <w:r>
        <w:rPr>
          <w:snapToGrid w:val="0"/>
        </w:rPr>
        <w:tab/>
      </w:r>
      <w:r>
        <w:rPr>
          <w:snapToGrid w:val="0"/>
        </w:rPr>
        <w:tab/>
        <w:t>For the purposes of section 127 of the Act —</w:t>
      </w:r>
    </w:p>
    <w:p>
      <w:pPr>
        <w:pStyle w:val="Indenta"/>
        <w:keepLines/>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keepLines/>
        <w:rPr>
          <w:snapToGrid w:val="0"/>
        </w:rPr>
      </w:pPr>
      <w:r>
        <w:rPr>
          <w:snapToGrid w:val="0"/>
        </w:rPr>
        <w:tab/>
        <w:t>(b)</w:t>
      </w:r>
      <w:r>
        <w:rPr>
          <w:snapToGrid w:val="0"/>
        </w:rPr>
        <w:tab/>
        <w:t>the following proportions are prescribed —</w:t>
      </w:r>
    </w:p>
    <w:p>
      <w:pPr>
        <w:pStyle w:val="Indenti"/>
        <w:keepLines/>
        <w:rPr>
          <w:snapToGrid w:val="0"/>
        </w:rPr>
      </w:pPr>
      <w:r>
        <w:rPr>
          <w:snapToGrid w:val="0"/>
        </w:rPr>
        <w:tab/>
        <w:t>(i)</w:t>
      </w:r>
      <w:r>
        <w:rPr>
          <w:snapToGrid w:val="0"/>
        </w:rPr>
        <w:tab/>
        <w:t>4.5% to the Fidelity Account; and</w:t>
      </w:r>
    </w:p>
    <w:p>
      <w:pPr>
        <w:pStyle w:val="Indenti"/>
        <w:keepNext/>
        <w:keepLines/>
        <w:rPr>
          <w:snapToGrid w:val="0"/>
        </w:rPr>
      </w:pPr>
      <w:r>
        <w:rPr>
          <w:snapToGrid w:val="0"/>
        </w:rPr>
        <w:tab/>
        <w:t>(ii)</w:t>
      </w:r>
      <w:r>
        <w:rPr>
          <w:snapToGrid w:val="0"/>
        </w:rPr>
        <w:tab/>
        <w:t>57% to the General Purpose Account; and</w:t>
      </w:r>
    </w:p>
    <w:p>
      <w:pPr>
        <w:pStyle w:val="Indenti"/>
        <w:keepNext/>
        <w:keepLines/>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93" w:name="_Toc217380699"/>
      <w:r>
        <w:rPr>
          <w:rStyle w:val="CharSectno"/>
        </w:rPr>
        <w:t>12</w:t>
      </w:r>
      <w:r>
        <w:rPr>
          <w:snapToGrid w:val="0"/>
        </w:rPr>
        <w:t>.</w:t>
      </w:r>
      <w:r>
        <w:rPr>
          <w:snapToGrid w:val="0"/>
        </w:rPr>
        <w:tab/>
        <w:t>Fidelity Guarantee Account, claims against</w:t>
      </w:r>
      <w:bookmarkEnd w:id="93"/>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94" w:name="_Toc217380700"/>
      <w:r>
        <w:rPr>
          <w:rStyle w:val="CharSectno"/>
        </w:rPr>
        <w:lastRenderedPageBreak/>
        <w:t>13</w:t>
      </w:r>
      <w:r>
        <w:rPr>
          <w:snapToGrid w:val="0"/>
        </w:rPr>
        <w:t>.</w:t>
      </w:r>
      <w:r>
        <w:rPr>
          <w:snapToGrid w:val="0"/>
        </w:rPr>
        <w:tab/>
        <w:t>Codes of conduct prescribed to be published (Act s. 101)</w:t>
      </w:r>
      <w:bookmarkEnd w:id="94"/>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95" w:name="_Toc217380701"/>
      <w:r>
        <w:rPr>
          <w:rStyle w:val="CharSectno"/>
        </w:rPr>
        <w:t>14</w:t>
      </w:r>
      <w:r>
        <w:t>.</w:t>
      </w:r>
      <w:r>
        <w:tab/>
        <w:t>Infringement notices</w:t>
      </w:r>
      <w:bookmarkEnd w:id="95"/>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96" w:name="_Toc217380702"/>
      <w:r>
        <w:rPr>
          <w:rStyle w:val="CharSectno"/>
        </w:rPr>
        <w:t>15</w:t>
      </w:r>
      <w:r>
        <w:t>.</w:t>
      </w:r>
      <w:r>
        <w:tab/>
        <w:t>Forms (Sch. 2)</w:t>
      </w:r>
      <w:bookmarkEnd w:id="96"/>
    </w:p>
    <w:p>
      <w:pPr>
        <w:pStyle w:val="Subsection"/>
        <w:keepNext/>
      </w:pPr>
      <w:r>
        <w:tab/>
      </w:r>
      <w:r>
        <w:tab/>
        <w:t>The forms set out in Schedule 2 are prescribed in relation to the matters specified in those forms.</w:t>
      </w:r>
    </w:p>
    <w:p>
      <w:pPr>
        <w:pStyle w:val="Footnotesection"/>
      </w:pPr>
      <w:r>
        <w:tab/>
        <w:t>[Regulation 15 inserted: Gazette 28 Aug 2009 p. 3348.]</w:t>
      </w:r>
    </w:p>
    <w:p>
      <w:pPr>
        <w:pStyle w:val="Heading2"/>
      </w:pPr>
      <w:bookmarkStart w:id="97" w:name="_Toc214538736"/>
      <w:bookmarkStart w:id="98" w:name="_Toc214538835"/>
      <w:bookmarkStart w:id="99" w:name="_Toc214538919"/>
      <w:bookmarkStart w:id="100" w:name="_Toc214539037"/>
      <w:bookmarkStart w:id="101" w:name="_Toc214631808"/>
      <w:bookmarkStart w:id="102" w:name="_Toc217380703"/>
      <w:r>
        <w:rPr>
          <w:rStyle w:val="CharPartNo"/>
        </w:rPr>
        <w:lastRenderedPageBreak/>
        <w:t>Part 8</w:t>
      </w:r>
      <w:r>
        <w:rPr>
          <w:rStyle w:val="CharDivNo"/>
        </w:rPr>
        <w:t> </w:t>
      </w:r>
      <w:r>
        <w:t>—</w:t>
      </w:r>
      <w:r>
        <w:rPr>
          <w:rStyle w:val="CharDivText"/>
        </w:rPr>
        <w:t> </w:t>
      </w:r>
      <w:r>
        <w:rPr>
          <w:rStyle w:val="CharPartText"/>
        </w:rPr>
        <w:t>Transitional provisions</w:t>
      </w:r>
      <w:bookmarkEnd w:id="97"/>
      <w:bookmarkEnd w:id="98"/>
      <w:bookmarkEnd w:id="99"/>
      <w:bookmarkEnd w:id="100"/>
      <w:bookmarkEnd w:id="101"/>
      <w:bookmarkEnd w:id="102"/>
    </w:p>
    <w:p>
      <w:pPr>
        <w:pStyle w:val="Footnoteheading"/>
      </w:pPr>
      <w:r>
        <w:tab/>
        <w:t>[Heading inserted: SL 2025/194 r. 21.]</w:t>
      </w:r>
    </w:p>
    <w:p>
      <w:pPr>
        <w:pStyle w:val="Heading5"/>
      </w:pPr>
      <w:bookmarkStart w:id="103" w:name="_Toc217380704"/>
      <w:r>
        <w:rPr>
          <w:rStyle w:val="CharSectno"/>
        </w:rPr>
        <w:t>16</w:t>
      </w:r>
      <w:r>
        <w:t>.</w:t>
      </w:r>
      <w:r>
        <w:tab/>
        <w:t xml:space="preserve">Transitional regulation for </w:t>
      </w:r>
      <w:r>
        <w:rPr>
          <w:i/>
        </w:rPr>
        <w:t>Real Estate and Business Agents (General) Amendment Regulations (No. 2) 2020</w:t>
      </w:r>
      <w:bookmarkEnd w:id="103"/>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Real Estate and Business Agents (General) Amendment Regulations (No. 2) 2020</w:t>
      </w:r>
      <w:r>
        <w:t xml:space="preserve"> regulation 8 comes into operation;</w:t>
      </w:r>
    </w:p>
    <w:p>
      <w:pPr>
        <w:pStyle w:val="Defstart"/>
      </w:pPr>
      <w:r>
        <w:tab/>
      </w:r>
      <w:r>
        <w:rPr>
          <w:rStyle w:val="CharDefText"/>
        </w:rPr>
        <w:t>former regulation 4AA</w:t>
      </w:r>
      <w:r>
        <w:t xml:space="preserve"> means regulation 4AA as in force immediately before commencement day.</w:t>
      </w:r>
    </w:p>
    <w:p>
      <w:pPr>
        <w:pStyle w:val="Subsection"/>
      </w:pPr>
      <w:r>
        <w:tab/>
        <w:t>(2)</w:t>
      </w:r>
      <w:r>
        <w:tab/>
        <w:t>An approval of a CPD activity, and a point value for the activity, for 2020 made under former regulation 4AA is taken, on and from commencement day, to be an approval made under regulation 4AC for 2020.</w:t>
      </w:r>
    </w:p>
    <w:p>
      <w:pPr>
        <w:pStyle w:val="Subsection"/>
      </w:pPr>
      <w:r>
        <w:tab/>
        <w:t>(3)</w:t>
      </w:r>
      <w:r>
        <w:tab/>
        <w:t>If the Commissioner specified a CPD activity as a mandatory CPD activity under former regulation 4AA for 2020 and the specification is in force immediately before commencement day, the mandatory CPD activity is taken, on and from commencement day, to have been specified under regulation 4AC(4) for 2020.</w:t>
      </w:r>
    </w:p>
    <w:p>
      <w:pPr>
        <w:pStyle w:val="Footnotesection"/>
      </w:pPr>
      <w:r>
        <w:tab/>
        <w:t>[Regulation 16 inserted: SL 2020/257 r. 8.]</w:t>
      </w:r>
    </w:p>
    <w:p>
      <w:pPr>
        <w:pStyle w:val="Heading5"/>
      </w:pPr>
      <w:bookmarkStart w:id="104" w:name="_Toc217380705"/>
      <w:r>
        <w:rPr>
          <w:rStyle w:val="CharSectno"/>
        </w:rPr>
        <w:t>17</w:t>
      </w:r>
      <w:r>
        <w:t>.</w:t>
      </w:r>
      <w:r>
        <w:tab/>
        <w:t xml:space="preserve">Transitional regulation for </w:t>
      </w:r>
      <w:r>
        <w:rPr>
          <w:i/>
          <w:iCs/>
        </w:rPr>
        <w:t>Real Estate and Business Agents (General) Amendment Regulations 2024</w:t>
      </w:r>
      <w:bookmarkEnd w:id="104"/>
    </w:p>
    <w:p>
      <w:pPr>
        <w:pStyle w:val="Subsection"/>
      </w:pPr>
      <w:r>
        <w:tab/>
      </w:r>
      <w:r>
        <w:tab/>
        <w:t xml:space="preserve">An amendment made to regulation 6 by the </w:t>
      </w:r>
      <w:r>
        <w:rPr>
          <w:i/>
        </w:rPr>
        <w:t>Real Estate and Business Agents (General) Amendment Regulations 2024</w:t>
      </w:r>
      <w:r>
        <w:t xml:space="preserve"> does not apply for the purposes of Schedule 1 clause 1(a) of the Act to an application for a licence made, but not decided by the Commissioner, before 2 September 2024.</w:t>
      </w:r>
    </w:p>
    <w:p>
      <w:pPr>
        <w:pStyle w:val="Footnotesection"/>
      </w:pPr>
      <w:r>
        <w:tab/>
        <w:t>[Regulation 17 inserted: SL 2024/152 r. 5.]</w:t>
      </w:r>
    </w:p>
    <w:p>
      <w:pPr>
        <w:pStyle w:val="Heading5"/>
      </w:pPr>
      <w:bookmarkStart w:id="105" w:name="_Toc214538738"/>
      <w:bookmarkStart w:id="106" w:name="_Toc214539039"/>
      <w:bookmarkStart w:id="107" w:name="_Toc217380706"/>
      <w:r>
        <w:rPr>
          <w:rStyle w:val="CharSectno"/>
        </w:rPr>
        <w:lastRenderedPageBreak/>
        <w:t>18</w:t>
      </w:r>
      <w:r>
        <w:t>.</w:t>
      </w:r>
      <w:r>
        <w:tab/>
        <w:t xml:space="preserve">Transitional regulation for </w:t>
      </w:r>
      <w:r>
        <w:rPr>
          <w:i/>
        </w:rPr>
        <w:t>Commerce Regulations Amendment (Real Estate, Business and Settlement Agents) Regulations 2025</w:t>
      </w:r>
      <w:bookmarkEnd w:id="105"/>
      <w:bookmarkEnd w:id="106"/>
      <w:bookmarkEnd w:id="107"/>
    </w:p>
    <w:p>
      <w:pPr>
        <w:pStyle w:val="Subsection"/>
      </w:pPr>
      <w:r>
        <w:tab/>
        <w:t>(1)</w:t>
      </w:r>
      <w:r>
        <w:tab/>
        <w:t xml:space="preserve">In this regulation — </w:t>
      </w:r>
    </w:p>
    <w:p>
      <w:pPr>
        <w:pStyle w:val="Defstart"/>
      </w:pPr>
      <w:r>
        <w:tab/>
      </w:r>
      <w:r>
        <w:rPr>
          <w:rStyle w:val="CharDefText"/>
        </w:rPr>
        <w:t>commencement day</w:t>
      </w:r>
      <w:r>
        <w:t xml:space="preserve"> means 1 January 2026.</w:t>
      </w:r>
    </w:p>
    <w:p>
      <w:pPr>
        <w:pStyle w:val="Subsection"/>
      </w:pPr>
      <w:r>
        <w:tab/>
        <w:t>(2)</w:t>
      </w:r>
      <w:r>
        <w:tab/>
        <w:t>If a regulated person completes a CPD activity in the period beginning on commencement day and ending on 31 March 2026, the activity is counted towards the educational requirements applicable to the person under section 40B or 50C of the Act for the CPD year beginning on 1 April 2026.</w:t>
      </w:r>
    </w:p>
    <w:p>
      <w:pPr>
        <w:pStyle w:val="Subsection"/>
      </w:pPr>
      <w:r>
        <w:tab/>
        <w:t>(3)</w:t>
      </w:r>
      <w:r>
        <w:tab/>
        <w:t>The reference in regulation 4AE(1) to CPD activities is, before commencement day, a reference to that term as defined in regulation 2(1) as it will be in force on commencement day.</w:t>
      </w:r>
    </w:p>
    <w:p>
      <w:pPr>
        <w:pStyle w:val="Subsection"/>
      </w:pPr>
      <w:r>
        <w:tab/>
        <w:t>(4)</w:t>
      </w:r>
      <w:r>
        <w:tab/>
        <w:t>The reference in regulation 4AE(3) to regulation 4AH is, before commencement day, a reference to that regulation as it will be in force on commencement day.</w:t>
      </w:r>
    </w:p>
    <w:p>
      <w:pPr>
        <w:pStyle w:val="Footnotesection"/>
      </w:pPr>
      <w:r>
        <w:tab/>
        <w:t>[Regulation 18 inserted: SL 2025/194 r. 22.]</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108" w:name="_Toc214611825"/>
      <w:bookmarkStart w:id="109" w:name="_Toc214631812"/>
      <w:bookmarkStart w:id="110" w:name="_Toc217380707"/>
      <w:r>
        <w:rPr>
          <w:rStyle w:val="CharSchNo"/>
        </w:rPr>
        <w:lastRenderedPageBreak/>
        <w:t>Schedule 1</w:t>
      </w:r>
      <w:r>
        <w:t> — </w:t>
      </w:r>
      <w:r>
        <w:rPr>
          <w:rStyle w:val="CharSchText"/>
        </w:rPr>
        <w:t>Fees</w:t>
      </w:r>
      <w:bookmarkEnd w:id="108"/>
      <w:bookmarkEnd w:id="109"/>
      <w:bookmarkEnd w:id="110"/>
    </w:p>
    <w:p>
      <w:pPr>
        <w:pStyle w:val="yShoulderClause"/>
      </w:pPr>
      <w:r>
        <w:t>[r. 4 and 4A]</w:t>
      </w:r>
    </w:p>
    <w:p>
      <w:pPr>
        <w:pStyle w:val="yFootnoteheading"/>
        <w:spacing w:after="60"/>
      </w:pPr>
      <w:r>
        <w:tab/>
        <w:t>[Heading inserted: SL 2025/89 r. 42.]</w:t>
      </w:r>
    </w:p>
    <w:tbl>
      <w:tblPr>
        <w:tblW w:w="7088" w:type="dxa"/>
        <w:jc w:val="center"/>
        <w:tblLayout w:type="fixed"/>
        <w:tblLook w:val="0000" w:firstRow="0" w:lastRow="0" w:firstColumn="0" w:lastColumn="0" w:noHBand="0" w:noVBand="0"/>
      </w:tblPr>
      <w:tblGrid>
        <w:gridCol w:w="709"/>
        <w:gridCol w:w="4961"/>
        <w:gridCol w:w="1418"/>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4961" w:type="dxa"/>
            <w:tcBorders>
              <w:top w:val="single" w:sz="4" w:space="0" w:color="auto"/>
              <w:bottom w:val="single" w:sz="4" w:space="0" w:color="auto"/>
            </w:tcBorders>
            <w:noWrap/>
          </w:tcPr>
          <w:p>
            <w:pPr>
              <w:pStyle w:val="yTableNAm"/>
              <w:jc w:val="center"/>
              <w:rPr>
                <w:b/>
                <w:bCs/>
              </w:rPr>
            </w:pPr>
            <w:r>
              <w:rPr>
                <w:b/>
                <w:bCs/>
              </w:rPr>
              <w:t>Column 1</w:t>
            </w:r>
          </w:p>
          <w:p>
            <w:pPr>
              <w:pStyle w:val="yTableNAm"/>
              <w:jc w:val="center"/>
              <w:rPr>
                <w:b/>
                <w:bCs/>
              </w:rPr>
            </w:pPr>
            <w:r>
              <w:rPr>
                <w:b/>
                <w:bCs/>
              </w:rPr>
              <w:t>Description of fee</w:t>
            </w:r>
          </w:p>
        </w:tc>
        <w:tc>
          <w:tcPr>
            <w:tcW w:w="1418" w:type="dxa"/>
            <w:tcBorders>
              <w:top w:val="single" w:sz="4" w:space="0" w:color="auto"/>
              <w:bottom w:val="single" w:sz="4" w:space="0" w:color="auto"/>
            </w:tcBorders>
            <w:noWrap/>
          </w:tcPr>
          <w:p>
            <w:pPr>
              <w:pStyle w:val="yTableNAm"/>
              <w:jc w:val="center"/>
              <w:rPr>
                <w:b/>
                <w:bCs/>
              </w:rPr>
            </w:pPr>
            <w:r>
              <w:rPr>
                <w:b/>
                <w:bCs/>
              </w:rPr>
              <w:t>Column 2</w:t>
            </w:r>
          </w:p>
          <w:p>
            <w:pPr>
              <w:pStyle w:val="yTableNAm"/>
              <w:jc w:val="center"/>
              <w:rPr>
                <w:b/>
                <w:bCs/>
              </w:rPr>
            </w:pPr>
            <w:r>
              <w:rPr>
                <w:b/>
                <w:bCs/>
              </w:rPr>
              <w:t>Fee ($)</w:t>
            </w:r>
          </w:p>
        </w:tc>
      </w:tr>
      <w:tr>
        <w:trPr>
          <w:cantSplit/>
          <w:jc w:val="center"/>
        </w:trPr>
        <w:tc>
          <w:tcPr>
            <w:tcW w:w="709" w:type="dxa"/>
            <w:noWrap/>
          </w:tcPr>
          <w:p>
            <w:pPr>
              <w:pStyle w:val="yTableNAm"/>
            </w:pPr>
            <w:r>
              <w:t>1.</w:t>
            </w:r>
          </w:p>
        </w:tc>
        <w:tc>
          <w:tcPr>
            <w:tcW w:w="4961" w:type="dxa"/>
            <w:noWrap/>
          </w:tcPr>
          <w:p>
            <w:pPr>
              <w:pStyle w:val="yTableNAm"/>
            </w:pPr>
            <w:r>
              <w:t>Application for licence under section 24 of the Act</w:t>
            </w:r>
          </w:p>
        </w:tc>
        <w:tc>
          <w:tcPr>
            <w:tcW w:w="1418" w:type="dxa"/>
            <w:noWrap/>
            <w:vAlign w:val="bottom"/>
          </w:tcPr>
          <w:p>
            <w:pPr>
              <w:pStyle w:val="yTableNAm"/>
              <w:ind w:right="182"/>
              <w:jc w:val="right"/>
            </w:pPr>
            <w:r>
              <w:t>99.00</w:t>
            </w:r>
          </w:p>
        </w:tc>
      </w:tr>
      <w:tr>
        <w:trPr>
          <w:cantSplit/>
          <w:jc w:val="center"/>
        </w:trPr>
        <w:tc>
          <w:tcPr>
            <w:tcW w:w="709" w:type="dxa"/>
            <w:noWrap/>
          </w:tcPr>
          <w:p>
            <w:pPr>
              <w:pStyle w:val="yTableNAm"/>
            </w:pPr>
            <w:r>
              <w:t>2.</w:t>
            </w:r>
          </w:p>
        </w:tc>
        <w:tc>
          <w:tcPr>
            <w:tcW w:w="4961" w:type="dxa"/>
            <w:noWrap/>
          </w:tcPr>
          <w:p>
            <w:pPr>
              <w:pStyle w:val="yTableNAm"/>
            </w:pPr>
            <w:r>
              <w:t>Grant of licence to individual under section 27 of the Act</w:t>
            </w:r>
          </w:p>
        </w:tc>
        <w:tc>
          <w:tcPr>
            <w:tcW w:w="1418" w:type="dxa"/>
            <w:noWrap/>
            <w:vAlign w:val="bottom"/>
          </w:tcPr>
          <w:p>
            <w:pPr>
              <w:pStyle w:val="yTableNAm"/>
              <w:ind w:right="182"/>
              <w:jc w:val="right"/>
            </w:pPr>
            <w:r>
              <w:t>1 060.00</w:t>
            </w:r>
          </w:p>
        </w:tc>
      </w:tr>
      <w:tr>
        <w:trPr>
          <w:cantSplit/>
          <w:jc w:val="center"/>
        </w:trPr>
        <w:tc>
          <w:tcPr>
            <w:tcW w:w="709" w:type="dxa"/>
            <w:noWrap/>
          </w:tcPr>
          <w:p>
            <w:pPr>
              <w:pStyle w:val="yTableNAm"/>
            </w:pPr>
            <w:r>
              <w:t>3.</w:t>
            </w:r>
          </w:p>
        </w:tc>
        <w:tc>
          <w:tcPr>
            <w:tcW w:w="4961" w:type="dxa"/>
            <w:noWrap/>
          </w:tcPr>
          <w:p>
            <w:pPr>
              <w:pStyle w:val="yTableNAm"/>
            </w:pPr>
            <w:r>
              <w:t>Grant of licence to firm under section 28 of the Act</w:t>
            </w:r>
          </w:p>
        </w:tc>
        <w:tc>
          <w:tcPr>
            <w:tcW w:w="1418" w:type="dxa"/>
            <w:noWrap/>
          </w:tcPr>
          <w:p>
            <w:pPr>
              <w:pStyle w:val="yTableNAm"/>
              <w:ind w:right="182"/>
              <w:jc w:val="right"/>
            </w:pPr>
            <w:r>
              <w:t>1 390.00</w:t>
            </w:r>
          </w:p>
        </w:tc>
      </w:tr>
      <w:tr>
        <w:trPr>
          <w:cantSplit/>
          <w:jc w:val="center"/>
        </w:trPr>
        <w:tc>
          <w:tcPr>
            <w:tcW w:w="709" w:type="dxa"/>
            <w:noWrap/>
          </w:tcPr>
          <w:p>
            <w:pPr>
              <w:pStyle w:val="yTableNAm"/>
            </w:pPr>
            <w:r>
              <w:t>4.</w:t>
            </w:r>
          </w:p>
        </w:tc>
        <w:tc>
          <w:tcPr>
            <w:tcW w:w="4961" w:type="dxa"/>
            <w:noWrap/>
          </w:tcPr>
          <w:p>
            <w:pPr>
              <w:pStyle w:val="yTableNAm"/>
            </w:pPr>
            <w:r>
              <w:t>Grant of licence to body corporate under section 29 of the Act</w:t>
            </w:r>
          </w:p>
        </w:tc>
        <w:tc>
          <w:tcPr>
            <w:tcW w:w="1418" w:type="dxa"/>
            <w:noWrap/>
          </w:tcPr>
          <w:p>
            <w:pPr>
              <w:pStyle w:val="yTableNAm"/>
              <w:ind w:right="182"/>
              <w:jc w:val="right"/>
            </w:pPr>
            <w:r>
              <w:t>1 390.00</w:t>
            </w:r>
          </w:p>
        </w:tc>
      </w:tr>
      <w:tr>
        <w:trPr>
          <w:cantSplit/>
          <w:jc w:val="center"/>
        </w:trPr>
        <w:tc>
          <w:tcPr>
            <w:tcW w:w="709" w:type="dxa"/>
            <w:noWrap/>
          </w:tcPr>
          <w:p>
            <w:pPr>
              <w:pStyle w:val="yTableNAm"/>
            </w:pPr>
            <w:r>
              <w:t>5.</w:t>
            </w:r>
          </w:p>
        </w:tc>
        <w:tc>
          <w:tcPr>
            <w:tcW w:w="4961" w:type="dxa"/>
            <w:noWrap/>
          </w:tcPr>
          <w:p>
            <w:pPr>
              <w:pStyle w:val="yTableNAm"/>
            </w:pPr>
            <w:r>
              <w:t>Holding fee for the purposes of section 30(2a)(b) of the Act</w:t>
            </w:r>
          </w:p>
        </w:tc>
        <w:tc>
          <w:tcPr>
            <w:tcW w:w="1418" w:type="dxa"/>
            <w:noWrap/>
            <w:vAlign w:val="bottom"/>
          </w:tcPr>
          <w:p>
            <w:pPr>
              <w:pStyle w:val="yTableNAm"/>
              <w:ind w:right="182"/>
              <w:jc w:val="right"/>
            </w:pPr>
            <w:r>
              <w:t>271.00</w:t>
            </w:r>
          </w:p>
        </w:tc>
      </w:tr>
      <w:tr>
        <w:trPr>
          <w:cantSplit/>
          <w:jc w:val="center"/>
        </w:trPr>
        <w:tc>
          <w:tcPr>
            <w:tcW w:w="709" w:type="dxa"/>
            <w:noWrap/>
          </w:tcPr>
          <w:p>
            <w:pPr>
              <w:pStyle w:val="yTableNAm"/>
            </w:pPr>
            <w:r>
              <w:t>6.</w:t>
            </w:r>
          </w:p>
        </w:tc>
        <w:tc>
          <w:tcPr>
            <w:tcW w:w="4961" w:type="dxa"/>
            <w:noWrap/>
          </w:tcPr>
          <w:p>
            <w:pPr>
              <w:pStyle w:val="yTableNAm"/>
            </w:pPr>
            <w:r>
              <w:t>Renewal of triennial certificate under section 31 of the Act</w:t>
            </w:r>
          </w:p>
        </w:tc>
        <w:tc>
          <w:tcPr>
            <w:tcW w:w="1418" w:type="dxa"/>
            <w:noWrap/>
            <w:vAlign w:val="bottom"/>
          </w:tcPr>
          <w:p>
            <w:pPr>
              <w:pStyle w:val="yTableNAm"/>
              <w:ind w:right="182"/>
              <w:jc w:val="right"/>
            </w:pPr>
            <w:r>
              <w:t>885.00</w:t>
            </w:r>
          </w:p>
        </w:tc>
      </w:tr>
      <w:tr>
        <w:trPr>
          <w:cantSplit/>
          <w:jc w:val="center"/>
        </w:trPr>
        <w:tc>
          <w:tcPr>
            <w:tcW w:w="709" w:type="dxa"/>
            <w:noWrap/>
          </w:tcPr>
          <w:p>
            <w:pPr>
              <w:pStyle w:val="yTableNAm"/>
            </w:pPr>
            <w:r>
              <w:t>7.</w:t>
            </w:r>
          </w:p>
        </w:tc>
        <w:tc>
          <w:tcPr>
            <w:tcW w:w="4961" w:type="dxa"/>
            <w:noWrap/>
          </w:tcPr>
          <w:p>
            <w:pPr>
              <w:pStyle w:val="yTableNAm"/>
            </w:pPr>
            <w:r>
              <w:t>Issue of duplicate licence, duplicate certificate of registration or duplicate triennial certificate under section 40A of the Act</w:t>
            </w:r>
          </w:p>
        </w:tc>
        <w:tc>
          <w:tcPr>
            <w:tcW w:w="1418" w:type="dxa"/>
            <w:noWrap/>
            <w:vAlign w:val="bottom"/>
          </w:tcPr>
          <w:p>
            <w:pPr>
              <w:pStyle w:val="yTableNAm"/>
              <w:ind w:right="182"/>
              <w:jc w:val="right"/>
            </w:pPr>
            <w:r>
              <w:t>35.00</w:t>
            </w:r>
          </w:p>
        </w:tc>
      </w:tr>
      <w:tr>
        <w:trPr>
          <w:cantSplit/>
          <w:jc w:val="center"/>
        </w:trPr>
        <w:tc>
          <w:tcPr>
            <w:tcW w:w="709" w:type="dxa"/>
            <w:noWrap/>
          </w:tcPr>
          <w:p>
            <w:pPr>
              <w:pStyle w:val="yTableNAm"/>
            </w:pPr>
            <w:r>
              <w:t>8.</w:t>
            </w:r>
          </w:p>
        </w:tc>
        <w:tc>
          <w:tcPr>
            <w:tcW w:w="4961" w:type="dxa"/>
            <w:noWrap/>
          </w:tcPr>
          <w:p>
            <w:pPr>
              <w:pStyle w:val="yTableNAm"/>
            </w:pPr>
            <w:r>
              <w:t>Grant of certificate of registration under section 47 of the Act</w:t>
            </w:r>
          </w:p>
        </w:tc>
        <w:tc>
          <w:tcPr>
            <w:tcW w:w="1418" w:type="dxa"/>
            <w:noWrap/>
            <w:vAlign w:val="bottom"/>
          </w:tcPr>
          <w:p>
            <w:pPr>
              <w:pStyle w:val="yTableNAm"/>
              <w:ind w:right="182"/>
              <w:jc w:val="right"/>
            </w:pPr>
            <w:r>
              <w:t>270.00</w:t>
            </w:r>
          </w:p>
        </w:tc>
      </w:tr>
      <w:tr>
        <w:trPr>
          <w:cantSplit/>
          <w:jc w:val="center"/>
        </w:trPr>
        <w:tc>
          <w:tcPr>
            <w:tcW w:w="709" w:type="dxa"/>
            <w:tcBorders>
              <w:bottom w:val="single" w:sz="4" w:space="0" w:color="auto"/>
            </w:tcBorders>
            <w:noWrap/>
          </w:tcPr>
          <w:p>
            <w:pPr>
              <w:pStyle w:val="yTableNAm"/>
            </w:pPr>
            <w:r>
              <w:t>9.</w:t>
            </w:r>
          </w:p>
        </w:tc>
        <w:tc>
          <w:tcPr>
            <w:tcW w:w="4961" w:type="dxa"/>
            <w:tcBorders>
              <w:bottom w:val="single" w:sz="4" w:space="0" w:color="auto"/>
            </w:tcBorders>
            <w:noWrap/>
          </w:tcPr>
          <w:p>
            <w:pPr>
              <w:pStyle w:val="yTableNAm"/>
            </w:pPr>
            <w:r>
              <w:t>Renewal of certificate of registration under section 48 of the Act</w:t>
            </w:r>
          </w:p>
        </w:tc>
        <w:tc>
          <w:tcPr>
            <w:tcW w:w="1418" w:type="dxa"/>
            <w:tcBorders>
              <w:bottom w:val="single" w:sz="4" w:space="0" w:color="auto"/>
            </w:tcBorders>
            <w:noWrap/>
            <w:vAlign w:val="bottom"/>
          </w:tcPr>
          <w:p>
            <w:pPr>
              <w:pStyle w:val="yTableNAm"/>
              <w:ind w:right="182"/>
              <w:jc w:val="right"/>
            </w:pPr>
            <w:r>
              <w:t>223.00</w:t>
            </w:r>
          </w:p>
        </w:tc>
      </w:tr>
    </w:tbl>
    <w:p>
      <w:pPr>
        <w:pStyle w:val="yFootnotesection"/>
      </w:pPr>
      <w:r>
        <w:tab/>
        <w:t>[Schedule 1 inserted: SL 2025/89 r. 42.]</w:t>
      </w:r>
    </w:p>
    <w:p>
      <w:pPr>
        <w:pStyle w:val="yEdnoteschedule"/>
      </w:pPr>
      <w:r>
        <w:t>[Schedule 1A deleted: SL 2025/194 r. 23.]</w:t>
      </w:r>
    </w:p>
    <w:p>
      <w:p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yScheduleHeading"/>
      </w:pPr>
      <w:bookmarkStart w:id="111" w:name="_Toc214611827"/>
      <w:bookmarkStart w:id="112" w:name="_Toc214631813"/>
      <w:bookmarkStart w:id="113" w:name="_Toc217380708"/>
      <w:r>
        <w:rPr>
          <w:rStyle w:val="CharSchNo"/>
        </w:rPr>
        <w:lastRenderedPageBreak/>
        <w:t>Schedule 2</w:t>
      </w:r>
      <w:r>
        <w:rPr>
          <w:rStyle w:val="CharSDivNo"/>
        </w:rPr>
        <w:t> </w:t>
      </w:r>
      <w:r>
        <w:t>—</w:t>
      </w:r>
      <w:r>
        <w:rPr>
          <w:rStyle w:val="CharSDivText"/>
        </w:rPr>
        <w:t> </w:t>
      </w:r>
      <w:r>
        <w:rPr>
          <w:rStyle w:val="CharSchText"/>
        </w:rPr>
        <w:t>Forms</w:t>
      </w:r>
      <w:bookmarkEnd w:id="111"/>
      <w:bookmarkEnd w:id="112"/>
      <w:bookmarkEnd w:id="113"/>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lastRenderedPageBreak/>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t xml:space="preserve">Department of </w:t>
            </w:r>
            <w:r>
              <w:rPr>
                <w:szCs w:val="22"/>
              </w:rPr>
              <w:t>Local Government,</w:t>
            </w:r>
            <w:r>
              <w:t xml:space="preserve"> Industry Regulation and Safety — Consumer Protection Division</w:t>
            </w:r>
          </w:p>
          <w:p>
            <w:pPr>
              <w:pStyle w:val="yTableNAm"/>
            </w:pPr>
            <w:r>
              <w:t>[</w:t>
            </w:r>
            <w:r>
              <w:rPr>
                <w:i/>
                <w:iCs/>
              </w:rPr>
              <w:t>Address</w:t>
            </w:r>
            <w:r>
              <w:t>]</w:t>
            </w:r>
          </w:p>
          <w:p>
            <w:pPr>
              <w:pStyle w:val="yTableNAm"/>
            </w:pPr>
            <w:r>
              <w:rPr>
                <w:b/>
              </w:rPr>
              <w:t>In person:</w:t>
            </w:r>
            <w:r>
              <w:t xml:space="preserve"> Pay the cashier at:</w:t>
            </w:r>
          </w:p>
          <w:p>
            <w:pPr>
              <w:pStyle w:val="yTableNAm"/>
            </w:pPr>
            <w:r>
              <w:t xml:space="preserve">Department of </w:t>
            </w:r>
            <w:r>
              <w:rPr>
                <w:szCs w:val="22"/>
              </w:rPr>
              <w:t>Local Government,</w:t>
            </w:r>
            <w:r>
              <w:t xml:space="preserve"> Industry Regulation and Safety — Consumer Protection Division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lastRenderedPageBreak/>
        <w:tab/>
        <w:t>[Form 2 inserted: Gazette 28 Aug 2009 p. 3349</w:t>
      </w:r>
      <w:r>
        <w:noBreakHyphen/>
        <w:t>50; amended: Gazette 30 Jun 2011 p. 2670; 20 Aug 2013 p. 3839; SL 2020/163 r. 46; SL 2020/257 r. 10; SL 2025/194 r. 24.]</w:t>
      </w:r>
    </w:p>
    <w:p>
      <w:pPr>
        <w:pStyle w:val="yMiscellaneousHeading"/>
        <w:keepNext w:val="0"/>
        <w:pageBreakBefore/>
        <w:spacing w:after="60"/>
        <w:rPr>
          <w:b/>
          <w:bCs/>
          <w:snapToGrid w:val="0"/>
        </w:rPr>
      </w:pPr>
      <w:r>
        <w:rPr>
          <w:rStyle w:val="CharSClsNo"/>
          <w:b/>
          <w:bCs/>
        </w:rPr>
        <w:lastRenderedPageBreak/>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lastRenderedPageBreak/>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t xml:space="preserve">Department of </w:t>
            </w:r>
            <w:r>
              <w:rPr>
                <w:szCs w:val="22"/>
              </w:rPr>
              <w:t>Local Government,</w:t>
            </w:r>
            <w:r>
              <w:t xml:space="preserve"> Industry Regulation and Safety — Consumer Protection Division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 SL 2020/257 r. 11; SL 2025/194 r. 24.]</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yScheduleHeading"/>
      </w:pPr>
      <w:bookmarkStart w:id="114" w:name="_Toc214611828"/>
      <w:bookmarkStart w:id="115" w:name="_Toc214631814"/>
      <w:bookmarkStart w:id="116" w:name="_Toc217380709"/>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114"/>
      <w:bookmarkEnd w:id="115"/>
      <w:bookmarkEnd w:id="116"/>
    </w:p>
    <w:p>
      <w:pPr>
        <w:pStyle w:val="yShoulderClause"/>
      </w:pPr>
      <w:r>
        <w:t>[r. 14]</w:t>
      </w:r>
    </w:p>
    <w:p>
      <w:pPr>
        <w:pStyle w:val="yFootnoteheading"/>
        <w:spacing w:after="120"/>
      </w:pPr>
      <w:r>
        <w:rPr>
          <w:snapToGrid w:val="0"/>
        </w:rPr>
        <w:tab/>
        <w:t>[Heading inserted: Gazette 28 Aug 2009 p. 3351.]</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40B</w:t>
            </w:r>
          </w:p>
        </w:tc>
        <w:tc>
          <w:tcPr>
            <w:tcW w:w="4680" w:type="dxa"/>
          </w:tcPr>
          <w:p>
            <w:pPr>
              <w:pStyle w:val="yTableNAm"/>
            </w:pPr>
            <w:r>
              <w:t>Licensee failing to comply with educational requirements</w:t>
            </w:r>
          </w:p>
        </w:tc>
        <w:tc>
          <w:tcPr>
            <w:tcW w:w="1080" w:type="dxa"/>
            <w:vAlign w:val="bottom"/>
          </w:tcPr>
          <w:p>
            <w:pPr>
              <w:pStyle w:val="yTableNAm"/>
            </w:pPr>
            <w:r>
              <w:t>$1 000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vAlign w:val="bottom"/>
          </w:tcPr>
          <w:p>
            <w:pPr>
              <w:pStyle w:val="yTableNAm"/>
            </w:pPr>
            <w: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vAlign w:val="bottom"/>
          </w:tcPr>
          <w:p>
            <w:pPr>
              <w:pStyle w:val="yTableNAm"/>
            </w:pPr>
            <w: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vAlign w:val="bottom"/>
          </w:tcPr>
          <w:p>
            <w:pPr>
              <w:pStyle w:val="yTableNAm"/>
            </w:pPr>
            <w:r>
              <w:t>$200</w:t>
            </w:r>
          </w:p>
        </w:tc>
      </w:tr>
      <w:tr>
        <w:tc>
          <w:tcPr>
            <w:tcW w:w="1320" w:type="dxa"/>
          </w:tcPr>
          <w:p>
            <w:pPr>
              <w:pStyle w:val="yTableNAm"/>
            </w:pPr>
            <w:r>
              <w:t>s. 50C</w:t>
            </w:r>
          </w:p>
        </w:tc>
        <w:tc>
          <w:tcPr>
            <w:tcW w:w="4680" w:type="dxa"/>
          </w:tcPr>
          <w:p>
            <w:pPr>
              <w:pStyle w:val="yTableNAm"/>
            </w:pPr>
            <w:r>
              <w:t>Sales representative failing to comply with educational requirements</w:t>
            </w:r>
          </w:p>
        </w:tc>
        <w:tc>
          <w:tcPr>
            <w:tcW w:w="1080" w:type="dxa"/>
            <w:vAlign w:val="bottom"/>
          </w:tcPr>
          <w:p>
            <w:pPr>
              <w:pStyle w:val="yTableNAm"/>
            </w:pPr>
            <w:r>
              <w:t>$1 000</w:t>
            </w:r>
          </w:p>
        </w:tc>
      </w:tr>
      <w:tr>
        <w:tc>
          <w:tcPr>
            <w:tcW w:w="1320" w:type="dxa"/>
          </w:tcPr>
          <w:p>
            <w:pPr>
              <w:pStyle w:val="yTableNAm"/>
            </w:pPr>
            <w:r>
              <w:t>s. 84(1)</w:t>
            </w:r>
          </w:p>
        </w:tc>
        <w:tc>
          <w:tcPr>
            <w:tcW w:w="4680" w:type="dxa"/>
          </w:tcPr>
          <w:p>
            <w:pPr>
              <w:pStyle w:val="yTableNAm"/>
            </w:pPr>
            <w:r>
              <w:t>Failing to cause audit of trust account under section 70(1)</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audit report to the</w:t>
            </w:r>
            <w:r>
              <w:rPr>
                <w:szCs w:val="22"/>
              </w:rPr>
              <w:t xml:space="preserve"> Commissioner under section </w:t>
            </w:r>
            <w:r>
              <w:t>70(3)</w:t>
            </w:r>
          </w:p>
        </w:tc>
        <w:tc>
          <w:tcPr>
            <w:tcW w:w="1080" w:type="dxa"/>
            <w:vAlign w:val="bottom"/>
          </w:tcPr>
          <w:p>
            <w:pPr>
              <w:pStyle w:val="yTableNAm"/>
            </w:pPr>
            <w:r>
              <w:t>$2 000</w:t>
            </w:r>
          </w:p>
        </w:tc>
      </w:tr>
      <w:tr>
        <w:tc>
          <w:tcPr>
            <w:tcW w:w="1320" w:type="dxa"/>
          </w:tcPr>
          <w:p>
            <w:pPr>
              <w:pStyle w:val="yTableNAm"/>
            </w:pPr>
            <w:r>
              <w:t>s. 84(1) </w:t>
            </w:r>
          </w:p>
        </w:tc>
        <w:tc>
          <w:tcPr>
            <w:tcW w:w="4680" w:type="dxa"/>
          </w:tcPr>
          <w:p>
            <w:pPr>
              <w:pStyle w:val="yTableNAm"/>
            </w:pPr>
            <w:r>
              <w:t>Failing to deliver a termination audit report under section 70(8)</w:t>
            </w:r>
          </w:p>
        </w:tc>
        <w:tc>
          <w:tcPr>
            <w:tcW w:w="1080" w:type="dxa"/>
            <w:vAlign w:val="bottom"/>
          </w:tcPr>
          <w:p>
            <w:pPr>
              <w:pStyle w:val="yTableNAm"/>
            </w:pPr>
            <w:r>
              <w:t>$600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business under section 35</w:t>
            </w:r>
          </w:p>
        </w:tc>
        <w:tc>
          <w:tcPr>
            <w:tcW w:w="1080" w:type="dxa"/>
            <w:vAlign w:val="bottom"/>
          </w:tcPr>
          <w:p>
            <w:pPr>
              <w:pStyle w:val="yTableNAm"/>
            </w:pPr>
            <w:r>
              <w:t>$400</w:t>
            </w:r>
          </w:p>
        </w:tc>
      </w:tr>
      <w:tr>
        <w:tc>
          <w:tcPr>
            <w:tcW w:w="1320" w:type="dxa"/>
          </w:tcPr>
          <w:p>
            <w:pPr>
              <w:pStyle w:val="yTableNAm"/>
            </w:pPr>
            <w:r>
              <w:lastRenderedPageBreak/>
              <w:t>s. 142</w:t>
            </w:r>
          </w:p>
        </w:tc>
        <w:tc>
          <w:tcPr>
            <w:tcW w:w="4680" w:type="dxa"/>
          </w:tcPr>
          <w:p>
            <w:pPr>
              <w:pStyle w:val="yTableNAm"/>
            </w:pPr>
            <w:r>
              <w:t>Branch manager acting for more than one licensee or as an agent on own account under section 37(3)</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registered office under section 41(1)(a)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at branch office under section 41(1)(b)</w:t>
            </w:r>
          </w:p>
        </w:tc>
        <w:tc>
          <w:tcPr>
            <w:tcW w:w="1080" w:type="dxa"/>
            <w:vAlign w:val="bottom"/>
          </w:tcPr>
          <w:p>
            <w:pPr>
              <w:pStyle w:val="yTableNAm"/>
            </w:pPr>
            <w:r>
              <w:t>$400</w:t>
            </w:r>
          </w:p>
        </w:tc>
      </w:tr>
      <w:tr>
        <w:tc>
          <w:tcPr>
            <w:tcW w:w="1320" w:type="dxa"/>
          </w:tcPr>
          <w:p>
            <w:pPr>
              <w:pStyle w:val="yTableNAm"/>
            </w:pPr>
            <w:r>
              <w:t>s. 142</w:t>
            </w:r>
          </w:p>
          <w:p>
            <w:pPr>
              <w:pStyle w:val="yTableNAm"/>
            </w:pPr>
            <w:r>
              <w:tab/>
            </w:r>
          </w:p>
        </w:tc>
        <w:tc>
          <w:tcPr>
            <w:tcW w:w="4680" w:type="dxa"/>
          </w:tcPr>
          <w:p>
            <w:pPr>
              <w:pStyle w:val="yTableNAm"/>
            </w:pPr>
            <w:r>
              <w:t>Failing to display official details on all correspondence and documents from registered office under section 41(2)(a)</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Failing to display official details on all correspondence and documents from branch office under section 41(2)(b)</w:t>
            </w:r>
          </w:p>
        </w:tc>
        <w:tc>
          <w:tcPr>
            <w:tcW w:w="1080" w:type="dxa"/>
            <w:vAlign w:val="bottom"/>
          </w:tcPr>
          <w:p>
            <w:pPr>
              <w:pStyle w:val="yTableNAm"/>
            </w:pPr>
            <w:r>
              <w:t>$400</w:t>
            </w:r>
          </w:p>
        </w:tc>
      </w:tr>
      <w:tr>
        <w:tc>
          <w:tcPr>
            <w:tcW w:w="1320" w:type="dxa"/>
          </w:tcPr>
          <w:p>
            <w:pPr>
              <w:pStyle w:val="yTableNAm"/>
            </w:pPr>
            <w:r>
              <w:t>s. 142</w:t>
            </w:r>
          </w:p>
        </w:tc>
        <w:tc>
          <w:tcPr>
            <w:tcW w:w="4680" w:type="dxa"/>
          </w:tcPr>
          <w:p>
            <w:pPr>
              <w:pStyle w:val="yTableNAm"/>
            </w:pPr>
            <w:r>
              <w:t xml:space="preserve">Failing to notify </w:t>
            </w:r>
            <w:r>
              <w:rPr>
                <w:szCs w:val="22"/>
              </w:rPr>
              <w:t>Commissioner</w:t>
            </w:r>
            <w:r>
              <w:t xml:space="preserve"> of commencing or ceasing employment, or acting, as a sales representative under section 51(1)</w:t>
            </w:r>
          </w:p>
        </w:tc>
        <w:tc>
          <w:tcPr>
            <w:tcW w:w="1080" w:type="dxa"/>
            <w:vAlign w:val="bottom"/>
          </w:tcPr>
          <w:p>
            <w:pPr>
              <w:pStyle w:val="yTableNAm"/>
            </w:pPr>
            <w:r>
              <w:t>$400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4AJ(1)</w:t>
            </w:r>
          </w:p>
        </w:tc>
        <w:tc>
          <w:tcPr>
            <w:tcW w:w="4680" w:type="dxa"/>
          </w:tcPr>
          <w:p>
            <w:pPr>
              <w:pStyle w:val="yTableNAm"/>
            </w:pPr>
            <w:r>
              <w:t>Failing to keep evidence</w:t>
            </w:r>
          </w:p>
        </w:tc>
        <w:tc>
          <w:tcPr>
            <w:tcW w:w="1080" w:type="dxa"/>
            <w:vAlign w:val="bottom"/>
          </w:tcPr>
          <w:p>
            <w:pPr>
              <w:pStyle w:val="yTableNAm"/>
              <w:rPr>
                <w:szCs w:val="22"/>
              </w:rPr>
            </w:pPr>
            <w:r>
              <w:rPr>
                <w:szCs w:val="22"/>
              </w:rPr>
              <w:t>$200</w:t>
            </w:r>
          </w:p>
        </w:tc>
      </w:tr>
      <w:tr>
        <w:tc>
          <w:tcPr>
            <w:tcW w:w="1320" w:type="dxa"/>
          </w:tcPr>
          <w:p>
            <w:pPr>
              <w:pStyle w:val="yTableNAm"/>
            </w:pPr>
            <w:r>
              <w:t>r. 4AJ(4)</w:t>
            </w:r>
          </w:p>
        </w:tc>
        <w:tc>
          <w:tcPr>
            <w:tcW w:w="4680" w:type="dxa"/>
          </w:tcPr>
          <w:p>
            <w:pPr>
              <w:pStyle w:val="yTableNAm"/>
            </w:pPr>
            <w:r>
              <w:t>Failing to produce evidence</w:t>
            </w:r>
          </w:p>
        </w:tc>
        <w:tc>
          <w:tcPr>
            <w:tcW w:w="1080" w:type="dxa"/>
            <w:vAlign w:val="bottom"/>
          </w:tcPr>
          <w:p>
            <w:pPr>
              <w:pStyle w:val="yTableNAm"/>
              <w:rPr>
                <w:szCs w:val="22"/>
              </w:rPr>
            </w:pPr>
            <w:r>
              <w:rPr>
                <w:szCs w:val="22"/>
              </w:rPr>
              <w:t>$200</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vAlign w:val="bottom"/>
          </w:tcPr>
          <w:p>
            <w:pPr>
              <w:pStyle w:val="yTableNAm"/>
            </w:pPr>
            <w:r>
              <w:rPr>
                <w:szCs w:val="22"/>
              </w:rPr>
              <w:t>$200</w:t>
            </w:r>
          </w:p>
        </w:tc>
      </w:tr>
    </w:tbl>
    <w:p>
      <w:pPr>
        <w:pStyle w:val="yFootnotesection"/>
      </w:pPr>
      <w:r>
        <w:tab/>
        <w:t>[Schedule 3 inserted: Gazette 28 Aug 2009 p. 3351</w:t>
      </w:r>
      <w:r>
        <w:noBreakHyphen/>
        <w:t>2; amended: Gazette 30 Jun 2011 p. 2670; 23 Oct 2012 p. 5055; SL 2020/257 r. 12; SL 2025/194 r. 25.]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nHeading2"/>
      </w:pPr>
      <w:bookmarkStart w:id="117" w:name="_Toc214611829"/>
      <w:bookmarkStart w:id="118" w:name="_Toc214631815"/>
      <w:bookmarkStart w:id="119" w:name="_Toc217380710"/>
      <w:r>
        <w:lastRenderedPageBreak/>
        <w:t>Notes</w:t>
      </w:r>
      <w:bookmarkEnd w:id="117"/>
      <w:bookmarkEnd w:id="118"/>
      <w:bookmarkEnd w:id="119"/>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p>
    <w:p>
      <w:pPr>
        <w:pStyle w:val="nHeading3"/>
      </w:pPr>
      <w:bookmarkStart w:id="120" w:name="_Toc217380711"/>
      <w:r>
        <w:t>Compilation table</w:t>
      </w:r>
      <w:bookmarkEnd w:id="12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lastRenderedPageBreak/>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trPr>
        <w:tc>
          <w:tcPr>
            <w:tcW w:w="3119" w:type="dxa"/>
            <w:tcBorders>
              <w:top w:val="nil"/>
              <w:bottom w:val="nil"/>
            </w:tcBorders>
          </w:tcPr>
          <w:p>
            <w:pPr>
              <w:pStyle w:val="nTable"/>
              <w:spacing w:after="40"/>
              <w:rPr>
                <w:i/>
              </w:rPr>
            </w:pPr>
            <w:r>
              <w:rPr>
                <w:i/>
              </w:rPr>
              <w:t>Commerce Regulations Amendment (Infringement Notices) Regulations 2020</w:t>
            </w:r>
            <w:r>
              <w:t xml:space="preserve"> Pt. 23</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pPr>
            <w:r>
              <w:t>29 Sep 2020 (see r. 2(b) and SL 2020/159 cl. 2(a))</w:t>
            </w:r>
          </w:p>
        </w:tc>
      </w:tr>
      <w:tr>
        <w:trPr>
          <w:cantSplit/>
        </w:trPr>
        <w:tc>
          <w:tcPr>
            <w:tcW w:w="3119" w:type="dxa"/>
            <w:tcBorders>
              <w:top w:val="nil"/>
              <w:bottom w:val="nil"/>
            </w:tcBorders>
          </w:tcPr>
          <w:p>
            <w:pPr>
              <w:pStyle w:val="nTable"/>
              <w:spacing w:after="40"/>
              <w:rPr>
                <w:i/>
              </w:rPr>
            </w:pPr>
            <w:r>
              <w:rPr>
                <w:i/>
              </w:rPr>
              <w:t>Commerce Regulations Amendment (COVID</w:t>
            </w:r>
            <w:r>
              <w:rPr>
                <w:i/>
              </w:rPr>
              <w:noBreakHyphen/>
              <w:t xml:space="preserve">19 Response) Regulations (No. 2) 2020 </w:t>
            </w:r>
            <w:r>
              <w:t>Pt. 16</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2020</w:t>
            </w:r>
          </w:p>
        </w:tc>
        <w:tc>
          <w:tcPr>
            <w:tcW w:w="1276" w:type="dxa"/>
            <w:tcBorders>
              <w:top w:val="nil"/>
              <w:bottom w:val="nil"/>
            </w:tcBorders>
          </w:tcPr>
          <w:p>
            <w:pPr>
              <w:pStyle w:val="nTable"/>
              <w:spacing w:after="40"/>
            </w:pPr>
            <w:r>
              <w:t>SL 2020/209 30 Oct 2020</w:t>
            </w:r>
          </w:p>
        </w:tc>
        <w:tc>
          <w:tcPr>
            <w:tcW w:w="2693" w:type="dxa"/>
            <w:tcBorders>
              <w:top w:val="nil"/>
              <w:bottom w:val="nil"/>
            </w:tcBorders>
          </w:tcPr>
          <w:p>
            <w:pPr>
              <w:pStyle w:val="nTable"/>
              <w:spacing w:after="40"/>
            </w:pPr>
            <w:r>
              <w:t>r. 1 and 2: 30 Oct 2020 (see r. 2(a));</w:t>
            </w:r>
            <w:r>
              <w:br/>
              <w:t>Regulations other than r. 1 and 2: 31 Oct 2020 (see r. 2(b))</w:t>
            </w:r>
          </w:p>
        </w:tc>
      </w:tr>
      <w:tr>
        <w:trPr>
          <w:cantSplit/>
        </w:trPr>
        <w:tc>
          <w:tcPr>
            <w:tcW w:w="3119" w:type="dxa"/>
            <w:tcBorders>
              <w:top w:val="nil"/>
              <w:bottom w:val="nil"/>
            </w:tcBorders>
          </w:tcPr>
          <w:p>
            <w:pPr>
              <w:pStyle w:val="nTable"/>
              <w:spacing w:after="40"/>
              <w:rPr>
                <w:i/>
              </w:rPr>
            </w:pPr>
            <w:r>
              <w:rPr>
                <w:i/>
              </w:rPr>
              <w:t>Real Estate and Business Agents (General) Amendment Regulations (No. 2) 2020</w:t>
            </w:r>
          </w:p>
        </w:tc>
        <w:tc>
          <w:tcPr>
            <w:tcW w:w="1276" w:type="dxa"/>
            <w:tcBorders>
              <w:top w:val="nil"/>
              <w:bottom w:val="nil"/>
            </w:tcBorders>
          </w:tcPr>
          <w:p>
            <w:pPr>
              <w:pStyle w:val="nTable"/>
              <w:spacing w:after="40"/>
            </w:pPr>
            <w:r>
              <w:t>SL 2020/257 24 Dec 2020</w:t>
            </w:r>
          </w:p>
        </w:tc>
        <w:tc>
          <w:tcPr>
            <w:tcW w:w="2693" w:type="dxa"/>
            <w:tcBorders>
              <w:top w:val="nil"/>
              <w:bottom w:val="nil"/>
            </w:tcBorders>
          </w:tcPr>
          <w:p>
            <w:pPr>
              <w:pStyle w:val="nTable"/>
              <w:spacing w:after="40"/>
            </w:pPr>
            <w:r>
              <w:t>r. 1 and 2: 24 Dec 2020 (see r. 2(a));</w:t>
            </w:r>
            <w:r>
              <w:br/>
              <w:t>Regulations other than r. 1 and 2: 1 Jan 2021 (see r. 2(b))</w:t>
            </w:r>
          </w:p>
        </w:tc>
      </w:tr>
      <w:tr>
        <w:trPr>
          <w:cantSplit/>
        </w:trPr>
        <w:tc>
          <w:tcPr>
            <w:tcW w:w="3119" w:type="dxa"/>
            <w:tcBorders>
              <w:top w:val="nil"/>
              <w:bottom w:val="nil"/>
            </w:tcBorders>
          </w:tcPr>
          <w:p>
            <w:pPr>
              <w:pStyle w:val="nTable"/>
              <w:spacing w:after="40"/>
              <w:rPr>
                <w:i/>
              </w:rPr>
            </w:pPr>
            <w:r>
              <w:rPr>
                <w:i/>
              </w:rPr>
              <w:t xml:space="preserve">Commerce Regulations Amendment (Community Titles) Regulations 2021 </w:t>
            </w:r>
            <w:r>
              <w:t>Pt. 5</w:t>
            </w:r>
          </w:p>
        </w:tc>
        <w:tc>
          <w:tcPr>
            <w:tcW w:w="1276" w:type="dxa"/>
            <w:tcBorders>
              <w:top w:val="nil"/>
              <w:bottom w:val="nil"/>
            </w:tcBorders>
          </w:tcPr>
          <w:p>
            <w:pPr>
              <w:pStyle w:val="nTable"/>
              <w:spacing w:after="40"/>
            </w:pPr>
            <w:r>
              <w:t>SL 2021/71 18 Jun 2021</w:t>
            </w:r>
          </w:p>
        </w:tc>
        <w:tc>
          <w:tcPr>
            <w:tcW w:w="2693" w:type="dxa"/>
            <w:tcBorders>
              <w:top w:val="nil"/>
              <w:bottom w:val="nil"/>
            </w:tcBorders>
          </w:tcPr>
          <w:p>
            <w:pPr>
              <w:pStyle w:val="nTable"/>
              <w:spacing w:after="40"/>
            </w:pPr>
            <w:r>
              <w:t>30 Jun 2021 (see r. 2(b) and SL 2021/69 cl. 2)</w:t>
            </w:r>
          </w:p>
        </w:tc>
      </w:tr>
      <w:tr>
        <w:trPr>
          <w:cantSplit/>
        </w:trPr>
        <w:tc>
          <w:tcPr>
            <w:tcW w:w="3119" w:type="dxa"/>
            <w:tcBorders>
              <w:top w:val="nil"/>
              <w:bottom w:val="nil"/>
            </w:tcBorders>
          </w:tcPr>
          <w:p>
            <w:pPr>
              <w:pStyle w:val="nTable"/>
              <w:spacing w:after="40"/>
              <w:rPr>
                <w:i/>
              </w:rPr>
            </w:pPr>
            <w:r>
              <w:rPr>
                <w:i/>
              </w:rPr>
              <w:t>Commerce Regulations Amendment (Fees and Charges) Regulations 2021</w:t>
            </w:r>
            <w:r>
              <w:t xml:space="preserve"> Pt. 18</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2022</w:t>
            </w:r>
            <w:r>
              <w:t xml:space="preserve"> Pt. 16</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2023</w:t>
            </w:r>
            <w:r>
              <w:t xml:space="preserve"> Pt. 16</w:t>
            </w:r>
          </w:p>
        </w:tc>
        <w:tc>
          <w:tcPr>
            <w:tcW w:w="1276" w:type="dxa"/>
            <w:tcBorders>
              <w:top w:val="nil"/>
              <w:bottom w:val="nil"/>
            </w:tcBorders>
          </w:tcPr>
          <w:p>
            <w:pPr>
              <w:pStyle w:val="nTable"/>
              <w:spacing w:after="40"/>
            </w:pPr>
            <w:r>
              <w:t>SL 2023/35 5 May 2023</w:t>
            </w:r>
          </w:p>
        </w:tc>
        <w:tc>
          <w:tcPr>
            <w:tcW w:w="2693" w:type="dxa"/>
            <w:tcBorders>
              <w:top w:val="nil"/>
              <w:bottom w:val="nil"/>
            </w:tcBorders>
          </w:tcPr>
          <w:p>
            <w:pPr>
              <w:pStyle w:val="nTable"/>
              <w:spacing w:after="40"/>
            </w:pPr>
            <w:r>
              <w:t>1 Jul 2023 (see r. 2(b))</w:t>
            </w:r>
          </w:p>
        </w:tc>
      </w:tr>
      <w:tr>
        <w:trPr>
          <w:cantSplit/>
        </w:trPr>
        <w:tc>
          <w:tcPr>
            <w:tcW w:w="3119" w:type="dxa"/>
            <w:tcBorders>
              <w:top w:val="nil"/>
              <w:bottom w:val="nil"/>
            </w:tcBorders>
          </w:tcPr>
          <w:p>
            <w:pPr>
              <w:pStyle w:val="nTable"/>
              <w:spacing w:after="40"/>
            </w:pPr>
            <w:r>
              <w:rPr>
                <w:i/>
              </w:rPr>
              <w:t>Commerce Regulations Amendment (Property Licensing) Regulations 2023</w:t>
            </w:r>
            <w:r>
              <w:t xml:space="preserve"> Pt. 3</w:t>
            </w:r>
          </w:p>
        </w:tc>
        <w:tc>
          <w:tcPr>
            <w:tcW w:w="1276" w:type="dxa"/>
            <w:tcBorders>
              <w:top w:val="nil"/>
              <w:bottom w:val="nil"/>
            </w:tcBorders>
          </w:tcPr>
          <w:p>
            <w:pPr>
              <w:pStyle w:val="nTable"/>
              <w:spacing w:after="40"/>
            </w:pPr>
            <w:r>
              <w:t>SL 2023/131</w:t>
            </w:r>
            <w:r>
              <w:br/>
              <w:t>9 Aug 2023</w:t>
            </w:r>
          </w:p>
        </w:tc>
        <w:tc>
          <w:tcPr>
            <w:tcW w:w="2693" w:type="dxa"/>
            <w:tcBorders>
              <w:top w:val="nil"/>
              <w:bottom w:val="nil"/>
            </w:tcBorders>
          </w:tcPr>
          <w:p>
            <w:pPr>
              <w:pStyle w:val="nTable"/>
              <w:spacing w:after="40"/>
            </w:pPr>
            <w:r>
              <w:t>10 Aug 2023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2024</w:t>
            </w:r>
            <w:r>
              <w:rPr>
                <w:iCs/>
              </w:rPr>
              <w:t xml:space="preserve"> Pt. 15</w:t>
            </w:r>
          </w:p>
        </w:tc>
        <w:tc>
          <w:tcPr>
            <w:tcW w:w="1276" w:type="dxa"/>
            <w:tcBorders>
              <w:top w:val="nil"/>
              <w:bottom w:val="nil"/>
            </w:tcBorders>
          </w:tcPr>
          <w:p>
            <w:pPr>
              <w:pStyle w:val="nTable"/>
              <w:spacing w:after="40"/>
            </w:pPr>
            <w:r>
              <w:t>SL 2024/96 12 Jun 2024</w:t>
            </w:r>
          </w:p>
        </w:tc>
        <w:tc>
          <w:tcPr>
            <w:tcW w:w="2693" w:type="dxa"/>
            <w:tcBorders>
              <w:top w:val="nil"/>
              <w:bottom w:val="nil"/>
            </w:tcBorders>
          </w:tcPr>
          <w:p>
            <w:pPr>
              <w:pStyle w:val="nTable"/>
              <w:spacing w:after="40"/>
            </w:pPr>
            <w:r>
              <w:t>1 Jul 2024 (see r. 2(c))</w:t>
            </w:r>
          </w:p>
        </w:tc>
      </w:tr>
      <w:tr>
        <w:trPr>
          <w:cantSplit/>
        </w:trPr>
        <w:tc>
          <w:tcPr>
            <w:tcW w:w="3119" w:type="dxa"/>
            <w:tcBorders>
              <w:top w:val="nil"/>
              <w:bottom w:val="nil"/>
            </w:tcBorders>
          </w:tcPr>
          <w:p>
            <w:pPr>
              <w:pStyle w:val="nTable"/>
              <w:spacing w:after="40"/>
              <w:rPr>
                <w:i/>
              </w:rPr>
            </w:pPr>
            <w:r>
              <w:rPr>
                <w:i/>
              </w:rPr>
              <w:lastRenderedPageBreak/>
              <w:t>Real Estate and Business Agents (General) Amendment Regulations 2024</w:t>
            </w:r>
          </w:p>
        </w:tc>
        <w:tc>
          <w:tcPr>
            <w:tcW w:w="1276" w:type="dxa"/>
            <w:tcBorders>
              <w:top w:val="nil"/>
              <w:bottom w:val="nil"/>
            </w:tcBorders>
          </w:tcPr>
          <w:p>
            <w:pPr>
              <w:pStyle w:val="nTable"/>
              <w:spacing w:after="40"/>
            </w:pPr>
            <w:r>
              <w:t>SL 2024/152 24 Jul 2024</w:t>
            </w:r>
          </w:p>
        </w:tc>
        <w:tc>
          <w:tcPr>
            <w:tcW w:w="2693" w:type="dxa"/>
            <w:tcBorders>
              <w:top w:val="nil"/>
              <w:bottom w:val="nil"/>
            </w:tcBorders>
          </w:tcPr>
          <w:p>
            <w:pPr>
              <w:pStyle w:val="nTable"/>
              <w:spacing w:after="40"/>
            </w:pPr>
            <w:r>
              <w:t>r. 1 and 2: 24 Jul 2024 (see r. 2(a));</w:t>
            </w:r>
            <w:r>
              <w:br/>
              <w:t>Regulations other than r. 1 and 2: 2 Sep 2024 (see r. 2(b))</w:t>
            </w:r>
          </w:p>
        </w:tc>
      </w:tr>
      <w:tr>
        <w:trPr>
          <w:cantSplit/>
        </w:trPr>
        <w:tc>
          <w:tcPr>
            <w:tcW w:w="3119" w:type="dxa"/>
            <w:tcBorders>
              <w:top w:val="nil"/>
              <w:bottom w:val="nil"/>
            </w:tcBorders>
          </w:tcPr>
          <w:p>
            <w:pPr>
              <w:pStyle w:val="nTable"/>
              <w:spacing w:after="40"/>
              <w:rPr>
                <w:i/>
              </w:rPr>
            </w:pPr>
            <w:r>
              <w:rPr>
                <w:i/>
              </w:rPr>
              <w:t>Commerce Regulations Amendment (Fees and Charges) Regulations 2025</w:t>
            </w:r>
            <w:r>
              <w:rPr>
                <w:iCs/>
              </w:rPr>
              <w:t xml:space="preserve"> Pt. 16</w:t>
            </w:r>
          </w:p>
        </w:tc>
        <w:tc>
          <w:tcPr>
            <w:tcW w:w="1276" w:type="dxa"/>
            <w:tcBorders>
              <w:top w:val="nil"/>
              <w:bottom w:val="nil"/>
            </w:tcBorders>
          </w:tcPr>
          <w:p>
            <w:pPr>
              <w:pStyle w:val="nTable"/>
              <w:spacing w:after="40"/>
            </w:pPr>
            <w:r>
              <w:t>SL 2025/89 11 Jun 2025</w:t>
            </w:r>
          </w:p>
        </w:tc>
        <w:tc>
          <w:tcPr>
            <w:tcW w:w="2693" w:type="dxa"/>
            <w:tcBorders>
              <w:top w:val="nil"/>
              <w:bottom w:val="nil"/>
            </w:tcBorders>
          </w:tcPr>
          <w:p>
            <w:pPr>
              <w:pStyle w:val="nTable"/>
              <w:spacing w:after="40"/>
            </w:pPr>
            <w:r>
              <w:t>1 Jul 2025 (see r. 2(b))</w:t>
            </w:r>
          </w:p>
        </w:tc>
      </w:tr>
      <w:tr>
        <w:trPr>
          <w:cantSplit/>
        </w:trPr>
        <w:tc>
          <w:tcPr>
            <w:tcW w:w="3119" w:type="dxa"/>
            <w:tcBorders>
              <w:top w:val="nil"/>
              <w:bottom w:val="single" w:sz="4" w:space="0" w:color="auto"/>
            </w:tcBorders>
          </w:tcPr>
          <w:p>
            <w:pPr>
              <w:pStyle w:val="nTable"/>
              <w:spacing w:after="40"/>
              <w:rPr>
                <w:i/>
              </w:rPr>
            </w:pPr>
            <w:r>
              <w:rPr>
                <w:i/>
              </w:rPr>
              <w:t>Commerce Regulations Amendment (Real Estate, Business and Settlement Agents) Regulations 2025</w:t>
            </w:r>
            <w:r>
              <w:rPr>
                <w:iCs/>
              </w:rPr>
              <w:t xml:space="preserve"> Pt. 2</w:t>
            </w:r>
          </w:p>
        </w:tc>
        <w:tc>
          <w:tcPr>
            <w:tcW w:w="1276" w:type="dxa"/>
            <w:tcBorders>
              <w:top w:val="nil"/>
              <w:bottom w:val="single" w:sz="4" w:space="0" w:color="auto"/>
            </w:tcBorders>
          </w:tcPr>
          <w:p>
            <w:pPr>
              <w:pStyle w:val="nTable"/>
              <w:spacing w:after="40"/>
            </w:pPr>
            <w:r>
              <w:t>SL 2025/194 26 Nov 2025</w:t>
            </w:r>
          </w:p>
        </w:tc>
        <w:tc>
          <w:tcPr>
            <w:tcW w:w="2693" w:type="dxa"/>
            <w:tcBorders>
              <w:top w:val="nil"/>
              <w:bottom w:val="single" w:sz="4" w:space="0" w:color="auto"/>
            </w:tcBorders>
          </w:tcPr>
          <w:p>
            <w:pPr>
              <w:pStyle w:val="nTable"/>
              <w:spacing w:after="40"/>
            </w:pPr>
            <w:r>
              <w:rPr>
                <w:iCs/>
              </w:rPr>
              <w:t xml:space="preserve">r. 3, 12 and 22: </w:t>
            </w:r>
            <w:r>
              <w:t>27 Nov 2025 (see r. 2(b));</w:t>
            </w:r>
            <w:r>
              <w:br/>
            </w:r>
            <w:r>
              <w:rPr>
                <w:iCs/>
              </w:rPr>
              <w:t xml:space="preserve">r. 4-11, 13-21 and 23-25: </w:t>
            </w:r>
            <w:r>
              <w:t>1 Jan 2026 (see r. 2(c))</w:t>
            </w:r>
          </w:p>
        </w:tc>
      </w:tr>
    </w:tbl>
    <w:p>
      <w:pPr>
        <w:pStyle w:val="nHeading3"/>
      </w:pPr>
      <w:bookmarkStart w:id="121" w:name="_Toc217380712"/>
      <w:r>
        <w:t>Other notes</w:t>
      </w:r>
      <w:bookmarkEnd w:id="121"/>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123" w:name="_Toc217380713"/>
      <w:r>
        <w:rPr>
          <w:sz w:val="28"/>
        </w:rPr>
        <w:lastRenderedPageBreak/>
        <w:t>Defined terms</w:t>
      </w:r>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4AB(1)</w:t>
      </w:r>
    </w:p>
    <w:p>
      <w:pPr>
        <w:pStyle w:val="DefinedTerms"/>
      </w:pPr>
      <w:r>
        <w:t>approved CPD provider</w:t>
      </w:r>
      <w:r>
        <w:tab/>
        <w:t>2(1)</w:t>
      </w:r>
    </w:p>
    <w:p>
      <w:pPr>
        <w:pStyle w:val="DefinedTerms"/>
      </w:pPr>
      <w:r>
        <w:t>approved CPD topic</w:t>
      </w:r>
      <w:r>
        <w:tab/>
        <w:t>2(1)</w:t>
      </w:r>
    </w:p>
    <w:p>
      <w:pPr>
        <w:pStyle w:val="DefinedTerms"/>
      </w:pPr>
      <w:r>
        <w:t>authorised financial institution</w:t>
      </w:r>
      <w:r>
        <w:tab/>
        <w:t>6C</w:t>
      </w:r>
    </w:p>
    <w:p>
      <w:pPr>
        <w:pStyle w:val="DefinedTerms"/>
      </w:pPr>
      <w:r>
        <w:t>business</w:t>
      </w:r>
      <w:r>
        <w:tab/>
        <w:t>6E(2)</w:t>
      </w:r>
    </w:p>
    <w:p>
      <w:pPr>
        <w:pStyle w:val="DefinedTerms"/>
      </w:pPr>
      <w:r>
        <w:t>commencement day</w:t>
      </w:r>
      <w:r>
        <w:tab/>
        <w:t>16(1), 18(1)</w:t>
      </w:r>
    </w:p>
    <w:p>
      <w:pPr>
        <w:pStyle w:val="DefinedTerms"/>
      </w:pPr>
      <w:r>
        <w:t>Commissioner’s website</w:t>
      </w:r>
      <w:r>
        <w:tab/>
        <w:t>2(1)</w:t>
      </w:r>
    </w:p>
    <w:p>
      <w:pPr>
        <w:pStyle w:val="DefinedTerms"/>
      </w:pPr>
      <w:r>
        <w:t>CPD activity</w:t>
      </w:r>
      <w:r>
        <w:tab/>
        <w:t>2(1)</w:t>
      </w:r>
    </w:p>
    <w:p>
      <w:pPr>
        <w:pStyle w:val="DefinedTerms"/>
      </w:pPr>
      <w:r>
        <w:t>CPD subject</w:t>
      </w:r>
      <w:r>
        <w:tab/>
        <w:t>2(1)</w:t>
      </w:r>
    </w:p>
    <w:p>
      <w:pPr>
        <w:pStyle w:val="DefinedTerms"/>
      </w:pPr>
      <w:r>
        <w:t>CPD year</w:t>
      </w:r>
      <w:r>
        <w:tab/>
        <w:t>2(1)</w:t>
      </w:r>
    </w:p>
    <w:p>
      <w:pPr>
        <w:pStyle w:val="DefinedTerms"/>
      </w:pPr>
      <w:r>
        <w:t>educational activity</w:t>
      </w:r>
      <w:r>
        <w:tab/>
        <w:t>2(1)</w:t>
      </w:r>
    </w:p>
    <w:p>
      <w:pPr>
        <w:pStyle w:val="DefinedTerms"/>
      </w:pPr>
      <w:r>
        <w:t>former regulation 4AA</w:t>
      </w:r>
      <w:r>
        <w:tab/>
        <w:t>16(1)</w:t>
      </w:r>
    </w:p>
    <w:p>
      <w:pPr>
        <w:pStyle w:val="DefinedTerms"/>
      </w:pPr>
      <w:r>
        <w:t>holding fee</w:t>
      </w:r>
      <w:r>
        <w:tab/>
        <w:t>4A(1)</w:t>
      </w:r>
    </w:p>
    <w:p>
      <w:pPr>
        <w:pStyle w:val="DefinedTerms"/>
      </w:pPr>
      <w:r>
        <w:t>mandatory CPD topic</w:t>
      </w:r>
      <w:r>
        <w:tab/>
        <w:t>2(1)</w:t>
      </w:r>
    </w:p>
    <w:p>
      <w:pPr>
        <w:pStyle w:val="DefinedTerms"/>
      </w:pPr>
      <w:r>
        <w:t>money record</w:t>
      </w:r>
      <w:r>
        <w:tab/>
        <w:t>6H(1A)</w:t>
      </w:r>
    </w:p>
    <w:p>
      <w:pPr>
        <w:pStyle w:val="DefinedTerms"/>
      </w:pPr>
      <w:r>
        <w:t>point</w:t>
      </w:r>
      <w:r>
        <w:tab/>
        <w:t>2(1), 4AC(1)</w:t>
      </w:r>
    </w:p>
    <w:p>
      <w:pPr>
        <w:pStyle w:val="DefinedTerms"/>
      </w:pPr>
      <w:r>
        <w:t>point value</w:t>
      </w:r>
      <w:r>
        <w:tab/>
        <w:t>2(1)</w:t>
      </w:r>
    </w:p>
    <w:p>
      <w:pPr>
        <w:pStyle w:val="DefinedTerms"/>
      </w:pPr>
      <w:r>
        <w:t>regulated person</w:t>
      </w:r>
      <w:r>
        <w:tab/>
        <w:t>2(1)</w:t>
      </w:r>
    </w:p>
    <w:p>
      <w:pPr>
        <w:pStyle w:val="DefinedTerms"/>
      </w:pPr>
      <w:r>
        <w:t>relevant bank accepted bills rate</w:t>
      </w:r>
      <w:r>
        <w:tab/>
        <w:t>6F(2)</w:t>
      </w:r>
    </w:p>
    <w:p>
      <w:pPr>
        <w:pStyle w:val="DefinedTerms"/>
      </w:pPr>
      <w:r>
        <w:t>required number of points</w:t>
      </w:r>
      <w:r>
        <w:tab/>
        <w:t>2(1)</w:t>
      </w:r>
    </w:p>
    <w:p>
      <w:pPr>
        <w:pStyle w:val="DefinedTerms"/>
      </w:pPr>
      <w:r>
        <w:t>restricted certificate (property management)</w:t>
      </w:r>
      <w:r>
        <w:tab/>
        <w:t>2(1)</w:t>
      </w:r>
    </w:p>
    <w:p>
      <w:pPr>
        <w:pStyle w:val="DefinedTerms"/>
      </w:pPr>
      <w:r>
        <w:t>restricted certificate (sales)</w:t>
      </w:r>
      <w:r>
        <w:tab/>
        <w:t>2(1)</w:t>
      </w:r>
    </w:p>
    <w:p>
      <w:pPr>
        <w:pStyle w:val="DefinedTerms"/>
      </w:pPr>
      <w:r>
        <w:t>topic</w:t>
      </w:r>
      <w:r>
        <w:tab/>
        <w:t>2(1)</w:t>
      </w:r>
    </w:p>
    <w:p>
      <w:pPr>
        <w:pStyle w:val="DefinedTerms"/>
      </w:pPr>
      <w:r>
        <w:t>unrestricted certificate</w:t>
      </w:r>
      <w:r>
        <w:tab/>
        <w:t>2(1)</w:t>
      </w:r>
    </w:p>
    <w:p>
      <w:pPr>
        <w:pStyle w:val="DefinedTerms"/>
      </w:pPr>
      <w:r>
        <w:t>working day</w:t>
      </w:r>
      <w:r>
        <w:tab/>
        <w:t>2(1)</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4F9939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6E649852" w14:textId="2772123C" w:rsidR="00B6219D" w:rsidRDefault="00832FC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64BDD">
                        <w:rPr>
                          <w:sz w:val="16"/>
                        </w:rPr>
                        <w:t>2026</w:t>
                      </w:r>
                      <w:r>
                        <w:rPr>
                          <w:sz w:val="16"/>
                        </w:rPr>
                        <w:fldChar w:fldCharType="end"/>
                      </w:r>
                      <w:r>
                        <w:rPr>
                          <w:sz w:val="16"/>
                        </w:rPr>
                        <w:t>.</w:t>
                      </w:r>
                    </w:p>
                    <w:p w14:paraId="243467D8" w14:textId="77777777" w:rsidR="00B6219D" w:rsidRDefault="00832FC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9808C3C" w14:textId="4B5498DB" w:rsidR="00B6219D" w:rsidRDefault="00832FC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64BDD">
                        <w:rPr>
                          <w:sz w:val="16"/>
                        </w:rPr>
                        <w:t>2026</w:t>
                      </w:r>
                      <w:r>
                        <w:rPr>
                          <w:sz w:val="16"/>
                        </w:rPr>
                        <w:fldChar w:fldCharType="end"/>
                      </w:r>
                      <w:r>
                        <w:rPr>
                          <w:sz w:val="16"/>
                        </w:rPr>
                        <w:t>.</w:t>
                      </w:r>
                    </w:p>
                    <w:p w14:paraId="23908735" w14:textId="7BF577DF" w:rsidR="00B6219D" w:rsidRDefault="00832FCA">
                      <w:pPr>
                        <w:ind w:left="2438" w:right="2098"/>
                        <w:jc w:val="center"/>
                        <w:rPr>
                          <w:rFonts w:ascii="Arial" w:hAnsi="Arial" w:cs="Arial"/>
                          <w:sz w:val="12"/>
                        </w:rPr>
                      </w:pPr>
                      <w:r>
                        <w:rPr>
                          <w:rFonts w:ascii="Arial" w:hAnsi="Arial" w:cs="Arial"/>
                          <w:sz w:val="12"/>
                        </w:rPr>
                        <w:t xml:space="preserve">By Authority: </w:t>
                      </w:r>
                      <w:r w:rsidR="007502D9" w:rsidRPr="007502D9">
                        <w:rPr>
                          <w:rFonts w:ascii="Arial" w:hAnsi="Arial" w:cs="Arial"/>
                          <w:sz w:val="12"/>
                        </w:rPr>
                        <w:t xml:space="preserve">ROGER JACOBS, Acting </w:t>
                      </w:r>
                      <w:r>
                        <w:rPr>
                          <w:rFonts w:ascii="Arial" w:hAnsi="Arial" w:cs="Arial"/>
                          <w:sz w:val="12"/>
                        </w:rPr>
                        <w:t>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08-af0-00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08-af0-00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2" w:name="Compilation"/>
    <w:bookmarkEnd w:id="12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4" w:name="DefinedTerms"/>
    <w:bookmarkEnd w:id="12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16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121094107"/>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 w:name="WAFER_202010220916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091626_GUID" w:val="a3fe8a98-827c-474d-8645-aa5b6d46001c"/>
    <w:docVar w:name="WAFER_20201223090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090013_GUID" w:val="59480542-89b7-4066-9608-b9d17c596166"/>
    <w:docVar w:name="WAFER_202106151103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0310_GUID" w:val="5f0816e5-bc06-4574-a05c-44344bfb3617"/>
    <w:docVar w:name="WAFER_20210621153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53950_GUID" w:val="118277ac-d31f-41a7-b87f-37deb02ff868"/>
    <w:docVar w:name="WAFER_20210624093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93912_GUID" w:val="a4ecf12a-6982-4b96-b5d8-656c02b4a52b"/>
    <w:docVar w:name="WAFER_202205171646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64633_GUID" w:val="4a07d93b-9f16-45f1-ae34-7654cd3660a6"/>
    <w:docVar w:name="WAFER_202206221533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335_GUID" w:val="647922a3-7663-41ec-bb79-074cf5f70bcd"/>
    <w:docVar w:name="WAFER_202305021417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1714_GUID" w:val="203171df-3bc0-4f8e-8f60-f12ad62a0311"/>
    <w:docVar w:name="WAFER_202306261124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407_GUID" w:val="064d2e53-cd2a-4116-80e8-24fd5d773d5d"/>
    <w:docVar w:name="WAFER_20230804143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4143615_GUID" w:val="47caa7af-285e-49be-917c-a2d22db94b78"/>
    <w:docVar w:name="WAFER_20231228140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547_GUID" w:val="92f0c72e-9eb8-47e4-b1b7-edee0a654b53"/>
    <w:docVar w:name="WAFER_202406061543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324_GUID" w:val="19989ae5-c972-4970-ab0a-b23d4ad8aa0e"/>
    <w:docVar w:name="WAFER_20240625105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353_GUID" w:val="98a91557-89a6-416d-befd-e38d33dde4ab"/>
    <w:docVar w:name="WAFER_2024071813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8131517_GUID" w:val="4f62c462-24fc-42e5-aa68-dda808e2c4f4"/>
    <w:docVar w:name="WAFER_20240820132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2313_GUID" w:val="56c985e1-1c6c-4223-85d5-723d8a642549"/>
    <w:docVar w:name="WAFER_20240820134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0134350_GUID" w:val="22102c80-7d6f-4870-bdae-5131782019b9"/>
    <w:docVar w:name="WAFER_20250606101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101028_GUID" w:val="a93360b8-9072-4857-8991-d979d4fecaea"/>
    <w:docVar w:name="WAFER_20250625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41731_GUID" w:val="ee49c4ab-19a3-465e-aa19-b2b85e473b1e"/>
    <w:docVar w:name="WAFER_202511210940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121094046_GUID" w:val="543d7d92-786e-42cd-bda5-270dcc5e3b9c"/>
    <w:docVar w:name="WAFER_20251121094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1121094107_GUID" w:val="e77395d5-adca-4d3f-b9f4-58b179231b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665"/>
    <o:shapelayout v:ext="edit">
      <o:idmap v:ext="edit" data="1"/>
    </o:shapelayout>
  </w:shapeDefaults>
  <w:decimalSymbol w:val="."/>
  <w:listSeparator w:val=","/>
  <w15:docId w15:val="{4268130B-06E6-4AB3-8F21-9CD2BDC5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54968602">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F55A91-EA39-4AC2-BC00-285B4BCB4E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11385</Words>
  <Characters>56242</Characters>
  <Application>Microsoft Office Word</Application>
  <DocSecurity>0</DocSecurity>
  <Lines>2249</Lines>
  <Paragraphs>1380</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1979 - 08-af0-00</dc:title>
  <dc:subject/>
  <dc:creator/>
  <cp:keywords/>
  <dc:description/>
  <cp:lastModifiedBy>Master Repository Process</cp:lastModifiedBy>
  <cp:revision>4</cp:revision>
  <cp:lastPrinted>2014-10-02T03:16:00Z</cp:lastPrinted>
  <dcterms:created xsi:type="dcterms:W3CDTF">2025-12-30T03:19:00Z</dcterms:created>
  <dcterms:modified xsi:type="dcterms:W3CDTF">2025-12-30T03:19:00Z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AsAtDate">
    <vt:lpwstr>01 Jan 2026</vt:lpwstr>
  </property>
  <property fmtid="{D5CDD505-2E9C-101B-9397-08002B2CF9AE}" pid="8" name="Suffix">
    <vt:lpwstr>08-af0-00</vt:lpwstr>
  </property>
  <property fmtid="{D5CDD505-2E9C-101B-9397-08002B2CF9AE}" pid="9" name="Official">
    <vt:lpwstr/>
  </property>
  <property fmtid="{D5CDD505-2E9C-101B-9397-08002B2CF9AE}" pid="10" name="CommencementDate">
    <vt:lpwstr>20260101</vt:lpwstr>
  </property>
  <property fmtid="{D5CDD505-2E9C-101B-9397-08002B2CF9AE}" pid="11" name="CommencementAsAt">
    <vt:filetime>2025-12-31T16:00:00Z</vt:filetime>
  </property>
  <property fmtid="{D5CDD505-2E9C-101B-9397-08002B2CF9AE}" pid="12" name="CommencementYear">
    <vt:lpwstr>2026</vt:lpwstr>
  </property>
</Properties>
</file>