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_Toc217305126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_Toc217305127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_Toc217305128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_Toc217305129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_Toc217305131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_Toc217305133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_Toc217305134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r>
      <w:r>
        <w:t>Term used: Admissions Manager</w:t>
      </w:r>
      <w:r>
        <w:tab/>
      </w:r>
      <w:r>
        <w:fldChar w:fldCharType="begin"/>
      </w:r>
      <w:r>
        <w:instrText xml:space="preserve"> PAGEREF _Toc217305137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_Toc217305138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_Toc217305139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_Toc217305140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_Toc217305141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_Toc217305142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2021 to 2026: Sch. 1</w:t>
      </w:r>
      <w:r>
        <w:tab/>
      </w:r>
      <w:r>
        <w:fldChar w:fldCharType="begin"/>
      </w:r>
      <w:r>
        <w:instrText xml:space="preserve"> PAGEREF _Toc217305144 \h </w:instrText>
      </w:r>
      <w:r>
        <w:fldChar w:fldCharType="separate"/>
      </w:r>
      <w:r>
        <w:t>11</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_Toc217305145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_Toc217305146 \h </w:instrText>
      </w:r>
      <w:r>
        <w:fldChar w:fldCharType="separate"/>
      </w:r>
      <w:r>
        <w:t>13</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_Toc217305147 \h </w:instrText>
      </w:r>
      <w:r>
        <w:fldChar w:fldCharType="separate"/>
      </w:r>
      <w:r>
        <w:t>13</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_Toc217305148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_Toc217305150 \h </w:instrText>
      </w:r>
      <w:r>
        <w:fldChar w:fldCharType="separate"/>
      </w:r>
      <w:r>
        <w:t>16</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_Toc217305151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_Toc217305153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_Toc217305154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_Toc217305157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_Toc217305158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_Toc217305160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_Toc217305161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_Toc217305163 \h </w:instrText>
      </w:r>
      <w:r>
        <w:fldChar w:fldCharType="separate"/>
      </w:r>
      <w:r>
        <w:t>23</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_Toc217305164 \h </w:instrText>
      </w:r>
      <w:r>
        <w:fldChar w:fldCharType="separate"/>
      </w:r>
      <w:r>
        <w:t>24</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_Toc217305165 \h </w:instrText>
      </w:r>
      <w:r>
        <w:fldChar w:fldCharType="separate"/>
      </w:r>
      <w:r>
        <w:t>24</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_Toc217305166 \h </w:instrText>
      </w:r>
      <w:r>
        <w:fldChar w:fldCharType="separate"/>
      </w:r>
      <w:r>
        <w:t>25</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_Toc217305167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_Toc217305169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_Toc217305170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_Toc217305171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_Toc217305172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_Toc217305173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_Toc217305175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_Toc217305178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_Toc217305179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2" w:name="_Toc217044409"/>
      <w:bookmarkStart w:id="3" w:name="_Toc217045217"/>
      <w:bookmarkStart w:id="4" w:name="_Toc21730512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17305126"/>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6" w:name="_Toc217305127"/>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7" w:name="_Toc217305128"/>
      <w:r>
        <w:rPr>
          <w:rStyle w:val="CharSectno"/>
        </w:rPr>
        <w:t>3</w:t>
      </w:r>
      <w:r>
        <w:rPr>
          <w:snapToGrid w:val="0"/>
        </w:rPr>
        <w:t>.</w:t>
      </w:r>
      <w:r>
        <w:rPr>
          <w:snapToGrid w:val="0"/>
        </w:rPr>
        <w:tab/>
        <w:t>Terms used</w:t>
      </w:r>
      <w:bookmarkEnd w:id="7"/>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8" w:name="_Toc217305129"/>
      <w:r>
        <w:rPr>
          <w:rStyle w:val="CharSectno"/>
        </w:rPr>
        <w:t>3AA</w:t>
      </w:r>
      <w:r>
        <w:t>.</w:t>
      </w:r>
      <w:r>
        <w:tab/>
        <w:t>Nominal hours</w:t>
      </w:r>
      <w:bookmarkEnd w:id="8"/>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9" w:name="_Toc217044414"/>
      <w:bookmarkStart w:id="10" w:name="_Toc217045222"/>
      <w:bookmarkStart w:id="11" w:name="_Toc217305130"/>
      <w:r>
        <w:rPr>
          <w:rStyle w:val="CharPartNo"/>
        </w:rPr>
        <w:lastRenderedPageBreak/>
        <w:t>Part 2A</w:t>
      </w:r>
      <w:r>
        <w:rPr>
          <w:b w:val="0"/>
        </w:rPr>
        <w:t> </w:t>
      </w:r>
      <w:r>
        <w:t>—</w:t>
      </w:r>
      <w:r>
        <w:rPr>
          <w:b w:val="0"/>
        </w:rPr>
        <w:t> </w:t>
      </w:r>
      <w:r>
        <w:rPr>
          <w:rStyle w:val="CharPartText"/>
        </w:rPr>
        <w:t>Management of colleges</w:t>
      </w:r>
      <w:bookmarkEnd w:id="9"/>
      <w:bookmarkEnd w:id="10"/>
      <w:bookmarkEnd w:id="11"/>
    </w:p>
    <w:p>
      <w:pPr>
        <w:pStyle w:val="Footnoteheading"/>
      </w:pPr>
      <w:r>
        <w:tab/>
        <w:t>[Heading inserted: Gazette 22 May 2009 p. 1694.]</w:t>
      </w:r>
    </w:p>
    <w:p>
      <w:pPr>
        <w:pStyle w:val="Heading5"/>
      </w:pPr>
      <w:bookmarkStart w:id="12" w:name="_Toc217305131"/>
      <w:r>
        <w:rPr>
          <w:rStyle w:val="CharSectno"/>
        </w:rPr>
        <w:t>3A</w:t>
      </w:r>
      <w:r>
        <w:t>.</w:t>
      </w:r>
      <w:r>
        <w:tab/>
        <w:t>Period prescribed for strategic plans (Act s. 43(1))</w:t>
      </w:r>
      <w:bookmarkEnd w:id="12"/>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3" w:name="_Toc217044416"/>
      <w:bookmarkStart w:id="14" w:name="_Toc217045224"/>
      <w:bookmarkStart w:id="15" w:name="_Toc217305132"/>
      <w:r>
        <w:rPr>
          <w:rStyle w:val="CharPartNo"/>
        </w:rPr>
        <w:lastRenderedPageBreak/>
        <w:t>Part 2</w:t>
      </w:r>
      <w:r>
        <w:rPr>
          <w:rStyle w:val="CharDivNo"/>
        </w:rPr>
        <w:t> </w:t>
      </w:r>
      <w:r>
        <w:t>—</w:t>
      </w:r>
      <w:r>
        <w:rPr>
          <w:rStyle w:val="CharDivText"/>
        </w:rPr>
        <w:t> </w:t>
      </w:r>
      <w:r>
        <w:rPr>
          <w:rStyle w:val="CharPartText"/>
        </w:rPr>
        <w:t>Classification and reclassification of courses</w:t>
      </w:r>
      <w:bookmarkEnd w:id="13"/>
      <w:bookmarkEnd w:id="14"/>
      <w:bookmarkEnd w:id="15"/>
    </w:p>
    <w:p>
      <w:pPr>
        <w:pStyle w:val="Footnoteheading"/>
      </w:pPr>
      <w:r>
        <w:tab/>
        <w:t>[Heading amended: Gazette 9 Nov 2007 p. 5606; 17 Dec 2013 p. 6257; SL 2020/109 r. 4.]</w:t>
      </w:r>
    </w:p>
    <w:p>
      <w:pPr>
        <w:pStyle w:val="Heading5"/>
        <w:rPr>
          <w:snapToGrid w:val="0"/>
        </w:rPr>
      </w:pPr>
      <w:bookmarkStart w:id="16" w:name="_Toc217305133"/>
      <w:r>
        <w:rPr>
          <w:rStyle w:val="CharSectno"/>
        </w:rPr>
        <w:t>4</w:t>
      </w:r>
      <w:r>
        <w:rPr>
          <w:snapToGrid w:val="0"/>
        </w:rPr>
        <w:t>.</w:t>
      </w:r>
      <w:r>
        <w:rPr>
          <w:snapToGrid w:val="0"/>
        </w:rPr>
        <w:tab/>
        <w:t>Classification of courses</w:t>
      </w:r>
      <w:bookmarkEnd w:id="16"/>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lastRenderedPageBreak/>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17" w:name="_Toc217305134"/>
      <w:r>
        <w:rPr>
          <w:rStyle w:val="CharSectno"/>
        </w:rPr>
        <w:lastRenderedPageBreak/>
        <w:t>4A</w:t>
      </w:r>
      <w:r>
        <w:t>.</w:t>
      </w:r>
      <w:r>
        <w:tab/>
        <w:t>Reclassification of courses</w:t>
      </w:r>
      <w:bookmarkEnd w:id="17"/>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 xml:space="preserve">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w:t>
      </w:r>
      <w:r>
        <w:lastRenderedPageBreak/>
        <w:t>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18" w:name="_Toc217044419"/>
      <w:bookmarkStart w:id="19" w:name="_Toc217045227"/>
      <w:bookmarkStart w:id="20" w:name="_Toc217305135"/>
      <w:r>
        <w:rPr>
          <w:rStyle w:val="CharPartNo"/>
        </w:rPr>
        <w:lastRenderedPageBreak/>
        <w:t>Part 3</w:t>
      </w:r>
      <w:r>
        <w:t> — </w:t>
      </w:r>
      <w:r>
        <w:rPr>
          <w:rStyle w:val="CharPartText"/>
        </w:rPr>
        <w:t>Selection and fees</w:t>
      </w:r>
      <w:bookmarkEnd w:id="18"/>
      <w:bookmarkEnd w:id="19"/>
      <w:bookmarkEnd w:id="20"/>
    </w:p>
    <w:p>
      <w:pPr>
        <w:pStyle w:val="Heading3"/>
      </w:pPr>
      <w:bookmarkStart w:id="21" w:name="_Toc217044420"/>
      <w:bookmarkStart w:id="22" w:name="_Toc217045228"/>
      <w:bookmarkStart w:id="23" w:name="_Toc217305136"/>
      <w:r>
        <w:rPr>
          <w:rStyle w:val="CharDivNo"/>
        </w:rPr>
        <w:t>Division 1</w:t>
      </w:r>
      <w:r>
        <w:rPr>
          <w:snapToGrid w:val="0"/>
        </w:rPr>
        <w:t> — </w:t>
      </w:r>
      <w:r>
        <w:rPr>
          <w:rStyle w:val="CharDivText"/>
        </w:rPr>
        <w:t>Selection for certain courses, and fees</w:t>
      </w:r>
      <w:bookmarkEnd w:id="21"/>
      <w:bookmarkEnd w:id="22"/>
      <w:bookmarkEnd w:id="23"/>
    </w:p>
    <w:p>
      <w:pPr>
        <w:pStyle w:val="Footnoteheading"/>
      </w:pPr>
      <w:r>
        <w:tab/>
        <w:t>[Heading amended: Gazette 17 Dec 2013 p. 6259.]</w:t>
      </w:r>
    </w:p>
    <w:p>
      <w:pPr>
        <w:pStyle w:val="Heading5"/>
        <w:rPr>
          <w:snapToGrid w:val="0"/>
        </w:rPr>
      </w:pPr>
      <w:bookmarkStart w:id="24" w:name="_Toc217305137"/>
      <w:r>
        <w:rPr>
          <w:rStyle w:val="CharSectno"/>
        </w:rPr>
        <w:t>5</w:t>
      </w:r>
      <w:r>
        <w:rPr>
          <w:snapToGrid w:val="0"/>
        </w:rPr>
        <w:t>.</w:t>
      </w:r>
      <w:r>
        <w:rPr>
          <w:snapToGrid w:val="0"/>
        </w:rPr>
        <w:tab/>
      </w:r>
      <w:r>
        <w:t>Term used: Admissions Manager</w:t>
      </w:r>
      <w:bookmarkEnd w:id="2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25" w:name="_Toc217305138"/>
      <w:r>
        <w:rPr>
          <w:rStyle w:val="CharSectno"/>
        </w:rPr>
        <w:t>6</w:t>
      </w:r>
      <w:r>
        <w:rPr>
          <w:snapToGrid w:val="0"/>
        </w:rPr>
        <w:t>.</w:t>
      </w:r>
      <w:r>
        <w:rPr>
          <w:snapToGrid w:val="0"/>
        </w:rPr>
        <w:tab/>
        <w:t>Application of this Division</w:t>
      </w:r>
      <w:bookmarkEnd w:id="25"/>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26" w:name="_Toc217305139"/>
      <w:r>
        <w:rPr>
          <w:rStyle w:val="CharSectno"/>
        </w:rPr>
        <w:lastRenderedPageBreak/>
        <w:t>7</w:t>
      </w:r>
      <w:r>
        <w:rPr>
          <w:snapToGrid w:val="0"/>
        </w:rPr>
        <w:t>.</w:t>
      </w:r>
      <w:r>
        <w:rPr>
          <w:snapToGrid w:val="0"/>
        </w:rPr>
        <w:tab/>
        <w:t>Admissions Manager, designation and functions of</w:t>
      </w:r>
      <w:bookmarkEnd w:id="2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27" w:name="_Toc217305140"/>
      <w:r>
        <w:rPr>
          <w:rStyle w:val="CharSectno"/>
        </w:rPr>
        <w:t>8</w:t>
      </w:r>
      <w:r>
        <w:t>.</w:t>
      </w:r>
      <w:r>
        <w:tab/>
        <w:t>Application for selection for course at college</w:t>
      </w:r>
      <w:bookmarkEnd w:id="27"/>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28" w:name="_Toc217305141"/>
      <w:r>
        <w:rPr>
          <w:rStyle w:val="CharSectno"/>
        </w:rPr>
        <w:t>9</w:t>
      </w:r>
      <w:r>
        <w:rPr>
          <w:snapToGrid w:val="0"/>
        </w:rPr>
        <w:t>.</w:t>
      </w:r>
      <w:r>
        <w:rPr>
          <w:snapToGrid w:val="0"/>
        </w:rPr>
        <w:tab/>
        <w:t>Late applications</w:t>
      </w:r>
      <w:bookmarkEnd w:id="2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29" w:name="_Toc217305142"/>
      <w:r>
        <w:rPr>
          <w:rStyle w:val="CharSectno"/>
        </w:rPr>
        <w:t>10</w:t>
      </w:r>
      <w:r>
        <w:rPr>
          <w:snapToGrid w:val="0"/>
        </w:rPr>
        <w:t>.</w:t>
      </w:r>
      <w:r>
        <w:rPr>
          <w:snapToGrid w:val="0"/>
        </w:rPr>
        <w:tab/>
        <w:t>Assessing applicant on basis of experience, fee for</w:t>
      </w:r>
      <w:bookmarkEnd w:id="2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lastRenderedPageBreak/>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0" w:name="_Toc217044427"/>
      <w:bookmarkStart w:id="31" w:name="_Toc217045235"/>
      <w:bookmarkStart w:id="32" w:name="_Toc217305143"/>
      <w:r>
        <w:rPr>
          <w:rStyle w:val="CharDivNo"/>
        </w:rPr>
        <w:t>Division 2</w:t>
      </w:r>
      <w:r>
        <w:t> — </w:t>
      </w:r>
      <w:r>
        <w:rPr>
          <w:rStyle w:val="CharDivText"/>
        </w:rPr>
        <w:t>Course fees</w:t>
      </w:r>
      <w:bookmarkEnd w:id="30"/>
      <w:bookmarkEnd w:id="31"/>
      <w:bookmarkEnd w:id="32"/>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33" w:name="_Toc217305144"/>
      <w:r>
        <w:rPr>
          <w:rStyle w:val="CharSectno"/>
        </w:rPr>
        <w:t>11</w:t>
      </w:r>
      <w:r>
        <w:t>.</w:t>
      </w:r>
      <w:r>
        <w:tab/>
        <w:t>Course fees for 2021 to 2026: Sch. 1</w:t>
      </w:r>
      <w:bookmarkEnd w:id="33"/>
    </w:p>
    <w:p>
      <w:pPr>
        <w:pStyle w:val="Subsection"/>
      </w:pPr>
      <w:r>
        <w:tab/>
        <w:t>(1)</w:t>
      </w:r>
      <w:r>
        <w:tab/>
        <w:t xml:space="preserve">If a student commences a unit of a course in 2021, 2022, 2023, 2024, 2025 or 2026,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 SL 2025/186 r. 4.]</w:t>
      </w:r>
    </w:p>
    <w:p>
      <w:pPr>
        <w:pStyle w:val="Heading5"/>
      </w:pPr>
      <w:bookmarkStart w:id="34" w:name="_Toc217305145"/>
      <w:r>
        <w:rPr>
          <w:rStyle w:val="CharSectno"/>
        </w:rPr>
        <w:t>12</w:t>
      </w:r>
      <w:r>
        <w:t>.</w:t>
      </w:r>
      <w:r>
        <w:tab/>
        <w:t>Annual course fee caps</w:t>
      </w:r>
      <w:bookmarkEnd w:id="34"/>
    </w:p>
    <w:p>
      <w:pPr>
        <w:pStyle w:val="Subsection"/>
      </w:pPr>
      <w:r>
        <w:tab/>
        <w:t>(1)</w:t>
      </w:r>
      <w:r>
        <w:tab/>
        <w:t xml:space="preserve">In this regulation — </w:t>
      </w:r>
    </w:p>
    <w:p>
      <w:pPr>
        <w:pStyle w:val="Defstart"/>
      </w:pPr>
      <w:r>
        <w:tab/>
      </w:r>
      <w:r>
        <w:rPr>
          <w:rStyle w:val="CharDefText"/>
        </w:rPr>
        <w:t>final year secondary school student</w:t>
      </w:r>
      <w:r>
        <w:t xml:space="preserve"> means a person enrolled at a school to whom regulation 13(4) applies;</w:t>
      </w:r>
    </w:p>
    <w:p>
      <w:pPr>
        <w:pStyle w:val="Defstart"/>
      </w:pPr>
      <w:r>
        <w:lastRenderedPageBreak/>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or a final year secondary school student,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or a final year secondary school student,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 SL 2022/203 r. 4.]</w:t>
      </w:r>
    </w:p>
    <w:p>
      <w:pPr>
        <w:pStyle w:val="Ednotesection"/>
      </w:pPr>
      <w:r>
        <w:t>[</w:t>
      </w:r>
      <w:r>
        <w:rPr>
          <w:b/>
        </w:rPr>
        <w:t>13B.</w:t>
      </w:r>
      <w:r>
        <w:tab/>
        <w:t>Deleted: Gazette 11 Dec 2015 p. 4958.]</w:t>
      </w:r>
    </w:p>
    <w:p>
      <w:pPr>
        <w:pStyle w:val="Heading5"/>
        <w:spacing w:before="180"/>
      </w:pPr>
      <w:bookmarkStart w:id="35" w:name="_Toc217305146"/>
      <w:r>
        <w:rPr>
          <w:rStyle w:val="CharSectno"/>
        </w:rPr>
        <w:lastRenderedPageBreak/>
        <w:t>13</w:t>
      </w:r>
      <w:r>
        <w:t>.</w:t>
      </w:r>
      <w:r>
        <w:tab/>
        <w:t>Courses exempt from course fees</w:t>
      </w:r>
      <w:bookmarkEnd w:id="35"/>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 SL 2022/203 r. 5.]</w:t>
      </w:r>
    </w:p>
    <w:p>
      <w:pPr>
        <w:pStyle w:val="Heading5"/>
      </w:pPr>
      <w:bookmarkStart w:id="36" w:name="_Toc217305147"/>
      <w:r>
        <w:rPr>
          <w:rStyle w:val="CharSectno"/>
        </w:rPr>
        <w:t>14</w:t>
      </w:r>
      <w:r>
        <w:t>.</w:t>
      </w:r>
      <w:r>
        <w:tab/>
        <w:t>Students in State care</w:t>
      </w:r>
      <w:bookmarkEnd w:id="36"/>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lastRenderedPageBreak/>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37" w:name="_Toc217305148"/>
      <w:r>
        <w:rPr>
          <w:rStyle w:val="CharSectno"/>
        </w:rPr>
        <w:t>15A</w:t>
      </w:r>
      <w:r>
        <w:t>.</w:t>
      </w:r>
      <w:r>
        <w:tab/>
        <w:t>Course fees for overseas students</w:t>
      </w:r>
      <w:bookmarkEnd w:id="37"/>
    </w:p>
    <w:p>
      <w:pPr>
        <w:pStyle w:val="Subsection"/>
      </w:pPr>
      <w:r>
        <w:tab/>
        <w:t>(1A)</w:t>
      </w:r>
      <w:r>
        <w:tab/>
        <w:t xml:space="preserve">A student commencing a course is an </w:t>
      </w:r>
      <w:r>
        <w:rPr>
          <w:rStyle w:val="CharDefText"/>
        </w:rPr>
        <w:t>Australian resident</w:t>
      </w:r>
      <w:r>
        <w:t xml:space="preserve"> for the purposes of subregulation (1) if the student satisfies one of the following conditions —</w:t>
      </w:r>
    </w:p>
    <w:p>
      <w:pPr>
        <w:pStyle w:val="Indenta"/>
      </w:pPr>
      <w:r>
        <w:tab/>
        <w:t>(a)</w:t>
      </w:r>
      <w:r>
        <w:tab/>
        <w:t xml:space="preserve">the student is an Australian citizen (as defined in the </w:t>
      </w:r>
      <w:r>
        <w:rPr>
          <w:i/>
        </w:rPr>
        <w:t>Australian Citizenship Act 2007</w:t>
      </w:r>
      <w:r>
        <w:t xml:space="preserve"> (Commonwealth) section 4(1));</w:t>
      </w:r>
    </w:p>
    <w:p>
      <w:pPr>
        <w:pStyle w:val="Indenta"/>
      </w:pPr>
      <w:r>
        <w:tab/>
        <w:t>(b)</w:t>
      </w:r>
      <w:r>
        <w:tab/>
        <w:t>the student holds a permanent visa or a visa of Subclass 309, 444, 785, 790, 820 or 826;</w:t>
      </w:r>
    </w:p>
    <w:p>
      <w:pPr>
        <w:pStyle w:val="Indenta"/>
      </w:pPr>
      <w:r>
        <w:tab/>
        <w:t>(c)</w:t>
      </w:r>
      <w:r>
        <w:tab/>
        <w:t xml:space="preserve">the student holds a visa of subclass 457 granted on the basis that the student satisfied the secondary criteria for that subclass; </w:t>
      </w:r>
    </w:p>
    <w:p>
      <w:pPr>
        <w:pStyle w:val="Indenta"/>
      </w:pPr>
      <w:r>
        <w:tab/>
        <w:t>(d)</w:t>
      </w:r>
      <w:r>
        <w:tab/>
        <w:t>the student —</w:t>
      </w:r>
    </w:p>
    <w:p>
      <w:pPr>
        <w:pStyle w:val="Indenti"/>
      </w:pPr>
      <w:r>
        <w:tab/>
        <w:t>(i)</w:t>
      </w:r>
      <w:r>
        <w:tab/>
        <w:t xml:space="preserve">holds a visa of subclass 050 or 051; and </w:t>
      </w:r>
    </w:p>
    <w:p>
      <w:pPr>
        <w:pStyle w:val="Indenti"/>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p>
    <w:p>
      <w:pPr>
        <w:pStyle w:val="Indenta"/>
      </w:pPr>
      <w:r>
        <w:tab/>
        <w:t>(e)</w:t>
      </w:r>
      <w:r>
        <w:tab/>
        <w:t xml:space="preserve">the student holds a visa of subclass 449 or 786; </w:t>
      </w:r>
    </w:p>
    <w:p>
      <w:pPr>
        <w:pStyle w:val="Ednotepara"/>
      </w:pPr>
      <w:r>
        <w:tab/>
      </w:r>
      <w:bookmarkStart w:id="38" w:name="_Hlk217304489"/>
      <w:r>
        <w:t>[(f)</w:t>
      </w:r>
      <w:r>
        <w:tab/>
        <w:t>deleted]</w:t>
      </w:r>
      <w:bookmarkEnd w:id="38"/>
    </w:p>
    <w:p>
      <w:pPr>
        <w:pStyle w:val="Indenta"/>
        <w:keepNext/>
      </w:pPr>
      <w:r>
        <w:lastRenderedPageBreak/>
        <w:tab/>
        <w:t>(g)</w:t>
      </w:r>
      <w:r>
        <w:tab/>
        <w:t xml:space="preserve">the student — </w:t>
      </w:r>
    </w:p>
    <w:p>
      <w:pPr>
        <w:pStyle w:val="Indenti"/>
      </w:pPr>
      <w:r>
        <w:tab/>
        <w:t>(i)</w:t>
      </w:r>
      <w:r>
        <w:tab/>
        <w:t xml:space="preserve">holds a bridging visa that is not subject to condition 8101 set out in the </w:t>
      </w:r>
      <w:r>
        <w:rPr>
          <w:i/>
          <w:iCs/>
        </w:rPr>
        <w:t>Migration Regulations 1994</w:t>
      </w:r>
      <w:r>
        <w:t xml:space="preserve"> (Commonwealth) Schedule 8; and</w:t>
      </w:r>
    </w:p>
    <w:p>
      <w:pPr>
        <w:pStyle w:val="Indenti"/>
      </w:pPr>
      <w:r>
        <w:tab/>
        <w:t>(ii)</w:t>
      </w:r>
      <w:r>
        <w:tab/>
        <w:t xml:space="preserve">has received a letter from the Department of State of the Commonwealth assisting in the administration of the </w:t>
      </w:r>
      <w:r>
        <w:rPr>
          <w:i/>
          <w:iCs/>
        </w:rPr>
        <w:t>Migration Act 1958</w:t>
      </w:r>
      <w:r>
        <w:t xml:space="preserve"> (Commonwealth) acknowledging that the student has made a valid application for a visa of subclass 866;</w:t>
      </w:r>
    </w:p>
    <w:p>
      <w:pPr>
        <w:pStyle w:val="Indenta"/>
      </w:pPr>
      <w:r>
        <w:tab/>
        <w:t>(h)</w:t>
      </w:r>
      <w:r>
        <w:tab/>
        <w:t>the student holds a visa of subclass 300, 445 or 461 granted on the basis that the student satisfied the primary or secondary criteria for that subclass;</w:t>
      </w:r>
    </w:p>
    <w:p>
      <w:pPr>
        <w:pStyle w:val="Indenta"/>
      </w:pPr>
      <w:r>
        <w:tab/>
        <w:t>(i)</w:t>
      </w:r>
      <w:r>
        <w:tab/>
        <w:t>the student holds a visa of subclass 188, 482, 489, 491 or 494 granted on the basis that the student satisfied the secondary criteria for that subclass.</w:t>
      </w:r>
    </w:p>
    <w:p>
      <w:pPr>
        <w:pStyle w:val="Subsection"/>
      </w:pPr>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keepNext/>
      </w:pPr>
      <w:r>
        <w:lastRenderedPageBreak/>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Ednotesubsection"/>
        <w:keepNext/>
      </w:pPr>
      <w:r>
        <w:tab/>
        <w:t>[(4), (5)</w:t>
      </w:r>
      <w:r>
        <w:tab/>
        <w:t>deleted]</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 SL 2022/203 r. 6; SL 2024/1 r. 4; SL 2024/230 r. 4; SL 2025/186 r. 5.]</w:t>
      </w:r>
    </w:p>
    <w:p>
      <w:pPr>
        <w:pStyle w:val="Heading3"/>
        <w:spacing w:before="120"/>
      </w:pPr>
      <w:bookmarkStart w:id="39" w:name="_Toc217044433"/>
      <w:bookmarkStart w:id="40" w:name="_Toc217045241"/>
      <w:bookmarkStart w:id="41" w:name="_Toc217305149"/>
      <w:r>
        <w:rPr>
          <w:rStyle w:val="CharDivNo"/>
        </w:rPr>
        <w:t>Division 3</w:t>
      </w:r>
      <w:r>
        <w:rPr>
          <w:snapToGrid w:val="0"/>
        </w:rPr>
        <w:t> — </w:t>
      </w:r>
      <w:r>
        <w:rPr>
          <w:rStyle w:val="CharDivText"/>
        </w:rPr>
        <w:t>Other fees</w:t>
      </w:r>
      <w:bookmarkEnd w:id="39"/>
      <w:bookmarkEnd w:id="40"/>
      <w:bookmarkEnd w:id="41"/>
    </w:p>
    <w:p>
      <w:pPr>
        <w:pStyle w:val="Heading5"/>
        <w:spacing w:before="120"/>
        <w:rPr>
          <w:snapToGrid w:val="0"/>
        </w:rPr>
      </w:pPr>
      <w:bookmarkStart w:id="42" w:name="_Toc217305150"/>
      <w:r>
        <w:rPr>
          <w:rStyle w:val="CharSectno"/>
        </w:rPr>
        <w:t>16</w:t>
      </w:r>
      <w:r>
        <w:rPr>
          <w:snapToGrid w:val="0"/>
        </w:rPr>
        <w:t>.</w:t>
      </w:r>
      <w:r>
        <w:rPr>
          <w:snapToGrid w:val="0"/>
        </w:rPr>
        <w:tab/>
        <w:t>Colleges may determine other fees</w:t>
      </w:r>
      <w:bookmarkEnd w:id="42"/>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lastRenderedPageBreak/>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43" w:name="_Toc217305151"/>
      <w:r>
        <w:rPr>
          <w:rStyle w:val="CharSectno"/>
        </w:rPr>
        <w:t>16A</w:t>
      </w:r>
      <w:r>
        <w:t>.</w:t>
      </w:r>
      <w:r>
        <w:tab/>
        <w:t>Fee for service</w:t>
      </w:r>
      <w:bookmarkEnd w:id="43"/>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44" w:name="_Toc217044436"/>
      <w:bookmarkStart w:id="45" w:name="_Toc217045244"/>
      <w:bookmarkStart w:id="46" w:name="_Toc217305152"/>
      <w:r>
        <w:rPr>
          <w:rStyle w:val="CharPartNo"/>
        </w:rPr>
        <w:lastRenderedPageBreak/>
        <w:t>Part 4</w:t>
      </w:r>
      <w:r>
        <w:rPr>
          <w:rStyle w:val="CharDivNo"/>
        </w:rPr>
        <w:t> </w:t>
      </w:r>
      <w:r>
        <w:t>—</w:t>
      </w:r>
      <w:r>
        <w:rPr>
          <w:rStyle w:val="CharDivText"/>
        </w:rPr>
        <w:t> </w:t>
      </w:r>
      <w:r>
        <w:rPr>
          <w:rStyle w:val="CharPartText"/>
        </w:rPr>
        <w:t>Enrolment</w:t>
      </w:r>
      <w:bookmarkEnd w:id="44"/>
      <w:bookmarkEnd w:id="45"/>
      <w:bookmarkEnd w:id="46"/>
    </w:p>
    <w:p>
      <w:pPr>
        <w:pStyle w:val="Heading5"/>
        <w:spacing w:before="120"/>
        <w:rPr>
          <w:snapToGrid w:val="0"/>
        </w:rPr>
      </w:pPr>
      <w:bookmarkStart w:id="47" w:name="_Toc217305153"/>
      <w:r>
        <w:rPr>
          <w:rStyle w:val="CharSectno"/>
        </w:rPr>
        <w:t>17</w:t>
      </w:r>
      <w:r>
        <w:rPr>
          <w:snapToGrid w:val="0"/>
        </w:rPr>
        <w:t>.</w:t>
      </w:r>
      <w:r>
        <w:rPr>
          <w:snapToGrid w:val="0"/>
        </w:rPr>
        <w:tab/>
        <w:t>Enrolment as student at college</w:t>
      </w:r>
      <w:bookmarkEnd w:id="47"/>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48" w:name="_Toc217305154"/>
      <w:r>
        <w:rPr>
          <w:rStyle w:val="CharSectno"/>
        </w:rPr>
        <w:t>18</w:t>
      </w:r>
      <w:r>
        <w:rPr>
          <w:snapToGrid w:val="0"/>
        </w:rPr>
        <w:t>.</w:t>
      </w:r>
      <w:r>
        <w:rPr>
          <w:snapToGrid w:val="0"/>
        </w:rPr>
        <w:tab/>
        <w:t>When enrolment at college may be refused or cancelled</w:t>
      </w:r>
      <w:bookmarkEnd w:id="48"/>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lastRenderedPageBreak/>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49" w:name="_Toc217044439"/>
      <w:bookmarkStart w:id="50" w:name="_Toc217045247"/>
      <w:bookmarkStart w:id="51" w:name="_Toc217305155"/>
      <w:r>
        <w:rPr>
          <w:rStyle w:val="CharPartNo"/>
        </w:rPr>
        <w:lastRenderedPageBreak/>
        <w:t>Part 5</w:t>
      </w:r>
      <w:r>
        <w:rPr>
          <w:b w:val="0"/>
        </w:rPr>
        <w:t> </w:t>
      </w:r>
      <w:r>
        <w:t>—</w:t>
      </w:r>
      <w:r>
        <w:rPr>
          <w:b w:val="0"/>
        </w:rPr>
        <w:t> </w:t>
      </w:r>
      <w:r>
        <w:rPr>
          <w:rStyle w:val="CharPartText"/>
        </w:rPr>
        <w:t>Fee concessions, exemptions and refunds</w:t>
      </w:r>
      <w:bookmarkEnd w:id="49"/>
      <w:bookmarkEnd w:id="50"/>
      <w:bookmarkEnd w:id="51"/>
    </w:p>
    <w:p>
      <w:pPr>
        <w:pStyle w:val="Footnoteheading"/>
      </w:pPr>
      <w:r>
        <w:tab/>
        <w:t>[Heading inserted: Gazette 18 Dec 2009 p. 5174.]</w:t>
      </w:r>
    </w:p>
    <w:p>
      <w:pPr>
        <w:pStyle w:val="Heading3"/>
      </w:pPr>
      <w:bookmarkStart w:id="52" w:name="_Toc217044440"/>
      <w:bookmarkStart w:id="53" w:name="_Toc217045248"/>
      <w:bookmarkStart w:id="54" w:name="_Toc217305156"/>
      <w:r>
        <w:rPr>
          <w:rStyle w:val="CharDivNo"/>
        </w:rPr>
        <w:t>Division 1</w:t>
      </w:r>
      <w:r>
        <w:rPr>
          <w:snapToGrid w:val="0"/>
        </w:rPr>
        <w:t> — </w:t>
      </w:r>
      <w:r>
        <w:rPr>
          <w:rStyle w:val="CharDivText"/>
        </w:rPr>
        <w:t>Concessional rates of fees</w:t>
      </w:r>
      <w:bookmarkEnd w:id="52"/>
      <w:bookmarkEnd w:id="53"/>
      <w:bookmarkEnd w:id="54"/>
    </w:p>
    <w:p>
      <w:pPr>
        <w:pStyle w:val="Heading5"/>
        <w:rPr>
          <w:snapToGrid w:val="0"/>
        </w:rPr>
      </w:pPr>
      <w:bookmarkStart w:id="55" w:name="_Toc217305157"/>
      <w:r>
        <w:rPr>
          <w:rStyle w:val="CharSectno"/>
        </w:rPr>
        <w:t>20</w:t>
      </w:r>
      <w:r>
        <w:rPr>
          <w:snapToGrid w:val="0"/>
        </w:rPr>
        <w:t>.</w:t>
      </w:r>
      <w:r>
        <w:rPr>
          <w:snapToGrid w:val="0"/>
        </w:rPr>
        <w:tab/>
        <w:t>Persons entitled to concessional rate of course fee</w:t>
      </w:r>
      <w:bookmarkEnd w:id="5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 Pathways;</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lastRenderedPageBreak/>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 SL 2025/186 r. 6.]</w:t>
      </w:r>
    </w:p>
    <w:p>
      <w:pPr>
        <w:pStyle w:val="Ednotesection"/>
      </w:pPr>
      <w:r>
        <w:t>[</w:t>
      </w:r>
      <w:r>
        <w:rPr>
          <w:b/>
          <w:bCs/>
        </w:rPr>
        <w:t>20A.</w:t>
      </w:r>
      <w:r>
        <w:tab/>
        <w:t>Deleted: Gazette 23 Dec 2016 p. 5909.]</w:t>
      </w:r>
    </w:p>
    <w:p>
      <w:pPr>
        <w:pStyle w:val="Heading5"/>
        <w:rPr>
          <w:snapToGrid w:val="0"/>
        </w:rPr>
      </w:pPr>
      <w:bookmarkStart w:id="56" w:name="_Toc217305158"/>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56"/>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57" w:name="_Toc217044443"/>
      <w:bookmarkStart w:id="58" w:name="_Toc217045251"/>
      <w:bookmarkStart w:id="59" w:name="_Toc217305159"/>
      <w:r>
        <w:rPr>
          <w:rStyle w:val="CharDivNo"/>
        </w:rPr>
        <w:lastRenderedPageBreak/>
        <w:t>Division 2</w:t>
      </w:r>
      <w:r>
        <w:t> — </w:t>
      </w:r>
      <w:r>
        <w:rPr>
          <w:rStyle w:val="CharDivText"/>
        </w:rPr>
        <w:t>Payment by instalment and exemption for severe financial hardship</w:t>
      </w:r>
      <w:bookmarkEnd w:id="57"/>
      <w:bookmarkEnd w:id="58"/>
      <w:bookmarkEnd w:id="59"/>
    </w:p>
    <w:p>
      <w:pPr>
        <w:pStyle w:val="Footnoteheading"/>
        <w:keepNext/>
      </w:pPr>
      <w:r>
        <w:tab/>
        <w:t>[Heading inserted: Gazette 17 Dec 2013 p. 6267.]</w:t>
      </w:r>
    </w:p>
    <w:p>
      <w:pPr>
        <w:pStyle w:val="Heading5"/>
        <w:rPr>
          <w:snapToGrid w:val="0"/>
        </w:rPr>
      </w:pPr>
      <w:bookmarkStart w:id="60" w:name="_Toc217305160"/>
      <w:r>
        <w:rPr>
          <w:rStyle w:val="CharSectno"/>
        </w:rPr>
        <w:t>22</w:t>
      </w:r>
      <w:r>
        <w:rPr>
          <w:snapToGrid w:val="0"/>
        </w:rPr>
        <w:t>.</w:t>
      </w:r>
      <w:r>
        <w:rPr>
          <w:snapToGrid w:val="0"/>
        </w:rPr>
        <w:tab/>
        <w:t>Payment of certain fees by instalments</w:t>
      </w:r>
      <w:bookmarkEnd w:id="60"/>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61" w:name="_Toc217305161"/>
      <w:r>
        <w:rPr>
          <w:rStyle w:val="CharSectno"/>
        </w:rPr>
        <w:lastRenderedPageBreak/>
        <w:t>23</w:t>
      </w:r>
      <w:r>
        <w:rPr>
          <w:snapToGrid w:val="0"/>
        </w:rPr>
        <w:t>.</w:t>
      </w:r>
      <w:r>
        <w:rPr>
          <w:snapToGrid w:val="0"/>
        </w:rPr>
        <w:tab/>
        <w:t>Exemption from fees if severe financial hardship</w:t>
      </w:r>
      <w:bookmarkEnd w:id="61"/>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62" w:name="_Toc217044446"/>
      <w:bookmarkStart w:id="63" w:name="_Toc217045254"/>
      <w:bookmarkStart w:id="64" w:name="_Toc217305162"/>
      <w:r>
        <w:rPr>
          <w:rStyle w:val="CharDivNo"/>
        </w:rPr>
        <w:t>Division 3</w:t>
      </w:r>
      <w:r>
        <w:t> — </w:t>
      </w:r>
      <w:r>
        <w:rPr>
          <w:rStyle w:val="CharDivText"/>
        </w:rPr>
        <w:t>Refund of fees</w:t>
      </w:r>
      <w:bookmarkEnd w:id="62"/>
      <w:bookmarkEnd w:id="63"/>
      <w:bookmarkEnd w:id="64"/>
    </w:p>
    <w:p>
      <w:pPr>
        <w:pStyle w:val="Footnoteheading"/>
        <w:keepNext/>
      </w:pPr>
      <w:r>
        <w:tab/>
        <w:t>[Heading inserted: Gazette 19 Jan 2010 p. 144.]</w:t>
      </w:r>
    </w:p>
    <w:p>
      <w:pPr>
        <w:pStyle w:val="Heading5"/>
      </w:pPr>
      <w:bookmarkStart w:id="65" w:name="_Toc217305163"/>
      <w:r>
        <w:rPr>
          <w:rStyle w:val="CharSectno"/>
        </w:rPr>
        <w:t>24A</w:t>
      </w:r>
      <w:r>
        <w:t>.</w:t>
      </w:r>
      <w:r>
        <w:tab/>
        <w:t>Terms used</w:t>
      </w:r>
      <w:bookmarkEnd w:id="65"/>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lastRenderedPageBreak/>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66" w:name="_Toc217305164"/>
      <w:r>
        <w:rPr>
          <w:rStyle w:val="CharSectno"/>
        </w:rPr>
        <w:t>24B</w:t>
      </w:r>
      <w:r>
        <w:t>.</w:t>
      </w:r>
      <w:r>
        <w:tab/>
        <w:t>Withdrawing from course or unit, manner of</w:t>
      </w:r>
      <w:bookmarkEnd w:id="66"/>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67" w:name="_Toc217305165"/>
      <w:r>
        <w:rPr>
          <w:rStyle w:val="CharSectno"/>
        </w:rPr>
        <w:t>24</w:t>
      </w:r>
      <w:r>
        <w:t>.</w:t>
      </w:r>
      <w:r>
        <w:tab/>
        <w:t>Refund of fees on cancellation etc. of course or unit</w:t>
      </w:r>
      <w:bookmarkEnd w:id="67"/>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lastRenderedPageBreak/>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68" w:name="_Toc217305166"/>
      <w:r>
        <w:rPr>
          <w:rStyle w:val="CharSectno"/>
        </w:rPr>
        <w:t>25</w:t>
      </w:r>
      <w:r>
        <w:t>.</w:t>
      </w:r>
      <w:r>
        <w:tab/>
        <w:t>Full refund of certain fees if withdrawal within allowed period</w:t>
      </w:r>
      <w:bookmarkEnd w:id="68"/>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69" w:name="_Toc217305167"/>
      <w:r>
        <w:rPr>
          <w:rStyle w:val="CharSectno"/>
        </w:rPr>
        <w:t>26</w:t>
      </w:r>
      <w:r>
        <w:t>.</w:t>
      </w:r>
      <w:r>
        <w:tab/>
        <w:t>Pro rata refund of fees if withdrawal after allowed period</w:t>
      </w:r>
      <w:bookmarkEnd w:id="69"/>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lastRenderedPageBreak/>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70" w:name="_Toc217044452"/>
      <w:bookmarkStart w:id="71" w:name="_Toc217045260"/>
      <w:bookmarkStart w:id="72" w:name="_Toc217305168"/>
      <w:r>
        <w:rPr>
          <w:rStyle w:val="CharPartNo"/>
        </w:rPr>
        <w:lastRenderedPageBreak/>
        <w:t>Part 6</w:t>
      </w:r>
      <w:r>
        <w:rPr>
          <w:rStyle w:val="CharDivNo"/>
        </w:rPr>
        <w:t> </w:t>
      </w:r>
      <w:r>
        <w:t>—</w:t>
      </w:r>
      <w:r>
        <w:rPr>
          <w:rStyle w:val="CharDivText"/>
        </w:rPr>
        <w:t> </w:t>
      </w:r>
      <w:r>
        <w:rPr>
          <w:rStyle w:val="CharPartText"/>
        </w:rPr>
        <w:t>Common seals of colleges</w:t>
      </w:r>
      <w:bookmarkEnd w:id="70"/>
      <w:bookmarkEnd w:id="71"/>
      <w:bookmarkEnd w:id="72"/>
    </w:p>
    <w:p>
      <w:pPr>
        <w:pStyle w:val="Heading5"/>
        <w:spacing w:before="180"/>
        <w:rPr>
          <w:snapToGrid w:val="0"/>
        </w:rPr>
      </w:pPr>
      <w:bookmarkStart w:id="73" w:name="_Toc217305169"/>
      <w:r>
        <w:rPr>
          <w:rStyle w:val="CharSectno"/>
        </w:rPr>
        <w:t>27</w:t>
      </w:r>
      <w:r>
        <w:rPr>
          <w:snapToGrid w:val="0"/>
        </w:rPr>
        <w:t>.</w:t>
      </w:r>
      <w:r>
        <w:rPr>
          <w:snapToGrid w:val="0"/>
        </w:rPr>
        <w:tab/>
        <w:t>Form</w:t>
      </w:r>
      <w:bookmarkEnd w:id="7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74" w:name="_Toc217305170"/>
      <w:r>
        <w:rPr>
          <w:rStyle w:val="CharSectno"/>
        </w:rPr>
        <w:t>28</w:t>
      </w:r>
      <w:r>
        <w:rPr>
          <w:snapToGrid w:val="0"/>
        </w:rPr>
        <w:t>.</w:t>
      </w:r>
      <w:r>
        <w:rPr>
          <w:snapToGrid w:val="0"/>
        </w:rPr>
        <w:tab/>
        <w:t>Custody</w:t>
      </w:r>
      <w:bookmarkEnd w:id="74"/>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75" w:name="_Toc217305171"/>
      <w:r>
        <w:rPr>
          <w:rStyle w:val="CharSectno"/>
        </w:rPr>
        <w:t>29</w:t>
      </w:r>
      <w:r>
        <w:rPr>
          <w:snapToGrid w:val="0"/>
        </w:rPr>
        <w:t>.</w:t>
      </w:r>
      <w:r>
        <w:rPr>
          <w:snapToGrid w:val="0"/>
        </w:rPr>
        <w:tab/>
        <w:t>Use</w:t>
      </w:r>
      <w:bookmarkEnd w:id="75"/>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76" w:name="_Toc217305172"/>
      <w:r>
        <w:rPr>
          <w:rStyle w:val="CharSectno"/>
        </w:rPr>
        <w:t>30</w:t>
      </w:r>
      <w:r>
        <w:rPr>
          <w:snapToGrid w:val="0"/>
        </w:rPr>
        <w:t>.</w:t>
      </w:r>
      <w:r>
        <w:rPr>
          <w:snapToGrid w:val="0"/>
        </w:rPr>
        <w:tab/>
        <w:t>Attestation</w:t>
      </w:r>
      <w:bookmarkEnd w:id="76"/>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77" w:name="_Toc217305173"/>
      <w:r>
        <w:rPr>
          <w:rStyle w:val="CharSectno"/>
        </w:rPr>
        <w:t>31</w:t>
      </w:r>
      <w:r>
        <w:rPr>
          <w:snapToGrid w:val="0"/>
        </w:rPr>
        <w:t>.</w:t>
      </w:r>
      <w:r>
        <w:rPr>
          <w:snapToGrid w:val="0"/>
        </w:rPr>
        <w:tab/>
        <w:t>Seal book</w:t>
      </w:r>
      <w:bookmarkEnd w:id="77"/>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78" w:name="_Toc217044458"/>
      <w:bookmarkStart w:id="79" w:name="_Toc217045266"/>
      <w:bookmarkStart w:id="80" w:name="_Toc217305174"/>
      <w:r>
        <w:rPr>
          <w:rStyle w:val="CharPartNo"/>
        </w:rPr>
        <w:lastRenderedPageBreak/>
        <w:t>Part 7 </w:t>
      </w:r>
      <w:r>
        <w:t>— </w:t>
      </w:r>
      <w:r>
        <w:rPr>
          <w:rStyle w:val="CharPartText"/>
        </w:rPr>
        <w:t>Transitional provision</w:t>
      </w:r>
      <w:bookmarkEnd w:id="78"/>
      <w:bookmarkEnd w:id="79"/>
      <w:bookmarkEnd w:id="80"/>
    </w:p>
    <w:p>
      <w:pPr>
        <w:pStyle w:val="Footnoteheading"/>
      </w:pPr>
      <w:r>
        <w:tab/>
        <w:t>[Heading inserted: SL 2020/84 r. 10.]</w:t>
      </w:r>
    </w:p>
    <w:p>
      <w:pPr>
        <w:pStyle w:val="Heading5"/>
      </w:pPr>
      <w:bookmarkStart w:id="81" w:name="_Toc217305175"/>
      <w:r>
        <w:rPr>
          <w:rStyle w:val="CharSectno"/>
        </w:rPr>
        <w:t>32</w:t>
      </w:r>
      <w:r>
        <w:t>.</w:t>
      </w:r>
      <w:r>
        <w:tab/>
        <w:t>Transitional provision for Vocational Education and Training (Colleges) Amendment Regulations 2020</w:t>
      </w:r>
      <w:bookmarkEnd w:id="81"/>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2" w:name="_Toc217044460"/>
      <w:bookmarkStart w:id="83" w:name="_Toc217045268"/>
      <w:bookmarkStart w:id="84" w:name="_Toc217305176"/>
      <w:r>
        <w:rPr>
          <w:rStyle w:val="CharSchNo"/>
        </w:rPr>
        <w:lastRenderedPageBreak/>
        <w:t>Schedule 1</w:t>
      </w:r>
      <w:r>
        <w:rPr>
          <w:rStyle w:val="CharSDivNo"/>
        </w:rPr>
        <w:t> </w:t>
      </w:r>
      <w:r>
        <w:t>—</w:t>
      </w:r>
      <w:r>
        <w:rPr>
          <w:rStyle w:val="CharSDivText"/>
        </w:rPr>
        <w:t> </w:t>
      </w:r>
      <w:r>
        <w:rPr>
          <w:rStyle w:val="CharSchText"/>
        </w:rPr>
        <w:t>Fees</w:t>
      </w:r>
      <w:bookmarkEnd w:id="82"/>
      <w:bookmarkEnd w:id="83"/>
      <w:bookmarkEnd w:id="84"/>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lastRenderedPageBreak/>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86" w:name="_Toc217044461"/>
      <w:bookmarkStart w:id="87" w:name="_Toc217045269"/>
      <w:bookmarkStart w:id="88" w:name="_Toc217305177"/>
      <w:r>
        <w:lastRenderedPageBreak/>
        <w:t>Notes</w:t>
      </w:r>
      <w:bookmarkEnd w:id="86"/>
      <w:bookmarkEnd w:id="87"/>
      <w:bookmarkEnd w:id="88"/>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 </w:t>
      </w:r>
    </w:p>
    <w:p>
      <w:pPr>
        <w:pStyle w:val="nHeading3"/>
      </w:pPr>
      <w:bookmarkStart w:id="89" w:name="_Toc217305178"/>
      <w:r>
        <w:t>Compilation table</w:t>
      </w:r>
      <w:bookmarkEnd w:id="8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lastRenderedPageBreak/>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2022</w:t>
            </w:r>
          </w:p>
        </w:tc>
        <w:tc>
          <w:tcPr>
            <w:tcW w:w="1276" w:type="dxa"/>
            <w:tcBorders>
              <w:top w:val="nil"/>
              <w:bottom w:val="nil"/>
            </w:tcBorders>
          </w:tcPr>
          <w:p>
            <w:pPr>
              <w:pStyle w:val="nTable"/>
              <w:spacing w:after="40"/>
            </w:pPr>
            <w:r>
              <w:t>SL 2022/203 2 Dec 2022</w:t>
            </w:r>
          </w:p>
        </w:tc>
        <w:tc>
          <w:tcPr>
            <w:tcW w:w="2693" w:type="dxa"/>
            <w:tcBorders>
              <w:top w:val="nil"/>
              <w:bottom w:val="nil"/>
            </w:tcBorders>
          </w:tcPr>
          <w:p>
            <w:pPr>
              <w:pStyle w:val="nTable"/>
              <w:spacing w:after="40"/>
              <w:rPr>
                <w:snapToGrid w:val="0"/>
              </w:rPr>
            </w:pPr>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2024</w:t>
            </w:r>
          </w:p>
        </w:tc>
        <w:tc>
          <w:tcPr>
            <w:tcW w:w="1276" w:type="dxa"/>
            <w:tcBorders>
              <w:top w:val="nil"/>
              <w:bottom w:val="nil"/>
            </w:tcBorders>
          </w:tcPr>
          <w:p>
            <w:pPr>
              <w:pStyle w:val="nTable"/>
              <w:spacing w:after="40"/>
            </w:pPr>
            <w:r>
              <w:t>SL 2024/1 10 Jan 2024</w:t>
            </w:r>
          </w:p>
        </w:tc>
        <w:tc>
          <w:tcPr>
            <w:tcW w:w="2693" w:type="dxa"/>
            <w:tcBorders>
              <w:top w:val="nil"/>
              <w:bottom w:val="nil"/>
            </w:tcBorders>
          </w:tcPr>
          <w:p>
            <w:pPr>
              <w:pStyle w:val="nTable"/>
              <w:spacing w:after="40"/>
              <w:rPr>
                <w:snapToGrid w:val="0"/>
              </w:rPr>
            </w:pPr>
            <w:r>
              <w:rPr>
                <w:snapToGrid w:val="0"/>
              </w:rPr>
              <w:t>r. 1 and 2: 10 Jan 2024 (see r. 2(a));</w:t>
            </w:r>
            <w:r>
              <w:rPr>
                <w:snapToGrid w:val="0"/>
              </w:rPr>
              <w:br/>
              <w:t>Regulations other than r. 1 and 2: 11 Jan 2024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2024</w:t>
            </w:r>
          </w:p>
        </w:tc>
        <w:tc>
          <w:tcPr>
            <w:tcW w:w="1276" w:type="dxa"/>
            <w:tcBorders>
              <w:top w:val="nil"/>
              <w:bottom w:val="nil"/>
            </w:tcBorders>
          </w:tcPr>
          <w:p>
            <w:pPr>
              <w:pStyle w:val="nTable"/>
              <w:spacing w:after="40"/>
            </w:pPr>
            <w:r>
              <w:t>SL 2024/230 13 Nov 2024</w:t>
            </w:r>
          </w:p>
        </w:tc>
        <w:tc>
          <w:tcPr>
            <w:tcW w:w="2693" w:type="dxa"/>
            <w:tcBorders>
              <w:top w:val="nil"/>
              <w:bottom w:val="nil"/>
            </w:tcBorders>
          </w:tcPr>
          <w:p>
            <w:pPr>
              <w:pStyle w:val="nTable"/>
              <w:spacing w:after="40"/>
              <w:rPr>
                <w:snapToGrid w:val="0"/>
              </w:rPr>
            </w:pPr>
            <w:r>
              <w:rPr>
                <w:snapToGrid w:val="0"/>
              </w:rPr>
              <w:t>r. 1 and 2: 13 Nov 2024 (see r. 2(a));</w:t>
            </w:r>
            <w:r>
              <w:rPr>
                <w:snapToGrid w:val="0"/>
              </w:rPr>
              <w:br/>
              <w:t xml:space="preserve">Regulations other than r. 1 and 2: </w:t>
            </w:r>
            <w:r>
              <w:t>1 Jan 2025 (see r. 2(b))</w:t>
            </w:r>
          </w:p>
        </w:tc>
      </w:tr>
      <w:tr>
        <w:trPr>
          <w:cantSplit/>
        </w:trPr>
        <w:tc>
          <w:tcPr>
            <w:tcW w:w="3119" w:type="dxa"/>
            <w:tcBorders>
              <w:top w:val="nil"/>
              <w:bottom w:val="single" w:sz="4" w:space="0" w:color="auto"/>
            </w:tcBorders>
          </w:tcPr>
          <w:p>
            <w:pPr>
              <w:pStyle w:val="nTable"/>
              <w:spacing w:after="40"/>
              <w:ind w:right="113"/>
              <w:rPr>
                <w:iCs/>
              </w:rPr>
            </w:pPr>
            <w:r>
              <w:rPr>
                <w:i/>
              </w:rPr>
              <w:t>Vocational Education and Training (Colleges) Amendment Regulations 2025</w:t>
            </w:r>
            <w:r>
              <w:rPr>
                <w:iCs/>
              </w:rPr>
              <w:t xml:space="preserve"> </w:t>
            </w:r>
          </w:p>
        </w:tc>
        <w:tc>
          <w:tcPr>
            <w:tcW w:w="1276" w:type="dxa"/>
            <w:tcBorders>
              <w:top w:val="nil"/>
              <w:bottom w:val="single" w:sz="4" w:space="0" w:color="auto"/>
            </w:tcBorders>
          </w:tcPr>
          <w:p>
            <w:pPr>
              <w:pStyle w:val="nTable"/>
              <w:spacing w:after="40"/>
            </w:pPr>
            <w:r>
              <w:t>SL 2025/186 12 Nov 2025</w:t>
            </w:r>
          </w:p>
        </w:tc>
        <w:tc>
          <w:tcPr>
            <w:tcW w:w="2693" w:type="dxa"/>
            <w:tcBorders>
              <w:top w:val="nil"/>
              <w:bottom w:val="single" w:sz="4" w:space="0" w:color="auto"/>
            </w:tcBorders>
          </w:tcPr>
          <w:p>
            <w:pPr>
              <w:pStyle w:val="nTable"/>
              <w:spacing w:after="40"/>
            </w:pPr>
            <w:r>
              <w:rPr>
                <w:snapToGrid w:val="0"/>
              </w:rPr>
              <w:t>r. 1 and 2: 12 Nov 2025 (see r. 2(a));</w:t>
            </w:r>
            <w:r>
              <w:rPr>
                <w:snapToGrid w:val="0"/>
              </w:rPr>
              <w:br/>
              <w:t xml:space="preserve">r. 3, 4 and 6: </w:t>
            </w:r>
            <w:r>
              <w:t>13 Nov 2025 (see r. 2(c));</w:t>
            </w:r>
          </w:p>
          <w:p>
            <w:pPr>
              <w:pStyle w:val="nTable"/>
              <w:spacing w:after="40"/>
              <w:rPr>
                <w:snapToGrid w:val="0"/>
              </w:rPr>
            </w:pPr>
            <w:r>
              <w:t xml:space="preserve">Regulations other than 1-4 and 6: 1 Jan 2026 (see r. 2(b)) </w:t>
            </w:r>
          </w:p>
        </w:tc>
      </w:tr>
    </w:tbl>
    <w:p>
      <w:pPr>
        <w:pStyle w:val="nHeading3"/>
      </w:pPr>
      <w:bookmarkStart w:id="90" w:name="_Toc217305179"/>
      <w:r>
        <w:t>Other notes</w:t>
      </w:r>
      <w:bookmarkEnd w:id="90"/>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lastRenderedPageBreak/>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spacing w:before="0"/>
      </w:pPr>
      <w:r>
        <w:rPr>
          <w:rStyle w:val="CharSectno"/>
        </w:rPr>
        <w:t>6</w:t>
      </w:r>
      <w:r>
        <w:t>.</w:t>
      </w:r>
      <w:r>
        <w:tab/>
        <w:t>Regulation 15A amended and savings</w:t>
      </w:r>
    </w:p>
    <w:p>
      <w:pPr>
        <w:pStyle w:val="nzSubsection"/>
        <w:keepNext/>
        <w:keepLines/>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keepNext/>
      </w:pP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92" w:name="_Toc217044465"/>
      <w:bookmarkStart w:id="93" w:name="_Toc217045272"/>
      <w:bookmarkStart w:id="94" w:name="_Toc217305180"/>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amendment day</w:t>
      </w:r>
      <w:r>
        <w:tab/>
        <w:t>4A(3)</w:t>
      </w:r>
    </w:p>
    <w:p>
      <w:pPr>
        <w:pStyle w:val="DefinedTerms"/>
      </w:pPr>
      <w:r>
        <w:t>Australian resident</w:t>
      </w:r>
      <w:r>
        <w:tab/>
        <w:t>15A(1A)</w:t>
      </w:r>
    </w:p>
    <w:p>
      <w:pPr>
        <w:pStyle w:val="DefinedTerms"/>
      </w:pPr>
      <w:r>
        <w:t>category</w:t>
      </w:r>
      <w:r>
        <w:tab/>
        <w:t>3(1)</w:t>
      </w:r>
    </w:p>
    <w:p>
      <w:pPr>
        <w:pStyle w:val="DefinedTerms"/>
      </w:pPr>
      <w:r>
        <w:t>Centrelink</w:t>
      </w:r>
      <w:r>
        <w:tab/>
        <w:t>20(1)</w:t>
      </w:r>
    </w:p>
    <w:p>
      <w:pPr>
        <w:pStyle w:val="DefinedTerms"/>
      </w:pPr>
      <w:r>
        <w:t>concessional or youth student</w:t>
      </w:r>
      <w:r>
        <w:tab/>
        <w:t>3(1)</w:t>
      </w:r>
    </w:p>
    <w:p>
      <w:pPr>
        <w:pStyle w:val="DefinedTerms"/>
      </w:pPr>
      <w:r>
        <w:t>concessional student</w:t>
      </w:r>
      <w:r>
        <w:tab/>
        <w:t>3(1)</w:t>
      </w:r>
    </w:p>
    <w:p>
      <w:pPr>
        <w:pStyle w:val="DefinedTerms"/>
      </w:pPr>
      <w:r>
        <w:t>concession-eligible course</w:t>
      </w:r>
      <w:r>
        <w:tab/>
        <w:t>3(1)</w:t>
      </w:r>
    </w:p>
    <w:p>
      <w:pPr>
        <w:pStyle w:val="DefinedTerms"/>
      </w:pPr>
      <w:r>
        <w:t>course</w:t>
      </w:r>
      <w:r>
        <w:tab/>
        <w:t>3(1)</w:t>
      </w:r>
    </w:p>
    <w:p>
      <w:pPr>
        <w:pStyle w:val="DefinedTerms"/>
      </w:pPr>
      <w:r>
        <w:t>course fee</w:t>
      </w:r>
      <w:r>
        <w:tab/>
        <w:t>3(1)</w:t>
      </w:r>
    </w:p>
    <w:p>
      <w:pPr>
        <w:pStyle w:val="DefinedTerms"/>
      </w:pPr>
      <w:r>
        <w:t>enrolled</w:t>
      </w:r>
      <w:r>
        <w:tab/>
        <w:t>12(2)</w:t>
      </w:r>
    </w:p>
    <w:p>
      <w:pPr>
        <w:pStyle w:val="DefinedTerms"/>
      </w:pPr>
      <w:r>
        <w:t>existing worker trainee</w:t>
      </w:r>
      <w:r>
        <w:tab/>
        <w:t>3(1)</w:t>
      </w:r>
    </w:p>
    <w:p>
      <w:pPr>
        <w:pStyle w:val="DefinedTerms"/>
      </w:pPr>
      <w:r>
        <w:t>final year secondary school student</w:t>
      </w:r>
      <w:r>
        <w:tab/>
        <w:t>12(1)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24A30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BA650D9" w14:textId="54C8DC13" w:rsidR="009E1A0B" w:rsidRDefault="000724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D26FA">
                        <w:rPr>
                          <w:sz w:val="16"/>
                        </w:rPr>
                        <w:t>2026</w:t>
                      </w:r>
                      <w:r>
                        <w:rPr>
                          <w:sz w:val="16"/>
                        </w:rPr>
                        <w:fldChar w:fldCharType="end"/>
                      </w:r>
                      <w:r>
                        <w:rPr>
                          <w:sz w:val="16"/>
                        </w:rPr>
                        <w:t>.</w:t>
                      </w:r>
                    </w:p>
                    <w:p w14:paraId="067847DD" w14:textId="77777777" w:rsidR="009E1A0B" w:rsidRDefault="000724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699125" w14:textId="58161504" w:rsidR="009E1A0B" w:rsidRDefault="000724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D26FA">
                        <w:rPr>
                          <w:sz w:val="16"/>
                        </w:rPr>
                        <w:t>2026</w:t>
                      </w:r>
                      <w:r>
                        <w:rPr>
                          <w:sz w:val="16"/>
                        </w:rPr>
                        <w:fldChar w:fldCharType="end"/>
                      </w:r>
                      <w:r>
                        <w:rPr>
                          <w:sz w:val="16"/>
                        </w:rPr>
                        <w:t>.</w:t>
                      </w:r>
                    </w:p>
                    <w:p w14:paraId="1FF22A8F" w14:textId="77777777" w:rsidR="009E1A0B" w:rsidRDefault="00072436">
                      <w:pPr>
                        <w:ind w:left="2438" w:right="2098"/>
                        <w:jc w:val="center"/>
                        <w:rPr>
                          <w:rFonts w:ascii="Arial" w:hAnsi="Arial" w:cs="Arial"/>
                          <w:sz w:val="12"/>
                        </w:rPr>
                      </w:pPr>
                      <w:r>
                        <w:rPr>
                          <w:rFonts w:ascii="Arial" w:hAnsi="Arial" w:cs="Arial"/>
                          <w:sz w:val="12"/>
                        </w:rPr>
                        <w:t xml:space="preserve">By Authority: </w:t>
                      </w:r>
                      <w:r w:rsidR="007D0F57">
                        <w:rPr>
                          <w:rFonts w:ascii="Arial" w:hAnsi="Arial" w:cs="Arial"/>
                          <w:sz w:val="12"/>
                        </w:rPr>
                        <w:t>ROGER JACOBS</w:t>
                      </w:r>
                      <w:r>
                        <w:rPr>
                          <w:rFonts w:ascii="Arial" w:hAnsi="Arial" w:cs="Arial"/>
                          <w:sz w:val="12"/>
                        </w:rPr>
                        <w:t>,</w:t>
                      </w:r>
                      <w:r w:rsidR="007D0F57">
                        <w:rPr>
                          <w:rFonts w:ascii="Arial" w:hAnsi="Arial" w:cs="Arial"/>
                          <w:sz w:val="12"/>
                        </w:rPr>
                        <w:t xml:space="preserve"> Acting</w:t>
                      </w:r>
                      <w:r>
                        <w:rPr>
                          <w:rFonts w:ascii="Arial" w:hAnsi="Arial" w:cs="Arial"/>
                          <w:sz w:val="12"/>
                        </w:rPr>
                        <w:t xml:space="preserve">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3444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 w:name="WAFER_20240105130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05130705_GUID" w:val="4587e458-1173-45ba-83b3-32d11298d412"/>
    <w:docVar w:name="WAFER_20241108095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5909_GUID" w:val="f39f899f-0f7e-4146-a336-49afde5bca76"/>
    <w:docVar w:name="WAFER_2024122311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41223112201_GUID" w:val="0fd2d37b-0143-4e80-be92-479bf433bd11"/>
    <w:docVar w:name="WAFER_20251106140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40650_GUID" w:val="b3f0e985-14de-4762-9729-28845f51145f"/>
    <w:docVar w:name="WAFER_20251219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34449_GUID" w:val="575e05ec-ee1a-4177-ad53-0fbe345e2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Heading5">
    <w:name w:val="nzHeading 5"/>
    <w:basedOn w:val="zHeading5"/>
    <w:pPr>
      <w:spacing w:before="100" w:line="240" w:lineRule="auto"/>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5C34A-314E-4C9B-B846-343EBB5C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8981</Words>
  <Characters>42216</Characters>
  <Application>Microsoft Office Word</Application>
  <DocSecurity>0</DocSecurity>
  <Lines>1407</Lines>
  <Paragraphs>787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1996 - 06-w0-00</dc:title>
  <dc:subject/>
  <dc:creator/>
  <cp:keywords/>
  <dc:description/>
  <cp:lastModifiedBy>Master Repository Process</cp:lastModifiedBy>
  <cp:revision>4</cp:revision>
  <cp:lastPrinted>2014-03-12T01:06:00Z</cp:lastPrinted>
  <dcterms:created xsi:type="dcterms:W3CDTF">2025-12-30T03:36:00Z</dcterms:created>
  <dcterms:modified xsi:type="dcterms:W3CDTF">2025-12-30T03:36:00Z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AsAtDate">
    <vt:lpwstr>01 Jan 2026</vt:lpwstr>
  </property>
  <property fmtid="{D5CDD505-2E9C-101B-9397-08002B2CF9AE}" pid="11" name="Suffix">
    <vt:lpwstr>06-w0-00</vt:lpwstr>
  </property>
  <property fmtid="{D5CDD505-2E9C-101B-9397-08002B2CF9AE}" pid="12" name="Official">
    <vt:lpwstr/>
  </property>
</Properties>
</file>