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_Toc216947774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_Toc216947775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offshore</w:t>
      </w:r>
      <w:r>
        <w:tab/>
      </w:r>
      <w:r>
        <w:fldChar w:fldCharType="begin"/>
      </w:r>
      <w:r>
        <w:instrText xml:space="preserve"> PAGEREF _Toc216947776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_Toc216947777 \h </w:instrText>
      </w:r>
      <w:r>
        <w:fldChar w:fldCharType="separate"/>
      </w:r>
      <w:r>
        <w:t>2</w:t>
      </w:r>
      <w:r>
        <w:fldChar w:fldCharType="end"/>
      </w:r>
    </w:p>
    <w:p>
      <w:pPr>
        <w:pStyle w:val="TOC8"/>
        <w:rPr>
          <w:rFonts w:asciiTheme="minorHAnsi" w:eastAsiaTheme="minorEastAsia" w:hAnsiTheme="minorHAnsi" w:cstheme="minorBidi"/>
          <w:szCs w:val="22"/>
        </w:rPr>
      </w:pPr>
      <w:r>
        <w:t>3B.</w:t>
      </w:r>
      <w:r>
        <w:tab/>
        <w:t>Day of service</w:t>
      </w:r>
      <w:r>
        <w:tab/>
      </w:r>
      <w:r>
        <w:fldChar w:fldCharType="begin"/>
      </w:r>
      <w:r>
        <w:instrText xml:space="preserve"> PAGEREF _Toc216947778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_Toc216947779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5</w:t>
      </w:r>
      <w:r>
        <w:rPr>
          <w:snapToGrid w:val="0"/>
        </w:rPr>
        <w:t>.</w:t>
      </w:r>
      <w:r>
        <w:rPr>
          <w:snapToGrid w:val="0"/>
        </w:rPr>
        <w:tab/>
        <w:t>Construction Industry Long Service Leave Payments Board established</w:t>
      </w:r>
      <w:r>
        <w:tab/>
      </w:r>
      <w:r>
        <w:fldChar w:fldCharType="begin"/>
      </w:r>
      <w:r>
        <w:instrText xml:space="preserve"> PAGEREF _Toc216947781 \h </w:instrText>
      </w:r>
      <w:r>
        <w:fldChar w:fldCharType="separate"/>
      </w:r>
      <w:r>
        <w:t>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Membership of Board</w:t>
      </w:r>
      <w:r>
        <w:tab/>
      </w:r>
      <w:r>
        <w:fldChar w:fldCharType="begin"/>
      </w:r>
      <w:r>
        <w:instrText xml:space="preserve"> PAGEREF _Toc216947782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Acting members</w:t>
      </w:r>
      <w:r>
        <w:tab/>
      </w:r>
      <w:r>
        <w:fldChar w:fldCharType="begin"/>
      </w:r>
      <w:r>
        <w:instrText xml:space="preserve"> PAGEREF _Toc216947783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Vacation of office</w:t>
      </w:r>
      <w:r>
        <w:tab/>
      </w:r>
      <w:r>
        <w:fldChar w:fldCharType="begin"/>
      </w:r>
      <w:r>
        <w:instrText xml:space="preserve"> PAGEREF _Toc216947784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and allowances</w:t>
      </w:r>
      <w:r>
        <w:tab/>
      </w:r>
      <w:r>
        <w:fldChar w:fldCharType="begin"/>
      </w:r>
      <w:r>
        <w:instrText xml:space="preserve"> PAGEREF _Toc216947785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 of Board and disclosure of interest</w:t>
      </w:r>
      <w:r>
        <w:tab/>
      </w:r>
      <w:r>
        <w:fldChar w:fldCharType="begin"/>
      </w:r>
      <w:r>
        <w:instrText xml:space="preserve"> PAGEREF _Toc216947786 \h </w:instrText>
      </w:r>
      <w:r>
        <w:fldChar w:fldCharType="separate"/>
      </w:r>
      <w:r>
        <w:t>17</w:t>
      </w:r>
      <w:r>
        <w:fldChar w:fldCharType="end"/>
      </w:r>
    </w:p>
    <w:p>
      <w:pPr>
        <w:pStyle w:val="TOC8"/>
        <w:rPr>
          <w:rFonts w:asciiTheme="minorHAnsi" w:eastAsiaTheme="minorEastAsia" w:hAnsiTheme="minorHAnsi" w:cstheme="minorBidi"/>
          <w:szCs w:val="22"/>
        </w:rPr>
      </w:pPr>
      <w:r>
        <w:t>10A.</w:t>
      </w:r>
      <w:r>
        <w:tab/>
        <w:t>Decision without meeting</w:t>
      </w:r>
      <w:r>
        <w:tab/>
      </w:r>
      <w:r>
        <w:fldChar w:fldCharType="begin"/>
      </w:r>
      <w:r>
        <w:instrText xml:space="preserve"> PAGEREF _Toc216947787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require Board to give information</w:t>
      </w:r>
      <w:r>
        <w:tab/>
      </w:r>
      <w:r>
        <w:fldChar w:fldCharType="begin"/>
      </w:r>
      <w:r>
        <w:instrText xml:space="preserve"> PAGEREF _Toc216947788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Indemnity</w:t>
      </w:r>
      <w:r>
        <w:tab/>
      </w:r>
      <w:r>
        <w:fldChar w:fldCharType="begin"/>
      </w:r>
      <w:r>
        <w:instrText xml:space="preserve"> PAGEREF _Toc216947789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Staff</w:t>
      </w:r>
      <w:r>
        <w:tab/>
      </w:r>
      <w:r>
        <w:fldChar w:fldCharType="begin"/>
      </w:r>
      <w:r>
        <w:instrText xml:space="preserve"> PAGEREF _Toc216947790 \h </w:instrText>
      </w:r>
      <w:r>
        <w:fldChar w:fldCharType="separate"/>
      </w:r>
      <w:r>
        <w:t>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Board</w:t>
      </w:r>
      <w:r>
        <w:tab/>
      </w:r>
      <w:r>
        <w:fldChar w:fldCharType="begin"/>
      </w:r>
      <w:r>
        <w:instrText xml:space="preserve"> PAGEREF _Toc216947791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Funds of Board</w:t>
      </w:r>
      <w:r>
        <w:tab/>
      </w:r>
      <w:r>
        <w:fldChar w:fldCharType="begin"/>
      </w:r>
      <w:r>
        <w:instrText xml:space="preserve"> PAGEREF _Toc216947792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borrow and guarantee</w:t>
      </w:r>
      <w:r>
        <w:tab/>
      </w:r>
      <w:r>
        <w:fldChar w:fldCharType="begin"/>
      </w:r>
      <w:r>
        <w:instrText xml:space="preserve"> PAGEREF _Toc216947793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Notification of certain contracts to be given to Minister</w:t>
      </w:r>
      <w:r>
        <w:tab/>
      </w:r>
      <w:r>
        <w:fldChar w:fldCharType="begin"/>
      </w:r>
      <w:r>
        <w:instrText xml:space="preserve"> PAGEREF _Toc216947794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_Toc216947795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Investigations by actuary</w:t>
      </w:r>
      <w:r>
        <w:tab/>
      </w:r>
      <w:r>
        <w:fldChar w:fldCharType="begin"/>
      </w:r>
      <w:r>
        <w:instrText xml:space="preserve"> PAGEREF _Toc216947796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Entitlement to long service leave and pay</w:t>
      </w:r>
    </w:p>
    <w:p>
      <w:pPr>
        <w:pStyle w:val="TOC8"/>
        <w:rPr>
          <w:rFonts w:asciiTheme="minorHAnsi" w:eastAsiaTheme="minorEastAsia" w:hAnsiTheme="minorHAnsi" w:cstheme="minorBidi"/>
          <w:szCs w:val="22"/>
        </w:rPr>
      </w:pPr>
      <w:r>
        <w:t>21</w:t>
      </w:r>
      <w:r>
        <w:rPr>
          <w:snapToGrid w:val="0"/>
        </w:rPr>
        <w:t>.</w:t>
      </w:r>
      <w:r>
        <w:rPr>
          <w:snapToGrid w:val="0"/>
        </w:rPr>
        <w:tab/>
        <w:t>Entitlement to paid long service leave and pay</w:t>
      </w:r>
      <w:r>
        <w:tab/>
      </w:r>
      <w:r>
        <w:fldChar w:fldCharType="begin"/>
      </w:r>
      <w:r>
        <w:instrText xml:space="preserve"> PAGEREF _Toc216947798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Lump sum payments</w:t>
      </w:r>
      <w:r>
        <w:tab/>
      </w:r>
      <w:r>
        <w:fldChar w:fldCharType="begin"/>
      </w:r>
      <w:r>
        <w:instrText xml:space="preserve"> PAGEREF _Toc216947799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Cessation of continuous service entitlement</w:t>
      </w:r>
      <w:r>
        <w:tab/>
      </w:r>
      <w:r>
        <w:fldChar w:fldCharType="begin"/>
      </w:r>
      <w:r>
        <w:instrText xml:space="preserve"> PAGEREF _Toc216947800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Taking of leave</w:t>
      </w:r>
      <w:r>
        <w:tab/>
      </w:r>
      <w:r>
        <w:fldChar w:fldCharType="begin"/>
      </w:r>
      <w:r>
        <w:instrText xml:space="preserve"> PAGEREF _Toc216947801 \h </w:instrText>
      </w:r>
      <w:r>
        <w:fldChar w:fldCharType="separate"/>
      </w:r>
      <w:r>
        <w:t>28</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r>
      <w:r>
        <w:t>Proportional leave in advance after 7 years’ service</w:t>
      </w:r>
      <w:r>
        <w:tab/>
      </w:r>
      <w:r>
        <w:fldChar w:fldCharType="begin"/>
      </w:r>
      <w:r>
        <w:instrText xml:space="preserve"> PAGEREF _Toc216947802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Payment when due</w:t>
      </w:r>
      <w:r>
        <w:tab/>
      </w:r>
      <w:r>
        <w:fldChar w:fldCharType="begin"/>
      </w:r>
      <w:r>
        <w:instrText xml:space="preserve"> PAGEREF _Toc216947803 \h </w:instrText>
      </w:r>
      <w:r>
        <w:fldChar w:fldCharType="separate"/>
      </w:r>
      <w:r>
        <w:t>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Prohibition on other employment</w:t>
      </w:r>
      <w:r>
        <w:tab/>
      </w:r>
      <w:r>
        <w:fldChar w:fldCharType="begin"/>
      </w:r>
      <w:r>
        <w:instrText xml:space="preserve"> PAGEREF _Toc216947804 \h </w:instrText>
      </w:r>
      <w:r>
        <w:fldChar w:fldCharType="separate"/>
      </w:r>
      <w:r>
        <w:t>29</w:t>
      </w:r>
      <w:r>
        <w:fldChar w:fldCharType="end"/>
      </w:r>
    </w:p>
    <w:p>
      <w:pPr>
        <w:pStyle w:val="TOC8"/>
        <w:rPr>
          <w:rFonts w:asciiTheme="minorHAnsi" w:eastAsiaTheme="minorEastAsia" w:hAnsiTheme="minorHAnsi" w:cstheme="minorBidi"/>
          <w:szCs w:val="22"/>
        </w:rPr>
      </w:pPr>
      <w:r>
        <w:t>29.</w:t>
      </w:r>
      <w:r>
        <w:tab/>
        <w:t>Public holidays</w:t>
      </w:r>
      <w:r>
        <w:tab/>
      </w:r>
      <w:r>
        <w:fldChar w:fldCharType="begin"/>
      </w:r>
      <w:r>
        <w:instrText xml:space="preserve"> PAGEREF _Toc216947805 \h </w:instrText>
      </w:r>
      <w:r>
        <w:fldChar w:fldCharType="separate"/>
      </w:r>
      <w:r>
        <w:t>30</w:t>
      </w:r>
      <w:r>
        <w:fldChar w:fldCharType="end"/>
      </w:r>
    </w:p>
    <w:p>
      <w:pPr>
        <w:pStyle w:val="TOC8"/>
        <w:rPr>
          <w:rFonts w:asciiTheme="minorHAnsi" w:eastAsiaTheme="minorEastAsia" w:hAnsiTheme="minorHAnsi" w:cstheme="minorBidi"/>
          <w:szCs w:val="22"/>
        </w:rPr>
      </w:pPr>
      <w:r>
        <w:t>29A.</w:t>
      </w:r>
      <w:r>
        <w:rPr>
          <w:snapToGrid w:val="0"/>
        </w:rPr>
        <w:tab/>
        <w:t>Reciprocal arrangements</w:t>
      </w:r>
      <w:r>
        <w:tab/>
      </w:r>
      <w:r>
        <w:fldChar w:fldCharType="begin"/>
      </w:r>
      <w:r>
        <w:instrText xml:space="preserve"> PAGEREF _Toc216947806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w:t>
      </w:r>
    </w:p>
    <w:p>
      <w:pPr>
        <w:pStyle w:val="TOC8"/>
        <w:rPr>
          <w:rFonts w:asciiTheme="minorHAnsi" w:eastAsiaTheme="minorEastAsia" w:hAnsiTheme="minorHAnsi" w:cstheme="minorBidi"/>
          <w:szCs w:val="22"/>
        </w:rPr>
      </w:pPr>
      <w:r>
        <w:t>30</w:t>
      </w:r>
      <w:r>
        <w:rPr>
          <w:snapToGrid w:val="0"/>
        </w:rPr>
        <w:t>.</w:t>
      </w:r>
      <w:r>
        <w:rPr>
          <w:snapToGrid w:val="0"/>
        </w:rPr>
        <w:tab/>
      </w:r>
      <w:r>
        <w:t>Registration of employers</w:t>
      </w:r>
      <w:r>
        <w:tab/>
      </w:r>
      <w:r>
        <w:fldChar w:fldCharType="begin"/>
      </w:r>
      <w:r>
        <w:instrText xml:space="preserve"> PAGEREF _Toc216947808 \h </w:instrText>
      </w:r>
      <w:r>
        <w:fldChar w:fldCharType="separate"/>
      </w:r>
      <w:r>
        <w:t>33</w:t>
      </w:r>
      <w:r>
        <w:fldChar w:fldCharType="end"/>
      </w:r>
    </w:p>
    <w:p>
      <w:pPr>
        <w:pStyle w:val="TOC8"/>
        <w:rPr>
          <w:rFonts w:asciiTheme="minorHAnsi" w:eastAsiaTheme="minorEastAsia" w:hAnsiTheme="minorHAnsi" w:cstheme="minorBidi"/>
          <w:szCs w:val="22"/>
        </w:rPr>
      </w:pPr>
      <w:r>
        <w:t>31A.</w:t>
      </w:r>
      <w:r>
        <w:tab/>
        <w:t>Registration of employees</w:t>
      </w:r>
      <w:r>
        <w:tab/>
      </w:r>
      <w:r>
        <w:fldChar w:fldCharType="begin"/>
      </w:r>
      <w:r>
        <w:instrText xml:space="preserve"> PAGEREF _Toc216947809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Return to be made by employer</w:t>
      </w:r>
      <w:r>
        <w:tab/>
      </w:r>
      <w:r>
        <w:fldChar w:fldCharType="begin"/>
      </w:r>
      <w:r>
        <w:instrText xml:space="preserve"> PAGEREF _Toc216947810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Employer to maintain record of employees</w:t>
      </w:r>
      <w:r>
        <w:tab/>
      </w:r>
      <w:r>
        <w:fldChar w:fldCharType="begin"/>
      </w:r>
      <w:r>
        <w:instrText xml:space="preserve"> PAGEREF _Toc216947811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Exempt employer</w:t>
      </w:r>
      <w:r>
        <w:tab/>
      </w:r>
      <w:r>
        <w:fldChar w:fldCharType="begin"/>
      </w:r>
      <w:r>
        <w:instrText xml:space="preserve"> PAGEREF _Toc216947812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Contribution by employer and assessment by Board</w:t>
      </w:r>
      <w:r>
        <w:tab/>
      </w:r>
      <w:r>
        <w:fldChar w:fldCharType="begin"/>
      </w:r>
      <w:r>
        <w:instrText xml:space="preserve"> PAGEREF _Toc216947813 \h </w:instrText>
      </w:r>
      <w:r>
        <w:fldChar w:fldCharType="separate"/>
      </w:r>
      <w:r>
        <w:t>36</w:t>
      </w:r>
      <w:r>
        <w:fldChar w:fldCharType="end"/>
      </w:r>
    </w:p>
    <w:p>
      <w:pPr>
        <w:pStyle w:val="TOC8"/>
        <w:rPr>
          <w:rFonts w:asciiTheme="minorHAnsi" w:eastAsiaTheme="minorEastAsia" w:hAnsiTheme="minorHAnsi" w:cstheme="minorBidi"/>
          <w:szCs w:val="22"/>
        </w:rPr>
      </w:pPr>
      <w:r>
        <w:t>35A.</w:t>
      </w:r>
      <w:r>
        <w:tab/>
        <w:t>Penalty for late payment</w:t>
      </w:r>
      <w:r>
        <w:tab/>
      </w:r>
      <w:r>
        <w:fldChar w:fldCharType="begin"/>
      </w:r>
      <w:r>
        <w:instrText xml:space="preserve"> PAGEREF _Toc216947814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Register of employers and register of employees</w:t>
      </w:r>
      <w:r>
        <w:tab/>
      </w:r>
      <w:r>
        <w:fldChar w:fldCharType="begin"/>
      </w:r>
      <w:r>
        <w:instrText xml:space="preserve"> PAGEREF _Toc216947815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Employer leaving Western Australia</w:t>
      </w:r>
      <w:r>
        <w:tab/>
      </w:r>
      <w:r>
        <w:fldChar w:fldCharType="begin"/>
      </w:r>
      <w:r>
        <w:instrText xml:space="preserve"> PAGEREF _Toc216947816 \h </w:instrText>
      </w:r>
      <w:r>
        <w:fldChar w:fldCharType="separate"/>
      </w:r>
      <w:r>
        <w:t>39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Recovery of long service leave contribution</w:t>
      </w:r>
      <w:r>
        <w:tab/>
      </w:r>
      <w:r>
        <w:fldChar w:fldCharType="begin"/>
      </w:r>
      <w:r>
        <w:instrText xml:space="preserve"> PAGEREF _Toc216947817 \h </w:instrText>
      </w:r>
      <w:r>
        <w:fldChar w:fldCharType="separate"/>
      </w:r>
      <w:r>
        <w:t>39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Liquidator to give notice</w:t>
      </w:r>
      <w:r>
        <w:tab/>
      </w:r>
      <w:r>
        <w:fldChar w:fldCharType="begin"/>
      </w:r>
      <w:r>
        <w:instrText xml:space="preserve"> PAGEREF _Toc216947818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Agent for absentee principal winding up business</w:t>
      </w:r>
      <w:r>
        <w:tab/>
      </w:r>
      <w:r>
        <w:fldChar w:fldCharType="begin"/>
      </w:r>
      <w:r>
        <w:instrText xml:space="preserve"> PAGEREF _Toc216947819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Where long service leave charges are not paid during lifetime</w:t>
      </w:r>
      <w:r>
        <w:tab/>
      </w:r>
      <w:r>
        <w:fldChar w:fldCharType="begin"/>
      </w:r>
      <w:r>
        <w:instrText xml:space="preserve"> PAGEREF _Toc216947820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Provisions for payment of long service leave charges by executors or administrators</w:t>
      </w:r>
      <w:r>
        <w:tab/>
      </w:r>
      <w:r>
        <w:fldChar w:fldCharType="begin"/>
      </w:r>
      <w:r>
        <w:instrText xml:space="preserve"> PAGEREF _Toc216947821 \h </w:instrText>
      </w:r>
      <w:r>
        <w:fldChar w:fldCharType="separate"/>
      </w:r>
      <w:r>
        <w:t>41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Contributions by joint employers</w:t>
      </w:r>
      <w:r>
        <w:tab/>
      </w:r>
      <w:r>
        <w:fldChar w:fldCharType="begin"/>
      </w:r>
      <w:r>
        <w:instrText xml:space="preserve"> PAGEREF _Toc216947822 \h </w:instrText>
      </w:r>
      <w:r>
        <w:fldChar w:fldCharType="separate"/>
      </w:r>
      <w:r>
        <w:t>42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Payment of penalties no relief from contributions</w:t>
      </w:r>
      <w:r>
        <w:tab/>
      </w:r>
      <w:r>
        <w:fldChar w:fldCharType="begin"/>
      </w:r>
      <w:r>
        <w:instrText xml:space="preserve"> PAGEREF _Toc216947823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44</w:t>
      </w:r>
      <w:r>
        <w:rPr>
          <w:snapToGrid w:val="0"/>
        </w:rPr>
        <w:t>.</w:t>
      </w:r>
      <w:r>
        <w:rPr>
          <w:snapToGrid w:val="0"/>
        </w:rPr>
        <w:tab/>
        <w:t>Inspectors</w:t>
      </w:r>
      <w:r>
        <w:tab/>
      </w:r>
      <w:r>
        <w:fldChar w:fldCharType="begin"/>
      </w:r>
      <w:r>
        <w:instrText xml:space="preserve"> PAGEREF _Toc216947825 \h </w:instrText>
      </w:r>
      <w:r>
        <w:fldChar w:fldCharType="separate"/>
      </w:r>
      <w:r>
        <w:t>44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 to obtain information and evidence</w:t>
      </w:r>
      <w:r>
        <w:tab/>
      </w:r>
      <w:r>
        <w:fldChar w:fldCharType="begin"/>
      </w:r>
      <w:r>
        <w:instrText xml:space="preserve"> PAGEREF _Toc216947826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46</w:t>
      </w:r>
      <w:r>
        <w:rPr>
          <w:snapToGrid w:val="0"/>
        </w:rPr>
        <w:t>.</w:t>
      </w:r>
      <w:r>
        <w:rPr>
          <w:snapToGrid w:val="0"/>
        </w:rPr>
        <w:tab/>
        <w:t>Access to books etc.</w:t>
      </w:r>
      <w:r>
        <w:tab/>
      </w:r>
      <w:r>
        <w:fldChar w:fldCharType="begin"/>
      </w:r>
      <w:r>
        <w:instrText xml:space="preserve"> PAGEREF _Toc216947827 \h </w:instrText>
      </w:r>
      <w:r>
        <w:fldChar w:fldCharType="separate"/>
      </w:r>
      <w:r>
        <w:t>45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Proceedings for offences against this Act</w:t>
      </w:r>
      <w:r>
        <w:tab/>
      </w:r>
      <w:r>
        <w:fldChar w:fldCharType="begin"/>
      </w:r>
      <w:r>
        <w:instrText xml:space="preserve"> PAGEREF _Toc216947828 \h </w:instrText>
      </w:r>
      <w:r>
        <w:fldChar w:fldCharType="separate"/>
      </w:r>
      <w:r>
        <w:t>45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Institution of proceedings</w:t>
      </w:r>
      <w:r>
        <w:tab/>
      </w:r>
      <w:r>
        <w:fldChar w:fldCharType="begin"/>
      </w:r>
      <w:r>
        <w:instrText xml:space="preserve"> PAGEREF _Toc216947829 \h </w:instrText>
      </w:r>
      <w:r>
        <w:fldChar w:fldCharType="separate"/>
      </w:r>
      <w:r>
        <w:t>45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w:t>
      </w:r>
      <w:r>
        <w:tab/>
      </w:r>
      <w:r>
        <w:fldChar w:fldCharType="begin"/>
      </w:r>
      <w:r>
        <w:instrText xml:space="preserve"> PAGEREF _Toc216947830 \h </w:instrText>
      </w:r>
      <w:r>
        <w:fldChar w:fldCharType="separate"/>
      </w:r>
      <w:r>
        <w:t>45</w:t>
      </w:r>
      <w:r>
        <w:fldChar w:fldCharType="end"/>
      </w:r>
    </w:p>
    <w:p>
      <w:pPr>
        <w:pStyle w:val="TOC8"/>
        <w:rPr>
          <w:rFonts w:asciiTheme="minorHAnsi" w:eastAsiaTheme="minorEastAsia" w:hAnsiTheme="minorHAnsi" w:cstheme="minorBidi"/>
          <w:szCs w:val="22"/>
        </w:rPr>
      </w:pPr>
      <w:r>
        <w:t>50.</w:t>
      </w:r>
      <w:r>
        <w:tab/>
        <w:t>Review of Board’s decision</w:t>
      </w:r>
      <w:r>
        <w:tab/>
      </w:r>
      <w:r>
        <w:fldChar w:fldCharType="begin"/>
      </w:r>
      <w:r>
        <w:instrText xml:space="preserve"> PAGEREF _Toc216947831 \h </w:instrText>
      </w:r>
      <w:r>
        <w:fldChar w:fldCharType="separate"/>
      </w:r>
      <w:r>
        <w:t>47</w:t>
      </w:r>
      <w:r>
        <w:fldChar w:fldCharType="end"/>
      </w:r>
    </w:p>
    <w:p>
      <w:pPr>
        <w:pStyle w:val="TOC8"/>
        <w:rPr>
          <w:rFonts w:asciiTheme="minorHAnsi" w:eastAsiaTheme="minorEastAsia" w:hAnsiTheme="minorHAnsi" w:cstheme="minorBidi"/>
          <w:szCs w:val="22"/>
        </w:rPr>
      </w:pPr>
      <w:r>
        <w:t>51A.</w:t>
      </w:r>
      <w:r>
        <w:tab/>
        <w:t>Procedure on review</w:t>
      </w:r>
      <w:r>
        <w:tab/>
      </w:r>
      <w:r>
        <w:fldChar w:fldCharType="begin"/>
      </w:r>
      <w:r>
        <w:instrText xml:space="preserve"> PAGEREF _Toc216947832 \h </w:instrText>
      </w:r>
      <w:r>
        <w:fldChar w:fldCharType="separate"/>
      </w:r>
      <w:r>
        <w:t>48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Employee accumulating continuous service in more than one capacity</w:t>
      </w:r>
      <w:r>
        <w:tab/>
      </w:r>
      <w:r>
        <w:fldChar w:fldCharType="begin"/>
      </w:r>
      <w:r>
        <w:instrText xml:space="preserve"> PAGEREF _Toc216947833 \h </w:instrText>
      </w:r>
      <w:r>
        <w:fldChar w:fldCharType="separate"/>
      </w:r>
      <w:r>
        <w:t>49</w:t>
      </w:r>
      <w:r>
        <w:fldChar w:fldCharType="end"/>
      </w:r>
    </w:p>
    <w:p>
      <w:pPr>
        <w:pStyle w:val="TOC8"/>
        <w:rPr>
          <w:rFonts w:asciiTheme="minorHAnsi" w:eastAsiaTheme="minorEastAsia" w:hAnsiTheme="minorHAnsi" w:cstheme="minorBidi"/>
          <w:szCs w:val="22"/>
        </w:rPr>
      </w:pPr>
      <w:r>
        <w:t>52.</w:t>
      </w:r>
      <w:r>
        <w:tab/>
        <w:t>Obstructing inspector or other person</w:t>
      </w:r>
      <w:r>
        <w:tab/>
      </w:r>
      <w:r>
        <w:fldChar w:fldCharType="begin"/>
      </w:r>
      <w:r>
        <w:instrText xml:space="preserve"> PAGEREF _Toc216947834 \h </w:instrText>
      </w:r>
      <w:r>
        <w:fldChar w:fldCharType="separate"/>
      </w:r>
      <w:r>
        <w:t>50</w:t>
      </w:r>
      <w:r>
        <w:fldChar w:fldCharType="end"/>
      </w:r>
    </w:p>
    <w:p>
      <w:pPr>
        <w:pStyle w:val="TOC8"/>
        <w:rPr>
          <w:rFonts w:asciiTheme="minorHAnsi" w:eastAsiaTheme="minorEastAsia" w:hAnsiTheme="minorHAnsi" w:cstheme="minorBidi"/>
          <w:szCs w:val="22"/>
        </w:rPr>
      </w:pPr>
      <w:r>
        <w:t>53.</w:t>
      </w:r>
      <w:r>
        <w:tab/>
        <w:t>Protection of persons giving information under this Act</w:t>
      </w:r>
      <w:r>
        <w:tab/>
      </w:r>
      <w:r>
        <w:fldChar w:fldCharType="begin"/>
      </w:r>
      <w:r>
        <w:instrText xml:space="preserve"> PAGEREF _Toc216947835 \h </w:instrText>
      </w:r>
      <w:r>
        <w:fldChar w:fldCharType="separate"/>
      </w:r>
      <w:r>
        <w:t>51</w:t>
      </w:r>
      <w:r>
        <w:fldChar w:fldCharType="end"/>
      </w:r>
    </w:p>
    <w:p>
      <w:pPr>
        <w:pStyle w:val="TOC8"/>
        <w:rPr>
          <w:rFonts w:asciiTheme="minorHAnsi" w:eastAsiaTheme="minorEastAsia" w:hAnsiTheme="minorHAnsi" w:cstheme="minorBidi"/>
          <w:szCs w:val="22"/>
        </w:rPr>
      </w:pPr>
      <w:r>
        <w:t>54A.</w:t>
      </w:r>
      <w:r>
        <w:tab/>
        <w:t>Remedies for breach of section 53</w:t>
      </w:r>
      <w:r>
        <w:tab/>
      </w:r>
      <w:r>
        <w:fldChar w:fldCharType="begin"/>
      </w:r>
      <w:r>
        <w:instrText xml:space="preserve"> PAGEREF _Toc216947836 \h </w:instrText>
      </w:r>
      <w:r>
        <w:fldChar w:fldCharType="separate"/>
      </w:r>
      <w:r>
        <w:t>51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Secrecy</w:t>
      </w:r>
      <w:r>
        <w:tab/>
      </w:r>
      <w:r>
        <w:fldChar w:fldCharType="begin"/>
      </w:r>
      <w:r>
        <w:instrText xml:space="preserve"> PAGEREF _Toc216947837 \h </w:instrText>
      </w:r>
      <w:r>
        <w:fldChar w:fldCharType="separate"/>
      </w:r>
      <w:r>
        <w:t>53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Effect of other Act or industrial instrument</w:t>
      </w:r>
      <w:r>
        <w:tab/>
      </w:r>
      <w:r>
        <w:fldChar w:fldCharType="begin"/>
      </w:r>
      <w:r>
        <w:instrText xml:space="preserve"> PAGEREF _Toc216947838 \h </w:instrText>
      </w:r>
      <w:r>
        <w:fldChar w:fldCharType="separate"/>
      </w:r>
      <w:r>
        <w:t>53</w:t>
      </w:r>
      <w:r>
        <w:fldChar w:fldCharType="end"/>
      </w:r>
    </w:p>
    <w:p>
      <w:pPr>
        <w:pStyle w:val="TOC8"/>
        <w:rPr>
          <w:rFonts w:asciiTheme="minorHAnsi" w:eastAsiaTheme="minorEastAsia" w:hAnsiTheme="minorHAnsi" w:cstheme="minorBidi"/>
          <w:szCs w:val="22"/>
        </w:rPr>
      </w:pPr>
      <w:r>
        <w:t>56.</w:t>
      </w:r>
      <w:r>
        <w:tab/>
        <w:t>Transitional provisions</w:t>
      </w:r>
      <w:r>
        <w:tab/>
      </w:r>
      <w:r>
        <w:fldChar w:fldCharType="begin"/>
      </w:r>
      <w:r>
        <w:instrText xml:space="preserve"> PAGEREF _Toc216947839 \h </w:instrText>
      </w:r>
      <w:r>
        <w:fldChar w:fldCharType="separate"/>
      </w:r>
      <w:r>
        <w:t>53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Regulations</w:t>
      </w:r>
      <w:r>
        <w:tab/>
      </w:r>
      <w:r>
        <w:fldChar w:fldCharType="begin"/>
      </w:r>
      <w:r>
        <w:instrText xml:space="preserve"> PAGEREF _Toc216947840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 Transitional provisions</w:t>
      </w:r>
    </w:p>
    <w:p>
      <w:pPr>
        <w:pStyle w:val="TOC4"/>
        <w:tabs>
          <w:tab w:val="right" w:leader="dot" w:pos="7077"/>
        </w:tabs>
        <w:rPr>
          <w:rFonts w:asciiTheme="minorHAnsi" w:eastAsiaTheme="minorEastAsia" w:hAnsiTheme="minorHAnsi" w:cstheme="minorBidi"/>
          <w:b w:val="0"/>
          <w:szCs w:val="22"/>
        </w:rPr>
      </w:pPr>
      <w:r>
        <w:t>Division 1 — The appointed day</w:t>
      </w:r>
    </w:p>
    <w:p>
      <w:pPr>
        <w:pStyle w:val="TOC8"/>
        <w:rPr>
          <w:rFonts w:asciiTheme="minorHAnsi" w:eastAsiaTheme="minorEastAsia" w:hAnsiTheme="minorHAnsi" w:cstheme="minorBidi"/>
          <w:szCs w:val="22"/>
        </w:rPr>
      </w:pPr>
      <w:r>
        <w:t>1.</w:t>
      </w:r>
      <w:r>
        <w:tab/>
        <w:t>Employees’ service before application for registration</w:t>
      </w:r>
      <w:r>
        <w:tab/>
      </w:r>
      <w:r>
        <w:fldChar w:fldCharType="begin"/>
      </w:r>
      <w:r>
        <w:instrText xml:space="preserve"> PAGEREF _Toc216947843 \h </w:instrText>
      </w:r>
      <w:r>
        <w:fldChar w:fldCharType="separate"/>
      </w:r>
      <w:r>
        <w:t>55</w:t>
      </w:r>
      <w:r>
        <w:fldChar w:fldCharType="end"/>
      </w:r>
    </w:p>
    <w:p>
      <w:pPr>
        <w:pStyle w:val="TOC8"/>
        <w:rPr>
          <w:rFonts w:asciiTheme="minorHAnsi" w:eastAsiaTheme="minorEastAsia" w:hAnsiTheme="minorHAnsi" w:cstheme="minorBidi"/>
          <w:szCs w:val="22"/>
        </w:rPr>
      </w:pPr>
      <w:r>
        <w:t>2.</w:t>
      </w:r>
      <w:r>
        <w:tab/>
        <w:t>Employers to pay Board contributions for some employees</w:t>
      </w:r>
      <w:r>
        <w:tab/>
      </w:r>
      <w:r>
        <w:fldChar w:fldCharType="begin"/>
      </w:r>
      <w:r>
        <w:instrText xml:space="preserve"> PAGEREF _Toc216947844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snapToGrid w:val="0"/>
        </w:rPr>
        <w:t xml:space="preserve">The </w:t>
      </w:r>
      <w:r>
        <w:rPr>
          <w:i/>
          <w:iCs/>
          <w:snapToGrid w:val="0"/>
        </w:rPr>
        <w:t>Labour Relations Legislation Amendment Act 2006</w:t>
      </w:r>
    </w:p>
    <w:p>
      <w:pPr>
        <w:pStyle w:val="TOC8"/>
        <w:rPr>
          <w:rFonts w:asciiTheme="minorHAnsi" w:eastAsiaTheme="minorEastAsia" w:hAnsiTheme="minorHAnsi" w:cstheme="minorBidi"/>
          <w:szCs w:val="22"/>
        </w:rPr>
      </w:pPr>
      <w:r>
        <w:t>3.</w:t>
      </w:r>
      <w:r>
        <w:tab/>
        <w:t>Service prior to commencement day</w:t>
      </w:r>
      <w:r>
        <w:tab/>
      </w:r>
      <w:r>
        <w:fldChar w:fldCharType="begin"/>
      </w:r>
      <w:r>
        <w:instrText xml:space="preserve"> PAGEREF _Toc216947846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w:t>
      </w:r>
      <w:r>
        <w:rPr>
          <w:bCs/>
          <w:i/>
        </w:rPr>
        <w:t>Construction Industry Portable Paid Long Service Leave Amendment Act 2025</w:t>
      </w:r>
    </w:p>
    <w:p>
      <w:pPr>
        <w:pStyle w:val="TOC6"/>
        <w:tabs>
          <w:tab w:val="right" w:leader="dot" w:pos="7077"/>
        </w:tabs>
        <w:rPr>
          <w:rFonts w:asciiTheme="minorHAnsi" w:eastAsiaTheme="minorEastAsia" w:hAnsiTheme="minorHAnsi" w:cstheme="minorBidi"/>
          <w:b w:val="0"/>
          <w:sz w:val="22"/>
          <w:szCs w:val="22"/>
        </w:rPr>
      </w:pPr>
      <w:r>
        <w:t>Subdivision 1 — Preliminary and transitional regulations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_Toc216947849 \h </w:instrText>
      </w:r>
      <w:r>
        <w:fldChar w:fldCharType="separate"/>
      </w:r>
      <w:r>
        <w:t>57</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ab/>
      </w:r>
      <w:r>
        <w:fldChar w:fldCharType="begin"/>
      </w:r>
      <w:r>
        <w:instrText xml:space="preserve"> PAGEREF _Toc216947850 \h </w:instrText>
      </w:r>
      <w:r>
        <w:fldChar w:fldCharType="separate"/>
      </w:r>
      <w:r>
        <w:t>57</w:t>
      </w:r>
      <w:r>
        <w:fldChar w:fldCharType="end"/>
      </w:r>
    </w:p>
    <w:p>
      <w:pPr>
        <w:pStyle w:val="TOC8"/>
        <w:rPr>
          <w:rFonts w:asciiTheme="minorHAnsi" w:eastAsiaTheme="minorEastAsia" w:hAnsiTheme="minorHAnsi" w:cstheme="minorBidi"/>
          <w:szCs w:val="22"/>
        </w:rPr>
      </w:pPr>
      <w:r>
        <w:t>6.</w:t>
      </w:r>
      <w:r>
        <w:tab/>
        <w:t>Transitional regulations</w:t>
      </w:r>
      <w:r>
        <w:tab/>
      </w:r>
      <w:r>
        <w:fldChar w:fldCharType="begin"/>
      </w:r>
      <w:r>
        <w:instrText xml:space="preserve"> PAGEREF _Toc216947851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Amendments relating to employees stood down or on workers compensation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_Toc216947853 \h </w:instrText>
      </w:r>
      <w:r>
        <w:fldChar w:fldCharType="separate"/>
      </w:r>
      <w:r>
        <w:t>58</w:t>
      </w:r>
      <w:r>
        <w:fldChar w:fldCharType="end"/>
      </w:r>
    </w:p>
    <w:p>
      <w:pPr>
        <w:pStyle w:val="TOC8"/>
        <w:rPr>
          <w:rFonts w:asciiTheme="minorHAnsi" w:eastAsiaTheme="minorEastAsia" w:hAnsiTheme="minorHAnsi" w:cstheme="minorBidi"/>
          <w:szCs w:val="22"/>
        </w:rPr>
      </w:pPr>
      <w:r>
        <w:t>8.</w:t>
      </w:r>
      <w:r>
        <w:tab/>
        <w:t>Application of Act to employees stood down during pre</w:t>
      </w:r>
      <w:r>
        <w:noBreakHyphen/>
        <w:t>commencement period</w:t>
      </w:r>
      <w:r>
        <w:tab/>
      </w:r>
      <w:r>
        <w:fldChar w:fldCharType="begin"/>
      </w:r>
      <w:r>
        <w:instrText xml:space="preserve"> PAGEREF _Toc216947854 \h </w:instrText>
      </w:r>
      <w:r>
        <w:fldChar w:fldCharType="separate"/>
      </w:r>
      <w:r>
        <w:t>59</w:t>
      </w:r>
      <w:r>
        <w:fldChar w:fldCharType="end"/>
      </w:r>
    </w:p>
    <w:p>
      <w:pPr>
        <w:pStyle w:val="TOC8"/>
        <w:rPr>
          <w:rFonts w:asciiTheme="minorHAnsi" w:eastAsiaTheme="minorEastAsia" w:hAnsiTheme="minorHAnsi" w:cstheme="minorBidi"/>
          <w:szCs w:val="22"/>
        </w:rPr>
      </w:pPr>
      <w:r>
        <w:lastRenderedPageBreak/>
        <w:t>9.</w:t>
      </w:r>
      <w:r>
        <w:tab/>
        <w:t>Application of Act to employees on workers compensation before commencement day</w:t>
      </w:r>
      <w:r>
        <w:tab/>
      </w:r>
      <w:r>
        <w:fldChar w:fldCharType="begin"/>
      </w:r>
      <w:r>
        <w:instrText xml:space="preserve"> PAGEREF _Toc216947855 \h </w:instrText>
      </w:r>
      <w:r>
        <w:fldChar w:fldCharType="separate"/>
      </w:r>
      <w:r>
        <w:t>59</w:t>
      </w:r>
      <w:r>
        <w:fldChar w:fldCharType="end"/>
      </w:r>
    </w:p>
    <w:p>
      <w:pPr>
        <w:pStyle w:val="TOC8"/>
        <w:rPr>
          <w:rFonts w:asciiTheme="minorHAnsi" w:eastAsiaTheme="minorEastAsia" w:hAnsiTheme="minorHAnsi" w:cstheme="minorBidi"/>
          <w:szCs w:val="22"/>
        </w:rPr>
      </w:pPr>
      <w:r>
        <w:t>10.</w:t>
      </w:r>
      <w:r>
        <w:tab/>
        <w:t>Re</w:t>
      </w:r>
      <w:r>
        <w:noBreakHyphen/>
        <w:t>registration of particular employees</w:t>
      </w:r>
      <w:r>
        <w:tab/>
      </w:r>
      <w:r>
        <w:fldChar w:fldCharType="begin"/>
      </w:r>
      <w:r>
        <w:instrText xml:space="preserve"> PAGEREF _Toc216947856 \h </w:instrText>
      </w:r>
      <w:r>
        <w:fldChar w:fldCharType="separate"/>
      </w:r>
      <w:r>
        <w:t>60</w:t>
      </w:r>
      <w:r>
        <w:fldChar w:fldCharType="end"/>
      </w:r>
    </w:p>
    <w:p>
      <w:pPr>
        <w:pStyle w:val="TOC8"/>
        <w:rPr>
          <w:rFonts w:asciiTheme="minorHAnsi" w:eastAsiaTheme="minorEastAsia" w:hAnsiTheme="minorHAnsi" w:cstheme="minorBidi"/>
          <w:szCs w:val="22"/>
        </w:rPr>
      </w:pPr>
      <w:r>
        <w:t>11.</w:t>
      </w:r>
      <w:r>
        <w:tab/>
        <w:t>Board may set aside decision and make different decision</w:t>
      </w:r>
      <w:r>
        <w:tab/>
      </w:r>
      <w:r>
        <w:fldChar w:fldCharType="begin"/>
      </w:r>
      <w:r>
        <w:instrText xml:space="preserve"> PAGEREF _Toc216947857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Amendments relating to vessels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_Toc216947859 \h </w:instrText>
      </w:r>
      <w:r>
        <w:fldChar w:fldCharType="separate"/>
      </w:r>
      <w:r>
        <w:t>61</w:t>
      </w:r>
      <w:r>
        <w:fldChar w:fldCharType="end"/>
      </w:r>
    </w:p>
    <w:p>
      <w:pPr>
        <w:pStyle w:val="TOC8"/>
        <w:rPr>
          <w:rFonts w:asciiTheme="minorHAnsi" w:eastAsiaTheme="minorEastAsia" w:hAnsiTheme="minorHAnsi" w:cstheme="minorBidi"/>
          <w:szCs w:val="22"/>
        </w:rPr>
      </w:pPr>
      <w:r>
        <w:t>13.</w:t>
      </w:r>
      <w:r>
        <w:tab/>
        <w:t>Vessel</w:t>
      </w:r>
      <w:r>
        <w:noBreakHyphen/>
        <w:t>related person taken to be employee</w:t>
      </w:r>
      <w:r>
        <w:tab/>
      </w:r>
      <w:r>
        <w:fldChar w:fldCharType="begin"/>
      </w:r>
      <w:r>
        <w:instrText xml:space="preserve"> PAGEREF _Toc216947860 \h </w:instrText>
      </w:r>
      <w:r>
        <w:fldChar w:fldCharType="separate"/>
      </w:r>
      <w:r>
        <w:t>61</w:t>
      </w:r>
      <w:r>
        <w:fldChar w:fldCharType="end"/>
      </w:r>
    </w:p>
    <w:p>
      <w:pPr>
        <w:pStyle w:val="TOC8"/>
        <w:rPr>
          <w:rFonts w:asciiTheme="minorHAnsi" w:eastAsiaTheme="minorEastAsia" w:hAnsiTheme="minorHAnsi" w:cstheme="minorBidi"/>
          <w:szCs w:val="22"/>
        </w:rPr>
      </w:pPr>
      <w:r>
        <w:t>14.</w:t>
      </w:r>
      <w:r>
        <w:tab/>
        <w:t>Days of service for particular vessel</w:t>
      </w:r>
      <w:r>
        <w:noBreakHyphen/>
        <w:t>related persons</w:t>
      </w:r>
      <w:r>
        <w:tab/>
      </w:r>
      <w:r>
        <w:fldChar w:fldCharType="begin"/>
      </w:r>
      <w:r>
        <w:instrText xml:space="preserve"> PAGEREF _Toc216947861 \h </w:instrText>
      </w:r>
      <w:r>
        <w:fldChar w:fldCharType="separate"/>
      </w:r>
      <w:r>
        <w:t>62</w:t>
      </w:r>
      <w:r>
        <w:fldChar w:fldCharType="end"/>
      </w:r>
    </w:p>
    <w:p>
      <w:pPr>
        <w:pStyle w:val="TOC8"/>
        <w:rPr>
          <w:rFonts w:asciiTheme="minorHAnsi" w:eastAsiaTheme="minorEastAsia" w:hAnsiTheme="minorHAnsi" w:cstheme="minorBidi"/>
          <w:szCs w:val="22"/>
        </w:rPr>
      </w:pPr>
      <w:r>
        <w:t>15.</w:t>
      </w:r>
      <w:r>
        <w:tab/>
        <w:t>Re</w:t>
      </w:r>
      <w:r>
        <w:noBreakHyphen/>
        <w:t>registration of particular vessel</w:t>
      </w:r>
      <w:r>
        <w:noBreakHyphen/>
        <w:t>related persons</w:t>
      </w:r>
      <w:r>
        <w:tab/>
      </w:r>
      <w:r>
        <w:fldChar w:fldCharType="begin"/>
      </w:r>
      <w:r>
        <w:instrText xml:space="preserve"> PAGEREF _Toc216947862 \h </w:instrText>
      </w:r>
      <w:r>
        <w:fldChar w:fldCharType="separate"/>
      </w:r>
      <w:r>
        <w:t>62</w:t>
      </w:r>
      <w:r>
        <w:fldChar w:fldCharType="end"/>
      </w:r>
    </w:p>
    <w:p>
      <w:pPr>
        <w:pStyle w:val="TOC8"/>
        <w:rPr>
          <w:rFonts w:asciiTheme="minorHAnsi" w:eastAsiaTheme="minorEastAsia" w:hAnsiTheme="minorHAnsi" w:cstheme="minorBidi"/>
          <w:szCs w:val="22"/>
        </w:rPr>
      </w:pPr>
      <w:r>
        <w:t>16.</w:t>
      </w:r>
      <w:r>
        <w:tab/>
        <w:t>Particular payments before commencement day taken to have been made under s. 34</w:t>
      </w:r>
      <w:r>
        <w:tab/>
      </w:r>
      <w:r>
        <w:fldChar w:fldCharType="begin"/>
      </w:r>
      <w:r>
        <w:instrText xml:space="preserve"> PAGEREF _Toc216947863 \h </w:instrText>
      </w:r>
      <w:r>
        <w:fldChar w:fldCharType="separate"/>
      </w:r>
      <w:r>
        <w:t>63</w:t>
      </w:r>
      <w:r>
        <w:fldChar w:fldCharType="end"/>
      </w:r>
    </w:p>
    <w:p>
      <w:pPr>
        <w:pStyle w:val="TOC8"/>
        <w:rPr>
          <w:rFonts w:asciiTheme="minorHAnsi" w:eastAsiaTheme="minorEastAsia" w:hAnsiTheme="minorHAnsi" w:cstheme="minorBidi"/>
          <w:szCs w:val="22"/>
        </w:rPr>
      </w:pPr>
      <w:r>
        <w:t>17.</w:t>
      </w:r>
      <w:r>
        <w:tab/>
        <w:t>Board may set aside decision and make different decision</w:t>
      </w:r>
      <w:r>
        <w:tab/>
      </w:r>
      <w:r>
        <w:fldChar w:fldCharType="begin"/>
      </w:r>
      <w:r>
        <w:instrText xml:space="preserve"> PAGEREF _Toc216947864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_Toc216947866 \h </w:instrText>
      </w:r>
      <w:r>
        <w:fldChar w:fldCharType="separate"/>
      </w:r>
      <w:r>
        <w:t>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_Toc216947867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0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2" w:name="_Toc216874849"/>
      <w:bookmarkStart w:id="3" w:name="_Toc216875283"/>
      <w:bookmarkStart w:id="4" w:name="_Toc216876285"/>
      <w:bookmarkStart w:id="5" w:name="_Toc216876381"/>
      <w:bookmarkStart w:id="6" w:name="_Toc21694777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216947774"/>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snapToGrid w:val="0"/>
        </w:rPr>
        <w:t>.</w:t>
      </w:r>
    </w:p>
    <w:p>
      <w:pPr>
        <w:pStyle w:val="Heading5"/>
        <w:rPr>
          <w:snapToGrid w:val="0"/>
        </w:rPr>
      </w:pPr>
      <w:bookmarkStart w:id="8" w:name="_Toc216947775"/>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 provisions of this Act shall come into operation on such day as is or such days as are, respectively, fixed by proclamation.</w:t>
      </w:r>
    </w:p>
    <w:p>
      <w:pPr>
        <w:pStyle w:val="Heading5"/>
      </w:pPr>
      <w:bookmarkStart w:id="9" w:name="_Toc216947776"/>
      <w:r>
        <w:rPr>
          <w:rStyle w:val="CharSectno"/>
        </w:rPr>
        <w:t>3A</w:t>
      </w:r>
      <w:r>
        <w:t>.</w:t>
      </w:r>
      <w:r>
        <w:tab/>
        <w:t>Application offshore</w:t>
      </w:r>
      <w:bookmarkEnd w:id="9"/>
    </w:p>
    <w:p>
      <w:pPr>
        <w:pStyle w:val="Ednotesubsection"/>
      </w:pPr>
      <w:r>
        <w:tab/>
        <w:t>[(1)</w:t>
      </w:r>
      <w:r>
        <w:tab/>
        <w:t>deleted]</w:t>
      </w:r>
    </w:p>
    <w:p>
      <w:pPr>
        <w:pStyle w:val="Subsection"/>
      </w:pPr>
      <w:r>
        <w:tab/>
        <w:t>(2)</w:t>
      </w:r>
      <w:r>
        <w:tab/>
        <w:t xml:space="preserve">Where, under the </w:t>
      </w:r>
      <w:r>
        <w:rPr>
          <w:i/>
        </w:rPr>
        <w:t>Industrial Relations Act 1979</w:t>
      </w:r>
      <w:r>
        <w:t xml:space="preserve"> section 3, that Act applies to and in relation to any construction industry carried on wholly or partly in an offshore area, then — </w:t>
      </w:r>
    </w:p>
    <w:p>
      <w:pPr>
        <w:pStyle w:val="Indenta"/>
      </w:pPr>
      <w:r>
        <w:tab/>
        <w:t>(a)</w:t>
      </w:r>
      <w:r>
        <w:tab/>
        <w:t>this Act applies to and in relation to employers and employees in that industry in that area; and</w:t>
      </w:r>
    </w:p>
    <w:p>
      <w:pPr>
        <w:pStyle w:val="Indenta"/>
      </w:pPr>
      <w:r>
        <w:tab/>
        <w:t>(b)</w:t>
      </w:r>
      <w:r>
        <w:tab/>
        <w:t>subsection (4) of that section applies with all necessary changes for the purposes of this Act.</w:t>
      </w:r>
    </w:p>
    <w:p>
      <w:pPr>
        <w:pStyle w:val="Footnotesection"/>
      </w:pPr>
      <w:r>
        <w:tab/>
        <w:t>[Section 3A inserted: No. 53 of 2011 s. 4; amended: No. 12 of 2025 s. 16.]</w:t>
      </w:r>
    </w:p>
    <w:p>
      <w:pPr>
        <w:pStyle w:val="Heading5"/>
        <w:rPr>
          <w:snapToGrid w:val="0"/>
        </w:rPr>
      </w:pPr>
      <w:bookmarkStart w:id="10" w:name="_Toc216947777"/>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 xml:space="preserve">In this </w:t>
      </w:r>
      <w:r>
        <w:t xml:space="preserve">Act — </w:t>
      </w:r>
    </w:p>
    <w:p>
      <w:pPr>
        <w:pStyle w:val="Defstart"/>
      </w:pPr>
      <w:r>
        <w:rPr>
          <w:b/>
        </w:rPr>
        <w:tab/>
      </w:r>
      <w:r>
        <w:rPr>
          <w:rStyle w:val="CharDefText"/>
        </w:rPr>
        <w:t>appointed day</w:t>
      </w:r>
      <w:r>
        <w:t xml:space="preserve"> means the day fixed by the Minister under subsection (2);</w:t>
      </w:r>
    </w:p>
    <w:p>
      <w:pPr>
        <w:pStyle w:val="Defstart"/>
      </w:pPr>
      <w:r>
        <w:tab/>
      </w:r>
      <w:r>
        <w:rPr>
          <w:rStyle w:val="CharDefText"/>
        </w:rPr>
        <w:t>apprentice</w:t>
      </w:r>
      <w:r>
        <w:t xml:space="preserve"> means a person who is an apprentice under a training contract that — </w:t>
      </w:r>
    </w:p>
    <w:p>
      <w:pPr>
        <w:pStyle w:val="Defpara"/>
      </w:pPr>
      <w:r>
        <w:tab/>
        <w:t>(a)</w:t>
      </w:r>
      <w:r>
        <w:tab/>
        <w:t>provides for training in a classification of work referred to in a prescribed industrial instrument relating to the construction industry that is a prescribed classification; and</w:t>
      </w:r>
    </w:p>
    <w:p>
      <w:pPr>
        <w:pStyle w:val="Defpara"/>
      </w:pPr>
      <w:r>
        <w:lastRenderedPageBreak/>
        <w:tab/>
        <w:t>(b)</w:t>
      </w:r>
      <w:r>
        <w:tab/>
        <w:t xml:space="preserve">is registered under the </w:t>
      </w:r>
      <w:r>
        <w:rPr>
          <w:i/>
        </w:rPr>
        <w:t>Vocational Education and Training Act 1996</w:t>
      </w:r>
      <w:r>
        <w:t xml:space="preserve"> Part 7 Division 2 or an Act of another State or a Territory that corresponds to that Act;</w:t>
      </w:r>
    </w:p>
    <w:p>
      <w:pPr>
        <w:pStyle w:val="Defstart"/>
      </w:pPr>
      <w:r>
        <w:tab/>
      </w:r>
      <w:r>
        <w:rPr>
          <w:rStyle w:val="CharDefText"/>
        </w:rPr>
        <w:t>approved form</w:t>
      </w:r>
      <w:r>
        <w:t xml:space="preserve"> means a form approved by the Board for the purposes of the provision in which the term is used;</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pPr>
      <w:r>
        <w:tab/>
        <w:t>(i)</w:t>
      </w:r>
      <w:r>
        <w:tab/>
        <w:t>buildings; and</w:t>
      </w:r>
    </w:p>
    <w:p>
      <w:pPr>
        <w:pStyle w:val="Defsubpara"/>
      </w:pPr>
      <w:r>
        <w:tab/>
        <w:t>(iia)</w:t>
      </w:r>
      <w:r>
        <w:tab/>
        <w:t>swimming pools and spa pools; and</w:t>
      </w:r>
    </w:p>
    <w:p>
      <w:pPr>
        <w:pStyle w:val="Defsubpara"/>
        <w:keepLines w:val="0"/>
      </w:pPr>
      <w:r>
        <w:tab/>
        <w:t>(ii)</w:t>
      </w:r>
      <w:r>
        <w:tab/>
        <w:t>roads, railways, airfields or other works for the passage of persons, animals or vehicles; and</w:t>
      </w:r>
    </w:p>
    <w:p>
      <w:pPr>
        <w:pStyle w:val="Defsubpara"/>
        <w:keepLines w:val="0"/>
      </w:pPr>
      <w:r>
        <w:tab/>
        <w:t>(iii)</w:t>
      </w:r>
      <w:r>
        <w:tab/>
        <w:t>breakwaters, docks, jetties, piers, wharves or works for the improvement or alteration of any harbour, river or watercourse for the purposes of navigation; and</w:t>
      </w:r>
    </w:p>
    <w:p>
      <w:pPr>
        <w:pStyle w:val="Defsubpara"/>
        <w:keepLines w:val="0"/>
      </w:pPr>
      <w:r>
        <w:tab/>
        <w:t>(iv)</w:t>
      </w:r>
      <w:r>
        <w:tab/>
        <w:t>works for the storage or supply of water or for the irrigation of land; and</w:t>
      </w:r>
    </w:p>
    <w:p>
      <w:pPr>
        <w:pStyle w:val="Defsubpara"/>
        <w:keepLines w:val="0"/>
      </w:pPr>
      <w:r>
        <w:tab/>
        <w:t>(v)</w:t>
      </w:r>
      <w:r>
        <w:tab/>
        <w:t>works for the conveyance, treatment or disposal of sewage or of the effluent from any premises; and</w:t>
      </w:r>
    </w:p>
    <w:p>
      <w:pPr>
        <w:pStyle w:val="Defsubpara"/>
        <w:keepLines w:val="0"/>
      </w:pPr>
      <w:r>
        <w:lastRenderedPageBreak/>
        <w:tab/>
        <w:t>(vi)</w:t>
      </w:r>
      <w:r>
        <w:tab/>
        <w:t>works for the extraction, refining, processing or treatment of materials or for the production or extraction of products and by</w:t>
      </w:r>
      <w:r>
        <w:noBreakHyphen/>
        <w:t>products from materials; and</w:t>
      </w:r>
    </w:p>
    <w:p>
      <w:pPr>
        <w:pStyle w:val="Defsubpara"/>
        <w:keepLines w:val="0"/>
      </w:pPr>
      <w:r>
        <w:tab/>
        <w:t>(vii)</w:t>
      </w:r>
      <w:r>
        <w:tab/>
        <w:t>bridges, viaducts, aqueducts or tunnels; and</w:t>
      </w:r>
    </w:p>
    <w:p>
      <w:pPr>
        <w:pStyle w:val="Defsubpara"/>
        <w:keepLines w:val="0"/>
      </w:pPr>
      <w:r>
        <w:tab/>
        <w:t>(viii)</w:t>
      </w:r>
      <w:r>
        <w:tab/>
        <w:t>chimney stacks, cooling towers, drilling rigs, gas</w:t>
      </w:r>
      <w:r>
        <w:noBreakHyphen/>
        <w:t>holders or silos; and</w:t>
      </w:r>
    </w:p>
    <w:p>
      <w:pPr>
        <w:pStyle w:val="Defsubpara"/>
        <w:keepLines w:val="0"/>
      </w:pPr>
      <w:r>
        <w:tab/>
        <w:t>(ix)</w:t>
      </w:r>
      <w:r>
        <w:tab/>
        <w:t>pipelines; and</w:t>
      </w:r>
    </w:p>
    <w:p>
      <w:pPr>
        <w:pStyle w:val="Defsubpara"/>
        <w:keepLines w:val="0"/>
      </w:pPr>
      <w:r>
        <w:tab/>
        <w:t>(x)</w:t>
      </w:r>
      <w:r>
        <w:tab/>
        <w:t>navigational lights, beacons or markers; and</w:t>
      </w:r>
    </w:p>
    <w:p>
      <w:pPr>
        <w:pStyle w:val="Defsubpara"/>
        <w:keepLines w:val="0"/>
      </w:pPr>
      <w:r>
        <w:tab/>
        <w:t>(xi)</w:t>
      </w:r>
      <w:r>
        <w:tab/>
        <w:t>works for the drainage of land; and</w:t>
      </w:r>
    </w:p>
    <w:p>
      <w:pPr>
        <w:pStyle w:val="Defsubpara"/>
        <w:keepLines w:val="0"/>
      </w:pPr>
      <w:r>
        <w:tab/>
        <w:t>(xii)</w:t>
      </w:r>
      <w:r>
        <w:tab/>
        <w:t>works for the storage of liquids (other than water) or gases; and</w:t>
      </w:r>
    </w:p>
    <w:p>
      <w:pPr>
        <w:pStyle w:val="Defsubpara"/>
        <w:keepLines w:val="0"/>
      </w:pPr>
      <w:r>
        <w:tab/>
        <w:t>(xiii)</w:t>
      </w:r>
      <w:r>
        <w:tab/>
        <w:t>works for the generation, supply or transmission of electric power; and</w:t>
      </w:r>
    </w:p>
    <w:p>
      <w:pPr>
        <w:pStyle w:val="Defsubpara"/>
        <w:keepLines w:val="0"/>
      </w:pPr>
      <w:r>
        <w:tab/>
        <w:t>(xiv)</w:t>
      </w:r>
      <w:r>
        <w:tab/>
        <w:t>works for the transmission of wireless or telegraphic communications; and</w:t>
      </w:r>
    </w:p>
    <w:p>
      <w:pPr>
        <w:pStyle w:val="Defsubpara"/>
        <w:keepLines w:val="0"/>
      </w:pPr>
      <w:r>
        <w:tab/>
        <w:t>(xv)</w:t>
      </w:r>
      <w:r>
        <w:tab/>
        <w:t>pile driving works; and</w:t>
      </w:r>
    </w:p>
    <w:p>
      <w:pPr>
        <w:pStyle w:val="Defsubpara"/>
      </w:pPr>
      <w:r>
        <w:tab/>
        <w:t>(xva)</w:t>
      </w:r>
      <w:r>
        <w:tab/>
        <w:t>vessels other than self</w:t>
      </w:r>
      <w:r>
        <w:noBreakHyphen/>
        <w:t>propelled vessels; and</w:t>
      </w:r>
    </w:p>
    <w:p>
      <w:pPr>
        <w:pStyle w:val="Defsubpara"/>
      </w:pPr>
      <w:r>
        <w:tab/>
        <w:t>(xvb)</w:t>
      </w:r>
      <w:r>
        <w:tab/>
        <w:t>temporary or permanent structures, fixtures or works that are used for construction and non</w:t>
      </w:r>
      <w:r>
        <w:noBreakHyphen/>
        <w:t>navigation purposes and that are on self</w:t>
      </w:r>
      <w:r>
        <w:noBreakHyphen/>
        <w:t>propelled vessels; and</w:t>
      </w:r>
    </w:p>
    <w:p>
      <w:pPr>
        <w:pStyle w:val="Defsubpara"/>
      </w:pPr>
      <w:r>
        <w:tab/>
        <w:t>(xvi)</w:t>
      </w:r>
      <w:r>
        <w:tab/>
        <w:t>structures, fixtures or works for use on or for the use of any buildings, works or vessels of a kind referred to in subparagraphs (i) to (xva); and</w:t>
      </w:r>
    </w:p>
    <w:p>
      <w:pPr>
        <w:pStyle w:val="Defsubpara"/>
        <w:keepLines w:val="0"/>
      </w:pPr>
      <w:r>
        <w:tab/>
        <w:t>(xvii)</w:t>
      </w:r>
      <w:r>
        <w:tab/>
        <w:t>works for the preparation of sites for any buildings or works of a kind referred to in subparagraphs (i) to (xvi); and</w:t>
      </w:r>
    </w:p>
    <w:p>
      <w:pPr>
        <w:pStyle w:val="Defsubpara"/>
        <w:keepLines w:val="0"/>
      </w:pPr>
      <w:r>
        <w:tab/>
        <w:t>(xviii)</w:t>
      </w:r>
      <w:r>
        <w:tab/>
        <w:t>fences, other than fences on farms;</w:t>
      </w:r>
    </w:p>
    <w:p>
      <w:pPr>
        <w:pStyle w:val="Defpara"/>
      </w:pPr>
      <w:r>
        <w:tab/>
        <w:t>(aa)</w:t>
      </w:r>
      <w:r>
        <w:tab/>
        <w:t>of carrying out of work referred to in paragraph (a)(i) to (xv) while on a vessel;</w:t>
      </w:r>
    </w:p>
    <w:p>
      <w:pPr>
        <w:pStyle w:val="Defpara"/>
      </w:pPr>
      <w:r>
        <w:lastRenderedPageBreak/>
        <w:tab/>
        <w:t>(ab)</w:t>
      </w:r>
      <w:r>
        <w:tab/>
        <w:t>of carrying out of work referred to in paragraph (a)(xva) and (xvb) while on the vessel or from another vessel;</w:t>
      </w:r>
    </w:p>
    <w:p>
      <w:pPr>
        <w:pStyle w:val="Defpara"/>
      </w:pPr>
      <w:r>
        <w:tab/>
        <w:t>(b)</w:t>
      </w:r>
      <w:r>
        <w:tab/>
        <w:t>of carrying out of work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spacing w:before="60"/>
      </w:pPr>
      <w:r>
        <w:tab/>
        <w:t>but does not include —</w:t>
      </w:r>
    </w:p>
    <w:p>
      <w:pPr>
        <w:pStyle w:val="Defpara"/>
      </w:pPr>
      <w:r>
        <w:tab/>
        <w:t>(d)</w:t>
      </w:r>
      <w:r>
        <w:tab/>
        <w:t>the carrying out of work involving the construction, erection, installation, reconstruction, re</w:t>
      </w:r>
      <w:r>
        <w:noBreakHyphen/>
        <w:t>erection, renovation, alteration, demolition or maintenance of or repairs to a self</w:t>
      </w:r>
      <w:r>
        <w:noBreakHyphen/>
        <w:t>propelled vessel, other than to structures, fixtures or works of a kind referred to in paragraph (a)(xvb) on the vessel; or</w:t>
      </w:r>
    </w:p>
    <w:p>
      <w:pPr>
        <w:pStyle w:val="Defpara"/>
      </w:pPr>
      <w:r>
        <w:tab/>
        <w:t>(da)</w:t>
      </w:r>
      <w:r>
        <w:tab/>
        <w:t>the carrying out of work for a self</w:t>
      </w:r>
      <w:r>
        <w:noBreakHyphen/>
        <w:t>propelled vessel to be operated; or</w:t>
      </w:r>
    </w:p>
    <w:p>
      <w:pPr>
        <w:pStyle w:val="Defpara"/>
        <w:spacing w:before="60"/>
      </w:pPr>
      <w:r>
        <w:tab/>
        <w:t>(e)</w:t>
      </w:r>
      <w:r>
        <w:tab/>
        <w:t>the maintenance of or repairs or minor alterations to lifts or escalators; or</w:t>
      </w:r>
    </w:p>
    <w:p>
      <w:pPr>
        <w:pStyle w:val="Defpara"/>
        <w:spacing w:before="60"/>
      </w:pPr>
      <w:r>
        <w:tab/>
        <w:t>(f)</w:t>
      </w:r>
      <w:r>
        <w:tab/>
        <w:t>the carrying out of maintenance or repairs of a routine or minor nature by employees for an employer, or another person under an arrangement with a labour hire agency, who is not substantially engaged in the industry described in this interpretation;</w:t>
      </w:r>
    </w:p>
    <w:p>
      <w:pPr>
        <w:pStyle w:val="Defstart"/>
      </w:pPr>
      <w:r>
        <w:tab/>
      </w:r>
      <w:r>
        <w:rPr>
          <w:rStyle w:val="CharDefText"/>
        </w:rPr>
        <w:t>day of service</w:t>
      </w:r>
      <w:r>
        <w:t xml:space="preserve"> has the meaning given in section 3B;</w:t>
      </w:r>
    </w:p>
    <w:p>
      <w:pPr>
        <w:pStyle w:val="Defstart"/>
        <w:spacing w:before="60"/>
      </w:pPr>
      <w:r>
        <w:tab/>
      </w:r>
      <w:r>
        <w:rPr>
          <w:rStyle w:val="CharDefText"/>
        </w:rPr>
        <w:t>employee</w:t>
      </w:r>
      <w:r>
        <w:t xml:space="preserve"> means — </w:t>
      </w:r>
    </w:p>
    <w:p>
      <w:pPr>
        <w:pStyle w:val="Defpara"/>
        <w:spacing w:before="60"/>
      </w:pPr>
      <w:r>
        <w:tab/>
        <w:t>(a)</w:t>
      </w:r>
      <w:r>
        <w:tab/>
        <w:t>a person who is employed under a contract of service in a classification of work referred to in a prescribed industrial instrument relating to the construction industry that is a prescribed classification; or</w:t>
      </w:r>
    </w:p>
    <w:p>
      <w:pPr>
        <w:pStyle w:val="Defpara"/>
        <w:spacing w:before="60"/>
      </w:pPr>
      <w:r>
        <w:lastRenderedPageBreak/>
        <w:tab/>
        <w:t>(b)</w:t>
      </w:r>
      <w:r>
        <w:tab/>
        <w:t>an apprentice;</w:t>
      </w:r>
    </w:p>
    <w:p>
      <w:pPr>
        <w:pStyle w:val="Defstart"/>
        <w:spacing w:before="60"/>
      </w:pPr>
      <w:r>
        <w:rPr>
          <w:b/>
        </w:rPr>
        <w:tab/>
      </w:r>
      <w:r>
        <w:rPr>
          <w:rStyle w:val="CharDefText"/>
        </w:rPr>
        <w:t>employees register</w:t>
      </w:r>
      <w:r>
        <w:t xml:space="preserve"> means the register of employees established and maintained under Part IV;</w:t>
      </w:r>
    </w:p>
    <w:p>
      <w:pPr>
        <w:pStyle w:val="Defstart"/>
        <w:spacing w:before="60"/>
      </w:pPr>
      <w:r>
        <w:tab/>
      </w:r>
      <w:r>
        <w:rPr>
          <w:rStyle w:val="CharDefText"/>
        </w:rPr>
        <w:t>employer</w:t>
      </w:r>
      <w:r>
        <w:t xml:space="preserve"> means — </w:t>
      </w:r>
    </w:p>
    <w:p>
      <w:pPr>
        <w:pStyle w:val="Defpara"/>
        <w:spacing w:before="60"/>
      </w:pPr>
      <w:r>
        <w:tab/>
        <w:t>(a)</w:t>
      </w:r>
      <w:r>
        <w:tab/>
        <w:t>a natural person, firm or body corporate who or which engages persons as employees in the construction industry; or</w:t>
      </w:r>
    </w:p>
    <w:p>
      <w:pPr>
        <w:pStyle w:val="Defpara"/>
        <w:spacing w:before="60"/>
      </w:pPr>
      <w:r>
        <w:tab/>
        <w:t>(b)</w:t>
      </w:r>
      <w:r>
        <w:tab/>
        <w:t>a labour hire agency which arranges for a person who is a party to a contract of service with the agency (</w:t>
      </w:r>
      <w:r>
        <w:rPr>
          <w:rStyle w:val="CharDefText"/>
        </w:rPr>
        <w:t>person A</w:t>
      </w:r>
      <w:r>
        <w:t>) to do work in the construction industry for another person (</w:t>
      </w:r>
      <w:r>
        <w:rPr>
          <w:rStyle w:val="CharDefText"/>
        </w:rPr>
        <w:t>person B</w:t>
      </w:r>
      <w:r>
        <w:t>), even though person A is working for person B under an arrangement between the agency and person B,</w:t>
      </w:r>
    </w:p>
    <w:p>
      <w:pPr>
        <w:pStyle w:val="Defstart"/>
        <w:spacing w:before="60"/>
      </w:pPr>
      <w:r>
        <w:tab/>
        <w:t>but does not include a Minister, authority or local government prescribed under subsection (4)(c);</w:t>
      </w:r>
    </w:p>
    <w:p>
      <w:pPr>
        <w:pStyle w:val="Defstart"/>
        <w:spacing w:before="60"/>
      </w:pPr>
      <w:r>
        <w:rPr>
          <w:b/>
        </w:rPr>
        <w:tab/>
      </w:r>
      <w:r>
        <w:rPr>
          <w:rStyle w:val="CharDefText"/>
        </w:rPr>
        <w:t>employers register</w:t>
      </w:r>
      <w:r>
        <w:t xml:space="preserve"> means the register of employers established and maintained under Part IV;</w:t>
      </w:r>
    </w:p>
    <w:p>
      <w:pPr>
        <w:pStyle w:val="Defstart"/>
        <w:spacing w:before="60"/>
      </w:pPr>
      <w:r>
        <w:tab/>
      </w:r>
      <w:r>
        <w:rPr>
          <w:rStyle w:val="CharDefText"/>
        </w:rPr>
        <w:t>industrial instrument</w:t>
      </w:r>
      <w:r>
        <w:t xml:space="preserve"> means — </w:t>
      </w:r>
    </w:p>
    <w:p>
      <w:pPr>
        <w:pStyle w:val="Defpara"/>
        <w:spacing w:before="60"/>
      </w:pPr>
      <w:r>
        <w:tab/>
        <w:t>(a)</w:t>
      </w:r>
      <w:r>
        <w:tab/>
        <w:t xml:space="preserve">an award, industrial agreement or order made under the </w:t>
      </w:r>
      <w:r>
        <w:rPr>
          <w:i/>
        </w:rPr>
        <w:t>Industrial Relations Act 1979</w:t>
      </w:r>
      <w:r>
        <w:t>; or</w:t>
      </w:r>
    </w:p>
    <w:p>
      <w:pPr>
        <w:pStyle w:val="Defpara"/>
        <w:spacing w:before="60"/>
      </w:pPr>
      <w:r>
        <w:tab/>
        <w:t>(b)</w:t>
      </w:r>
      <w:r>
        <w:tab/>
        <w:t xml:space="preserve">an award, determination, enterprise agreement or order made under the </w:t>
      </w:r>
      <w:r>
        <w:rPr>
          <w:i/>
        </w:rPr>
        <w:t>Fair Work Act 2009</w:t>
      </w:r>
      <w:r>
        <w:t xml:space="preserve"> (Commonwealth); or</w:t>
      </w:r>
    </w:p>
    <w:p>
      <w:pPr>
        <w:pStyle w:val="Defpara"/>
        <w:spacing w:before="60"/>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start"/>
        <w:spacing w:before="60"/>
      </w:pPr>
      <w:r>
        <w:tab/>
        <w:t>irrespective of whether or not the instrument has, since it was made or given continuing effect, ceased to be in force;</w:t>
      </w:r>
    </w:p>
    <w:p>
      <w:pPr>
        <w:pStyle w:val="Defstart"/>
        <w:spacing w:before="60"/>
      </w:pPr>
      <w:r>
        <w:tab/>
      </w:r>
      <w:r>
        <w:rPr>
          <w:rStyle w:val="CharDefText"/>
        </w:rPr>
        <w:t>inspector</w:t>
      </w:r>
      <w:r>
        <w:t xml:space="preserve"> means a person engaged or appointed under section 44(1);</w:t>
      </w:r>
    </w:p>
    <w:p>
      <w:pPr>
        <w:pStyle w:val="Defstart"/>
        <w:spacing w:before="60"/>
      </w:pPr>
      <w:r>
        <w:tab/>
      </w:r>
      <w:r>
        <w:rPr>
          <w:rStyle w:val="CharDefText"/>
        </w:rPr>
        <w:t>labour hire agency</w:t>
      </w:r>
      <w:r>
        <w:t xml:space="preserve"> means a person or entity that conducts a business of the kind commonly known as a labour hire agency;</w:t>
      </w:r>
    </w:p>
    <w:p>
      <w:pPr>
        <w:pStyle w:val="Defstart"/>
        <w:spacing w:before="60"/>
      </w:pPr>
      <w:r>
        <w:rPr>
          <w:b/>
        </w:rPr>
        <w:lastRenderedPageBreak/>
        <w:tab/>
      </w:r>
      <w:r>
        <w:rPr>
          <w:rStyle w:val="CharDefText"/>
        </w:rPr>
        <w:t>member</w:t>
      </w:r>
      <w:r>
        <w:t xml:space="preserve"> means a member of the Board and includes the chairperson;</w:t>
      </w:r>
    </w:p>
    <w:p>
      <w:pPr>
        <w:pStyle w:val="Defstart"/>
      </w:pPr>
      <w:r>
        <w:tab/>
      </w:r>
      <w:r>
        <w:rPr>
          <w:rStyle w:val="CharDefText"/>
        </w:rPr>
        <w:t>offshore area</w:t>
      </w:r>
      <w:r>
        <w:t xml:space="preserve"> means an area referred to in the </w:t>
      </w:r>
      <w:r>
        <w:rPr>
          <w:i/>
        </w:rPr>
        <w:t>Industrial Relations Act 1979</w:t>
      </w:r>
      <w:r>
        <w:t xml:space="preserve"> section 3(3);</w:t>
      </w:r>
    </w:p>
    <w:p>
      <w:pPr>
        <w:pStyle w:val="Defstart"/>
      </w:pPr>
      <w:r>
        <w:tab/>
      </w:r>
      <w:r>
        <w:rPr>
          <w:rStyle w:val="CharDefText"/>
        </w:rPr>
        <w:t>on workers compensation</w:t>
      </w:r>
      <w:r>
        <w:t xml:space="preserve"> has the meaning given in subsection (3C);</w:t>
      </w:r>
    </w:p>
    <w:p>
      <w:pPr>
        <w:pStyle w:val="Defstart"/>
      </w:pPr>
      <w:r>
        <w:tab/>
      </w:r>
      <w:r>
        <w:rPr>
          <w:rStyle w:val="CharDefText"/>
        </w:rPr>
        <w:t>operate</w:t>
      </w:r>
      <w:r>
        <w:t>, in relation to a self</w:t>
      </w:r>
      <w:r>
        <w:noBreakHyphen/>
        <w:t>propelled vessel, means to determine or exercise control over the course or direction of, or the means of propulsion of, the vessel, whether or not the vessel is underway;</w:t>
      </w:r>
    </w:p>
    <w:p>
      <w:pPr>
        <w:pStyle w:val="Defstart"/>
        <w:spacing w:before="60"/>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spacing w:before="60"/>
      </w:pPr>
      <w:r>
        <w:tab/>
      </w:r>
      <w:r>
        <w:rPr>
          <w:rStyle w:val="CharDefText"/>
        </w:rPr>
        <w:t>prescribed</w:t>
      </w:r>
      <w:r>
        <w:t xml:space="preserve"> means prescribed by regulations made under this Act;</w:t>
      </w:r>
    </w:p>
    <w:p>
      <w:pPr>
        <w:pStyle w:val="Defstart"/>
      </w:pPr>
      <w:r>
        <w:tab/>
      </w:r>
      <w:r>
        <w:rPr>
          <w:rStyle w:val="CharDefText"/>
        </w:rPr>
        <w:t>self</w:t>
      </w:r>
      <w:r>
        <w:rPr>
          <w:rStyle w:val="CharDefText"/>
        </w:rPr>
        <w:noBreakHyphen/>
        <w:t>propelled vessel</w:t>
      </w:r>
      <w:r>
        <w:t xml:space="preserve"> means a vessel that, by means of its permanent systems of propulsion and steering, is able to navigate and move on water without being towed or moved by another vessel;</w:t>
      </w:r>
    </w:p>
    <w:p>
      <w:pPr>
        <w:pStyle w:val="Defstart"/>
      </w:pPr>
      <w:r>
        <w:tab/>
      </w:r>
      <w:r>
        <w:rPr>
          <w:rStyle w:val="CharDefText"/>
        </w:rPr>
        <w:t>stood down</w:t>
      </w:r>
      <w:r>
        <w:t xml:space="preserve"> has the meaning given in subsection (3B);</w:t>
      </w:r>
    </w:p>
    <w:p>
      <w:pPr>
        <w:pStyle w:val="Defstart"/>
        <w:spacing w:before="60"/>
      </w:pPr>
      <w:r>
        <w:tab/>
      </w:r>
      <w:r>
        <w:rPr>
          <w:rStyle w:val="CharDefText"/>
        </w:rPr>
        <w:t>training contract</w:t>
      </w:r>
      <w:r>
        <w:t xml:space="preserve"> means a contract that complies with the </w:t>
      </w:r>
      <w:r>
        <w:rPr>
          <w:i/>
        </w:rPr>
        <w:t>Vocational Education and Training Act 1996</w:t>
      </w:r>
      <w:r>
        <w:t xml:space="preserve"> section 60E;</w:t>
      </w:r>
    </w:p>
    <w:p>
      <w:pPr>
        <w:pStyle w:val="Defstart"/>
        <w:spacing w:before="60"/>
      </w:pPr>
      <w:r>
        <w:rPr>
          <w:b/>
        </w:rPr>
        <w:tab/>
      </w:r>
      <w:r>
        <w:rPr>
          <w:rStyle w:val="CharDefText"/>
        </w:rPr>
        <w:t>union</w:t>
      </w:r>
      <w:r>
        <w:t xml:space="preserve"> means an organization of workers or employees registered under the </w:t>
      </w:r>
      <w:r>
        <w:rPr>
          <w:i/>
        </w:rPr>
        <w:t>Fair Work (Registered Organisations) Act 2009</w:t>
      </w:r>
      <w:r>
        <w:t xml:space="preserve"> (Commonwealth) or the </w:t>
      </w:r>
      <w:r>
        <w:rPr>
          <w:i/>
        </w:rPr>
        <w:t>Industrial Relations Act 1979</w:t>
      </w:r>
      <w:r>
        <w:t>;</w:t>
      </w:r>
    </w:p>
    <w:p>
      <w:pPr>
        <w:pStyle w:val="Defstart"/>
      </w:pPr>
      <w:r>
        <w:tab/>
      </w:r>
      <w:r>
        <w:rPr>
          <w:rStyle w:val="CharDefText"/>
        </w:rPr>
        <w:t>vessel</w:t>
      </w:r>
      <w:r>
        <w:t> —</w:t>
      </w:r>
    </w:p>
    <w:p>
      <w:pPr>
        <w:pStyle w:val="Defpara"/>
      </w:pPr>
      <w:r>
        <w:tab/>
        <w:t>(a)</w:t>
      </w:r>
      <w:r>
        <w:tab/>
        <w:t>means any kind of vessel used or capable of being used in navigation by water, however propelled or moved; and</w:t>
      </w:r>
    </w:p>
    <w:p>
      <w:pPr>
        <w:pStyle w:val="Defpara"/>
      </w:pPr>
      <w:r>
        <w:tab/>
        <w:t>(b)</w:t>
      </w:r>
      <w:r>
        <w:tab/>
        <w:t xml:space="preserve">includes the following — </w:t>
      </w:r>
    </w:p>
    <w:p>
      <w:pPr>
        <w:pStyle w:val="Defsubpara"/>
      </w:pPr>
      <w:r>
        <w:tab/>
        <w:t>(i)</w:t>
      </w:r>
      <w:r>
        <w:tab/>
        <w:t>a barge, lighter or other floating vessel;</w:t>
      </w:r>
    </w:p>
    <w:p>
      <w:pPr>
        <w:pStyle w:val="Defsubpara"/>
      </w:pPr>
      <w:r>
        <w:tab/>
        <w:t>(ii)</w:t>
      </w:r>
      <w:r>
        <w:tab/>
        <w:t>an air</w:t>
      </w:r>
      <w:r>
        <w:noBreakHyphen/>
        <w:t>cushion vehicle, or other similar vessel, used wholly or primarily in navigation by water;</w:t>
      </w:r>
    </w:p>
    <w:p>
      <w:pPr>
        <w:pStyle w:val="Defstart"/>
      </w:pPr>
      <w:r>
        <w:lastRenderedPageBreak/>
        <w:tab/>
      </w:r>
      <w:r>
        <w:rPr>
          <w:rStyle w:val="CharDefText"/>
        </w:rPr>
        <w:t>WAIRC</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Ednotesubsection"/>
      </w:pPr>
      <w:r>
        <w:tab/>
        <w:t>[(3)</w:t>
      </w:r>
      <w:r>
        <w:tab/>
        <w:t>deleted]</w:t>
      </w:r>
    </w:p>
    <w:p>
      <w:pPr>
        <w:pStyle w:val="Subsection"/>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pPr>
      <w:r>
        <w:tab/>
        <w:t>(3B)</w:t>
      </w:r>
      <w:r>
        <w:tab/>
        <w:t xml:space="preserve">An employee is </w:t>
      </w:r>
      <w:r>
        <w:rPr>
          <w:rStyle w:val="CharDefText"/>
        </w:rPr>
        <w:t>stood down</w:t>
      </w:r>
      <w:r>
        <w:t xml:space="preserve"> in respect of a day if — </w:t>
      </w:r>
    </w:p>
    <w:p>
      <w:pPr>
        <w:pStyle w:val="Indenta"/>
      </w:pPr>
      <w:r>
        <w:tab/>
        <w:t>(a)</w:t>
      </w:r>
      <w:r>
        <w:tab/>
        <w:t>the employee is employed by an employer on the day; and</w:t>
      </w:r>
    </w:p>
    <w:p>
      <w:pPr>
        <w:pStyle w:val="Indenta"/>
      </w:pPr>
      <w:r>
        <w:tab/>
        <w:t>(b)</w:t>
      </w:r>
      <w:r>
        <w:tab/>
        <w:t>the employee would usually work in that employment on the day; and</w:t>
      </w:r>
    </w:p>
    <w:p>
      <w:pPr>
        <w:pStyle w:val="Indenta"/>
      </w:pPr>
      <w:r>
        <w:tab/>
        <w:t>(c)</w:t>
      </w:r>
      <w:r>
        <w:tab/>
        <w:t xml:space="preserve">1 of the following applies in relation to that employment — </w:t>
      </w:r>
    </w:p>
    <w:p>
      <w:pPr>
        <w:pStyle w:val="Indenti"/>
      </w:pPr>
      <w:r>
        <w:tab/>
        <w:t>(i)</w:t>
      </w:r>
      <w:r>
        <w:tab/>
        <w:t xml:space="preserve">the employee was given a jobkeeper enabling stand down direction authorised by the </w:t>
      </w:r>
      <w:r>
        <w:rPr>
          <w:iCs/>
        </w:rPr>
        <w:t>Fair Work Act 2009</w:t>
      </w:r>
      <w:r>
        <w:t xml:space="preserve"> (Commonwealth) repealed section 789GDC for the day;</w:t>
      </w:r>
    </w:p>
    <w:p>
      <w:pPr>
        <w:pStyle w:val="Indenti"/>
      </w:pPr>
      <w:r>
        <w:tab/>
        <w:t>(ii)</w:t>
      </w:r>
      <w:r>
        <w:tab/>
        <w:t xml:space="preserve">the employee is stood down for the day under the </w:t>
      </w:r>
      <w:r>
        <w:rPr>
          <w:i/>
          <w:iCs/>
        </w:rPr>
        <w:t>Fair Work Act 2009</w:t>
      </w:r>
      <w:r>
        <w:t xml:space="preserve"> (Commonwealth) section 524(1);</w:t>
      </w:r>
    </w:p>
    <w:p>
      <w:pPr>
        <w:pStyle w:val="Indenti"/>
      </w:pPr>
      <w:r>
        <w:tab/>
        <w:t>(iii)</w:t>
      </w:r>
      <w:r>
        <w:tab/>
        <w:t>the employee is stood down for the day under an industrial instrument;</w:t>
      </w:r>
    </w:p>
    <w:p>
      <w:pPr>
        <w:pStyle w:val="Indenti"/>
      </w:pPr>
      <w:r>
        <w:tab/>
        <w:t>(iv)</w:t>
      </w:r>
      <w:r>
        <w:tab/>
        <w:t>the employee is stood down for the day in prescribed circumstances.</w:t>
      </w:r>
    </w:p>
    <w:p>
      <w:pPr>
        <w:pStyle w:val="Subsection"/>
      </w:pPr>
      <w:r>
        <w:lastRenderedPageBreak/>
        <w:tab/>
        <w:t>(3C)</w:t>
      </w:r>
      <w:r>
        <w:tab/>
        <w:t xml:space="preserve">An employee is </w:t>
      </w:r>
      <w:r>
        <w:rPr>
          <w:rStyle w:val="CharDefText"/>
        </w:rPr>
        <w:t>on workers compensation</w:t>
      </w:r>
      <w:r>
        <w:t xml:space="preserve"> in respect of a day if — </w:t>
      </w:r>
    </w:p>
    <w:p>
      <w:pPr>
        <w:pStyle w:val="Indenta"/>
      </w:pPr>
      <w:r>
        <w:tab/>
        <w:t>(a)</w:t>
      </w:r>
      <w:r>
        <w:tab/>
        <w:t>the employee is employed by an employer on the day; and</w:t>
      </w:r>
    </w:p>
    <w:p>
      <w:pPr>
        <w:pStyle w:val="Indenta"/>
      </w:pPr>
      <w:r>
        <w:tab/>
        <w:t>(b)</w:t>
      </w:r>
      <w:r>
        <w:tab/>
        <w:t>the employee would usually work in that employment on the day; and</w:t>
      </w:r>
    </w:p>
    <w:p>
      <w:pPr>
        <w:pStyle w:val="Indenta"/>
      </w:pPr>
      <w:r>
        <w:tab/>
        <w:t>(c)</w:t>
      </w:r>
      <w:r>
        <w:tab/>
        <w:t xml:space="preserve">the employee is entitled to receive income compensation under the </w:t>
      </w:r>
      <w:r>
        <w:rPr>
          <w:i/>
        </w:rPr>
        <w:t xml:space="preserve">Workers Compensation and Injury Management Act 2023 </w:t>
      </w:r>
      <w:r>
        <w:t>Part 2 Division 3 for a period that includes the day.</w:t>
      </w:r>
    </w:p>
    <w:p>
      <w:pPr>
        <w:pStyle w:val="Subsection"/>
      </w:pPr>
      <w:r>
        <w:tab/>
        <w:t>(3D)</w:t>
      </w:r>
      <w:r>
        <w:tab/>
        <w:t xml:space="preserve">For the purposes of the definition of </w:t>
      </w:r>
      <w:r>
        <w:rPr>
          <w:b/>
          <w:i/>
        </w:rPr>
        <w:t>construction industry</w:t>
      </w:r>
      <w:r>
        <w:t xml:space="preserve"> in subsection (1), a place on water where a vessel is located is taken to be a site.</w:t>
      </w:r>
    </w:p>
    <w:p>
      <w:pPr>
        <w:pStyle w:val="Subsection"/>
      </w:pPr>
      <w:r>
        <w:tab/>
        <w:t>(3E)</w:t>
      </w:r>
      <w:r>
        <w:tab/>
        <w:t>A reference in this Act to a vessel is a reference to a vessel on water in the State or in an offshore area.</w:t>
      </w:r>
    </w:p>
    <w:p>
      <w:pPr>
        <w:pStyle w:val="Subsection"/>
      </w:pPr>
      <w:r>
        <w:tab/>
        <w:t>(3F)</w:t>
      </w:r>
      <w:r>
        <w:tab/>
        <w:t>A reference in this Act to an employee does not include a reference to a person on a vessel if the Board is satisfied that, apart from the fact that the person is on the vessel, the person has no substantial connection with the State.</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w:t>
      </w:r>
      <w:r>
        <w:t>industrial instrument</w:t>
      </w:r>
      <w:r>
        <w:rPr>
          <w:snapToGrid w:val="0"/>
        </w:rPr>
        <w:t xml:space="preserve"> to be a prescribed classification of work for the purposes of the </w:t>
      </w:r>
      <w:r>
        <w:t xml:space="preserve">definitions of </w:t>
      </w:r>
      <w:r>
        <w:rPr>
          <w:b/>
          <w:i/>
        </w:rPr>
        <w:t>apprentice</w:t>
      </w:r>
      <w:r>
        <w:t xml:space="preserve"> and </w:t>
      </w:r>
      <w:r>
        <w:rPr>
          <w:b/>
          <w:i/>
        </w:rPr>
        <w:t>employee</w:t>
      </w:r>
      <w:r>
        <w:t>;</w:t>
      </w:r>
    </w:p>
    <w:p>
      <w:pPr>
        <w:pStyle w:val="Indenta"/>
        <w:rPr>
          <w:snapToGrid w:val="0"/>
        </w:rPr>
      </w:pPr>
      <w:r>
        <w:rPr>
          <w:snapToGrid w:val="0"/>
        </w:rPr>
        <w:tab/>
        <w:t>(b)</w:t>
      </w:r>
      <w:r>
        <w:rPr>
          <w:snapToGrid w:val="0"/>
        </w:rPr>
        <w:tab/>
        <w:t xml:space="preserve">any </w:t>
      </w:r>
      <w:r>
        <w:t>industrial instrument</w:t>
      </w:r>
      <w:r>
        <w:rPr>
          <w:snapToGrid w:val="0"/>
        </w:rPr>
        <w:t xml:space="preserve"> made with respect to employment in the construction industry to be a prescribed </w:t>
      </w:r>
      <w:r>
        <w:t>industrial instrument</w:t>
      </w:r>
      <w:r>
        <w:rPr>
          <w:snapToGrid w:val="0"/>
        </w:rPr>
        <w:t xml:space="preserve">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w:t>
      </w:r>
      <w:r>
        <w:rPr>
          <w:snapToGrid w:val="0"/>
        </w:rPr>
        <w:lastRenderedPageBreak/>
        <w:t xml:space="preserve">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No. 30 of 1989 s. 4; No. 14 of 1996 s. 4; No. 57 of 1997 s. 38; No. 10 of 2001 s. 44; No. 36 of 2006 s. 44; No. 53 of 2011 s. 5; No. 12 of 2025 s. 4, 9, 17 and 19.]</w:t>
      </w:r>
    </w:p>
    <w:p>
      <w:pPr>
        <w:pStyle w:val="Heading5"/>
        <w:spacing w:before="400"/>
      </w:pPr>
      <w:bookmarkStart w:id="11" w:name="_Toc216947778"/>
      <w:r>
        <w:rPr>
          <w:rStyle w:val="CharSectno"/>
        </w:rPr>
        <w:t>3B</w:t>
      </w:r>
      <w:r>
        <w:t>.</w:t>
      </w:r>
      <w:r>
        <w:tab/>
        <w:t>Day of service</w:t>
      </w:r>
      <w:bookmarkEnd w:id="11"/>
    </w:p>
    <w:p>
      <w:pPr>
        <w:pStyle w:val="Subsection"/>
        <w:keepNext/>
      </w:pPr>
      <w:r>
        <w:tab/>
        <w:t>(1)</w:t>
      </w:r>
      <w:r>
        <w:tab/>
        <w:t xml:space="preserve">A </w:t>
      </w:r>
      <w:r>
        <w:rPr>
          <w:rStyle w:val="CharDefText"/>
        </w:rPr>
        <w:t>day of service</w:t>
      </w:r>
      <w:r>
        <w:t xml:space="preserve"> is — </w:t>
      </w:r>
    </w:p>
    <w:p>
      <w:pPr>
        <w:pStyle w:val="Indenta"/>
      </w:pPr>
      <w:r>
        <w:tab/>
        <w:t>(a)</w:t>
      </w:r>
      <w:r>
        <w:tab/>
        <w:t xml:space="preserve">a day in respect of which an employee is entitled to receive ordinary pay, including a day on which the employee is — </w:t>
      </w:r>
    </w:p>
    <w:p>
      <w:pPr>
        <w:pStyle w:val="Indenti"/>
      </w:pPr>
      <w:r>
        <w:tab/>
        <w:t>(i)</w:t>
      </w:r>
      <w:r>
        <w:tab/>
        <w:t>on long service leave under this Act; or</w:t>
      </w:r>
    </w:p>
    <w:p>
      <w:pPr>
        <w:pStyle w:val="Indenti"/>
      </w:pPr>
      <w:r>
        <w:tab/>
        <w:t>(ii)</w:t>
      </w:r>
      <w:r>
        <w:tab/>
        <w:t>on annual leave in excess of 4 weeks in any period of 12 months; or</w:t>
      </w:r>
    </w:p>
    <w:p>
      <w:pPr>
        <w:pStyle w:val="Indenti"/>
      </w:pPr>
      <w:r>
        <w:tab/>
        <w:t>(iii)</w:t>
      </w:r>
      <w:r>
        <w:tab/>
        <w:t>on paid sick leave;</w:t>
      </w:r>
    </w:p>
    <w:p>
      <w:pPr>
        <w:pStyle w:val="Indenta"/>
      </w:pPr>
      <w:r>
        <w:tab/>
      </w:r>
      <w:r>
        <w:tab/>
        <w:t>or</w:t>
      </w:r>
    </w:p>
    <w:p>
      <w:pPr>
        <w:pStyle w:val="Indenta"/>
      </w:pPr>
      <w:r>
        <w:tab/>
        <w:t>(b)</w:t>
      </w:r>
      <w:r>
        <w:tab/>
        <w:t xml:space="preserve">a day in respect of which an employee is stood down, if the employee is — </w:t>
      </w:r>
    </w:p>
    <w:p>
      <w:pPr>
        <w:pStyle w:val="Indenti"/>
      </w:pPr>
      <w:r>
        <w:tab/>
        <w:t>(i)</w:t>
      </w:r>
      <w:r>
        <w:tab/>
        <w:t>not employed on a casual basis; or</w:t>
      </w:r>
    </w:p>
    <w:p>
      <w:pPr>
        <w:pStyle w:val="Indenti"/>
      </w:pPr>
      <w:r>
        <w:tab/>
        <w:t>(ii)</w:t>
      </w:r>
      <w:r>
        <w:tab/>
        <w:t>employed on a casual basis and has worked in that employment on a regular and systematic basis during the period of 12 months ending on the day;</w:t>
      </w:r>
    </w:p>
    <w:p>
      <w:pPr>
        <w:pStyle w:val="Indenta"/>
      </w:pPr>
      <w:r>
        <w:tab/>
      </w:r>
      <w:r>
        <w:tab/>
        <w:t>or</w:t>
      </w:r>
    </w:p>
    <w:p>
      <w:pPr>
        <w:pStyle w:val="Indenta"/>
      </w:pPr>
      <w:r>
        <w:tab/>
        <w:t>(c)</w:t>
      </w:r>
      <w:r>
        <w:tab/>
        <w:t>a day in respect of which an employee is on workers compensation.</w:t>
      </w:r>
    </w:p>
    <w:p>
      <w:pPr>
        <w:pStyle w:val="Subsection"/>
      </w:pPr>
      <w:r>
        <w:tab/>
        <w:t>(2)</w:t>
      </w:r>
      <w:r>
        <w:tab/>
        <w:t>If an employee is stood down for a period exceeding 1 day, the reference in subsection (1)(b)(ii) to the day is a reference to the first day of the period for which the employee is stood down.</w:t>
      </w:r>
    </w:p>
    <w:p>
      <w:pPr>
        <w:pStyle w:val="Footnotesection"/>
      </w:pPr>
      <w:r>
        <w:tab/>
        <w:t>[Section 3B inserted: No. 12 of 2025 s. 5.]</w:t>
      </w:r>
    </w:p>
    <w:p>
      <w:pPr>
        <w:pStyle w:val="Heading5"/>
        <w:spacing w:before="400"/>
        <w:rPr>
          <w:snapToGrid w:val="0"/>
        </w:rPr>
      </w:pPr>
      <w:bookmarkStart w:id="12" w:name="_Toc216947779"/>
      <w:r>
        <w:rPr>
          <w:rStyle w:val="CharSectno"/>
        </w:rPr>
        <w:lastRenderedPageBreak/>
        <w:t>4</w:t>
      </w:r>
      <w:r>
        <w:rPr>
          <w:snapToGrid w:val="0"/>
        </w:rPr>
        <w:t>.</w:t>
      </w:r>
      <w:r>
        <w:rPr>
          <w:snapToGrid w:val="0"/>
        </w:rPr>
        <w:tab/>
        <w:t>Crown bound</w:t>
      </w:r>
      <w:bookmarkEnd w:id="12"/>
    </w:p>
    <w:p>
      <w:pPr>
        <w:pStyle w:val="Subsection"/>
        <w:rPr>
          <w:snapToGrid w:val="0"/>
        </w:rPr>
      </w:pPr>
      <w:r>
        <w:rPr>
          <w:snapToGrid w:val="0"/>
        </w:rPr>
        <w:tab/>
      </w:r>
      <w:r>
        <w:rPr>
          <w:snapToGrid w:val="0"/>
        </w:rPr>
        <w:tab/>
        <w:t>This Act binds the Crown in right of the State.</w:t>
      </w:r>
    </w:p>
    <w:p>
      <w:pPr>
        <w:pStyle w:val="Heading2"/>
      </w:pPr>
      <w:bookmarkStart w:id="13" w:name="_Toc216874856"/>
      <w:bookmarkStart w:id="14" w:name="_Toc216875290"/>
      <w:bookmarkStart w:id="15" w:name="_Toc216876292"/>
      <w:bookmarkStart w:id="16" w:name="_Toc216876388"/>
      <w:bookmarkStart w:id="17" w:name="_Toc216947780"/>
      <w:r>
        <w:rPr>
          <w:rStyle w:val="CharPartNo"/>
        </w:rPr>
        <w:lastRenderedPageBreak/>
        <w:t>Part II</w:t>
      </w:r>
      <w:r>
        <w:rPr>
          <w:rStyle w:val="CharDivNo"/>
        </w:rPr>
        <w:t> </w:t>
      </w:r>
      <w:r>
        <w:t>—</w:t>
      </w:r>
      <w:r>
        <w:rPr>
          <w:rStyle w:val="CharDivText"/>
        </w:rPr>
        <w:t> </w:t>
      </w:r>
      <w:r>
        <w:rPr>
          <w:rStyle w:val="CharPartText"/>
        </w:rPr>
        <w:t>Administration</w:t>
      </w:r>
      <w:bookmarkEnd w:id="13"/>
      <w:bookmarkEnd w:id="14"/>
      <w:bookmarkEnd w:id="15"/>
      <w:bookmarkEnd w:id="16"/>
      <w:bookmarkEnd w:id="17"/>
    </w:p>
    <w:p>
      <w:pPr>
        <w:pStyle w:val="Heading5"/>
        <w:rPr>
          <w:snapToGrid w:val="0"/>
        </w:rPr>
      </w:pPr>
      <w:bookmarkStart w:id="18" w:name="_Toc216947781"/>
      <w:r>
        <w:rPr>
          <w:rStyle w:val="CharSectno"/>
        </w:rPr>
        <w:t>5</w:t>
      </w:r>
      <w:r>
        <w:rPr>
          <w:snapToGrid w:val="0"/>
        </w:rPr>
        <w:t>.</w:t>
      </w:r>
      <w:r>
        <w:rPr>
          <w:snapToGrid w:val="0"/>
        </w:rPr>
        <w:tab/>
        <w:t>Construction Industry Long Service Leave Payments Board established</w:t>
      </w:r>
      <w:bookmarkEnd w:id="18"/>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19" w:name="_Toc216947782"/>
      <w:r>
        <w:rPr>
          <w:rStyle w:val="CharSectno"/>
        </w:rPr>
        <w:t>6</w:t>
      </w:r>
      <w:r>
        <w:rPr>
          <w:snapToGrid w:val="0"/>
        </w:rPr>
        <w:t>.</w:t>
      </w:r>
      <w:r>
        <w:rPr>
          <w:snapToGrid w:val="0"/>
        </w:rPr>
        <w:tab/>
        <w:t>Membership of Board</w:t>
      </w:r>
      <w:bookmarkEnd w:id="19"/>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(a)</w:t>
      </w:r>
      <w:r>
        <w:rPr>
          <w:snapToGrid w:val="0"/>
        </w:rPr>
        <w:tab/>
        <w:t xml:space="preserve">one person who shall be </w:t>
      </w:r>
      <w:r>
        <w:t>chairperson;</w:t>
      </w:r>
    </w:p>
    <w:p>
      <w:pPr>
        <w:pStyle w:val="Indenta"/>
      </w:pPr>
      <w:r>
        <w:tab/>
        <w:t>(b)</w:t>
      </w:r>
      <w:r>
        <w:tab/>
        <w:t xml:space="preserve">2 persons appointed from among persons whose names are on a panel of 4 names comprised of — </w:t>
      </w:r>
    </w:p>
    <w:p>
      <w:pPr>
        <w:pStyle w:val="Indenti"/>
      </w:pPr>
      <w:r>
        <w:tab/>
        <w:t>(i)</w:t>
      </w:r>
      <w:r>
        <w:tab/>
        <w:t>2 names submitted by the Master Builders’ Association of Western Australia; and</w:t>
      </w:r>
    </w:p>
    <w:p>
      <w:pPr>
        <w:pStyle w:val="Indenti"/>
      </w:pPr>
      <w:r>
        <w:lastRenderedPageBreak/>
        <w:tab/>
        <w:t>(ii)</w:t>
      </w:r>
      <w:r>
        <w:tab/>
        <w:t>2 names submitted by the Chamber of Commerce and Industry of Western Australia (Inc);</w:t>
      </w:r>
    </w:p>
    <w:p>
      <w:pPr>
        <w:pStyle w:val="Indenta"/>
      </w:pPr>
      <w:r>
        <w:tab/>
        <w:t>(c)</w:t>
      </w:r>
      <w:r>
        <w:tab/>
        <w:t xml:space="preserve">2 persons appointed from among persons whose names are on a panel of 4 names comprised of — </w:t>
      </w:r>
    </w:p>
    <w:p>
      <w:pPr>
        <w:pStyle w:val="Indenti"/>
      </w:pPr>
      <w:r>
        <w:tab/>
        <w:t>(i)</w:t>
      </w:r>
      <w:r>
        <w:tab/>
        <w:t>2 names submitted by UnionsWA; and</w:t>
      </w:r>
    </w:p>
    <w:p>
      <w:pPr>
        <w:pStyle w:val="Indenti"/>
      </w:pPr>
      <w:r>
        <w:tab/>
        <w:t>(ii)</w:t>
      </w:r>
      <w:r>
        <w:tab/>
        <w:t>2 names submitted by The Building Trades Association of Unions of Western Australia (Association of Workers);</w:t>
      </w:r>
    </w:p>
    <w:p>
      <w:pPr>
        <w:pStyle w:val="Indenta"/>
      </w:pPr>
      <w:r>
        <w:tab/>
        <w:t>(d)</w:t>
      </w:r>
      <w:r>
        <w:tab/>
        <w:t>one person who in the Minister’s opinion represents the interests of employers in the construction industry;</w:t>
      </w:r>
    </w:p>
    <w:p>
      <w:pPr>
        <w:pStyle w:val="Indenta"/>
      </w:pPr>
      <w:r>
        <w:tab/>
        <w:t>(e)</w:t>
      </w:r>
      <w:r>
        <w:tab/>
        <w:t>one person who in the Minister’s opinion represents the interests of employees in the construction industry.</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Subsection"/>
      </w:pPr>
      <w:r>
        <w:tab/>
        <w:t>(5)</w:t>
      </w:r>
      <w:r>
        <w:tab/>
        <w:t xml:space="preserve">Despite subsection (1) — </w:t>
      </w:r>
    </w:p>
    <w:p>
      <w:pPr>
        <w:pStyle w:val="Indenta"/>
      </w:pPr>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 continues to hold office for the remainder of their term of appointment; and</w:t>
      </w:r>
    </w:p>
    <w:p>
      <w:pPr>
        <w:pStyle w:val="Indenta"/>
      </w:pPr>
      <w:r>
        <w:tab/>
        <w:t>(b)</w:t>
      </w:r>
      <w:r>
        <w:tab/>
        <w:t xml:space="preserve">the Minister is not to appoint a person under subsection (1)(d) until a person referred to in </w:t>
      </w:r>
      <w:r>
        <w:lastRenderedPageBreak/>
        <w:t>paragraph (a) ceases to hold office as a member under subsection (1)(b); and</w:t>
      </w:r>
    </w:p>
    <w:p>
      <w:pPr>
        <w:pStyle w:val="Indenta"/>
      </w:pPr>
      <w:r>
        <w:tab/>
        <w:t>(c)</w:t>
      </w:r>
      <w:r>
        <w:tab/>
        <w:t>the Minister is not to appoint a person under subsection (1)(e) until a person referred to in paragraph (a) ceases to hold office as a member under subsection (1)(c).</w:t>
      </w:r>
    </w:p>
    <w:p>
      <w:pPr>
        <w:pStyle w:val="Subsection"/>
      </w:pPr>
      <w:r>
        <w:tab/>
        <w:t>(6)</w:t>
      </w:r>
      <w:r>
        <w:tab/>
        <w:t>The regulations may amend subsection (1)(b) or (c) in order to reflect a change in the name of any body referred to in that paragraph.</w:t>
      </w:r>
    </w:p>
    <w:p>
      <w:pPr>
        <w:pStyle w:val="Footnotesection"/>
      </w:pPr>
      <w:r>
        <w:tab/>
        <w:t>[Section 6 amended: No. 8 of 2009 s. 39; No. 53 of 2011 s. 6; No. 12 of 2025 s. 10.]</w:t>
      </w:r>
    </w:p>
    <w:p>
      <w:pPr>
        <w:pStyle w:val="Heading5"/>
        <w:rPr>
          <w:snapToGrid w:val="0"/>
        </w:rPr>
      </w:pPr>
      <w:bookmarkStart w:id="20" w:name="_Toc216947783"/>
      <w:r>
        <w:rPr>
          <w:rStyle w:val="CharSectno"/>
        </w:rPr>
        <w:t>7</w:t>
      </w:r>
      <w:r>
        <w:rPr>
          <w:snapToGrid w:val="0"/>
        </w:rPr>
        <w:t>.</w:t>
      </w:r>
      <w:r>
        <w:rPr>
          <w:snapToGrid w:val="0"/>
        </w:rPr>
        <w:tab/>
        <w:t>Acting members</w:t>
      </w:r>
      <w:bookmarkEnd w:id="20"/>
    </w:p>
    <w:p>
      <w:pPr>
        <w:pStyle w:val="Subsection"/>
      </w:pPr>
      <w:r>
        <w:tab/>
        <w:t>(1)</w:t>
      </w:r>
      <w:r>
        <w:tab/>
        <w:t xml:space="preserve">If — </w:t>
      </w:r>
    </w:p>
    <w:p>
      <w:pPr>
        <w:pStyle w:val="Indenta"/>
      </w:pPr>
      <w:r>
        <w:tab/>
        <w:t>(a)</w:t>
      </w:r>
      <w:r>
        <w:tab/>
        <w:t>a member appointed under section 6(1)(b) or (c) is absent or temporarily incapable of fulfilling the duties of a member; or</w:t>
      </w:r>
    </w:p>
    <w:p>
      <w:pPr>
        <w:pStyle w:val="Indenta"/>
      </w:pPr>
      <w:r>
        <w:tab/>
        <w:t>(b)</w:t>
      </w:r>
      <w:r>
        <w:tab/>
        <w:t>the office of a member appointed under section 6(1)(b) or (c) is vacant,</w:t>
      </w:r>
    </w:p>
    <w:p>
      <w:pPr>
        <w:pStyle w:val="Subsection"/>
      </w:pPr>
      <w:r>
        <w:tab/>
      </w:r>
      <w:r>
        <w:tab/>
        <w:t>the Minister may, on the nomination of the relevant body referred to in section 6(1)(b) or (c), appoint a person to act in the place of that member during that absence or incapacity, or until the vacancy is filled, as the case requires.</w:t>
      </w:r>
    </w:p>
    <w:p>
      <w:pPr>
        <w:pStyle w:val="Subsection"/>
        <w:rPr>
          <w:snapToGrid w:val="0"/>
        </w:rPr>
      </w:pPr>
      <w:r>
        <w:rPr>
          <w:snapToGrid w:val="0"/>
        </w:rPr>
        <w:tab/>
        <w:t>(2)</w:t>
      </w:r>
      <w:r>
        <w:rPr>
          <w:snapToGrid w:val="0"/>
        </w:rPr>
        <w:tab/>
        <w:t>A nomination for the purposes of subsection (1) may be made from time to time and may be expressed to operate for a period or in such circumstances as are specified in the instrument of nomination.</w:t>
      </w:r>
    </w:p>
    <w:p>
      <w:pPr>
        <w:pStyle w:val="Subsection"/>
      </w:pPr>
      <w:r>
        <w:tab/>
        <w:t>(3)</w:t>
      </w:r>
      <w:r>
        <w:tab/>
        <w:t xml:space="preserve">If — </w:t>
      </w:r>
    </w:p>
    <w:p>
      <w:pPr>
        <w:pStyle w:val="Indenta"/>
      </w:pPr>
      <w:r>
        <w:tab/>
        <w:t>(a)</w:t>
      </w:r>
      <w:r>
        <w:tab/>
        <w:t>the chairperson or a member appointed under section 6(1)(d) or (e) is absent or temporarily incapable of fulfilling the duties of a member; or</w:t>
      </w:r>
    </w:p>
    <w:p>
      <w:pPr>
        <w:pStyle w:val="Indenta"/>
      </w:pPr>
      <w:r>
        <w:lastRenderedPageBreak/>
        <w:tab/>
        <w:t>(b)</w:t>
      </w:r>
      <w:r>
        <w:tab/>
        <w:t>the office of the chairperson or a member appointed under section 6(1)(d) or (e) is vacant,</w:t>
      </w:r>
    </w:p>
    <w:p>
      <w:pPr>
        <w:pStyle w:val="Subsection"/>
      </w:pPr>
      <w:r>
        <w:tab/>
      </w:r>
      <w:r>
        <w:tab/>
        <w:t>the Minister may appoint a person to act in the place of that member.</w:t>
      </w:r>
    </w:p>
    <w:p>
      <w:pPr>
        <w:pStyle w:val="Subsection"/>
      </w:pPr>
      <w:r>
        <w:tab/>
        <w:t>(4A)</w:t>
      </w:r>
      <w:r>
        <w:tab/>
        <w:t>While acting in the place of a member under this section an acting member has all the functions and entitlements of the member.</w:t>
      </w:r>
    </w:p>
    <w:p>
      <w:pPr>
        <w:pStyle w:val="Subsection"/>
        <w:rPr>
          <w:snapToGrid w:val="0"/>
        </w:rPr>
      </w:pPr>
      <w:r>
        <w:rPr>
          <w:snapToGrid w:val="0"/>
        </w:rPr>
        <w:tab/>
        <w:t>(4)</w:t>
      </w:r>
      <w:r>
        <w:rPr>
          <w:snapToGrid w:val="0"/>
        </w:rPr>
        <w:tab/>
        <w:t xml:space="preserve">The appointment of a person as an acting member or as acting </w:t>
      </w:r>
      <w:r>
        <w:t>chairperson</w:t>
      </w:r>
      <w:r>
        <w:rPr>
          <w:snapToGrid w:val="0"/>
        </w:rPr>
        <w:t xml:space="preserve">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Footnotesection"/>
      </w:pPr>
      <w:r>
        <w:tab/>
        <w:t>[Section 7 amended: No. 53 of 2011 s. 7; No. 12 of 2025 s. 11.]</w:t>
      </w:r>
    </w:p>
    <w:p>
      <w:pPr>
        <w:pStyle w:val="Heading5"/>
        <w:rPr>
          <w:snapToGrid w:val="0"/>
        </w:rPr>
      </w:pPr>
      <w:bookmarkStart w:id="21" w:name="_Toc216947784"/>
      <w:r>
        <w:rPr>
          <w:rStyle w:val="CharSectno"/>
        </w:rPr>
        <w:t>8</w:t>
      </w:r>
      <w:r>
        <w:rPr>
          <w:snapToGrid w:val="0"/>
        </w:rPr>
        <w:t>.</w:t>
      </w:r>
      <w:r>
        <w:rPr>
          <w:snapToGrid w:val="0"/>
        </w:rPr>
        <w:tab/>
        <w:t>Vacation of office</w:t>
      </w:r>
      <w:bookmarkEnd w:id="21"/>
    </w:p>
    <w:p>
      <w:pPr>
        <w:pStyle w:val="Subsection"/>
      </w:pPr>
      <w:r>
        <w:tab/>
        <w:t>(1)</w:t>
      </w:r>
      <w:r>
        <w:tab/>
        <w:t xml:space="preserve">The Minister may remove a member from office on the grounds of — </w:t>
      </w:r>
    </w:p>
    <w:p>
      <w:pPr>
        <w:pStyle w:val="Indenta"/>
      </w:pPr>
      <w:r>
        <w:tab/>
        <w:t>(a)</w:t>
      </w:r>
      <w:r>
        <w:tab/>
        <w:t>mental or physical inability to carry out the duties of the office in a satisfactory manner; or</w:t>
      </w:r>
    </w:p>
    <w:p>
      <w:pPr>
        <w:pStyle w:val="Indenta"/>
      </w:pPr>
      <w:r>
        <w:tab/>
        <w:t>(b)</w:t>
      </w:r>
      <w:r>
        <w:tab/>
        <w:t>neglect of duty; or</w:t>
      </w:r>
    </w:p>
    <w:p>
      <w:pPr>
        <w:pStyle w:val="Indenta"/>
      </w:pPr>
      <w:r>
        <w:tab/>
        <w:t>(c)</w:t>
      </w:r>
      <w:r>
        <w:tab/>
        <w:t>misconduct; or</w:t>
      </w:r>
    </w:p>
    <w:p>
      <w:pPr>
        <w:pStyle w:val="Indenta"/>
      </w:pPr>
      <w:r>
        <w:tab/>
        <w:t>(d)</w:t>
      </w:r>
      <w:r>
        <w:tab/>
        <w:t>absence, without leave of the Minister or an excuse which is satisfactory to the Minister, from 3 consecutive meetings of the Board of which the member has had notice.</w:t>
      </w:r>
    </w:p>
    <w:p>
      <w:pPr>
        <w:pStyle w:val="Subsection"/>
        <w:keepNext/>
        <w:rPr>
          <w:snapToGrid w:val="0"/>
        </w:rPr>
      </w:pPr>
      <w:r>
        <w:rPr>
          <w:snapToGrid w:val="0"/>
        </w:rPr>
        <w:lastRenderedPageBreak/>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r>
      <w:r>
        <w:t>the member is removed from office</w:t>
      </w:r>
      <w:r>
        <w:rPr>
          <w:snapToGrid w:val="0"/>
        </w:rPr>
        <w:t xml:space="preserve"> by the Minister under subsection (1); or</w:t>
      </w:r>
    </w:p>
    <w:p>
      <w:pPr>
        <w:pStyle w:val="Ednotepara"/>
        <w:spacing w:before="80"/>
      </w:pPr>
      <w:r>
        <w:tab/>
        <w:t>[(c)</w:t>
      </w:r>
      <w:r>
        <w:tab/>
        <w:t>deleted]</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No. 18 of 2009 s. 21; No. 53 of 2011 s. 8.]</w:t>
      </w:r>
    </w:p>
    <w:p>
      <w:pPr>
        <w:pStyle w:val="Heading5"/>
        <w:rPr>
          <w:snapToGrid w:val="0"/>
        </w:rPr>
      </w:pPr>
      <w:bookmarkStart w:id="22" w:name="_Toc216947785"/>
      <w:r>
        <w:rPr>
          <w:rStyle w:val="CharSectno"/>
        </w:rPr>
        <w:t>9</w:t>
      </w:r>
      <w:r>
        <w:rPr>
          <w:snapToGrid w:val="0"/>
        </w:rPr>
        <w:t>.</w:t>
      </w:r>
      <w:r>
        <w:rPr>
          <w:snapToGrid w:val="0"/>
        </w:rPr>
        <w:tab/>
        <w:t>Fees and allowances</w:t>
      </w:r>
      <w:bookmarkEnd w:id="22"/>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pPr>
      <w:r>
        <w:tab/>
        <w:t>(1A)</w:t>
      </w:r>
      <w:r>
        <w:tab/>
        <w:t>If a member so requests, the Board may pay a fee or allowance to which the member is entitled to the principal employer of the member.</w:t>
      </w:r>
    </w:p>
    <w:p>
      <w:pPr>
        <w:pStyle w:val="Subsection"/>
      </w:pPr>
      <w:r>
        <w:tab/>
        <w:t>(1B)</w:t>
      </w:r>
      <w:r>
        <w:tab/>
        <w:t>Payment of a fee or allowance at a member’s request under subsection (1A) does not affect the member’s duty to act as a member of the Board under this Act.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 xml:space="preserve">Public Sector </w:t>
      </w:r>
      <w:r>
        <w:rPr>
          <w:i/>
          <w:snapToGrid w:val="0"/>
        </w:rPr>
        <w:lastRenderedPageBreak/>
        <w:t>Management Act 1994</w:t>
      </w:r>
      <w:r>
        <w:rPr>
          <w:snapToGrid w:val="0"/>
        </w:rPr>
        <w:t xml:space="preserve"> or any other Act applying to persons as officers of the Public Service or employees of a State instrumentality applicable to that member or affect or prejudice the application to </w:t>
      </w:r>
      <w:r>
        <w:t>the member</w:t>
      </w:r>
      <w:r>
        <w:rPr>
          <w:snapToGrid w:val="0"/>
        </w:rPr>
        <w:t xml:space="preserve"> of those provisions if they applied to </w:t>
      </w:r>
      <w:r>
        <w:t>the member</w:t>
      </w:r>
      <w:r>
        <w:rPr>
          <w:snapToGrid w:val="0"/>
        </w:rPr>
        <w:t xml:space="preserve"> at the time of the acceptance of, or acting in, that office.</w:t>
      </w:r>
    </w:p>
    <w:p>
      <w:pPr>
        <w:pStyle w:val="Footnotesection"/>
      </w:pPr>
      <w:r>
        <w:tab/>
        <w:t>[Section 9 amended: No. 32 of 1994 s. 3(2); No. 39 of 2010 s. 89; No. 12 of 2025 s. 12.]</w:t>
      </w:r>
    </w:p>
    <w:p>
      <w:pPr>
        <w:pStyle w:val="Heading5"/>
        <w:rPr>
          <w:snapToGrid w:val="0"/>
        </w:rPr>
      </w:pPr>
      <w:bookmarkStart w:id="23" w:name="_Toc216947786"/>
      <w:r>
        <w:rPr>
          <w:rStyle w:val="CharSectno"/>
        </w:rPr>
        <w:t>10</w:t>
      </w:r>
      <w:r>
        <w:rPr>
          <w:snapToGrid w:val="0"/>
        </w:rPr>
        <w:t>.</w:t>
      </w:r>
      <w:r>
        <w:rPr>
          <w:snapToGrid w:val="0"/>
        </w:rPr>
        <w:tab/>
        <w:t>Meetings of Board and disclosure of interest</w:t>
      </w:r>
      <w:bookmarkEnd w:id="23"/>
    </w:p>
    <w:p>
      <w:pPr>
        <w:pStyle w:val="Subsection"/>
        <w:rPr>
          <w:snapToGrid w:val="0"/>
        </w:rPr>
      </w:pPr>
      <w:r>
        <w:rPr>
          <w:snapToGrid w:val="0"/>
        </w:rPr>
        <w:tab/>
        <w:t>(1)</w:t>
      </w:r>
      <w:r>
        <w:rPr>
          <w:snapToGrid w:val="0"/>
        </w:rPr>
        <w:tab/>
        <w:t xml:space="preserve">The </w:t>
      </w:r>
      <w:r>
        <w:t>chairperson</w:t>
      </w:r>
      <w:r>
        <w:rPr>
          <w:snapToGrid w:val="0"/>
        </w:rPr>
        <w:t xml:space="preserve"> may, and shall whenever so requested by the Minister or by not less than 2 members, convene a meeting of the Board to be held at a time and place determined by the </w:t>
      </w:r>
      <w:r>
        <w:t>chairperson.</w:t>
      </w:r>
    </w:p>
    <w:p>
      <w:pPr>
        <w:pStyle w:val="Subsection"/>
      </w:pPr>
      <w:r>
        <w:tab/>
        <w:t>(2)</w:t>
      </w:r>
      <w:r>
        <w:tab/>
        <w:t>The chairperson must preside at any meeting of the Board at which the chairperson is present.</w:t>
      </w:r>
    </w:p>
    <w:p>
      <w:pPr>
        <w:pStyle w:val="Subsection"/>
      </w:pPr>
      <w:r>
        <w:tab/>
        <w:t>(3)</w:t>
      </w:r>
      <w:r>
        <w:tab/>
        <w:t xml:space="preserve">If the chairperson is not present at a meeting of the Board the following person must preside at the meeting — </w:t>
      </w:r>
    </w:p>
    <w:p>
      <w:pPr>
        <w:pStyle w:val="Indenta"/>
      </w:pPr>
      <w:r>
        <w:tab/>
        <w:t>(a)</w:t>
      </w:r>
      <w:r>
        <w:tab/>
        <w:t>if a person has been appointed under section 7(3) to act in the place of the chairperson — that person;</w:t>
      </w:r>
    </w:p>
    <w:p>
      <w:pPr>
        <w:pStyle w:val="Indenta"/>
      </w:pPr>
      <w:r>
        <w:tab/>
        <w:t>(b)</w:t>
      </w:r>
      <w:r>
        <w:tab/>
        <w:t>otherwise — the member elected by the members present to preside at the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rPr>
      </w:pPr>
      <w:r>
        <w:rPr>
          <w:snapToGrid w:val="0"/>
        </w:rPr>
        <w:tab/>
        <w:t>(b)</w:t>
      </w:r>
      <w:r>
        <w:rPr>
          <w:snapToGrid w:val="0"/>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rPr>
      </w:pPr>
      <w:r>
        <w:rPr>
          <w:snapToGrid w:val="0"/>
        </w:rPr>
        <w:tab/>
        <w:t>(6)</w:t>
      </w:r>
      <w:r>
        <w:rPr>
          <w:snapToGrid w:val="0"/>
        </w:rPr>
        <w:tab/>
        <w:t xml:space="preserve">A member who has a pecuniary interest, whether direct or indirect, in any matter to be considered by the Board shall declare the nature of that interest at every meeting at which the </w:t>
      </w:r>
      <w:r>
        <w:rPr>
          <w:snapToGrid w:val="0"/>
        </w:rPr>
        <w:lastRenderedPageBreak/>
        <w:t>matter is considered and shall not take part in deliberations or vote on the matter.</w:t>
      </w:r>
    </w:p>
    <w:p>
      <w:pPr>
        <w:pStyle w:val="Subsection"/>
        <w:rPr>
          <w:snapToGrid w:val="0"/>
        </w:rPr>
      </w:pPr>
      <w:r>
        <w:rPr>
          <w:snapToGrid w:val="0"/>
        </w:rPr>
        <w:tab/>
        <w:t>(7)</w:t>
      </w:r>
      <w:r>
        <w:rPr>
          <w:snapToGrid w:val="0"/>
        </w:rPr>
        <w:tab/>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Subsection"/>
      </w:pPr>
      <w:r>
        <w:tab/>
        <w:t>(10)</w:t>
      </w:r>
      <w:r>
        <w:tab/>
        <w:t>The presence of a member at a meeting of the Board need not be by attendance in person but may be by that member and each other member at the meeting being simultaneously in contact by telephone or other means of instantaneous communication.</w:t>
      </w:r>
    </w:p>
    <w:p>
      <w:pPr>
        <w:pStyle w:val="Footnotesection"/>
      </w:pPr>
      <w:r>
        <w:tab/>
        <w:t>[Section 10 amended: No. 12 of 2025 s. 13.]</w:t>
      </w:r>
    </w:p>
    <w:p>
      <w:pPr>
        <w:pStyle w:val="Heading5"/>
      </w:pPr>
      <w:bookmarkStart w:id="24" w:name="_Toc216947787"/>
      <w:r>
        <w:rPr>
          <w:rStyle w:val="CharSectno"/>
        </w:rPr>
        <w:t>10A</w:t>
      </w:r>
      <w:r>
        <w:t>.</w:t>
      </w:r>
      <w:r>
        <w:tab/>
        <w:t>Decision without meeting</w:t>
      </w:r>
      <w:bookmarkEnd w:id="24"/>
    </w:p>
    <w:p>
      <w:pPr>
        <w:pStyle w:val="Subsection"/>
      </w:pPr>
      <w:r>
        <w:tab/>
      </w:r>
      <w:r>
        <w:tab/>
        <w:t>A decision in writing signed or otherwise assented to in writing by each member has the same effect as if it had been made at a meeting of the Board.</w:t>
      </w:r>
    </w:p>
    <w:p>
      <w:pPr>
        <w:pStyle w:val="Footnotesection"/>
      </w:pPr>
      <w:r>
        <w:tab/>
        <w:t>[Section 10A inserted: No. 12 of 2025 s. 14.]</w:t>
      </w:r>
    </w:p>
    <w:p>
      <w:pPr>
        <w:pStyle w:val="Heading5"/>
        <w:rPr>
          <w:snapToGrid w:val="0"/>
        </w:rPr>
      </w:pPr>
      <w:bookmarkStart w:id="25" w:name="_Toc216947788"/>
      <w:r>
        <w:rPr>
          <w:rStyle w:val="CharSectno"/>
        </w:rPr>
        <w:t>11</w:t>
      </w:r>
      <w:r>
        <w:rPr>
          <w:snapToGrid w:val="0"/>
        </w:rPr>
        <w:t>.</w:t>
      </w:r>
      <w:r>
        <w:rPr>
          <w:snapToGrid w:val="0"/>
        </w:rPr>
        <w:tab/>
        <w:t>Minister may require Board to give information</w:t>
      </w:r>
      <w:bookmarkEnd w:id="25"/>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26" w:name="_Toc216947789"/>
      <w:r>
        <w:rPr>
          <w:rStyle w:val="CharSectno"/>
        </w:rPr>
        <w:t>12</w:t>
      </w:r>
      <w:r>
        <w:rPr>
          <w:snapToGrid w:val="0"/>
        </w:rPr>
        <w:t>.</w:t>
      </w:r>
      <w:r>
        <w:rPr>
          <w:snapToGrid w:val="0"/>
        </w:rPr>
        <w:tab/>
        <w:t>Indemnity</w:t>
      </w:r>
      <w:bookmarkEnd w:id="26"/>
    </w:p>
    <w:p>
      <w:pPr>
        <w:pStyle w:val="Subsection"/>
        <w:spacing w:before="150"/>
        <w:rPr>
          <w:snapToGrid w:val="0"/>
        </w:rPr>
      </w:pPr>
      <w:r>
        <w:rPr>
          <w:snapToGrid w:val="0"/>
        </w:rPr>
        <w:tab/>
      </w:r>
      <w:r>
        <w:rPr>
          <w:snapToGrid w:val="0"/>
        </w:rPr>
        <w:tab/>
        <w:t xml:space="preserve">A person who is or was a member or acting member is not personally liable for anything done or omitted in good faith in, </w:t>
      </w:r>
      <w:r>
        <w:rPr>
          <w:snapToGrid w:val="0"/>
        </w:rPr>
        <w:lastRenderedPageBreak/>
        <w:t>or in connection with, the exercise or purported exercise of any power, or the carrying out of any duty or function as a member.</w:t>
      </w:r>
    </w:p>
    <w:p>
      <w:pPr>
        <w:pStyle w:val="Heading5"/>
        <w:rPr>
          <w:snapToGrid w:val="0"/>
        </w:rPr>
      </w:pPr>
      <w:bookmarkStart w:id="27" w:name="_Toc216947790"/>
      <w:r>
        <w:rPr>
          <w:rStyle w:val="CharSectno"/>
        </w:rPr>
        <w:t>13</w:t>
      </w:r>
      <w:r>
        <w:rPr>
          <w:snapToGrid w:val="0"/>
        </w:rPr>
        <w:t>.</w:t>
      </w:r>
      <w:r>
        <w:rPr>
          <w:snapToGrid w:val="0"/>
        </w:rPr>
        <w:tab/>
        <w:t>Staff</w:t>
      </w:r>
      <w:bookmarkEnd w:id="27"/>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28" w:name="_Toc216947791"/>
      <w:r>
        <w:rPr>
          <w:rStyle w:val="CharSectno"/>
        </w:rPr>
        <w:t>14</w:t>
      </w:r>
      <w:r>
        <w:rPr>
          <w:snapToGrid w:val="0"/>
        </w:rPr>
        <w:t>.</w:t>
      </w:r>
      <w:r>
        <w:rPr>
          <w:snapToGrid w:val="0"/>
        </w:rPr>
        <w:tab/>
        <w:t>Functions of Board</w:t>
      </w:r>
      <w:bookmarkEnd w:id="28"/>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spacing w:before="60"/>
        <w:rPr>
          <w:snapToGrid w:val="0"/>
        </w:rPr>
      </w:pPr>
      <w:r>
        <w:rPr>
          <w:snapToGrid w:val="0"/>
        </w:rPr>
        <w:tab/>
        <w:t>(a)</w:t>
      </w:r>
      <w:r>
        <w:rPr>
          <w:snapToGrid w:val="0"/>
        </w:rPr>
        <w:tab/>
        <w:t>to maintain the register of employers and register of employees;</w:t>
      </w:r>
    </w:p>
    <w:p>
      <w:pPr>
        <w:pStyle w:val="Indenta"/>
        <w:spacing w:before="60"/>
        <w:rPr>
          <w:snapToGrid w:val="0"/>
        </w:rPr>
      </w:pPr>
      <w:r>
        <w:rPr>
          <w:snapToGrid w:val="0"/>
        </w:rPr>
        <w:tab/>
        <w:t>(b)</w:t>
      </w:r>
      <w:r>
        <w:rPr>
          <w:snapToGrid w:val="0"/>
        </w:rPr>
        <w:tab/>
        <w:t>to administer the scheme of payment to employees during long service leave established under this Act;</w:t>
      </w:r>
    </w:p>
    <w:p>
      <w:pPr>
        <w:pStyle w:val="Indenta"/>
        <w:spacing w:before="60"/>
        <w:rPr>
          <w:snapToGrid w:val="0"/>
        </w:rPr>
      </w:pPr>
      <w:r>
        <w:rPr>
          <w:snapToGrid w:val="0"/>
        </w:rPr>
        <w:tab/>
        <w:t>(c)</w:t>
      </w:r>
      <w:r>
        <w:rPr>
          <w:snapToGrid w:val="0"/>
        </w:rPr>
        <w:tab/>
        <w:t>to advise the Minister on the administration of this Act;</w:t>
      </w:r>
    </w:p>
    <w:p>
      <w:pPr>
        <w:pStyle w:val="Indenta"/>
        <w:spacing w:before="60"/>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29" w:name="_Toc216947792"/>
      <w:r>
        <w:rPr>
          <w:rStyle w:val="CharSectno"/>
        </w:rPr>
        <w:t>15</w:t>
      </w:r>
      <w:r>
        <w:rPr>
          <w:snapToGrid w:val="0"/>
        </w:rPr>
        <w:t>.</w:t>
      </w:r>
      <w:r>
        <w:rPr>
          <w:snapToGrid w:val="0"/>
        </w:rPr>
        <w:tab/>
        <w:t>Funds of Board</w:t>
      </w:r>
      <w:bookmarkEnd w:id="29"/>
    </w:p>
    <w:p>
      <w:pPr>
        <w:pStyle w:val="Subsection"/>
        <w:rPr>
          <w:snapToGrid w:val="0"/>
        </w:rPr>
      </w:pPr>
      <w:r>
        <w:rPr>
          <w:snapToGrid w:val="0"/>
        </w:rPr>
        <w:tab/>
        <w:t>(1)</w:t>
      </w:r>
      <w:r>
        <w:rPr>
          <w:snapToGrid w:val="0"/>
        </w:rPr>
        <w:tab/>
        <w:t>The funds of the Board shall consist of —</w:t>
      </w:r>
    </w:p>
    <w:p>
      <w:pPr>
        <w:pStyle w:val="Indenta"/>
        <w:spacing w:before="60"/>
        <w:rPr>
          <w:snapToGrid w:val="0"/>
        </w:rPr>
      </w:pPr>
      <w:r>
        <w:rPr>
          <w:snapToGrid w:val="0"/>
        </w:rPr>
        <w:tab/>
        <w:t>(a)</w:t>
      </w:r>
      <w:r>
        <w:rPr>
          <w:snapToGrid w:val="0"/>
        </w:rPr>
        <w:tab/>
        <w:t>such moneys as are paid to the Board under section 34;</w:t>
      </w:r>
    </w:p>
    <w:p>
      <w:pPr>
        <w:pStyle w:val="Indenta"/>
        <w:spacing w:before="60"/>
        <w:rPr>
          <w:snapToGrid w:val="0"/>
        </w:rPr>
      </w:pPr>
      <w:r>
        <w:rPr>
          <w:snapToGrid w:val="0"/>
        </w:rPr>
        <w:tab/>
        <w:t>(b)</w:t>
      </w:r>
      <w:r>
        <w:rPr>
          <w:snapToGrid w:val="0"/>
        </w:rPr>
        <w:tab/>
        <w:t>proceeds from investments made by the Board under subsection (3);</w:t>
      </w:r>
    </w:p>
    <w:p>
      <w:pPr>
        <w:pStyle w:val="Indenta"/>
        <w:keepNext/>
        <w:spacing w:before="60"/>
        <w:rPr>
          <w:snapToGrid w:val="0"/>
        </w:rPr>
      </w:pPr>
      <w:r>
        <w:rPr>
          <w:snapToGrid w:val="0"/>
        </w:rPr>
        <w:tab/>
        <w:t>(c)</w:t>
      </w:r>
      <w:r>
        <w:rPr>
          <w:snapToGrid w:val="0"/>
        </w:rPr>
        <w:tab/>
        <w:t>such moneys as the Board may borrow under this Act;</w:t>
      </w:r>
    </w:p>
    <w:p>
      <w:pPr>
        <w:pStyle w:val="Indenta"/>
        <w:spacing w:before="60"/>
        <w:rPr>
          <w:snapToGrid w:val="0"/>
        </w:rPr>
      </w:pPr>
      <w:r>
        <w:rPr>
          <w:snapToGrid w:val="0"/>
        </w:rPr>
        <w:tab/>
        <w:t>(d)</w:t>
      </w:r>
      <w:r>
        <w:rPr>
          <w:snapToGrid w:val="0"/>
        </w:rPr>
        <w:tab/>
        <w:t>any other amounts received by the Board under this Act.</w:t>
      </w:r>
    </w:p>
    <w:p>
      <w:pPr>
        <w:pStyle w:val="Subsection"/>
        <w:keepNext/>
        <w:rPr>
          <w:snapToGrid w:val="0"/>
        </w:rPr>
      </w:pPr>
      <w:r>
        <w:rPr>
          <w:snapToGrid w:val="0"/>
        </w:rPr>
        <w:lastRenderedPageBreak/>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 and</w:t>
      </w:r>
    </w:p>
    <w:p>
      <w:pPr>
        <w:pStyle w:val="Indenta"/>
        <w:rPr>
          <w:snapToGrid w:val="0"/>
        </w:rPr>
      </w:pPr>
      <w:r>
        <w:rPr>
          <w:snapToGrid w:val="0"/>
        </w:rPr>
        <w:tab/>
        <w:t>(b)</w:t>
      </w:r>
      <w:r>
        <w:rPr>
          <w:snapToGrid w:val="0"/>
        </w:rPr>
        <w:tab/>
        <w:t>for the repayment of moneys borrowed under section 16; and</w:t>
      </w:r>
    </w:p>
    <w:p>
      <w:pPr>
        <w:pStyle w:val="Indenta"/>
        <w:rPr>
          <w:snapToGrid w:val="0"/>
        </w:rPr>
      </w:pPr>
      <w:r>
        <w:rPr>
          <w:snapToGrid w:val="0"/>
        </w:rPr>
        <w:tab/>
        <w:t>(c)</w:t>
      </w:r>
      <w:r>
        <w:rPr>
          <w:snapToGrid w:val="0"/>
        </w:rPr>
        <w:tab/>
        <w:t>in payment of remuneration and allowances to members; and</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rPr>
        <w:tab/>
        <w:t>(3)</w:t>
      </w:r>
      <w:r>
        <w:rPr>
          <w:snapToGrid w:val="0"/>
        </w:rPr>
        <w:tab/>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No. 30 of 1989 s. 5; No. 1 of 1997 s. 18.]</w:t>
      </w:r>
    </w:p>
    <w:p>
      <w:pPr>
        <w:pStyle w:val="Heading5"/>
        <w:rPr>
          <w:snapToGrid w:val="0"/>
        </w:rPr>
      </w:pPr>
      <w:bookmarkStart w:id="30" w:name="_Toc216947793"/>
      <w:r>
        <w:rPr>
          <w:rStyle w:val="CharSectno"/>
        </w:rPr>
        <w:t>16</w:t>
      </w:r>
      <w:r>
        <w:rPr>
          <w:snapToGrid w:val="0"/>
        </w:rPr>
        <w:t>.</w:t>
      </w:r>
      <w:r>
        <w:rPr>
          <w:snapToGrid w:val="0"/>
        </w:rPr>
        <w:tab/>
        <w:t>Power to borrow and guarantee</w:t>
      </w:r>
      <w:bookmarkEnd w:id="30"/>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lastRenderedPageBreak/>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No. 4 of 1986, s. 4; No. 6 of 1993 s. 11; No. 49 of 1996 s. 64; No. 77 of 2006 s. 4.]</w:t>
      </w:r>
    </w:p>
    <w:p>
      <w:pPr>
        <w:pStyle w:val="Heading5"/>
        <w:rPr>
          <w:snapToGrid w:val="0"/>
        </w:rPr>
      </w:pPr>
      <w:bookmarkStart w:id="31" w:name="_Toc216947794"/>
      <w:r>
        <w:rPr>
          <w:rStyle w:val="CharSectno"/>
        </w:rPr>
        <w:t>17</w:t>
      </w:r>
      <w:r>
        <w:rPr>
          <w:snapToGrid w:val="0"/>
        </w:rPr>
        <w:t>.</w:t>
      </w:r>
      <w:r>
        <w:rPr>
          <w:snapToGrid w:val="0"/>
        </w:rPr>
        <w:tab/>
        <w:t>Notification of certain contracts to be given to Minister</w:t>
      </w:r>
      <w:bookmarkEnd w:id="31"/>
    </w:p>
    <w:p>
      <w:pPr>
        <w:pStyle w:val="Subsection"/>
        <w:rPr>
          <w:snapToGrid w:val="0"/>
        </w:rPr>
      </w:pPr>
      <w:r>
        <w:rPr>
          <w:snapToGrid w:val="0"/>
        </w:rPr>
        <w:tab/>
        <w:t>(1)</w:t>
      </w:r>
      <w:r>
        <w:rPr>
          <w:snapToGrid w:val="0"/>
        </w:rPr>
        <w:tab/>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rPr>
        <w:tab/>
        <w:t>(2)</w:t>
      </w:r>
      <w:r>
        <w:rPr>
          <w:snapToGrid w:val="0"/>
        </w:rPr>
        <w:tab/>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32" w:name="_Toc216947795"/>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No. 4 of 1986 s. 4; amended: No. 77 of 2006 Sch. 1 cl. 31.]</w:t>
      </w:r>
    </w:p>
    <w:p>
      <w:pPr>
        <w:pStyle w:val="Heading5"/>
        <w:rPr>
          <w:snapToGrid w:val="0"/>
        </w:rPr>
      </w:pPr>
      <w:bookmarkStart w:id="33" w:name="_Toc216947796"/>
      <w:r>
        <w:rPr>
          <w:rStyle w:val="CharSectno"/>
        </w:rPr>
        <w:t>19</w:t>
      </w:r>
      <w:r>
        <w:rPr>
          <w:snapToGrid w:val="0"/>
        </w:rPr>
        <w:t>.</w:t>
      </w:r>
      <w:r>
        <w:rPr>
          <w:snapToGrid w:val="0"/>
        </w:rPr>
        <w:tab/>
        <w:t>Investigations by actuary</w:t>
      </w:r>
      <w:bookmarkEnd w:id="33"/>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lastRenderedPageBreak/>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No. 4 of 1986 s. 4.]</w:t>
      </w:r>
    </w:p>
    <w:p>
      <w:pPr>
        <w:pStyle w:val="Heading2"/>
      </w:pPr>
      <w:bookmarkStart w:id="34" w:name="_Toc216874873"/>
      <w:bookmarkStart w:id="35" w:name="_Toc216875307"/>
      <w:bookmarkStart w:id="36" w:name="_Toc216876309"/>
      <w:bookmarkStart w:id="37" w:name="_Toc216876405"/>
      <w:bookmarkStart w:id="38" w:name="_Toc216947797"/>
      <w:r>
        <w:rPr>
          <w:rStyle w:val="CharPartNo"/>
        </w:rPr>
        <w:lastRenderedPageBreak/>
        <w:t>Part III</w:t>
      </w:r>
      <w:r>
        <w:rPr>
          <w:rStyle w:val="CharDivNo"/>
        </w:rPr>
        <w:t> </w:t>
      </w:r>
      <w:r>
        <w:t>—</w:t>
      </w:r>
      <w:r>
        <w:rPr>
          <w:rStyle w:val="CharDivText"/>
        </w:rPr>
        <w:t> </w:t>
      </w:r>
      <w:r>
        <w:rPr>
          <w:rStyle w:val="CharPartText"/>
        </w:rPr>
        <w:t>Entitlement to long service leave and pay</w:t>
      </w:r>
      <w:bookmarkEnd w:id="34"/>
      <w:bookmarkEnd w:id="35"/>
      <w:bookmarkEnd w:id="36"/>
      <w:bookmarkEnd w:id="37"/>
      <w:bookmarkEnd w:id="38"/>
    </w:p>
    <w:p>
      <w:pPr>
        <w:pStyle w:val="Heading5"/>
        <w:rPr>
          <w:snapToGrid w:val="0"/>
        </w:rPr>
      </w:pPr>
      <w:bookmarkStart w:id="39" w:name="_Toc216947798"/>
      <w:r>
        <w:rPr>
          <w:rStyle w:val="CharSectno"/>
        </w:rPr>
        <w:t>21</w:t>
      </w:r>
      <w:r>
        <w:rPr>
          <w:snapToGrid w:val="0"/>
        </w:rPr>
        <w:t>.</w:t>
      </w:r>
      <w:r>
        <w:rPr>
          <w:snapToGrid w:val="0"/>
        </w:rPr>
        <w:tab/>
        <w:t>Entitlement to paid long service leave and pay</w:t>
      </w:r>
      <w:bookmarkEnd w:id="39"/>
    </w:p>
    <w:p>
      <w:pPr>
        <w:pStyle w:val="Subsection"/>
        <w:rPr>
          <w:snapToGrid w:val="0"/>
        </w:rPr>
      </w:pPr>
      <w:r>
        <w:rPr>
          <w:snapToGrid w:val="0"/>
        </w:rPr>
        <w:tab/>
        <w:t>(1)</w:t>
      </w:r>
      <w:r>
        <w:rPr>
          <w:snapToGrid w:val="0"/>
        </w:rPr>
        <w:tab/>
        <w:t xml:space="preserve">Notwithstanding any other Act or </w:t>
      </w:r>
      <w:r>
        <w:t>any industrial instrument</w:t>
      </w:r>
      <w:r>
        <w:rPr>
          <w:snapToGrid w:val="0"/>
        </w:rPr>
        <w:t xml:space="preserve">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8⅔ weeks after completing 10</w:t>
      </w:r>
      <w:r>
        <w:rPr>
          <w:snapToGrid w:val="0"/>
        </w:rPr>
        <w:t> years of service; and</w:t>
      </w:r>
    </w:p>
    <w:p>
      <w:pPr>
        <w:pStyle w:val="Indenta"/>
        <w:rPr>
          <w:snapToGrid w:val="0"/>
        </w:rPr>
      </w:pPr>
      <w:r>
        <w:rPr>
          <w:snapToGrid w:val="0"/>
        </w:rPr>
        <w:tab/>
        <w:t>(b)</w:t>
      </w:r>
      <w:r>
        <w:rPr>
          <w:snapToGrid w:val="0"/>
        </w:rPr>
        <w:tab/>
      </w:r>
      <w:r>
        <w:t>4⅓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(3A)</w:t>
      </w:r>
      <w:r>
        <w:tab/>
        <w:t xml:space="preserve">In addition to the provisions set out in subsection (2), for the purposes of calculating the entitlement of an employee to long </w:t>
      </w:r>
      <w:r>
        <w:lastRenderedPageBreak/>
        <w:t xml:space="preserve">service leave under subsection (1), any period of service which occurred — </w:t>
      </w:r>
    </w:p>
    <w:p>
      <w:pPr>
        <w:pStyle w:val="Indenta"/>
        <w:spacing w:before="100"/>
      </w:pPr>
      <w:r>
        <w:tab/>
        <w:t>(a)</w:t>
      </w:r>
      <w:r>
        <w:tab/>
        <w:t>before a break in service; and</w:t>
      </w:r>
    </w:p>
    <w:p>
      <w:pPr>
        <w:pStyle w:val="Indenta"/>
        <w:spacing w:before="100"/>
      </w:pPr>
      <w:r>
        <w:tab/>
        <w:t>(b)</w:t>
      </w:r>
      <w:r>
        <w:tab/>
        <w:t>when the person was not registered as an employee under this Act; and</w:t>
      </w:r>
    </w:p>
    <w:p>
      <w:pPr>
        <w:pStyle w:val="Indenta"/>
        <w:spacing w:before="100"/>
      </w:pPr>
      <w:r>
        <w:tab/>
        <w:t>(c)</w:t>
      </w:r>
      <w:r>
        <w:tab/>
        <w:t xml:space="preserve">after the coming into operation of the </w:t>
      </w:r>
      <w:r>
        <w:rPr>
          <w:i/>
        </w:rPr>
        <w:t>Industrial Legislation Amendment Act 2011</w:t>
      </w:r>
      <w:r>
        <w:t xml:space="preserve"> section 9(2),</w:t>
      </w:r>
    </w:p>
    <w:p>
      <w:pPr>
        <w:pStyle w:val="Subsection"/>
      </w:pPr>
      <w:r>
        <w:tab/>
      </w:r>
      <w:r>
        <w:tab/>
        <w:t>is not to be counted as service.</w:t>
      </w:r>
    </w:p>
    <w:p>
      <w:pPr>
        <w:pStyle w:val="Subsection"/>
        <w:keepNext/>
        <w:spacing w:before="180"/>
      </w:pPr>
      <w:r>
        <w:tab/>
        <w:t>(3)</w:t>
      </w:r>
      <w:r>
        <w:tab/>
        <w:t xml:space="preserve">In this section — </w:t>
      </w:r>
    </w:p>
    <w:p>
      <w:pPr>
        <w:pStyle w:val="Defstart"/>
        <w:spacing w:before="100"/>
      </w:pPr>
      <w:r>
        <w:tab/>
      </w:r>
      <w:r>
        <w:rPr>
          <w:rStyle w:val="CharDefText"/>
        </w:rPr>
        <w:t>break in service</w:t>
      </w:r>
      <w:r>
        <w:t xml:space="preserve"> means — </w:t>
      </w:r>
    </w:p>
    <w:p>
      <w:pPr>
        <w:pStyle w:val="Defpara"/>
        <w:spacing w:before="100"/>
      </w:pPr>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p>
    <w:p>
      <w:pPr>
        <w:pStyle w:val="Defpara"/>
        <w:spacing w:before="100"/>
      </w:pPr>
      <w:r>
        <w:tab/>
        <w:t>(b)</w:t>
      </w:r>
      <w:r>
        <w:tab/>
        <w:t>in the case of a person who has been engaged as an employee for any number of days exceeding 1 100 days of service — a period within which the person is not so engaged of 4 years or more commencing from the last day of that engagement;</w:t>
      </w:r>
    </w:p>
    <w:p>
      <w:pPr>
        <w:pStyle w:val="Defstart"/>
      </w:pPr>
      <w:r>
        <w:tab/>
      </w:r>
      <w:r>
        <w:rPr>
          <w:rStyle w:val="CharDefText"/>
        </w:rPr>
        <w:t>ordinary pay</w:t>
      </w:r>
      <w:r>
        <w:t xml:space="preserve"> means the average ordinary pay, as defined in section 3, of the person over the period in which the person completed their most recent 220 days of service in the construction industry.</w:t>
      </w:r>
    </w:p>
    <w:p>
      <w:pPr>
        <w:pStyle w:val="Footnotesection"/>
        <w:keepLines w:val="0"/>
        <w:ind w:left="890" w:hanging="890"/>
      </w:pPr>
      <w:r>
        <w:tab/>
        <w:t>[Section 21 amended: No. 30 of 1989 s. 6; No. 36 of 2006 s. 45; No. 53 of 2011 s. 9; No. 12 of 2025 s. 6.]</w:t>
      </w:r>
    </w:p>
    <w:p>
      <w:pPr>
        <w:pStyle w:val="Heading5"/>
        <w:spacing w:before="260"/>
        <w:rPr>
          <w:snapToGrid w:val="0"/>
        </w:rPr>
      </w:pPr>
      <w:bookmarkStart w:id="40" w:name="_Toc216947799"/>
      <w:r>
        <w:rPr>
          <w:rStyle w:val="CharSectno"/>
        </w:rPr>
        <w:t>22</w:t>
      </w:r>
      <w:r>
        <w:rPr>
          <w:snapToGrid w:val="0"/>
        </w:rPr>
        <w:t>.</w:t>
      </w:r>
      <w:r>
        <w:rPr>
          <w:snapToGrid w:val="0"/>
        </w:rPr>
        <w:tab/>
        <w:t>Lump sum payments</w:t>
      </w:r>
      <w:bookmarkEnd w:id="40"/>
    </w:p>
    <w:p>
      <w:pPr>
        <w:pStyle w:val="Subsection"/>
        <w:spacing w:before="180"/>
        <w:rPr>
          <w:snapToGrid w:val="0"/>
        </w:rPr>
      </w:pPr>
      <w:r>
        <w:rPr>
          <w:snapToGrid w:val="0"/>
        </w:rPr>
        <w:tab/>
        <w:t>(1)</w:t>
      </w:r>
      <w:r>
        <w:rPr>
          <w:snapToGrid w:val="0"/>
        </w:rPr>
        <w:tab/>
        <w:t xml:space="preserve">Subject to section 24A(1), an employee who for any reason terminates </w:t>
      </w:r>
      <w:r>
        <w:t>the employee’s</w:t>
      </w:r>
      <w:r>
        <w:rPr>
          <w:snapToGrid w:val="0"/>
        </w:rPr>
        <w:t xml:space="preserve"> employment in the construction industry, or whose employment in the construction industry is terminated for any reason other than serious misconduct by </w:t>
      </w:r>
      <w:r>
        <w:t xml:space="preserve">the </w:t>
      </w:r>
      <w:r>
        <w:lastRenderedPageBreak/>
        <w:t>employee,</w:t>
      </w:r>
      <w:r>
        <w:rPr>
          <w:snapToGrid w:val="0"/>
        </w:rPr>
        <w:t xml:space="preserve"> is entitled to a lump sum payment in respect of service in the construction industry as follows —</w:t>
      </w:r>
    </w:p>
    <w:p>
      <w:pPr>
        <w:pStyle w:val="Indenta"/>
        <w:rPr>
          <w:snapToGrid w:val="0"/>
        </w:rPr>
      </w:pPr>
      <w:r>
        <w:rPr>
          <w:snapToGrid w:val="0"/>
        </w:rPr>
        <w:tab/>
        <w:t>(a)</w:t>
      </w:r>
      <w:r>
        <w:rPr>
          <w:snapToGrid w:val="0"/>
        </w:rPr>
        <w:tab/>
        <w:t xml:space="preserve">where </w:t>
      </w:r>
      <w:r>
        <w:t>the employee</w:t>
      </w:r>
      <w:r>
        <w:rPr>
          <w:snapToGrid w:val="0"/>
        </w:rPr>
        <w:t xml:space="preserv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 xml:space="preserve">where </w:t>
      </w:r>
      <w:r>
        <w:t>the employee</w:t>
      </w:r>
      <w:r>
        <w:rPr>
          <w:snapToGrid w:val="0"/>
        </w:rPr>
        <w:t xml:space="preserv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pPr>
      <w:r>
        <w:tab/>
        <w:t>(ii)</w:t>
      </w:r>
      <w:r>
        <w:tab/>
        <w: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t>
      </w:r>
    </w:p>
    <w:p>
      <w:pPr>
        <w:pStyle w:val="Indenta"/>
      </w:pPr>
      <w:r>
        <w:tab/>
      </w:r>
      <w:r>
        <w:tab/>
        <w:t>or</w:t>
      </w:r>
    </w:p>
    <w:p>
      <w:pPr>
        <w:pStyle w:val="Indenta"/>
      </w:pPr>
      <w:r>
        <w:tab/>
        <w:t>(c)</w:t>
      </w:r>
      <w:r>
        <w:tab/>
        <w:t>where the employee has completed at least 55 days of service but less than 7 years of service and is totally and permanently incapacitated for work in the construction industry, a sum which bears the same proportion to the money value of the entitlement referred to in section 21(1)(a) as the period of service completed bears to 10 years; or</w:t>
      </w:r>
    </w:p>
    <w:p>
      <w:pPr>
        <w:pStyle w:val="Indenta"/>
      </w:pPr>
      <w:r>
        <w:tab/>
        <w:t>(d)</w:t>
      </w:r>
      <w:r>
        <w:tab/>
        <w:t>where the employee has completed at least 55 days of service but less than 7 years of service and has been diagnosed with an illness that is likely to result in the death of the employee within a period of 12 months of the date of application for payment, a sum which bears the same proportion to the money value of the entitlement referred to in section 21(1)(a) as the period of service completed bears to 10 years.</w:t>
      </w:r>
    </w:p>
    <w:p>
      <w:pPr>
        <w:pStyle w:val="Subsection"/>
      </w:pPr>
      <w:r>
        <w:lastRenderedPageBreak/>
        <w:tab/>
        <w:t>(1A)</w:t>
      </w:r>
      <w:r>
        <w:tab/>
        <w:t>A payment must not be made under subsection (1)(c) or (d) unless the Board has been given evidence by a medical practitioner of the employee’s incapacitation or diagnosis.</w:t>
      </w:r>
    </w:p>
    <w:p>
      <w:pPr>
        <w:pStyle w:val="Subsection"/>
      </w:pPr>
      <w:r>
        <w:tab/>
        <w:t>(1B)</w:t>
      </w:r>
      <w:r>
        <w:tab/>
        <w:t xml:space="preserve">In subsection (1A)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 (other than as a student).</w:t>
      </w:r>
    </w:p>
    <w:p>
      <w:pPr>
        <w:pStyle w:val="Subsection"/>
        <w:rPr>
          <w:snapToGrid w:val="0"/>
        </w:rPr>
      </w:pPr>
      <w:r>
        <w:rPr>
          <w:snapToGrid w:val="0"/>
        </w:rPr>
        <w:tab/>
        <w:t>(2)</w:t>
      </w:r>
      <w:r>
        <w:rPr>
          <w:snapToGrid w:val="0"/>
        </w:rPr>
        <w:tab/>
        <w:t xml:space="preserve">Where an employee dies after completing at least 7 years of service in the construction industry, in respect of such period of the employee’s service as had not formed part of the period of an entitlement under section 21(1) taken by </w:t>
      </w:r>
      <w:r>
        <w:t>the employee</w:t>
      </w:r>
      <w:r>
        <w:rPr>
          <w:snapToGrid w:val="0"/>
        </w:rPr>
        <w:t xml:space="preserve"> or been the subject of advance long service leave taken under section 24A(1), a lump sum payment consisting of —</w:t>
      </w:r>
    </w:p>
    <w:p>
      <w:pPr>
        <w:pStyle w:val="Indenta"/>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60"/>
        <w:rPr>
          <w:snapToGrid w:val="0"/>
        </w:rPr>
      </w:pPr>
      <w:r>
        <w:tab/>
        <w:t>(d)</w:t>
      </w:r>
      <w:r>
        <w:tab/>
        <w:t>the estate of the deceased employee.</w:t>
      </w:r>
    </w:p>
    <w:p>
      <w:pPr>
        <w:pStyle w:val="Subsection"/>
      </w:pPr>
      <w:r>
        <w:tab/>
        <w:t>(2A)</w:t>
      </w:r>
      <w:r>
        <w:tab/>
        <w:t>Subsection (2B) applies if an employee dies after completing at least 55 days of service but less than 7 years of service in the construction industry.</w:t>
      </w:r>
    </w:p>
    <w:p>
      <w:pPr>
        <w:pStyle w:val="Subsection"/>
      </w:pPr>
      <w:r>
        <w:tab/>
        <w:t>(2B)</w:t>
      </w:r>
      <w:r>
        <w:tab/>
        <w:t xml:space="preserve">Upon application by a relevant party for the deceased employee, a lump sum which bears the same proportion to the money value of the entitlement referred to in section 21(1)(a) as that period of </w:t>
      </w:r>
      <w:r>
        <w:lastRenderedPageBreak/>
        <w:t>service bears to 10 years must be paid to a relevant party for the deceased employee, as the Board thinks fit.</w:t>
      </w:r>
    </w:p>
    <w:p>
      <w:pPr>
        <w:pStyle w:val="Subsection"/>
      </w:pPr>
      <w:r>
        <w:tab/>
        <w:t>(2C)</w:t>
      </w:r>
      <w:r>
        <w:tab/>
        <w:t xml:space="preserve">In subsection (2B) — </w:t>
      </w:r>
    </w:p>
    <w:p>
      <w:pPr>
        <w:pStyle w:val="Defstart"/>
      </w:pPr>
      <w:r>
        <w:tab/>
      </w:r>
      <w:r>
        <w:rPr>
          <w:rStyle w:val="CharDefText"/>
        </w:rPr>
        <w:t>relevant party</w:t>
      </w:r>
      <w:r>
        <w:t xml:space="preserve">, for a deceased employee, means — </w:t>
      </w:r>
    </w:p>
    <w:p>
      <w:pPr>
        <w:pStyle w:val="Defpara"/>
      </w:pPr>
      <w:r>
        <w:tab/>
        <w:t>(a)</w:t>
      </w:r>
      <w:r>
        <w:tab/>
        <w:t>any person who was the spouse or de facto partner of the employee immediately before the death of the employee and who, in the opinion of the Board, was financially dependent on that employee at that time; or</w:t>
      </w:r>
    </w:p>
    <w:p>
      <w:pPr>
        <w:pStyle w:val="Defpara"/>
      </w:pPr>
      <w:r>
        <w:tab/>
        <w:t>(b)</w:t>
      </w:r>
      <w:r>
        <w:tab/>
        <w:t>the estate of the employee.</w:t>
      </w:r>
    </w:p>
    <w:p>
      <w:pPr>
        <w:pStyle w:val="Subsection"/>
      </w:pPr>
      <w:r>
        <w:tab/>
        <w:t>(3)</w:t>
      </w:r>
      <w:r>
        <w:tab/>
        <w:t>When a lump sum payment is made to an employee or in respect of a deceased employee under this section, the Board must remove the name of that person from the register of employees.</w:t>
      </w:r>
    </w:p>
    <w:p>
      <w:pPr>
        <w:pStyle w:val="Subsection"/>
      </w:pPr>
      <w:r>
        <w:tab/>
        <w:t>(4)</w:t>
      </w:r>
      <w:r>
        <w:tab/>
        <w:t>Nothing in subsection (3) prevents a person referred to in subsection (1) from becoming entitled to registration as an employee under this Act by virtue of any subsequent service as an employee.</w:t>
      </w:r>
    </w:p>
    <w:p>
      <w:pPr>
        <w:pStyle w:val="Footnotesection"/>
      </w:pPr>
      <w:r>
        <w:tab/>
        <w:t>[Section 22 inserted: No. 30 of 1989 s. 7; amended: No. 28 of 2003 s. 23; No. 36 of 2006 s. 46; No. 53 of 2011 s. 10; No. 12 of 2025 s. 15.]</w:t>
      </w:r>
    </w:p>
    <w:p>
      <w:pPr>
        <w:pStyle w:val="Heading5"/>
        <w:rPr>
          <w:snapToGrid w:val="0"/>
        </w:rPr>
      </w:pPr>
      <w:bookmarkStart w:id="41" w:name="_Toc216947800"/>
      <w:r>
        <w:rPr>
          <w:rStyle w:val="CharSectno"/>
        </w:rPr>
        <w:t>23</w:t>
      </w:r>
      <w:r>
        <w:rPr>
          <w:snapToGrid w:val="0"/>
        </w:rPr>
        <w:t>.</w:t>
      </w:r>
      <w:r>
        <w:rPr>
          <w:snapToGrid w:val="0"/>
        </w:rPr>
        <w:tab/>
        <w:t>Cessation of continuous service entitlement</w:t>
      </w:r>
      <w:bookmarkEnd w:id="41"/>
    </w:p>
    <w:p>
      <w:pPr>
        <w:pStyle w:val="Subsection"/>
        <w:rPr>
          <w:snapToGrid w:val="0"/>
        </w:rPr>
      </w:pPr>
      <w:r>
        <w:rPr>
          <w:snapToGrid w:val="0"/>
        </w:rPr>
        <w:tab/>
        <w:t>(1)</w:t>
      </w:r>
      <w:r>
        <w:rPr>
          <w:snapToGrid w:val="0"/>
        </w:rPr>
        <w:tab/>
        <w:t>Where a person has been engaged as an employee —</w:t>
      </w:r>
    </w:p>
    <w:p>
      <w:pPr>
        <w:pStyle w:val="Indenta"/>
        <w:spacing w:before="60"/>
        <w:rPr>
          <w:snapToGrid w:val="0"/>
        </w:rPr>
      </w:pPr>
      <w:r>
        <w:rPr>
          <w:snapToGrid w:val="0"/>
        </w:rPr>
        <w:tab/>
        <w:t>(a)</w:t>
      </w:r>
      <w:r>
        <w:rPr>
          <w:snapToGrid w:val="0"/>
        </w:rPr>
        <w:tab/>
        <w:t xml:space="preserve">for any number of days that does not exceed 1 100 days </w:t>
      </w:r>
      <w:r>
        <w:t>of service</w:t>
      </w:r>
      <w:r>
        <w:rPr>
          <w:snapToGrid w:val="0"/>
        </w:rPr>
        <w:t xml:space="preserve"> and has not been so engaged within the period of 2 years commencing from the last of such days; or</w:t>
      </w:r>
    </w:p>
    <w:p>
      <w:pPr>
        <w:pStyle w:val="Indenta"/>
        <w:spacing w:before="60"/>
        <w:rPr>
          <w:snapToGrid w:val="0"/>
        </w:rPr>
      </w:pPr>
      <w:r>
        <w:rPr>
          <w:snapToGrid w:val="0"/>
        </w:rPr>
        <w:tab/>
        <w:t>(b)</w:t>
      </w:r>
      <w:r>
        <w:rPr>
          <w:snapToGrid w:val="0"/>
        </w:rPr>
        <w:tab/>
        <w:t xml:space="preserve">for any number of days exceeding 1 100 days </w:t>
      </w:r>
      <w:r>
        <w:t>of service</w:t>
      </w:r>
      <w:r>
        <w:rPr>
          <w:snapToGrid w:val="0"/>
        </w:rPr>
        <w:t xml:space="preserve">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lastRenderedPageBreak/>
        <w:tab/>
        <w:t>(2)</w:t>
      </w:r>
      <w:r>
        <w:rPr>
          <w:snapToGrid w:val="0"/>
        </w:rPr>
        <w:tab/>
        <w:t>Nothing in this section prevents an employee from becoming entitled to long service leave under this Act by virtue of any subsequent service as an employee.</w:t>
      </w:r>
    </w:p>
    <w:p>
      <w:pPr>
        <w:pStyle w:val="Footnotesection"/>
      </w:pPr>
      <w:r>
        <w:tab/>
        <w:t>[Section 23 amended: No. 53 of 2011 s. 11.]</w:t>
      </w:r>
    </w:p>
    <w:p>
      <w:pPr>
        <w:pStyle w:val="Heading5"/>
        <w:rPr>
          <w:snapToGrid w:val="0"/>
        </w:rPr>
      </w:pPr>
      <w:bookmarkStart w:id="42" w:name="_Toc216947801"/>
      <w:r>
        <w:rPr>
          <w:rStyle w:val="CharSectno"/>
        </w:rPr>
        <w:t>24</w:t>
      </w:r>
      <w:r>
        <w:rPr>
          <w:snapToGrid w:val="0"/>
        </w:rPr>
        <w:t>.</w:t>
      </w:r>
      <w:r>
        <w:rPr>
          <w:snapToGrid w:val="0"/>
        </w:rPr>
        <w:tab/>
        <w:t>Taking of leave</w:t>
      </w:r>
      <w:bookmarkEnd w:id="42"/>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Ednotesubsection"/>
      </w:pPr>
      <w:r>
        <w:tab/>
        <w:t>[(2)</w:t>
      </w:r>
      <w:r>
        <w:tab/>
        <w:t>deleted]</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No. 30 of 1989 s. 8; No. 53 of 2011 s. 12.]</w:t>
      </w:r>
    </w:p>
    <w:p>
      <w:pPr>
        <w:pStyle w:val="Heading5"/>
        <w:rPr>
          <w:snapToGrid w:val="0"/>
        </w:rPr>
      </w:pPr>
      <w:bookmarkStart w:id="43" w:name="_Toc216947802"/>
      <w:r>
        <w:rPr>
          <w:rStyle w:val="CharSectno"/>
        </w:rPr>
        <w:t>24A</w:t>
      </w:r>
      <w:r>
        <w:rPr>
          <w:snapToGrid w:val="0"/>
        </w:rPr>
        <w:t>.</w:t>
      </w:r>
      <w:r>
        <w:rPr>
          <w:snapToGrid w:val="0"/>
        </w:rPr>
        <w:tab/>
      </w:r>
      <w:r>
        <w:t>Proportional leave in advance after 7 years’ service</w:t>
      </w:r>
      <w:bookmarkEnd w:id="43"/>
    </w:p>
    <w:p>
      <w:pPr>
        <w:pStyle w:val="Subsection"/>
        <w:rPr>
          <w:snapToGrid w:val="0"/>
        </w:rPr>
      </w:pPr>
      <w:r>
        <w:rPr>
          <w:snapToGrid w:val="0"/>
        </w:rPr>
        <w:tab/>
        <w:t>(1)</w:t>
      </w:r>
      <w:r>
        <w:rPr>
          <w:snapToGrid w:val="0"/>
        </w:rPr>
        <w:tab/>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8⅔ </w:t>
      </w:r>
      <w:r>
        <w:rPr>
          <w:snapToGrid w:val="0"/>
        </w:rPr>
        <w:t xml:space="preserve">weeks bears to 10 years, and where leave is so taken, the employee is not entitled to further long service leave </w:t>
      </w:r>
      <w:r>
        <w:rPr>
          <w:snapToGrid w:val="0"/>
        </w:rPr>
        <w:lastRenderedPageBreak/>
        <w:t>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ind w:left="890" w:hanging="890"/>
      </w:pPr>
      <w:r>
        <w:tab/>
        <w:t>[Section 24A inserted: No. 30 of 1989 s. 9; amended: No. 36 of 2006 s. 47; No. 12 of 2025 s. 20.]</w:t>
      </w:r>
    </w:p>
    <w:p>
      <w:pPr>
        <w:pStyle w:val="Heading5"/>
        <w:rPr>
          <w:snapToGrid w:val="0"/>
        </w:rPr>
      </w:pPr>
      <w:bookmarkStart w:id="44" w:name="_Toc216947803"/>
      <w:r>
        <w:rPr>
          <w:rStyle w:val="CharSectno"/>
        </w:rPr>
        <w:t>25</w:t>
      </w:r>
      <w:r>
        <w:rPr>
          <w:snapToGrid w:val="0"/>
        </w:rPr>
        <w:t>.</w:t>
      </w:r>
      <w:r>
        <w:rPr>
          <w:snapToGrid w:val="0"/>
        </w:rPr>
        <w:tab/>
        <w:t>Payment when due</w:t>
      </w:r>
      <w:bookmarkEnd w:id="44"/>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No. 30 of 1989 s. 10.]</w:t>
      </w:r>
    </w:p>
    <w:p>
      <w:pPr>
        <w:pStyle w:val="Ednotesection"/>
        <w:ind w:left="890" w:hanging="890"/>
      </w:pPr>
      <w:r>
        <w:t>[</w:t>
      </w:r>
      <w:r>
        <w:rPr>
          <w:b/>
        </w:rPr>
        <w:t>27.</w:t>
      </w:r>
      <w:r>
        <w:rPr>
          <w:b/>
        </w:rPr>
        <w:tab/>
      </w:r>
      <w:r>
        <w:t>Deleted: No. 36 of 2006 s. 48.]</w:t>
      </w:r>
    </w:p>
    <w:p>
      <w:pPr>
        <w:pStyle w:val="Heading5"/>
        <w:rPr>
          <w:snapToGrid w:val="0"/>
        </w:rPr>
      </w:pPr>
      <w:bookmarkStart w:id="45" w:name="_Toc216947804"/>
      <w:r>
        <w:rPr>
          <w:rStyle w:val="CharSectno"/>
        </w:rPr>
        <w:t>28</w:t>
      </w:r>
      <w:r>
        <w:rPr>
          <w:snapToGrid w:val="0"/>
        </w:rPr>
        <w:t>.</w:t>
      </w:r>
      <w:r>
        <w:rPr>
          <w:snapToGrid w:val="0"/>
        </w:rPr>
        <w:tab/>
        <w:t>Prohibition on other employment</w:t>
      </w:r>
      <w:bookmarkEnd w:id="45"/>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Subsection"/>
        <w:rPr>
          <w:snapToGrid w:val="0"/>
        </w:rPr>
      </w:pPr>
      <w:r>
        <w:rPr>
          <w:snapToGrid w:val="0"/>
        </w:rPr>
        <w:tab/>
        <w:t>(3)</w:t>
      </w:r>
      <w:r>
        <w:rPr>
          <w:snapToGrid w:val="0"/>
        </w:rPr>
        <w:tab/>
        <w:t xml:space="preserve">The Board may by notice in writing permit an employee who is on long service leave to be employed in the construction industry during that period subject to such terms and conditions </w:t>
      </w:r>
      <w:r>
        <w:rPr>
          <w:snapToGrid w:val="0"/>
        </w:rPr>
        <w:lastRenderedPageBreak/>
        <w:t>(including the taking of the remainder of that leave) as the Board specifies in the notice.</w:t>
      </w:r>
    </w:p>
    <w:p>
      <w:pPr>
        <w:pStyle w:val="Subsection"/>
      </w:pPr>
      <w:r>
        <w:tab/>
        <w:t>(4A)</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(4B)</w:t>
      </w:r>
      <w:r>
        <w:tab/>
        <w:t xml:space="preserve">For the purposes of subsections (1) and (2), a person is not engaged or employed in employment for hire or reward in respect of a day if the person is — </w:t>
      </w:r>
    </w:p>
    <w:p>
      <w:pPr>
        <w:pStyle w:val="Indenta"/>
      </w:pPr>
      <w:r>
        <w:tab/>
        <w:t>(a)</w:t>
      </w:r>
      <w:r>
        <w:tab/>
        <w:t>on workers compensation in respect of that day; and</w:t>
      </w:r>
    </w:p>
    <w:p>
      <w:pPr>
        <w:pStyle w:val="Indenta"/>
      </w:pPr>
      <w:r>
        <w:tab/>
        <w:t>(b)</w:t>
      </w:r>
      <w:r>
        <w:tab/>
        <w:t>absent from their employment on that day.</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Footnotesection"/>
      </w:pPr>
      <w:r>
        <w:tab/>
        <w:t>[Section 28 amended: No. 53 of 2011 s. 13; No. 12 of 2025 s. 7.]</w:t>
      </w:r>
    </w:p>
    <w:p>
      <w:pPr>
        <w:pStyle w:val="Heading5"/>
      </w:pPr>
      <w:bookmarkStart w:id="46" w:name="_Toc216947805"/>
      <w:r>
        <w:rPr>
          <w:rStyle w:val="CharSectno"/>
        </w:rPr>
        <w:t>29</w:t>
      </w:r>
      <w:r>
        <w:t>.</w:t>
      </w:r>
      <w:r>
        <w:tab/>
        <w:t>Public holidays</w:t>
      </w:r>
      <w:bookmarkEnd w:id="46"/>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No. 36 of 2006 s. 49.]</w:t>
      </w:r>
    </w:p>
    <w:p>
      <w:pPr>
        <w:pStyle w:val="Heading5"/>
        <w:rPr>
          <w:snapToGrid w:val="0"/>
        </w:rPr>
      </w:pPr>
      <w:bookmarkStart w:id="47" w:name="_Toc216947806"/>
      <w:r>
        <w:rPr>
          <w:rStyle w:val="CharSectno"/>
        </w:rPr>
        <w:lastRenderedPageBreak/>
        <w:t>29A</w:t>
      </w:r>
      <w:r>
        <w:t>.</w:t>
      </w:r>
      <w:r>
        <w:rPr>
          <w:snapToGrid w:val="0"/>
        </w:rPr>
        <w:tab/>
        <w:t>Reciprocal arrangements</w:t>
      </w:r>
      <w:bookmarkEnd w:id="47"/>
    </w:p>
    <w:p>
      <w:pPr>
        <w:pStyle w:val="Subsection"/>
        <w:rPr>
          <w:snapToGrid w:val="0"/>
        </w:rPr>
      </w:pPr>
      <w:r>
        <w:rPr>
          <w:snapToGrid w:val="0"/>
        </w:rPr>
        <w:tab/>
        <w:t>(1)</w:t>
      </w:r>
      <w:r>
        <w:rPr>
          <w:snapToGrid w:val="0"/>
        </w:rPr>
        <w:tab/>
        <w:t>In this section —</w:t>
      </w:r>
    </w:p>
    <w:p>
      <w:pPr>
        <w:pStyle w:val="Defstart"/>
      </w:pPr>
      <w:r>
        <w:rPr>
          <w:b/>
        </w:rPr>
        <w:tab/>
      </w:r>
      <w:r>
        <w:rPr>
          <w:rStyle w:val="CharDefText"/>
          <w:rFonts w:ascii="Times New Roman Bold Italic" w:hAnsi="Times New Roman Bold Italic"/>
        </w:rPr>
        <w:t>construction industry</w:t>
      </w:r>
      <w: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 or</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 and</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No. 30 of 1989 s. 11; amended: No. 14 of 1996 s. 4.]</w:t>
      </w:r>
    </w:p>
    <w:p>
      <w:pPr>
        <w:pStyle w:val="Heading2"/>
      </w:pPr>
      <w:bookmarkStart w:id="48" w:name="_Toc216874883"/>
      <w:bookmarkStart w:id="49" w:name="_Toc216875317"/>
      <w:bookmarkStart w:id="50" w:name="_Toc216876319"/>
      <w:bookmarkStart w:id="51" w:name="_Toc216876415"/>
      <w:bookmarkStart w:id="52" w:name="_Toc216947807"/>
      <w:r>
        <w:rPr>
          <w:rStyle w:val="CharPartNo"/>
        </w:rPr>
        <w:lastRenderedPageBreak/>
        <w:t>Part IV</w:t>
      </w:r>
      <w:r>
        <w:rPr>
          <w:rStyle w:val="CharDivNo"/>
        </w:rPr>
        <w:t> </w:t>
      </w:r>
      <w:r>
        <w:t>—</w:t>
      </w:r>
      <w:r>
        <w:rPr>
          <w:rStyle w:val="CharDivText"/>
        </w:rPr>
        <w:t> </w:t>
      </w:r>
      <w:r>
        <w:rPr>
          <w:rStyle w:val="CharPartText"/>
        </w:rPr>
        <w:t>Registration</w:t>
      </w:r>
      <w:bookmarkEnd w:id="48"/>
      <w:bookmarkEnd w:id="49"/>
      <w:bookmarkEnd w:id="50"/>
      <w:bookmarkEnd w:id="51"/>
      <w:bookmarkEnd w:id="52"/>
    </w:p>
    <w:p>
      <w:pPr>
        <w:pStyle w:val="Heading5"/>
        <w:rPr>
          <w:snapToGrid w:val="0"/>
        </w:rPr>
      </w:pPr>
      <w:bookmarkStart w:id="53" w:name="_Toc216947808"/>
      <w:r>
        <w:rPr>
          <w:rStyle w:val="CharSectno"/>
        </w:rPr>
        <w:t>30</w:t>
      </w:r>
      <w:r>
        <w:rPr>
          <w:snapToGrid w:val="0"/>
        </w:rPr>
        <w:t>.</w:t>
      </w:r>
      <w:r>
        <w:rPr>
          <w:snapToGrid w:val="0"/>
        </w:rPr>
        <w:tab/>
      </w:r>
      <w:r>
        <w:t>Registration of employers</w:t>
      </w:r>
      <w:bookmarkEnd w:id="53"/>
    </w:p>
    <w:p>
      <w:pPr>
        <w:pStyle w:val="Subsection"/>
      </w:pPr>
      <w:r>
        <w:tab/>
        <w:t>(1)</w:t>
      </w:r>
      <w:r>
        <w:tab/>
        <w:t>Every employer must register as an employer under this Act.</w:t>
      </w:r>
    </w:p>
    <w:p>
      <w:pPr>
        <w:pStyle w:val="Subsection"/>
      </w:pPr>
      <w:r>
        <w:tab/>
        <w:t>(2)</w:t>
      </w:r>
      <w:r>
        <w:tab/>
        <w:t xml:space="preserve">An application for registration as an employer must — </w:t>
      </w:r>
    </w:p>
    <w:p>
      <w:pPr>
        <w:pStyle w:val="Indenta"/>
      </w:pPr>
      <w:r>
        <w:tab/>
        <w:t>(a)</w:t>
      </w:r>
      <w:r>
        <w:tab/>
        <w:t>be made in the approved form; and</w:t>
      </w:r>
    </w:p>
    <w:p>
      <w:pPr>
        <w:pStyle w:val="Indenta"/>
      </w:pPr>
      <w:r>
        <w:tab/>
        <w:t>(b)</w:t>
      </w:r>
      <w:r>
        <w:tab/>
        <w:t>contain the information required by the form.</w:t>
      </w:r>
    </w:p>
    <w:p>
      <w:pPr>
        <w:pStyle w:val="Subsection"/>
      </w:pPr>
      <w:r>
        <w:tab/>
        <w:t>(3)</w:t>
      </w:r>
      <w:r>
        <w:tab/>
        <w:t>An applicant for registration as an employer must include in the application every name under which, and address from which, the applicant operates as an employer.</w:t>
      </w:r>
    </w:p>
    <w:p>
      <w:pPr>
        <w:pStyle w:val="Subsection"/>
      </w:pPr>
      <w:r>
        <w:tab/>
        <w:t>(4)</w:t>
      </w:r>
      <w:r>
        <w:tab/>
        <w:t>An employer must notify the Board if the employer ceases to operate as an employer under any name or from any address included in an application for registration by the employer.</w:t>
      </w:r>
    </w:p>
    <w:p>
      <w:pPr>
        <w:pStyle w:val="Subsection"/>
      </w:pPr>
      <w:r>
        <w:tab/>
        <w:t>(5)</w:t>
      </w:r>
      <w:r>
        <w:tab/>
        <w:t xml:space="preserve">A contravention of subsection (1), (3) or (4) is not an offence but those subsections are civil penalty provisions for the purposes of the </w:t>
      </w:r>
      <w:r>
        <w:rPr>
          <w:i/>
        </w:rPr>
        <w:t>Industrial Relations Act 1979</w:t>
      </w:r>
      <w:r>
        <w:t xml:space="preserve"> section 83E.</w:t>
      </w:r>
    </w:p>
    <w:p>
      <w:pPr>
        <w:pStyle w:val="Subsection"/>
      </w:pPr>
      <w:r>
        <w:tab/>
        <w:t>(6)</w:t>
      </w:r>
      <w:r>
        <w:tab/>
        <w:t xml:space="preserve">Subsection (5) extends to a contravention that occurred within the period of 12 months ending on the coming into operation of the </w:t>
      </w:r>
      <w:r>
        <w:rPr>
          <w:i/>
        </w:rPr>
        <w:t>Industrial Legislation Amendment Act 2011</w:t>
      </w:r>
      <w:r>
        <w:t xml:space="preserve"> section 14 unless the person was charged with an offence in respect of that contravention.</w:t>
      </w:r>
    </w:p>
    <w:p>
      <w:pPr>
        <w:pStyle w:val="Ednotesubsection"/>
      </w:pPr>
      <w:r>
        <w:tab/>
        <w:t>[(7), (8)</w:t>
      </w:r>
      <w:r>
        <w:tab/>
        <w:t>deleted]</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 xml:space="preserve">register the applicant as an </w:t>
      </w:r>
      <w:r>
        <w:t>employer; and</w:t>
      </w:r>
    </w:p>
    <w:p>
      <w:pPr>
        <w:pStyle w:val="Indenta"/>
        <w:rPr>
          <w:snapToGrid w:val="0"/>
        </w:rPr>
      </w:pPr>
      <w:r>
        <w:rPr>
          <w:snapToGrid w:val="0"/>
        </w:rPr>
        <w:tab/>
        <w:t>(b)</w:t>
      </w:r>
      <w:r>
        <w:rPr>
          <w:snapToGrid w:val="0"/>
        </w:rPr>
        <w:tab/>
        <w:t>issue to the applicant a certificate of registration.</w:t>
      </w:r>
    </w:p>
    <w:p>
      <w:pPr>
        <w:pStyle w:val="Subsection"/>
        <w:spacing w:before="180"/>
        <w:rPr>
          <w:snapToGrid w:val="0"/>
        </w:rPr>
      </w:pPr>
      <w:r>
        <w:rPr>
          <w:snapToGrid w:val="0"/>
        </w:rPr>
        <w:lastRenderedPageBreak/>
        <w:tab/>
        <w:t>(11)</w:t>
      </w:r>
      <w:r>
        <w:rPr>
          <w:snapToGrid w:val="0"/>
        </w:rPr>
        <w:tab/>
        <w:t>Where the Board is not satisfied with any information given in an application the Board may return the application and refuse to register the applicant.</w:t>
      </w:r>
    </w:p>
    <w:p>
      <w:pPr>
        <w:pStyle w:val="Subsection"/>
        <w:spacing w:before="18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Footnotesection"/>
      </w:pPr>
      <w:r>
        <w:tab/>
        <w:t>[Section 30 amended: No. 53 of 2011 s. 14.]</w:t>
      </w:r>
    </w:p>
    <w:p>
      <w:pPr>
        <w:pStyle w:val="Heading5"/>
        <w:spacing w:before="260"/>
      </w:pPr>
      <w:bookmarkStart w:id="54" w:name="_Toc216947809"/>
      <w:r>
        <w:rPr>
          <w:rStyle w:val="CharSectno"/>
        </w:rPr>
        <w:t>31A</w:t>
      </w:r>
      <w:r>
        <w:t>.</w:t>
      </w:r>
      <w:r>
        <w:tab/>
        <w:t>Registration of employees</w:t>
      </w:r>
      <w:bookmarkEnd w:id="54"/>
    </w:p>
    <w:p>
      <w:pPr>
        <w:pStyle w:val="Subsection"/>
        <w:spacing w:before="180"/>
      </w:pPr>
      <w:r>
        <w:tab/>
        <w:t>(1)</w:t>
      </w:r>
      <w:r>
        <w:tab/>
        <w:t xml:space="preserve">Subject to subsection (5), the Board must — </w:t>
      </w:r>
    </w:p>
    <w:p>
      <w:pPr>
        <w:pStyle w:val="Indenta"/>
        <w:spacing w:before="100"/>
      </w:pPr>
      <w:r>
        <w:tab/>
        <w:t>(a)</w:t>
      </w:r>
      <w:r>
        <w:tab/>
        <w:t>register as an employee under this Act any employee in respect of whom an employer makes a statement under section 31(1); and</w:t>
      </w:r>
    </w:p>
    <w:p>
      <w:pPr>
        <w:pStyle w:val="Indenta"/>
        <w:spacing w:before="100"/>
      </w:pPr>
      <w:r>
        <w:tab/>
        <w:t>(b)</w:t>
      </w:r>
      <w:r>
        <w:tab/>
        <w:t>issue to the employee a certificate of registration.</w:t>
      </w:r>
    </w:p>
    <w:p>
      <w:pPr>
        <w:pStyle w:val="Subsection"/>
        <w:spacing w:before="180"/>
      </w:pPr>
      <w:r>
        <w:tab/>
        <w:t>(2)</w:t>
      </w:r>
      <w:r>
        <w:tab/>
        <w:t>A person who desires to register as an employee under this Act may apply in writing to the Board for registration.</w:t>
      </w:r>
    </w:p>
    <w:p>
      <w:pPr>
        <w:pStyle w:val="Subsection"/>
        <w:spacing w:before="180"/>
      </w:pPr>
      <w:r>
        <w:tab/>
        <w:t>(3)</w:t>
      </w:r>
      <w:r>
        <w:tab/>
        <w:t xml:space="preserve">An application made under subsection (2) must — </w:t>
      </w:r>
    </w:p>
    <w:p>
      <w:pPr>
        <w:pStyle w:val="Indenta"/>
        <w:spacing w:before="100"/>
      </w:pPr>
      <w:r>
        <w:tab/>
        <w:t>(a)</w:t>
      </w:r>
      <w:r>
        <w:tab/>
        <w:t>be made in the approved form; and</w:t>
      </w:r>
    </w:p>
    <w:p>
      <w:pPr>
        <w:pStyle w:val="Indenta"/>
        <w:spacing w:before="100"/>
      </w:pPr>
      <w:r>
        <w:tab/>
        <w:t>(b)</w:t>
      </w:r>
      <w:r>
        <w:tab/>
        <w:t>contain the information required by the form.</w:t>
      </w:r>
    </w:p>
    <w:p>
      <w:pPr>
        <w:pStyle w:val="Subsection"/>
        <w:spacing w:before="180"/>
      </w:pPr>
      <w:r>
        <w:tab/>
        <w:t>(4)</w:t>
      </w:r>
      <w:r>
        <w:tab/>
        <w:t xml:space="preserve">The Board may by written notice require — </w:t>
      </w:r>
    </w:p>
    <w:p>
      <w:pPr>
        <w:pStyle w:val="Indenta"/>
        <w:spacing w:before="100"/>
      </w:pPr>
      <w:r>
        <w:tab/>
        <w:t>(a)</w:t>
      </w:r>
      <w:r>
        <w:tab/>
        <w:t>an employee in respect of whom an employer makes a statement under section 31(1); or</w:t>
      </w:r>
    </w:p>
    <w:p>
      <w:pPr>
        <w:pStyle w:val="Indenta"/>
        <w:spacing w:before="100"/>
      </w:pPr>
      <w:r>
        <w:tab/>
        <w:t>(b)</w:t>
      </w:r>
      <w:r>
        <w:tab/>
        <w:t>an employer who makes a statement in respect of an employee under section 31(1); or</w:t>
      </w:r>
    </w:p>
    <w:p>
      <w:pPr>
        <w:pStyle w:val="Indenta"/>
        <w:spacing w:before="100"/>
      </w:pPr>
      <w:r>
        <w:tab/>
        <w:t>(c)</w:t>
      </w:r>
      <w:r>
        <w:tab/>
        <w:t>an applicant for registration under subsection (2),</w:t>
      </w:r>
    </w:p>
    <w:p>
      <w:pPr>
        <w:pStyle w:val="Subsection"/>
      </w:pPr>
      <w:r>
        <w:tab/>
      </w:r>
      <w:r>
        <w:tab/>
        <w:t>to supply information the Board requires in relation to the proposed registration of the employee or applicant, and may require the information to be verified by statutory declaration.</w:t>
      </w:r>
    </w:p>
    <w:p>
      <w:pPr>
        <w:pStyle w:val="Subsection"/>
        <w:keepNext/>
      </w:pPr>
      <w:r>
        <w:lastRenderedPageBreak/>
        <w:tab/>
        <w:t>(5)</w:t>
      </w:r>
      <w:r>
        <w:tab/>
        <w:t xml:space="preserve">If the Board is not satisfied with any information given in an application or under subsection (4), the Board may — </w:t>
      </w:r>
    </w:p>
    <w:p>
      <w:pPr>
        <w:pStyle w:val="Indenta"/>
        <w:spacing w:before="60"/>
      </w:pPr>
      <w:r>
        <w:tab/>
        <w:t>(a)</w:t>
      </w:r>
      <w:r>
        <w:tab/>
        <w:t>in the case of an employee to whom subsection (1) applies, refuse to register the employee; or</w:t>
      </w:r>
    </w:p>
    <w:p>
      <w:pPr>
        <w:pStyle w:val="Indenta"/>
        <w:spacing w:before="60"/>
      </w:pPr>
      <w:r>
        <w:tab/>
        <w:t>(b)</w:t>
      </w:r>
      <w:r>
        <w:tab/>
        <w:t>in the case of an applicant for registration under subsection (2), return the application and refuse to register the applicant.</w:t>
      </w:r>
    </w:p>
    <w:p>
      <w:pPr>
        <w:pStyle w:val="Footnotesection"/>
      </w:pPr>
      <w:r>
        <w:tab/>
        <w:t>[Section 31A inserted: No. 53 of 2011 s. 15.]</w:t>
      </w:r>
    </w:p>
    <w:p>
      <w:pPr>
        <w:pStyle w:val="Heading5"/>
        <w:rPr>
          <w:snapToGrid w:val="0"/>
        </w:rPr>
      </w:pPr>
      <w:bookmarkStart w:id="55" w:name="_Toc216947810"/>
      <w:r>
        <w:rPr>
          <w:rStyle w:val="CharSectno"/>
        </w:rPr>
        <w:t>31</w:t>
      </w:r>
      <w:r>
        <w:rPr>
          <w:snapToGrid w:val="0"/>
        </w:rPr>
        <w:t>.</w:t>
      </w:r>
      <w:r>
        <w:rPr>
          <w:snapToGrid w:val="0"/>
        </w:rPr>
        <w:tab/>
        <w:t>Return to be made by employer</w:t>
      </w:r>
      <w:bookmarkEnd w:id="55"/>
    </w:p>
    <w:p>
      <w:pPr>
        <w:pStyle w:val="Subsection"/>
        <w:spacing w:before="120"/>
        <w:rPr>
          <w:snapToGrid w:val="0"/>
        </w:rPr>
      </w:pPr>
      <w:r>
        <w:rPr>
          <w:snapToGrid w:val="0"/>
        </w:rPr>
        <w:tab/>
        <w:t>(1)</w:t>
      </w:r>
      <w:r>
        <w:rPr>
          <w:snapToGrid w:val="0"/>
        </w:rPr>
        <w:tab/>
        <w:t xml:space="preserve">A person who is registered under this Act or required to be registered as an employer shall lodge with the Board in respect of </w:t>
      </w:r>
      <w:r>
        <w:t>each prescribed period, within 15 days after the end of that period —</w:t>
      </w:r>
    </w:p>
    <w:p>
      <w:pPr>
        <w:pStyle w:val="Indenta"/>
        <w:spacing w:before="60"/>
      </w:pPr>
      <w:r>
        <w:tab/>
        <w:t>(a)</w:t>
      </w:r>
      <w:r>
        <w:tab/>
        <w:t>a statement in the approved form giving the information required by the form; and</w:t>
      </w:r>
    </w:p>
    <w:p>
      <w:pPr>
        <w:pStyle w:val="Indenta"/>
        <w:spacing w:before="60"/>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that occurred within the period of 12 months ending on the coming into operation of the </w:t>
      </w:r>
      <w:r>
        <w:rPr>
          <w:i/>
        </w:rPr>
        <w:t>Industrial Legislation Amendment Act 2011</w:t>
      </w:r>
      <w:r>
        <w:t xml:space="preserve"> section 16 unless the person was charged with an offence in respect of that contravention.</w:t>
      </w:r>
    </w:p>
    <w:p>
      <w:pPr>
        <w:pStyle w:val="Footnotesection"/>
      </w:pPr>
      <w:r>
        <w:tab/>
        <w:t>[Section 31 amended: No. 53 of 2011 s. 16.]</w:t>
      </w:r>
    </w:p>
    <w:p>
      <w:pPr>
        <w:pStyle w:val="Heading5"/>
        <w:keepLines w:val="0"/>
        <w:rPr>
          <w:snapToGrid w:val="0"/>
        </w:rPr>
      </w:pPr>
      <w:bookmarkStart w:id="56" w:name="_Toc216947811"/>
      <w:r>
        <w:rPr>
          <w:rStyle w:val="CharSectno"/>
        </w:rPr>
        <w:lastRenderedPageBreak/>
        <w:t>32</w:t>
      </w:r>
      <w:r>
        <w:rPr>
          <w:snapToGrid w:val="0"/>
        </w:rPr>
        <w:t>.</w:t>
      </w:r>
      <w:r>
        <w:rPr>
          <w:snapToGrid w:val="0"/>
        </w:rPr>
        <w:tab/>
        <w:t>Employer to maintain record of employees</w:t>
      </w:r>
      <w:bookmarkEnd w:id="56"/>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pPr>
      <w:r>
        <w:tab/>
        <w:t>(3)</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17 unless the person was charged with an offence in respect of that contravention.</w:t>
      </w:r>
    </w:p>
    <w:p>
      <w:pPr>
        <w:pStyle w:val="Footnotesection"/>
      </w:pPr>
      <w:r>
        <w:tab/>
        <w:t>[Section 32 amended: No. 53 of 2011 s. 17.]</w:t>
      </w:r>
    </w:p>
    <w:p>
      <w:pPr>
        <w:pStyle w:val="Heading5"/>
        <w:rPr>
          <w:snapToGrid w:val="0"/>
        </w:rPr>
      </w:pPr>
      <w:bookmarkStart w:id="57" w:name="_Toc216947812"/>
      <w:r>
        <w:rPr>
          <w:rStyle w:val="CharSectno"/>
        </w:rPr>
        <w:t>33</w:t>
      </w:r>
      <w:r>
        <w:rPr>
          <w:snapToGrid w:val="0"/>
        </w:rPr>
        <w:t>.</w:t>
      </w:r>
      <w:r>
        <w:rPr>
          <w:snapToGrid w:val="0"/>
        </w:rPr>
        <w:tab/>
        <w:t>Exempt employer</w:t>
      </w:r>
      <w:bookmarkEnd w:id="57"/>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 and</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58" w:name="_Toc216947813"/>
      <w:r>
        <w:rPr>
          <w:rStyle w:val="CharSectno"/>
        </w:rPr>
        <w:t>34</w:t>
      </w:r>
      <w:r>
        <w:rPr>
          <w:snapToGrid w:val="0"/>
        </w:rPr>
        <w:t>.</w:t>
      </w:r>
      <w:r>
        <w:rPr>
          <w:snapToGrid w:val="0"/>
        </w:rPr>
        <w:tab/>
        <w:t>Contribution by employer and assessment by Board</w:t>
      </w:r>
      <w:bookmarkEnd w:id="58"/>
    </w:p>
    <w:p>
      <w:pPr>
        <w:pStyle w:val="Subsection"/>
        <w:rPr>
          <w:snapToGrid w:val="0"/>
        </w:rPr>
      </w:pPr>
      <w:r>
        <w:rPr>
          <w:snapToGrid w:val="0"/>
        </w:rPr>
        <w:tab/>
        <w:t>(1)</w:t>
      </w:r>
      <w:r>
        <w:rPr>
          <w:snapToGrid w:val="0"/>
        </w:rPr>
        <w:tab/>
        <w:t xml:space="preserve">On and from the appointed day an employer shall pay to the Board in respect of a person employed by him as an employee and in respect of each week or part of a week during which that person is so employed such amounts by way of contributions as </w:t>
      </w:r>
      <w:r>
        <w:rPr>
          <w:snapToGrid w:val="0"/>
        </w:rPr>
        <w:lastRenderedPageBreak/>
        <w:t>are calculated by reference to the ordinary pay payable to that employee as is prescribed.</w:t>
      </w:r>
    </w:p>
    <w:p>
      <w:pPr>
        <w:pStyle w:val="Subsection"/>
      </w:pPr>
      <w:r>
        <w:tab/>
        <w:t>(2A)</w:t>
      </w:r>
      <w:r>
        <w:tab/>
        <w:t>In subsection (1) a reference to a person employed as an employee does not include an apprentice.</w:t>
      </w:r>
    </w:p>
    <w:p>
      <w:pPr>
        <w:pStyle w:val="Subsection"/>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employer fails or neglects to duly furnish a return or information as and when required under this Act or by the Board; or</w:t>
      </w:r>
    </w:p>
    <w:p>
      <w:pPr>
        <w:pStyle w:val="Indenta"/>
        <w:spacing w:before="60"/>
        <w:rPr>
          <w:snapToGrid w:val="0"/>
        </w:rPr>
      </w:pPr>
      <w:r>
        <w:rPr>
          <w:snapToGrid w:val="0"/>
        </w:rPr>
        <w:tab/>
        <w:t>(b)</w:t>
      </w:r>
      <w:r>
        <w:rPr>
          <w:snapToGrid w:val="0"/>
        </w:rPr>
        <w:tab/>
        <w:t>the Board is not satisfied with a return made or information furnished by an employer; or</w:t>
      </w:r>
    </w:p>
    <w:p>
      <w:pPr>
        <w:pStyle w:val="Indenta"/>
        <w:spacing w:before="60"/>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spacing w:before="60"/>
        <w:rPr>
          <w:snapToGrid w:val="0"/>
        </w:rPr>
      </w:pPr>
      <w:r>
        <w:rPr>
          <w:snapToGrid w:val="0"/>
        </w:rPr>
        <w:tab/>
        <w:t>(d)</w:t>
      </w:r>
      <w:r>
        <w:rPr>
          <w:snapToGrid w:val="0"/>
        </w:rPr>
        <w:tab/>
        <w:t>the Board is of the opinion —</w:t>
      </w:r>
    </w:p>
    <w:p>
      <w:pPr>
        <w:pStyle w:val="Indenti"/>
        <w:spacing w:before="60"/>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spacing w:before="60"/>
        <w:rPr>
          <w:snapToGrid w:val="0"/>
        </w:rPr>
      </w:pPr>
      <w:r>
        <w:rPr>
          <w:snapToGrid w:val="0"/>
        </w:rPr>
        <w:tab/>
        <w:t>(ii)</w:t>
      </w:r>
      <w:r>
        <w:rPr>
          <w:snapToGrid w:val="0"/>
        </w:rPr>
        <w:tab/>
        <w:t>that the ordinary pay in relation to which the moneys payable under subsection (1) is not assessed in accordance with the provisions of this Act,</w:t>
      </w:r>
    </w:p>
    <w:p>
      <w:pPr>
        <w:pStyle w:val="Subsection"/>
        <w:spacing w:before="12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lastRenderedPageBreak/>
        <w:tab/>
        <w:t>(4)</w:t>
      </w:r>
      <w:r>
        <w:rPr>
          <w:snapToGrid w:val="0"/>
        </w:rPr>
        <w:tab/>
        <w:t>A determination for the purposes of subsection (3) may be expressed as —</w:t>
      </w:r>
    </w:p>
    <w:p>
      <w:pPr>
        <w:pStyle w:val="Indenta"/>
        <w:spacing w:before="60"/>
        <w:rPr>
          <w:snapToGrid w:val="0"/>
        </w:rPr>
      </w:pPr>
      <w:r>
        <w:rPr>
          <w:snapToGrid w:val="0"/>
        </w:rPr>
        <w:tab/>
        <w:t>(a)</w:t>
      </w:r>
      <w:r>
        <w:rPr>
          <w:snapToGrid w:val="0"/>
        </w:rPr>
        <w:tab/>
        <w:t>a fixed amount; or</w:t>
      </w:r>
    </w:p>
    <w:p>
      <w:pPr>
        <w:pStyle w:val="Indenta"/>
        <w:spacing w:before="60"/>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Footnotesection"/>
      </w:pPr>
      <w:r>
        <w:tab/>
        <w:t>[Section 34 amended: No. 53 of 2011 s. 18.]</w:t>
      </w:r>
    </w:p>
    <w:p>
      <w:pPr>
        <w:pStyle w:val="Heading5"/>
      </w:pPr>
      <w:bookmarkStart w:id="59" w:name="_Toc216947814"/>
      <w:r>
        <w:rPr>
          <w:rStyle w:val="CharSectno"/>
        </w:rPr>
        <w:t>35A</w:t>
      </w:r>
      <w:r>
        <w:t>.</w:t>
      </w:r>
      <w:r>
        <w:tab/>
        <w:t>Penalty for late payment</w:t>
      </w:r>
      <w:bookmarkEnd w:id="59"/>
    </w:p>
    <w:p>
      <w:pPr>
        <w:pStyle w:val="Subsection"/>
      </w:pPr>
      <w:r>
        <w:tab/>
        <w:t>(1)</w:t>
      </w:r>
      <w:r>
        <w:tab/>
        <w:t>Without limiting section 34, if an employer fails to pay to the Board an amount of contribution within the time required under section 31(1) the employer is liable to pay to the Board, by way of penalty, a surcharge determined by the Board.</w:t>
      </w:r>
    </w:p>
    <w:p>
      <w:pPr>
        <w:pStyle w:val="Subsection"/>
      </w:pPr>
      <w:r>
        <w:tab/>
        <w:t>(2)</w:t>
      </w:r>
      <w:r>
        <w:tab/>
        <w:t>The surcharge becomes due and payable 30 days after the employer is notified in writing by the Board of the determination of the surcharge.</w:t>
      </w:r>
    </w:p>
    <w:p>
      <w:pPr>
        <w:pStyle w:val="Footnotesection"/>
      </w:pPr>
      <w:r>
        <w:tab/>
        <w:t>[Section 35A inserted: No. 53 of 2011 s. 19.]</w:t>
      </w:r>
    </w:p>
    <w:p>
      <w:pPr>
        <w:pStyle w:val="Heading5"/>
        <w:rPr>
          <w:snapToGrid w:val="0"/>
        </w:rPr>
      </w:pPr>
      <w:bookmarkStart w:id="60" w:name="_Toc216947815"/>
      <w:r>
        <w:rPr>
          <w:rStyle w:val="CharSectno"/>
        </w:rPr>
        <w:t>35</w:t>
      </w:r>
      <w:r>
        <w:rPr>
          <w:snapToGrid w:val="0"/>
        </w:rPr>
        <w:t>.</w:t>
      </w:r>
      <w:r>
        <w:rPr>
          <w:snapToGrid w:val="0"/>
        </w:rPr>
        <w:tab/>
        <w:t>Register of employers and register of employees</w:t>
      </w:r>
      <w:bookmarkEnd w:id="60"/>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lastRenderedPageBreak/>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61" w:name="_Toc216947816"/>
      <w:r>
        <w:rPr>
          <w:rStyle w:val="CharSectno"/>
        </w:rPr>
        <w:t>36</w:t>
      </w:r>
      <w:r>
        <w:rPr>
          <w:snapToGrid w:val="0"/>
        </w:rPr>
        <w:t>.</w:t>
      </w:r>
      <w:r>
        <w:rPr>
          <w:snapToGrid w:val="0"/>
        </w:rPr>
        <w:tab/>
        <w:t>Employer leaving Western Australia</w:t>
      </w:r>
      <w:bookmarkEnd w:id="61"/>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62" w:name="_Toc216947817"/>
      <w:r>
        <w:rPr>
          <w:rStyle w:val="CharSectno"/>
        </w:rPr>
        <w:t>37</w:t>
      </w:r>
      <w:r>
        <w:rPr>
          <w:snapToGrid w:val="0"/>
        </w:rPr>
        <w:t>.</w:t>
      </w:r>
      <w:r>
        <w:rPr>
          <w:snapToGrid w:val="0"/>
        </w:rPr>
        <w:tab/>
        <w:t>Recovery of long service leave contribution</w:t>
      </w:r>
      <w:bookmarkEnd w:id="62"/>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63" w:name="_Toc216947818"/>
      <w:r>
        <w:rPr>
          <w:rStyle w:val="CharSectno"/>
        </w:rPr>
        <w:t>38</w:t>
      </w:r>
      <w:r>
        <w:rPr>
          <w:snapToGrid w:val="0"/>
        </w:rPr>
        <w:t>.</w:t>
      </w:r>
      <w:r>
        <w:rPr>
          <w:snapToGrid w:val="0"/>
        </w:rPr>
        <w:tab/>
        <w:t>Liquidator to give notice</w:t>
      </w:r>
      <w:bookmarkEnd w:id="63"/>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pPr>
      <w:r>
        <w:tab/>
        <w:t>(2A)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(2B)</w:t>
      </w:r>
      <w:r>
        <w:tab/>
        <w:t xml:space="preserve">Subsection (2A) extends to a contravention that occurred within the period of 12 months ending on the coming into operation of the </w:t>
      </w:r>
      <w:r>
        <w:rPr>
          <w:i/>
        </w:rPr>
        <w:t>Industrial Legislation Amendment Act 2011</w:t>
      </w:r>
      <w:r>
        <w:t xml:space="preserve"> section 20 unless the person was charged with an offence in respect of that contravention.</w:t>
      </w:r>
    </w:p>
    <w:p>
      <w:pPr>
        <w:pStyle w:val="Subsection"/>
        <w:rPr>
          <w:snapToGrid w:val="0"/>
        </w:rPr>
      </w:pPr>
      <w:r>
        <w:rPr>
          <w:snapToGrid w:val="0"/>
        </w:rPr>
        <w:lastRenderedPageBreak/>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Ednotesubsection"/>
      </w:pPr>
      <w:r>
        <w:tab/>
        <w:t>[(3)</w:t>
      </w:r>
      <w:r>
        <w:noBreakHyphen/>
        <w:t>(6)</w:t>
      </w:r>
      <w:r>
        <w:tab/>
        <w:t>deleted]</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No. 10 of 2001 s. 45; No. 53 of 2011 s. 20.]</w:t>
      </w:r>
    </w:p>
    <w:p>
      <w:pPr>
        <w:pStyle w:val="Heading5"/>
        <w:rPr>
          <w:snapToGrid w:val="0"/>
        </w:rPr>
      </w:pPr>
      <w:bookmarkStart w:id="64" w:name="_Toc216947819"/>
      <w:r>
        <w:rPr>
          <w:rStyle w:val="CharSectno"/>
        </w:rPr>
        <w:t>39</w:t>
      </w:r>
      <w:r>
        <w:rPr>
          <w:snapToGrid w:val="0"/>
        </w:rPr>
        <w:t>.</w:t>
      </w:r>
      <w:r>
        <w:rPr>
          <w:snapToGrid w:val="0"/>
        </w:rPr>
        <w:tab/>
        <w:t>Agent for absentee principal winding up business</w:t>
      </w:r>
      <w:bookmarkEnd w:id="64"/>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65" w:name="_Toc216947820"/>
      <w:r>
        <w:rPr>
          <w:rStyle w:val="CharSectno"/>
        </w:rPr>
        <w:t>40</w:t>
      </w:r>
      <w:r>
        <w:rPr>
          <w:snapToGrid w:val="0"/>
        </w:rPr>
        <w:t>.</w:t>
      </w:r>
      <w:r>
        <w:rPr>
          <w:snapToGrid w:val="0"/>
        </w:rPr>
        <w:tab/>
        <w:t>Where long service leave charges are not paid during lifetime</w:t>
      </w:r>
      <w:bookmarkEnd w:id="65"/>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lastRenderedPageBreak/>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spacing w:before="130"/>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spacing w:before="130"/>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66" w:name="_Toc216947821"/>
      <w:r>
        <w:rPr>
          <w:rStyle w:val="CharSectno"/>
        </w:rPr>
        <w:t>41</w:t>
      </w:r>
      <w:r>
        <w:rPr>
          <w:snapToGrid w:val="0"/>
        </w:rPr>
        <w:t>.</w:t>
      </w:r>
      <w:r>
        <w:rPr>
          <w:snapToGrid w:val="0"/>
        </w:rPr>
        <w:tab/>
        <w:t>Provisions for payment of long service leave charges by executors or administrators</w:t>
      </w:r>
      <w:bookmarkEnd w:id="66"/>
    </w:p>
    <w:p>
      <w:pPr>
        <w:pStyle w:val="Subsection"/>
        <w:spacing w:before="120"/>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spacing w:before="120"/>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spacing w:before="120"/>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spacing w:before="120"/>
        <w:rPr>
          <w:snapToGrid w:val="0"/>
        </w:rPr>
      </w:pPr>
      <w:r>
        <w:rPr>
          <w:snapToGrid w:val="0"/>
        </w:rPr>
        <w:lastRenderedPageBreak/>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spacing w:before="120"/>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spacing w:before="120"/>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spacing w:before="120"/>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spacing w:before="120"/>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spacing w:before="120"/>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spacing w:before="180"/>
        <w:rPr>
          <w:snapToGrid w:val="0"/>
        </w:rPr>
      </w:pPr>
      <w:bookmarkStart w:id="67" w:name="_Toc216947822"/>
      <w:r>
        <w:rPr>
          <w:rStyle w:val="CharSectno"/>
        </w:rPr>
        <w:t>42</w:t>
      </w:r>
      <w:r>
        <w:rPr>
          <w:snapToGrid w:val="0"/>
        </w:rPr>
        <w:t>.</w:t>
      </w:r>
      <w:r>
        <w:rPr>
          <w:snapToGrid w:val="0"/>
        </w:rPr>
        <w:tab/>
        <w:t>Contributions by joint employers</w:t>
      </w:r>
      <w:bookmarkEnd w:id="67"/>
    </w:p>
    <w:p>
      <w:pPr>
        <w:pStyle w:val="Subsection"/>
        <w:spacing w:before="120"/>
        <w:rPr>
          <w:snapToGrid w:val="0"/>
        </w:rPr>
      </w:pPr>
      <w:r>
        <w:rPr>
          <w:snapToGrid w:val="0"/>
        </w:rPr>
        <w:tab/>
      </w:r>
      <w:r>
        <w:rPr>
          <w:snapToGrid w:val="0"/>
        </w:rPr>
        <w:tab/>
        <w:t xml:space="preserve">Where 2 or more persons jointly employ an employee, they shall each be liable for the whole of the long service leave </w:t>
      </w:r>
      <w:r>
        <w:rPr>
          <w:snapToGrid w:val="0"/>
        </w:rPr>
        <w:lastRenderedPageBreak/>
        <w:t>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spacing w:before="180"/>
        <w:rPr>
          <w:snapToGrid w:val="0"/>
        </w:rPr>
      </w:pPr>
      <w:bookmarkStart w:id="68" w:name="_Toc216947823"/>
      <w:r>
        <w:rPr>
          <w:rStyle w:val="CharSectno"/>
        </w:rPr>
        <w:t>43</w:t>
      </w:r>
      <w:r>
        <w:rPr>
          <w:snapToGrid w:val="0"/>
        </w:rPr>
        <w:t>.</w:t>
      </w:r>
      <w:r>
        <w:rPr>
          <w:snapToGrid w:val="0"/>
        </w:rPr>
        <w:tab/>
        <w:t>Payment of penalties no relief from contributions</w:t>
      </w:r>
      <w:bookmarkEnd w:id="68"/>
    </w:p>
    <w:p>
      <w:pPr>
        <w:pStyle w:val="Subsection"/>
        <w:spacing w:before="120"/>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69" w:name="_Toc216874900"/>
      <w:bookmarkStart w:id="70" w:name="_Toc216875334"/>
      <w:bookmarkStart w:id="71" w:name="_Toc216876336"/>
      <w:bookmarkStart w:id="72" w:name="_Toc216876432"/>
      <w:bookmarkStart w:id="73" w:name="_Toc216947824"/>
      <w:r>
        <w:rPr>
          <w:rStyle w:val="CharPartNo"/>
        </w:rPr>
        <w:lastRenderedPageBreak/>
        <w:t>Part V</w:t>
      </w:r>
      <w:r>
        <w:rPr>
          <w:rStyle w:val="CharDivNo"/>
        </w:rPr>
        <w:t> </w:t>
      </w:r>
      <w:r>
        <w:t>—</w:t>
      </w:r>
      <w:r>
        <w:rPr>
          <w:rStyle w:val="CharDivText"/>
        </w:rPr>
        <w:t> </w:t>
      </w:r>
      <w:r>
        <w:rPr>
          <w:rStyle w:val="CharPartText"/>
        </w:rPr>
        <w:t>Miscellaneous</w:t>
      </w:r>
      <w:bookmarkEnd w:id="69"/>
      <w:bookmarkEnd w:id="70"/>
      <w:bookmarkEnd w:id="71"/>
      <w:bookmarkEnd w:id="72"/>
      <w:bookmarkEnd w:id="73"/>
    </w:p>
    <w:p>
      <w:pPr>
        <w:pStyle w:val="Heading5"/>
        <w:rPr>
          <w:snapToGrid w:val="0"/>
        </w:rPr>
      </w:pPr>
      <w:bookmarkStart w:id="74" w:name="_Toc216947825"/>
      <w:r>
        <w:rPr>
          <w:rStyle w:val="CharSectno"/>
        </w:rPr>
        <w:t>44</w:t>
      </w:r>
      <w:r>
        <w:rPr>
          <w:snapToGrid w:val="0"/>
        </w:rPr>
        <w:t>.</w:t>
      </w:r>
      <w:r>
        <w:rPr>
          <w:snapToGrid w:val="0"/>
        </w:rPr>
        <w:tab/>
        <w:t>Inspectors</w:t>
      </w:r>
      <w:bookmarkEnd w:id="74"/>
    </w:p>
    <w:p>
      <w:pPr>
        <w:pStyle w:val="Subsection"/>
        <w:spacing w:before="140"/>
        <w:rPr>
          <w:snapToGrid w:val="0"/>
        </w:rPr>
      </w:pPr>
      <w:r>
        <w:rPr>
          <w:snapToGrid w:val="0"/>
        </w:rPr>
        <w:tab/>
        <w:t>(1)</w:t>
      </w:r>
      <w:r>
        <w:rPr>
          <w:snapToGrid w:val="0"/>
        </w:rPr>
        <w:tab/>
        <w:t>The Board may engage or appoint such inspectors as are necessary for the purposes of this Act.</w:t>
      </w:r>
    </w:p>
    <w:p>
      <w:pPr>
        <w:pStyle w:val="Subsection"/>
        <w:spacing w:before="14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4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75" w:name="_Toc216947826"/>
      <w:r>
        <w:rPr>
          <w:rStyle w:val="CharSectno"/>
        </w:rPr>
        <w:t>45</w:t>
      </w:r>
      <w:r>
        <w:rPr>
          <w:snapToGrid w:val="0"/>
        </w:rPr>
        <w:t>.</w:t>
      </w:r>
      <w:r>
        <w:rPr>
          <w:snapToGrid w:val="0"/>
        </w:rPr>
        <w:tab/>
        <w:t>Power to obtain information and evidence</w:t>
      </w:r>
      <w:bookmarkEnd w:id="75"/>
    </w:p>
    <w:p>
      <w:pPr>
        <w:pStyle w:val="Subsection"/>
        <w:spacing w:before="14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40"/>
      </w:pPr>
      <w:r>
        <w:tab/>
        <w:t>(2)</w:t>
      </w:r>
      <w:r>
        <w:tab/>
        <w:t>A person must not, without reasonable excuse, fail to comply with a requirement made under subsection (1).</w:t>
      </w:r>
    </w:p>
    <w:p>
      <w:pPr>
        <w:pStyle w:val="Subsection"/>
        <w:spacing w:before="140"/>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spacing w:before="140"/>
      </w:pPr>
      <w:r>
        <w:tab/>
        <w:t>(4)</w:t>
      </w:r>
      <w:r>
        <w:tab/>
        <w:t xml:space="preserve">Subsection (3) extends to a contravention that occurred within the period of 12 months ending on the coming into operation of </w:t>
      </w:r>
      <w:r>
        <w:lastRenderedPageBreak/>
        <w:t xml:space="preserve">the </w:t>
      </w:r>
      <w:r>
        <w:rPr>
          <w:i/>
        </w:rPr>
        <w:t>Industrial Legislation Amendment Act 2011</w:t>
      </w:r>
      <w:r>
        <w:t xml:space="preserve"> section 21 unless the person was charged with an offence in respect of that contravention.</w:t>
      </w:r>
    </w:p>
    <w:p>
      <w:pPr>
        <w:pStyle w:val="Footnotesection"/>
      </w:pPr>
      <w:r>
        <w:tab/>
        <w:t>[Section 45 amended: No. 53 of 2011 s. 21.]</w:t>
      </w:r>
    </w:p>
    <w:p>
      <w:pPr>
        <w:pStyle w:val="Heading5"/>
        <w:rPr>
          <w:snapToGrid w:val="0"/>
        </w:rPr>
      </w:pPr>
      <w:bookmarkStart w:id="76" w:name="_Toc216947827"/>
      <w:r>
        <w:rPr>
          <w:rStyle w:val="CharSectno"/>
        </w:rPr>
        <w:t>46</w:t>
      </w:r>
      <w:r>
        <w:rPr>
          <w:snapToGrid w:val="0"/>
        </w:rPr>
        <w:t>.</w:t>
      </w:r>
      <w:r>
        <w:rPr>
          <w:snapToGrid w:val="0"/>
        </w:rPr>
        <w:tab/>
        <w:t>Access to books etc.</w:t>
      </w:r>
      <w:bookmarkEnd w:id="76"/>
    </w:p>
    <w:p>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77" w:name="_Toc216947828"/>
      <w:r>
        <w:rPr>
          <w:rStyle w:val="CharSectno"/>
        </w:rPr>
        <w:t>47</w:t>
      </w:r>
      <w:r>
        <w:rPr>
          <w:snapToGrid w:val="0"/>
        </w:rPr>
        <w:t>.</w:t>
      </w:r>
      <w:r>
        <w:rPr>
          <w:snapToGrid w:val="0"/>
        </w:rPr>
        <w:tab/>
        <w:t>Proceedings for offences against this Act</w:t>
      </w:r>
      <w:bookmarkEnd w:id="77"/>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78" w:name="_Toc216947829"/>
      <w:r>
        <w:rPr>
          <w:rStyle w:val="CharSectno"/>
        </w:rPr>
        <w:t>48</w:t>
      </w:r>
      <w:r>
        <w:rPr>
          <w:snapToGrid w:val="0"/>
        </w:rPr>
        <w:t>.</w:t>
      </w:r>
      <w:r>
        <w:rPr>
          <w:snapToGrid w:val="0"/>
        </w:rPr>
        <w:tab/>
        <w:t>Institution of proceedings</w:t>
      </w:r>
      <w:bookmarkEnd w:id="78"/>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No. 84 of 2004 s. 80.]</w:t>
      </w:r>
    </w:p>
    <w:p>
      <w:pPr>
        <w:pStyle w:val="Heading5"/>
        <w:rPr>
          <w:snapToGrid w:val="0"/>
        </w:rPr>
      </w:pPr>
      <w:bookmarkStart w:id="79" w:name="_Toc216947830"/>
      <w:r>
        <w:rPr>
          <w:rStyle w:val="CharSectno"/>
        </w:rPr>
        <w:t>49</w:t>
      </w:r>
      <w:r>
        <w:rPr>
          <w:snapToGrid w:val="0"/>
        </w:rPr>
        <w:t>.</w:t>
      </w:r>
      <w:r>
        <w:rPr>
          <w:snapToGrid w:val="0"/>
        </w:rPr>
        <w:tab/>
        <w:t>Evidence</w:t>
      </w:r>
      <w:bookmarkEnd w:id="79"/>
    </w:p>
    <w:p>
      <w:pPr>
        <w:pStyle w:val="Subsection"/>
        <w:keepNext/>
        <w:rPr>
          <w:snapToGrid w:val="0"/>
        </w:rPr>
      </w:pPr>
      <w:r>
        <w:rPr>
          <w:snapToGrid w:val="0"/>
        </w:rPr>
        <w:tab/>
        <w:t>(1)</w:t>
      </w:r>
      <w:r>
        <w:rPr>
          <w:snapToGrid w:val="0"/>
        </w:rPr>
        <w:tab/>
        <w:t xml:space="preserve">For the purposes of any proceedings against a person for the recovery of contributions or surcharges under this Act, a </w:t>
      </w:r>
      <w:r>
        <w:rPr>
          <w:snapToGrid w:val="0"/>
        </w:rPr>
        <w:lastRenderedPageBreak/>
        <w:t>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 or</w:t>
      </w:r>
    </w:p>
    <w:p>
      <w:pPr>
        <w:pStyle w:val="Indenta"/>
        <w:rPr>
          <w:snapToGrid w:val="0"/>
        </w:rPr>
      </w:pPr>
      <w:r>
        <w:rPr>
          <w:snapToGrid w:val="0"/>
        </w:rPr>
        <w:tab/>
        <w:t>(b)</w:t>
      </w:r>
      <w:r>
        <w:rPr>
          <w:snapToGrid w:val="0"/>
        </w:rPr>
        <w:tab/>
        <w:t>an assessment of the long service leave contributions and surcharges was duly made against him; or</w:t>
      </w:r>
    </w:p>
    <w:p>
      <w:pPr>
        <w:pStyle w:val="Indenta"/>
        <w:rPr>
          <w:snapToGrid w:val="0"/>
        </w:rPr>
      </w:pPr>
      <w:r>
        <w:rPr>
          <w:snapToGrid w:val="0"/>
        </w:rPr>
        <w:tab/>
        <w:t>(c)</w:t>
      </w:r>
      <w:r>
        <w:rPr>
          <w:snapToGrid w:val="0"/>
        </w:rPr>
        <w:tab/>
        <w:t>the particulars of the assessment are as stated in the certificate; or</w:t>
      </w:r>
    </w:p>
    <w:p>
      <w:pPr>
        <w:pStyle w:val="Indenta"/>
        <w:rPr>
          <w:snapToGrid w:val="0"/>
        </w:rPr>
      </w:pPr>
      <w:r>
        <w:rPr>
          <w:snapToGrid w:val="0"/>
        </w:rPr>
        <w:tab/>
        <w:t>(d)</w:t>
      </w:r>
      <w:r>
        <w:rPr>
          <w:snapToGrid w:val="0"/>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pPr>
      <w:r>
        <w:tab/>
        <w:t>(2A)</w:t>
      </w:r>
      <w:r>
        <w:tab/>
        <w:t xml:space="preserve">In any proceedings against a person for recovery of a surcharge determined under section 35A, a certificate purporting to be signed by the chief executive officer certifying any of the following — </w:t>
      </w:r>
    </w:p>
    <w:p>
      <w:pPr>
        <w:pStyle w:val="Indenta"/>
      </w:pPr>
      <w:r>
        <w:tab/>
        <w:t>(a)</w:t>
      </w:r>
      <w:r>
        <w:tab/>
        <w:t xml:space="preserve">that the employer named in the certificate was liable to pay the surcharge; </w:t>
      </w:r>
    </w:p>
    <w:p>
      <w:pPr>
        <w:pStyle w:val="Indenta"/>
      </w:pPr>
      <w:r>
        <w:tab/>
        <w:t>(b)</w:t>
      </w:r>
      <w:r>
        <w:tab/>
        <w:t>that the determination of the surcharge was duly made;</w:t>
      </w:r>
    </w:p>
    <w:p>
      <w:pPr>
        <w:pStyle w:val="Indenta"/>
      </w:pPr>
      <w:r>
        <w:tab/>
        <w:t>(c)</w:t>
      </w:r>
      <w:r>
        <w:tab/>
        <w:t>that the amount of the surcharge is as stated in the certificate,</w:t>
      </w:r>
    </w:p>
    <w:p>
      <w:pPr>
        <w:pStyle w:val="Subsection"/>
      </w:pPr>
      <w:r>
        <w:tab/>
      </w:r>
      <w:r>
        <w:tab/>
        <w:t>is admissible in evidence in the proceedings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 xml:space="preserve">In any proceedings against a person for failing or neglecting duly to furnish a return, a certificate in writing purporting to be signed by the chief executive officer certifying that the return </w:t>
      </w:r>
      <w:r>
        <w:rPr>
          <w:snapToGrid w:val="0"/>
        </w:rPr>
        <w:lastRenderedPageBreak/>
        <w:t>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6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60"/>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No. 30 of 1989 s. 12; No. 84 of 2004 s. 82; No. 53 of 2011 s. 22.]</w:t>
      </w:r>
    </w:p>
    <w:p>
      <w:pPr>
        <w:pStyle w:val="Heading5"/>
      </w:pPr>
      <w:bookmarkStart w:id="80" w:name="_Toc216947831"/>
      <w:r>
        <w:rPr>
          <w:rStyle w:val="CharSectno"/>
        </w:rPr>
        <w:t>50</w:t>
      </w:r>
      <w:r>
        <w:t>.</w:t>
      </w:r>
      <w:r>
        <w:tab/>
        <w:t>Review of Board’s decision</w:t>
      </w:r>
      <w:bookmarkEnd w:id="80"/>
    </w:p>
    <w:p>
      <w:pPr>
        <w:pStyle w:val="Subsection"/>
      </w:pPr>
      <w:r>
        <w:tab/>
        <w:t>(1)</w:t>
      </w:r>
      <w:r>
        <w:tab/>
        <w:t xml:space="preserve">In this section — </w:t>
      </w:r>
    </w:p>
    <w:p>
      <w:pPr>
        <w:pStyle w:val="Defstart"/>
      </w:pPr>
      <w:r>
        <w:tab/>
      </w:r>
      <w:r>
        <w:rPr>
          <w:rStyle w:val="CharDefText"/>
        </w:rPr>
        <w:t>reviewable decision</w:t>
      </w:r>
      <w:r>
        <w:t xml:space="preserve"> means a decision by the Board — </w:t>
      </w:r>
    </w:p>
    <w:p>
      <w:pPr>
        <w:pStyle w:val="Indenta"/>
        <w:spacing w:before="60"/>
      </w:pPr>
      <w:r>
        <w:tab/>
        <w:t>(a)</w:t>
      </w:r>
      <w:r>
        <w:tab/>
        <w:t>to refuse to register an employee; or</w:t>
      </w:r>
    </w:p>
    <w:p>
      <w:pPr>
        <w:pStyle w:val="Indenta"/>
        <w:spacing w:before="60"/>
      </w:pPr>
      <w:r>
        <w:tab/>
        <w:t>(b)</w:t>
      </w:r>
      <w:r>
        <w:tab/>
        <w:t>to require an employer to register under this Act; or</w:t>
      </w:r>
    </w:p>
    <w:p>
      <w:pPr>
        <w:pStyle w:val="Indenta"/>
        <w:spacing w:before="60"/>
      </w:pPr>
      <w:r>
        <w:lastRenderedPageBreak/>
        <w:tab/>
        <w:t>(c)</w:t>
      </w:r>
      <w:r>
        <w:tab/>
        <w:t>to remove the name of an employer or employee from the employers register or the employees register respectively; or</w:t>
      </w:r>
    </w:p>
    <w:p>
      <w:pPr>
        <w:pStyle w:val="Indenta"/>
        <w:spacing w:before="60"/>
      </w:pPr>
      <w:r>
        <w:tab/>
        <w:t>(d)</w:t>
      </w:r>
      <w:r>
        <w:tab/>
        <w:t>as to the assessment of the amount of ordinary pay of an employee under section 34; or</w:t>
      </w:r>
    </w:p>
    <w:p>
      <w:pPr>
        <w:pStyle w:val="Indenta"/>
      </w:pPr>
      <w:r>
        <w:tab/>
        <w:t>(e)</w:t>
      </w:r>
      <w:r>
        <w:tab/>
        <w:t>as to the entitlement of an employee to long service leave; or</w:t>
      </w:r>
    </w:p>
    <w:p>
      <w:pPr>
        <w:pStyle w:val="Indenta"/>
      </w:pPr>
      <w:r>
        <w:tab/>
        <w:t>(f)</w:t>
      </w:r>
      <w:r>
        <w:tab/>
        <w:t>as to the amount of any moneys to be paid in respect of a long service leave entitlement whether pro rata or otherwise.</w:t>
      </w:r>
    </w:p>
    <w:p>
      <w:pPr>
        <w:pStyle w:val="Subsection"/>
      </w:pPr>
      <w:r>
        <w:tab/>
        <w:t>(2)</w:t>
      </w:r>
      <w:r>
        <w:tab/>
        <w:t>A person who is aggrieved by a reviewable decision may, in the manner and time prescribed by regulations made under section 51A(3), refer the decision for review to the WAIRC constituted by a single commissioner.</w:t>
      </w:r>
    </w:p>
    <w:p>
      <w:pPr>
        <w:pStyle w:val="Subsection"/>
      </w:pPr>
      <w:r>
        <w:tab/>
        <w:t>(3)</w:t>
      </w:r>
      <w:r>
        <w:tab/>
        <w:t xml:space="preserve">On a referral of a decision under subsection (2), the WAIRC is to inquire into the circumstances relevant to the decision and may — </w:t>
      </w:r>
    </w:p>
    <w:p>
      <w:pPr>
        <w:pStyle w:val="Indenta"/>
      </w:pPr>
      <w:r>
        <w:tab/>
        <w:t>(a)</w:t>
      </w:r>
      <w:r>
        <w:tab/>
        <w:t>affirm the decision; or</w:t>
      </w:r>
    </w:p>
    <w:p>
      <w:pPr>
        <w:pStyle w:val="Indenta"/>
      </w:pPr>
      <w:r>
        <w:tab/>
        <w:t>(b)</w:t>
      </w:r>
      <w:r>
        <w:tab/>
        <w:t>vary the decision; or</w:t>
      </w:r>
    </w:p>
    <w:p>
      <w:pPr>
        <w:pStyle w:val="Indenta"/>
      </w:pPr>
      <w:r>
        <w:tab/>
        <w:t>(c)</w:t>
      </w:r>
      <w:r>
        <w:tab/>
        <w:t xml:space="preserve">set aside the decision and — </w:t>
      </w:r>
    </w:p>
    <w:p>
      <w:pPr>
        <w:pStyle w:val="Indenti"/>
      </w:pPr>
      <w:r>
        <w:tab/>
        <w:t>(i)</w:t>
      </w:r>
      <w:r>
        <w:tab/>
        <w:t>substitute another decision; or</w:t>
      </w:r>
    </w:p>
    <w:p>
      <w:pPr>
        <w:pStyle w:val="Indenti"/>
      </w:pPr>
      <w:r>
        <w:tab/>
        <w:t>(ii)</w:t>
      </w:r>
      <w:r>
        <w:tab/>
        <w:t>send the matter back to the Board for reconsideration in accordance with any directions or recommendations that the WAIRC considers appropriate.</w:t>
      </w:r>
    </w:p>
    <w:p>
      <w:pPr>
        <w:pStyle w:val="Footnotesection"/>
      </w:pPr>
      <w:r>
        <w:tab/>
        <w:t>[Section 50 inserted: No. 53 of 2011 s. 23.]</w:t>
      </w:r>
    </w:p>
    <w:p>
      <w:pPr>
        <w:pStyle w:val="Heading5"/>
      </w:pPr>
      <w:bookmarkStart w:id="81" w:name="_Toc216947832"/>
      <w:r>
        <w:rPr>
          <w:rStyle w:val="CharSectno"/>
        </w:rPr>
        <w:t>51A</w:t>
      </w:r>
      <w:r>
        <w:t>.</w:t>
      </w:r>
      <w:r>
        <w:tab/>
        <w:t>Procedure on review</w:t>
      </w:r>
      <w:bookmarkEnd w:id="81"/>
    </w:p>
    <w:p>
      <w:pPr>
        <w:pStyle w:val="Subsection"/>
      </w:pPr>
      <w:r>
        <w:tab/>
        <w:t>(1)</w:t>
      </w:r>
      <w:r>
        <w:tab/>
        <w:t xml:space="preserve">The provisions of the </w:t>
      </w:r>
      <w:r>
        <w:rPr>
          <w:i/>
        </w:rPr>
        <w:t>Industrial Relations Act 1979</w:t>
      </w:r>
      <w:r>
        <w:t xml:space="preserve"> sections 22B, 26(1)(a) and (b) and (3), 27, 28, 31(1), (2) and (3), 34(3) and (4), 36 and 49 that apply to and in relation to the exercise of the jurisdiction of the WAIRC constituted by a </w:t>
      </w:r>
      <w:r>
        <w:lastRenderedPageBreak/>
        <w:t xml:space="preserve">commissioner apply to and in relation to the exercise of the jurisdiction conferred by section 50 — </w:t>
      </w:r>
    </w:p>
    <w:p>
      <w:pPr>
        <w:pStyle w:val="Indenta"/>
      </w:pPr>
      <w:r>
        <w:tab/>
        <w:t>(a)</w:t>
      </w:r>
      <w:r>
        <w:tab/>
        <w:t xml:space="preserve">with any modifications that may be prescribed by the Chief Commissioner under the </w:t>
      </w:r>
      <w:r>
        <w:rPr>
          <w:i/>
        </w:rPr>
        <w:t xml:space="preserve">Industrial Relations Act 1979 </w:t>
      </w:r>
      <w:r>
        <w:t>section 113; and</w:t>
      </w:r>
    </w:p>
    <w:p>
      <w:pPr>
        <w:pStyle w:val="Indenta"/>
      </w:pPr>
      <w:r>
        <w:tab/>
        <w:t>(b)</w:t>
      </w:r>
      <w:r>
        <w:tab/>
        <w:t>with any other modifications that may be necessary or appropriate.</w:t>
      </w:r>
    </w:p>
    <w:p>
      <w:pPr>
        <w:pStyle w:val="Subsection"/>
      </w:pPr>
      <w:r>
        <w:tab/>
        <w:t>(2)</w:t>
      </w:r>
      <w:r>
        <w:tab/>
        <w:t xml:space="preserve">For the purposes of subsection (1), the </w:t>
      </w:r>
      <w:r>
        <w:rPr>
          <w:i/>
        </w:rPr>
        <w:t>Industrial Relations Act 1979</w:t>
      </w:r>
      <w:r>
        <w:t xml:space="preserve"> section 31(1) applies as if paragraph (c) were deleted and the following paragraph were inserted — </w:t>
      </w:r>
    </w:p>
    <w:p>
      <w:pPr>
        <w:pStyle w:val="BlankOpen"/>
      </w:pPr>
    </w:p>
    <w:p>
      <w:pPr>
        <w:pStyle w:val="Indenta"/>
      </w:pPr>
      <w:r>
        <w:tab/>
        <w:t>(c)</w:t>
      </w:r>
      <w:r>
        <w:tab/>
        <w:t>by a legal practitioner.</w:t>
      </w:r>
    </w:p>
    <w:p>
      <w:pPr>
        <w:pStyle w:val="BlankClose"/>
      </w:pPr>
    </w:p>
    <w:p>
      <w:pPr>
        <w:pStyle w:val="Subsection"/>
      </w:pPr>
      <w:r>
        <w:tab/>
        <w:t>(3)</w:t>
      </w:r>
      <w:r>
        <w:tab/>
        <w:t xml:space="preserve">The Chief Commissioner may make regulations under the </w:t>
      </w:r>
      <w:r>
        <w:rPr>
          <w:i/>
        </w:rPr>
        <w:t>Industrial Relations Act 1979</w:t>
      </w:r>
      <w:r>
        <w:t xml:space="preserve"> section 113 providing for — </w:t>
      </w:r>
    </w:p>
    <w:p>
      <w:pPr>
        <w:pStyle w:val="Indenta"/>
      </w:pPr>
      <w:r>
        <w:tab/>
        <w:t>(a)</w:t>
      </w:r>
      <w:r>
        <w:tab/>
        <w:t>the manner in which, and time within which, a decision may be referred for review under section 50; and</w:t>
      </w:r>
    </w:p>
    <w:p>
      <w:pPr>
        <w:pStyle w:val="Indenta"/>
      </w:pPr>
      <w:r>
        <w:tab/>
        <w:t>(b)</w:t>
      </w:r>
      <w:r>
        <w:tab/>
        <w:t>the practice and procedure to be followed for the purposes of a review under section 50.</w:t>
      </w:r>
    </w:p>
    <w:p>
      <w:pPr>
        <w:pStyle w:val="Footnotesection"/>
      </w:pPr>
      <w:r>
        <w:tab/>
        <w:t>[Section 51A inserted: No. 53 of 2011 s. 23.]</w:t>
      </w:r>
    </w:p>
    <w:p>
      <w:pPr>
        <w:pStyle w:val="Heading5"/>
        <w:rPr>
          <w:snapToGrid w:val="0"/>
        </w:rPr>
      </w:pPr>
      <w:bookmarkStart w:id="82" w:name="_Toc216947833"/>
      <w:r>
        <w:rPr>
          <w:rStyle w:val="CharSectno"/>
        </w:rPr>
        <w:t>51</w:t>
      </w:r>
      <w:r>
        <w:rPr>
          <w:snapToGrid w:val="0"/>
        </w:rPr>
        <w:t>.</w:t>
      </w:r>
      <w:r>
        <w:rPr>
          <w:snapToGrid w:val="0"/>
        </w:rPr>
        <w:tab/>
        <w:t>Employee accumulating continuous service in more than one capacity</w:t>
      </w:r>
      <w:bookmarkEnd w:id="82"/>
    </w:p>
    <w:p>
      <w:pPr>
        <w:pStyle w:val="Subsection"/>
        <w:rPr>
          <w:snapToGrid w:val="0"/>
        </w:rPr>
      </w:pPr>
      <w:r>
        <w:rPr>
          <w:snapToGrid w:val="0"/>
        </w:rPr>
        <w:tab/>
        <w:t>(1)</w:t>
      </w:r>
      <w:r>
        <w:rPr>
          <w:snapToGrid w:val="0"/>
        </w:rPr>
        <w:tab/>
        <w:t xml:space="preserve">Where a person becomes entitled to paid long service leave </w:t>
      </w:r>
      <w:r>
        <w:t>under another Act or under an industrial instrument</w:t>
      </w:r>
      <w:r>
        <w:rPr>
          <w:snapToGrid w:val="0"/>
        </w:rPr>
        <w:t xml:space="preserve">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keepNext/>
      </w:pPr>
      <w:r>
        <w:lastRenderedPageBreak/>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No. 36 of 2006 s. 50; No. 53 of 2011 s. 24.]</w:t>
      </w:r>
    </w:p>
    <w:p>
      <w:pPr>
        <w:pStyle w:val="Heading5"/>
      </w:pPr>
      <w:bookmarkStart w:id="83" w:name="_Toc216947834"/>
      <w:r>
        <w:rPr>
          <w:rStyle w:val="CharSectno"/>
        </w:rPr>
        <w:t>52</w:t>
      </w:r>
      <w:r>
        <w:t>.</w:t>
      </w:r>
      <w:r>
        <w:tab/>
        <w:t>Obstructing inspector or other person</w:t>
      </w:r>
      <w:bookmarkEnd w:id="83"/>
    </w:p>
    <w:p>
      <w:pPr>
        <w:pStyle w:val="Subsection"/>
      </w:pPr>
      <w:r>
        <w:tab/>
        <w:t>(1)</w:t>
      </w:r>
      <w:r>
        <w:tab/>
        <w:t xml:space="preserve">A person must not without reasonable excuse — </w:t>
      </w:r>
    </w:p>
    <w:p>
      <w:pPr>
        <w:pStyle w:val="Indenta"/>
      </w:pPr>
      <w:r>
        <w:tab/>
        <w:t>(a)</w:t>
      </w:r>
      <w:r>
        <w:tab/>
        <w:t>obstruct or hinder an inspector performing a function under this Act; or</w:t>
      </w:r>
    </w:p>
    <w:p>
      <w:pPr>
        <w:pStyle w:val="Indenta"/>
      </w:pPr>
      <w:r>
        <w:tab/>
        <w:t>(b)</w:t>
      </w:r>
      <w:r>
        <w:tab/>
        <w:t>fail to comply with a lawful requirement or direction of an inspector under this Act; or</w:t>
      </w:r>
    </w:p>
    <w:p>
      <w:pPr>
        <w:pStyle w:val="Indenta"/>
      </w:pPr>
      <w:r>
        <w:tab/>
        <w:t>(c)</w:t>
      </w:r>
      <w:r>
        <w:tab/>
        <w:t>conceal any person from, or prevent any person from appearing before, an inspector, or attempt to conceal a person from, or prevent a person from appearing before, an inspector; or</w:t>
      </w:r>
    </w:p>
    <w:p>
      <w:pPr>
        <w:pStyle w:val="Indenta"/>
      </w:pPr>
      <w:r>
        <w:tab/>
        <w:t>(d)</w:t>
      </w:r>
      <w:r>
        <w:tab/>
        <w:t>hinder a person authorised by a union to do so from inspecting any records required to be maintained by an employer under this Act.</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of section 52 as in force immediately before the coming into operation of the </w:t>
      </w:r>
      <w:r>
        <w:rPr>
          <w:i/>
        </w:rPr>
        <w:t>Industrial Legislation Amendment Act 2011</w:t>
      </w:r>
      <w:r>
        <w:t xml:space="preserve"> section 25 that occurred within the period of 12 months ending on that coming into operation unless the person was charged with an offence in respect of that contravention.</w:t>
      </w:r>
    </w:p>
    <w:p>
      <w:pPr>
        <w:pStyle w:val="Footnotesection"/>
      </w:pPr>
      <w:r>
        <w:tab/>
        <w:t>[Section 52 inserted: No. 53 of 2011 s. 25.]</w:t>
      </w:r>
    </w:p>
    <w:p>
      <w:pPr>
        <w:pStyle w:val="Heading5"/>
      </w:pPr>
      <w:bookmarkStart w:id="84" w:name="_Toc216947835"/>
      <w:r>
        <w:rPr>
          <w:rStyle w:val="CharSectno"/>
        </w:rPr>
        <w:lastRenderedPageBreak/>
        <w:t>53</w:t>
      </w:r>
      <w:r>
        <w:t>.</w:t>
      </w:r>
      <w:r>
        <w:tab/>
        <w:t>Protection of persons giving information under this Act</w:t>
      </w:r>
      <w:bookmarkEnd w:id="84"/>
    </w:p>
    <w:p>
      <w:pPr>
        <w:pStyle w:val="Subsection"/>
        <w:keepNext/>
      </w:pPr>
      <w:r>
        <w:tab/>
        <w:t>(1)</w:t>
      </w:r>
      <w:r>
        <w:tab/>
        <w:t xml:space="preserve">A person must not — </w:t>
      </w:r>
    </w:p>
    <w:p>
      <w:pPr>
        <w:pStyle w:val="Indenta"/>
      </w:pPr>
      <w:r>
        <w:tab/>
        <w:t>(a)</w:t>
      </w:r>
      <w:r>
        <w:tab/>
        <w:t>dismiss a person from, or otherwise injure a person in, that person’s employment; or</w:t>
      </w:r>
    </w:p>
    <w:p>
      <w:pPr>
        <w:pStyle w:val="Indenta"/>
      </w:pPr>
      <w:r>
        <w:tab/>
        <w:t>(b)</w:t>
      </w:r>
      <w:r>
        <w:tab/>
        <w:t>detrimentally alter a person’s employment position; or</w:t>
      </w:r>
    </w:p>
    <w:p>
      <w:pPr>
        <w:pStyle w:val="Indenta"/>
      </w:pPr>
      <w:r>
        <w:tab/>
        <w:t>(c)</w:t>
      </w:r>
      <w:r>
        <w:tab/>
        <w:t>refuse to promote a person; or</w:t>
      </w:r>
    </w:p>
    <w:p>
      <w:pPr>
        <w:pStyle w:val="Indenta"/>
      </w:pPr>
      <w:r>
        <w:tab/>
        <w:t>(d)</w:t>
      </w:r>
      <w:r>
        <w:tab/>
        <w:t>refuse to employ another person; or</w:t>
      </w:r>
    </w:p>
    <w:p>
      <w:pPr>
        <w:pStyle w:val="Indenta"/>
      </w:pPr>
      <w:r>
        <w:tab/>
        <w:t>(e)</w:t>
      </w:r>
      <w:r>
        <w:tab/>
        <w:t>directly or indirectly hinder or prevent the employment of another person or the promotion of a person,</w:t>
      </w:r>
    </w:p>
    <w:p>
      <w:pPr>
        <w:pStyle w:val="Subsection"/>
      </w:pPr>
      <w:r>
        <w:tab/>
      </w:r>
      <w:r>
        <w:tab/>
        <w:t>when a reason for doing so is that the person or other person has given information to an inspector or to the chief executive officer under this Act.</w:t>
      </w:r>
    </w:p>
    <w:p>
      <w:pPr>
        <w:pStyle w:val="Subsection"/>
      </w:pPr>
      <w:r>
        <w:tab/>
        <w:t>(2)</w:t>
      </w:r>
      <w:r>
        <w:tab/>
        <w:t xml:space="preserve">A contravention of subsection (1) is not an offence but that subsection — </w:t>
      </w:r>
    </w:p>
    <w:p>
      <w:pPr>
        <w:pStyle w:val="Indenta"/>
      </w:pPr>
      <w:r>
        <w:tab/>
        <w:t>(a)</w:t>
      </w:r>
      <w:r>
        <w:tab/>
        <w:t xml:space="preserve">is a civil penalty provision for the purposes of the </w:t>
      </w:r>
      <w:r>
        <w:rPr>
          <w:i/>
        </w:rPr>
        <w:t>Industrial Relations Act 1979</w:t>
      </w:r>
      <w:r>
        <w:t xml:space="preserve"> section 83E; and</w:t>
      </w:r>
    </w:p>
    <w:p>
      <w:pPr>
        <w:pStyle w:val="Indenta"/>
      </w:pPr>
      <w:r>
        <w:tab/>
        <w:t>(b)</w:t>
      </w:r>
      <w:r>
        <w:tab/>
        <w:t>is also enforceable under section 54A.</w:t>
      </w:r>
    </w:p>
    <w:p>
      <w:pPr>
        <w:pStyle w:val="Subsection"/>
      </w:pPr>
      <w:r>
        <w:tab/>
        <w:t>(3)</w:t>
      </w:r>
      <w:r>
        <w:tab/>
        <w:t xml:space="preserve">Subsection (2) extends to a contravention of section 53(1) as in force immediately before the coming into operation of the </w:t>
      </w:r>
      <w:r>
        <w:rPr>
          <w:i/>
        </w:rPr>
        <w:t>Industrial Legislation Amendment Act 2011</w:t>
      </w:r>
      <w:r>
        <w:t xml:space="preserve"> section 26 that occurred within the period of 12 months ending on that coming into operation unless the person was charged with an offence in respect of that contravention.</w:t>
      </w:r>
    </w:p>
    <w:p>
      <w:pPr>
        <w:pStyle w:val="Footnotesection"/>
      </w:pPr>
      <w:r>
        <w:tab/>
        <w:t>[Section 53 inserted: No. 53 of 2011 s. 26.]</w:t>
      </w:r>
    </w:p>
    <w:p>
      <w:pPr>
        <w:pStyle w:val="Heading5"/>
      </w:pPr>
      <w:bookmarkStart w:id="85" w:name="_Toc216947836"/>
      <w:r>
        <w:rPr>
          <w:rStyle w:val="CharSectno"/>
        </w:rPr>
        <w:t>54A</w:t>
      </w:r>
      <w:r>
        <w:t>.</w:t>
      </w:r>
      <w:r>
        <w:tab/>
        <w:t>Remedies for breach of section 53</w:t>
      </w:r>
      <w:bookmarkEnd w:id="85"/>
    </w:p>
    <w:p>
      <w:pPr>
        <w:pStyle w:val="Subsection"/>
      </w:pPr>
      <w:r>
        <w:tab/>
        <w:t>(1)</w:t>
      </w:r>
      <w:r>
        <w:tab/>
        <w:t xml:space="preserve">If an industrial magistrate’s court determines under the </w:t>
      </w:r>
      <w:r>
        <w:rPr>
          <w:i/>
        </w:rPr>
        <w:t>Industrial Relations Act 1979</w:t>
      </w:r>
      <w:r>
        <w:t xml:space="preserve"> section 83E that an employer has contravened section 53(1) in relation to a person who is or was an employee of that person, the court may make an order under subsection (2).</w:t>
      </w:r>
    </w:p>
    <w:p>
      <w:pPr>
        <w:pStyle w:val="Subsection"/>
      </w:pPr>
      <w:r>
        <w:lastRenderedPageBreak/>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(6), to pay to the person compensation for any loss or injury suffered as a result of the contravention,</w:t>
      </w:r>
    </w:p>
    <w:p>
      <w:pPr>
        <w:pStyle w:val="Subsection"/>
      </w:pPr>
      <w:r>
        <w:tab/>
      </w:r>
      <w:r>
        <w:tab/>
        <w:t>or to do both of those things.</w:t>
      </w:r>
    </w:p>
    <w:p>
      <w:pPr>
        <w:pStyle w:val="Subsection"/>
      </w:pPr>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p>
    <w:p>
      <w:pPr>
        <w:pStyle w:val="Subsection"/>
      </w:pPr>
      <w:r>
        <w:tab/>
        <w:t>(4)</w:t>
      </w:r>
      <w:r>
        <w:tab/>
        <w:t xml:space="preserve">The court may make an order under this section in addition to imposing a penalty under the </w:t>
      </w:r>
      <w:r>
        <w:rPr>
          <w:i/>
        </w:rPr>
        <w:t>Industrial Relations Act 1979</w:t>
      </w:r>
      <w:r>
        <w:t xml:space="preserve"> section 83E.</w:t>
      </w:r>
    </w:p>
    <w:p>
      <w:pPr>
        <w:pStyle w:val="Subsection"/>
      </w:pPr>
      <w:r>
        <w:tab/>
        <w:t>(5)</w:t>
      </w:r>
      <w:r>
        <w:tab/>
        <w:t>A person is not entitled to compensation both under this section and otherwise for the same dismissal, loss or injury.</w:t>
      </w:r>
    </w:p>
    <w:p>
      <w:pPr>
        <w:pStyle w:val="Subsection"/>
      </w:pPr>
      <w:r>
        <w:tab/>
        <w:t>(6)</w:t>
      </w:r>
      <w:r>
        <w:tab/>
        <w:t xml:space="preserve">The court does not have jurisdiction under this section to order that there be paid — </w:t>
      </w:r>
    </w:p>
    <w:p>
      <w:pPr>
        <w:pStyle w:val="Indenta"/>
        <w:spacing w:before="60"/>
      </w:pPr>
      <w:r>
        <w:tab/>
        <w:t>(a)</w:t>
      </w:r>
      <w:r>
        <w:tab/>
        <w:t>to an employee who has been dismissed, any amount exceeding 6 months’ remuneration of the employee; and</w:t>
      </w:r>
    </w:p>
    <w:p>
      <w:pPr>
        <w:pStyle w:val="Indenta"/>
        <w:spacing w:before="60"/>
      </w:pPr>
      <w:r>
        <w:tab/>
        <w:t>(b)</w:t>
      </w:r>
      <w:r>
        <w:tab/>
        <w:t>in any other case, any amount exceeding $5 000 or such other amount as is prescribed by the regulations.</w:t>
      </w:r>
    </w:p>
    <w:p>
      <w:pPr>
        <w:pStyle w:val="Subsection"/>
      </w:pPr>
      <w:r>
        <w:tab/>
        <w:t>(7)</w:t>
      </w:r>
      <w:r>
        <w:tab/>
        <w:t>For the purposes of subsection (6)(a) the court may calculate the amount on the basis of an average rate received during any relevant period of employment.</w:t>
      </w:r>
    </w:p>
    <w:p>
      <w:pPr>
        <w:pStyle w:val="Subsection"/>
        <w:keepNext/>
      </w:pPr>
      <w:r>
        <w:lastRenderedPageBreak/>
        <w:tab/>
        <w:t>(8)</w:t>
      </w:r>
      <w:r>
        <w:tab/>
        <w:t>A person must comply with an order made against the person under this section.</w:t>
      </w:r>
    </w:p>
    <w:p>
      <w:pPr>
        <w:pStyle w:val="Penstart"/>
        <w:keepNext/>
      </w:pPr>
      <w:r>
        <w:tab/>
        <w:t>Penalty: a fine of $5 000 and a daily penalty of $500.</w:t>
      </w:r>
    </w:p>
    <w:p>
      <w:pPr>
        <w:pStyle w:val="Footnotesection"/>
        <w:spacing w:before="100"/>
      </w:pPr>
      <w:r>
        <w:tab/>
        <w:t>[Section 54A inserted: No. 53 of 2011 s. 26.]</w:t>
      </w:r>
    </w:p>
    <w:p>
      <w:pPr>
        <w:pStyle w:val="Heading5"/>
        <w:spacing w:before="180"/>
        <w:rPr>
          <w:snapToGrid w:val="0"/>
        </w:rPr>
      </w:pPr>
      <w:bookmarkStart w:id="86" w:name="_Toc216947837"/>
      <w:r>
        <w:rPr>
          <w:rStyle w:val="CharSectno"/>
        </w:rPr>
        <w:t>54</w:t>
      </w:r>
      <w:r>
        <w:rPr>
          <w:snapToGrid w:val="0"/>
        </w:rPr>
        <w:t>.</w:t>
      </w:r>
      <w:r>
        <w:rPr>
          <w:snapToGrid w:val="0"/>
        </w:rPr>
        <w:tab/>
        <w:t>Secrecy</w:t>
      </w:r>
      <w:bookmarkEnd w:id="86"/>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spacing w:before="60"/>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87" w:name="_Toc216947838"/>
      <w:r>
        <w:rPr>
          <w:rStyle w:val="CharSectno"/>
        </w:rPr>
        <w:t>55</w:t>
      </w:r>
      <w:r>
        <w:rPr>
          <w:snapToGrid w:val="0"/>
        </w:rPr>
        <w:t>.</w:t>
      </w:r>
      <w:r>
        <w:rPr>
          <w:snapToGrid w:val="0"/>
        </w:rPr>
        <w:tab/>
        <w:t>Effect of other Act or industrial instrument</w:t>
      </w:r>
      <w:bookmarkEnd w:id="87"/>
    </w:p>
    <w:p>
      <w:pPr>
        <w:pStyle w:val="Subsection"/>
        <w:rPr>
          <w:snapToGrid w:val="0"/>
        </w:rPr>
      </w:pPr>
      <w:r>
        <w:rPr>
          <w:snapToGrid w:val="0"/>
        </w:rPr>
        <w:tab/>
      </w:r>
      <w:r>
        <w:rPr>
          <w:snapToGrid w:val="0"/>
        </w:rPr>
        <w:tab/>
        <w:t xml:space="preserve">This Act has effect notwithstanding any other Act or </w:t>
      </w:r>
      <w:r>
        <w:t>any industrial instrument</w:t>
      </w:r>
      <w:r>
        <w:rPr>
          <w:snapToGrid w:val="0"/>
        </w:rPr>
        <w:t xml:space="preserve"> to the contrary.</w:t>
      </w:r>
    </w:p>
    <w:p>
      <w:pPr>
        <w:pStyle w:val="Footnotesection"/>
      </w:pPr>
      <w:r>
        <w:tab/>
        <w:t>[Section 55 amended: No. 53 of 2011 s. 27.]</w:t>
      </w:r>
    </w:p>
    <w:p>
      <w:pPr>
        <w:pStyle w:val="Heading5"/>
      </w:pPr>
      <w:bookmarkStart w:id="88" w:name="_Toc216947839"/>
      <w:r>
        <w:rPr>
          <w:rStyle w:val="CharSectno"/>
        </w:rPr>
        <w:t>56</w:t>
      </w:r>
      <w:r>
        <w:t>.</w:t>
      </w:r>
      <w:r>
        <w:tab/>
        <w:t>Transitional provisions</w:t>
      </w:r>
      <w:bookmarkEnd w:id="88"/>
    </w:p>
    <w:p>
      <w:pPr>
        <w:pStyle w:val="Subsection"/>
      </w:pPr>
      <w:r>
        <w:tab/>
      </w:r>
      <w:r>
        <w:tab/>
      </w:r>
      <w:r>
        <w:rPr>
          <w:snapToGrid w:val="0"/>
        </w:rPr>
        <w:t>The provisions of the Schedule have effect in relation to the several matters specified in it.</w:t>
      </w:r>
    </w:p>
    <w:p>
      <w:pPr>
        <w:pStyle w:val="Footnotesection"/>
      </w:pPr>
      <w:r>
        <w:tab/>
        <w:t>[Section 56 inserted: No. 36 of 2006 s. 51.]</w:t>
      </w:r>
    </w:p>
    <w:p>
      <w:pPr>
        <w:pStyle w:val="Heading5"/>
        <w:rPr>
          <w:snapToGrid w:val="0"/>
        </w:rPr>
      </w:pPr>
      <w:bookmarkStart w:id="89" w:name="_Toc216947840"/>
      <w:r>
        <w:rPr>
          <w:rStyle w:val="CharSectno"/>
        </w:rPr>
        <w:t>57</w:t>
      </w:r>
      <w:r>
        <w:rPr>
          <w:snapToGrid w:val="0"/>
        </w:rPr>
        <w:t>.</w:t>
      </w:r>
      <w:r>
        <w:rPr>
          <w:snapToGrid w:val="0"/>
        </w:rPr>
        <w:tab/>
        <w:t>Regulations</w:t>
      </w:r>
      <w:bookmarkEnd w:id="89"/>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lastRenderedPageBreak/>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90" w:name="_Toc216874917"/>
      <w:bookmarkStart w:id="91" w:name="_Toc216875351"/>
      <w:bookmarkStart w:id="92" w:name="_Toc216876353"/>
      <w:bookmarkStart w:id="93" w:name="_Toc216876449"/>
      <w:bookmarkStart w:id="94" w:name="_Toc216947841"/>
      <w:r>
        <w:rPr>
          <w:rStyle w:val="CharSchNo"/>
        </w:rPr>
        <w:lastRenderedPageBreak/>
        <w:t>Schedule</w:t>
      </w:r>
      <w:r>
        <w:t> — </w:t>
      </w:r>
      <w:r>
        <w:rPr>
          <w:rStyle w:val="CharSchText"/>
        </w:rPr>
        <w:t>Transitional provisions</w:t>
      </w:r>
      <w:bookmarkEnd w:id="90"/>
      <w:bookmarkEnd w:id="91"/>
      <w:bookmarkEnd w:id="92"/>
      <w:bookmarkEnd w:id="93"/>
      <w:bookmarkEnd w:id="94"/>
    </w:p>
    <w:p>
      <w:pPr>
        <w:pStyle w:val="yShoulderClause"/>
      </w:pPr>
      <w:r>
        <w:t>[s. 56]</w:t>
      </w:r>
    </w:p>
    <w:p>
      <w:pPr>
        <w:pStyle w:val="yFootnoteheading"/>
        <w:spacing w:before="60"/>
      </w:pPr>
      <w:r>
        <w:rPr>
          <w:snapToGrid w:val="0"/>
        </w:rPr>
        <w:tab/>
        <w:t>[Heading ame</w:t>
      </w:r>
      <w:r>
        <w:rPr>
          <w:iCs/>
          <w:snapToGrid w:val="0"/>
        </w:rPr>
        <w:t>n</w:t>
      </w:r>
      <w:r>
        <w:rPr>
          <w:snapToGrid w:val="0"/>
        </w:rPr>
        <w:t>ded: No. 36 of 2006 s. 52(a) and (b).]</w:t>
      </w:r>
    </w:p>
    <w:p>
      <w:pPr>
        <w:pStyle w:val="yHeading3"/>
      </w:pPr>
      <w:bookmarkStart w:id="95" w:name="_Toc216874918"/>
      <w:bookmarkStart w:id="96" w:name="_Toc216875352"/>
      <w:bookmarkStart w:id="97" w:name="_Toc216876354"/>
      <w:bookmarkStart w:id="98" w:name="_Toc216876450"/>
      <w:bookmarkStart w:id="99" w:name="_Toc216947842"/>
      <w:r>
        <w:rPr>
          <w:rStyle w:val="CharSDivNo"/>
        </w:rPr>
        <w:t>Division 1</w:t>
      </w:r>
      <w:r>
        <w:t> — </w:t>
      </w:r>
      <w:r>
        <w:rPr>
          <w:rStyle w:val="CharSDivText"/>
        </w:rPr>
        <w:t>The appointed day</w:t>
      </w:r>
      <w:bookmarkEnd w:id="95"/>
      <w:bookmarkEnd w:id="96"/>
      <w:bookmarkEnd w:id="97"/>
      <w:bookmarkEnd w:id="98"/>
      <w:bookmarkEnd w:id="99"/>
    </w:p>
    <w:p>
      <w:pPr>
        <w:pStyle w:val="yFootnoteheading"/>
        <w:rPr>
          <w:snapToGrid w:val="0"/>
        </w:rPr>
      </w:pPr>
      <w:r>
        <w:rPr>
          <w:snapToGrid w:val="0"/>
        </w:rPr>
        <w:tab/>
        <w:t>[Heading amended: No. 36 of 2006 s. 52(c).]</w:t>
      </w:r>
    </w:p>
    <w:p>
      <w:pPr>
        <w:pStyle w:val="yHeading5"/>
      </w:pPr>
      <w:bookmarkStart w:id="100" w:name="_Toc216947843"/>
      <w:r>
        <w:rPr>
          <w:rStyle w:val="CharSClsNo"/>
        </w:rPr>
        <w:t>1</w:t>
      </w:r>
      <w:r>
        <w:t>.</w:t>
      </w:r>
      <w:r>
        <w:tab/>
        <w:t>Employees’ service before application for registration</w:t>
      </w:r>
      <w:bookmarkEnd w:id="100"/>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101" w:name="_Toc216947844"/>
      <w:r>
        <w:t>2.</w:t>
      </w:r>
      <w:r>
        <w:tab/>
        <w:t>Employers to pay Board contributions for some employees</w:t>
      </w:r>
      <w:bookmarkEnd w:id="101"/>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102" w:name="_Toc216874921"/>
      <w:bookmarkStart w:id="103" w:name="_Toc216875355"/>
      <w:bookmarkStart w:id="104" w:name="_Toc216876357"/>
      <w:bookmarkStart w:id="105" w:name="_Toc216876453"/>
      <w:bookmarkStart w:id="106" w:name="_Toc216947845"/>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102"/>
      <w:bookmarkEnd w:id="103"/>
      <w:bookmarkEnd w:id="104"/>
      <w:bookmarkEnd w:id="105"/>
      <w:bookmarkEnd w:id="106"/>
    </w:p>
    <w:p>
      <w:pPr>
        <w:pStyle w:val="yFootnoteheading"/>
        <w:rPr>
          <w:snapToGrid w:val="0"/>
        </w:rPr>
      </w:pPr>
      <w:r>
        <w:tab/>
      </w:r>
      <w:r>
        <w:rPr>
          <w:snapToGrid w:val="0"/>
        </w:rPr>
        <w:t>[Heading inserted: No. 36 of 2006 s. 52(d).]</w:t>
      </w:r>
    </w:p>
    <w:p>
      <w:pPr>
        <w:pStyle w:val="yHeading5"/>
      </w:pPr>
      <w:bookmarkStart w:id="107" w:name="_Toc216947846"/>
      <w:r>
        <w:rPr>
          <w:rStyle w:val="CharSClsNo"/>
        </w:rPr>
        <w:t>3</w:t>
      </w:r>
      <w:r>
        <w:t>.</w:t>
      </w:r>
      <w:r>
        <w:rPr>
          <w:b w:val="0"/>
        </w:rPr>
        <w:tab/>
      </w:r>
      <w:r>
        <w:t>Service prior to commencement day</w:t>
      </w:r>
      <w:bookmarkEnd w:id="107"/>
    </w:p>
    <w:p>
      <w:pPr>
        <w:pStyle w:val="ySubsection"/>
        <w:keepNext/>
        <w:spacing w:before="120"/>
      </w:pPr>
      <w:r>
        <w:rPr>
          <w:snapToGrid w:val="0"/>
        </w:rPr>
        <w:tab/>
        <w:t>(1)</w:t>
      </w:r>
      <w:r>
        <w:rPr>
          <w:snapToGrid w:val="0"/>
        </w:rPr>
        <w:tab/>
        <w:t xml:space="preserve">If an employee has completed at least 9 but less than 15 years service in the construction industry prior to the commencement day, then, </w:t>
      </w:r>
      <w:r>
        <w:rPr>
          <w:snapToGrid w:val="0"/>
        </w:rPr>
        <w:lastRenderedPageBreak/>
        <w:t>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p>
    <w:p>
      <w:pPr>
        <w:pStyle w:val="yFootnotesection"/>
      </w:pPr>
      <w:r>
        <w:tab/>
        <w:t>[Clause 3 inserted: No. 36 of 2006 s. 52(d).]</w:t>
      </w:r>
    </w:p>
    <w:p>
      <w:pPr>
        <w:pStyle w:val="yHeading3"/>
      </w:pPr>
      <w:bookmarkStart w:id="108" w:name="_Toc216874923"/>
      <w:bookmarkStart w:id="109" w:name="_Toc216875357"/>
      <w:bookmarkStart w:id="110" w:name="_Toc216876359"/>
      <w:bookmarkStart w:id="111" w:name="_Toc216876455"/>
      <w:bookmarkStart w:id="112" w:name="_Toc216947847"/>
      <w:r>
        <w:rPr>
          <w:rStyle w:val="CharSDivNo"/>
        </w:rPr>
        <w:lastRenderedPageBreak/>
        <w:t>Division 3</w:t>
      </w:r>
      <w:r>
        <w:t> — </w:t>
      </w:r>
      <w:r>
        <w:rPr>
          <w:rStyle w:val="CharSDivText"/>
          <w:bCs/>
          <w:i/>
        </w:rPr>
        <w:t>Construction Industry Portable Paid Long Service Leave Amendment Act 2025</w:t>
      </w:r>
      <w:bookmarkEnd w:id="108"/>
      <w:bookmarkEnd w:id="109"/>
      <w:bookmarkEnd w:id="110"/>
      <w:bookmarkEnd w:id="111"/>
      <w:bookmarkEnd w:id="112"/>
    </w:p>
    <w:p>
      <w:pPr>
        <w:pStyle w:val="yFootnoteheading"/>
        <w:keepNext/>
        <w:rPr>
          <w:snapToGrid w:val="0"/>
        </w:rPr>
      </w:pPr>
      <w:r>
        <w:tab/>
      </w:r>
      <w:r>
        <w:rPr>
          <w:snapToGrid w:val="0"/>
        </w:rPr>
        <w:t>[Heading inserted: No. 12 of 2025 s. 8.]</w:t>
      </w:r>
    </w:p>
    <w:p>
      <w:pPr>
        <w:pStyle w:val="yHeading4"/>
      </w:pPr>
      <w:bookmarkStart w:id="113" w:name="_Toc216874924"/>
      <w:bookmarkStart w:id="114" w:name="_Toc216875358"/>
      <w:bookmarkStart w:id="115" w:name="_Toc216876360"/>
      <w:bookmarkStart w:id="116" w:name="_Toc216876456"/>
      <w:bookmarkStart w:id="117" w:name="_Toc216947848"/>
      <w:r>
        <w:t>Subdivision 1 — Preliminary and transitional regulations</w:t>
      </w:r>
      <w:bookmarkEnd w:id="113"/>
      <w:bookmarkEnd w:id="114"/>
      <w:bookmarkEnd w:id="115"/>
      <w:bookmarkEnd w:id="116"/>
      <w:bookmarkEnd w:id="117"/>
    </w:p>
    <w:p>
      <w:pPr>
        <w:pStyle w:val="yFootnoteheading"/>
        <w:keepNext/>
        <w:rPr>
          <w:snapToGrid w:val="0"/>
        </w:rPr>
      </w:pPr>
      <w:r>
        <w:tab/>
      </w:r>
      <w:r>
        <w:rPr>
          <w:snapToGrid w:val="0"/>
        </w:rPr>
        <w:t>[Heading inserted: No. 12 of 2025 s. 8.]</w:t>
      </w:r>
    </w:p>
    <w:p>
      <w:pPr>
        <w:pStyle w:val="yHeading5"/>
      </w:pPr>
      <w:bookmarkStart w:id="118" w:name="_Toc216947849"/>
      <w:r>
        <w:rPr>
          <w:rStyle w:val="CharSClsNo"/>
        </w:rPr>
        <w:t>4</w:t>
      </w:r>
      <w:r>
        <w:t>.</w:t>
      </w:r>
      <w:r>
        <w:tab/>
        <w:t>Terms used</w:t>
      </w:r>
      <w:bookmarkEnd w:id="118"/>
    </w:p>
    <w:p>
      <w:pPr>
        <w:pStyle w:val="ySubsection"/>
        <w:keepNext/>
      </w:pPr>
      <w:r>
        <w:tab/>
      </w:r>
      <w:r>
        <w:tab/>
        <w:t xml:space="preserve">In this Subdivision — </w:t>
      </w:r>
    </w:p>
    <w:p>
      <w:pPr>
        <w:pStyle w:val="yDefstart"/>
      </w:pPr>
      <w:r>
        <w:tab/>
      </w:r>
      <w:r>
        <w:rPr>
          <w:rStyle w:val="CharDefText"/>
        </w:rPr>
        <w:t>amendment Act</w:t>
      </w:r>
      <w:r>
        <w:t xml:space="preserve"> means the </w:t>
      </w:r>
      <w:r>
        <w:rPr>
          <w:i/>
          <w:iCs/>
        </w:rPr>
        <w:t>Construction Industry Portable Paid Long Service Leave Amendment Act 2025</w:t>
      </w:r>
      <w:r>
        <w:t>;</w:t>
      </w:r>
    </w:p>
    <w:p>
      <w:pPr>
        <w:pStyle w:val="yDefstart"/>
      </w:pPr>
      <w:r>
        <w:tab/>
      </w:r>
      <w:r>
        <w:rPr>
          <w:rStyle w:val="CharDefText"/>
        </w:rPr>
        <w:t>transitional regulations</w:t>
      </w:r>
      <w:r>
        <w:t xml:space="preserve"> means regulations made under clause 6(2).</w:t>
      </w:r>
    </w:p>
    <w:p>
      <w:pPr>
        <w:pStyle w:val="yFootnotesection"/>
      </w:pPr>
      <w:r>
        <w:tab/>
        <w:t>[Clause 4 inserted: No. 12 of 2025 s. 8.]</w:t>
      </w:r>
    </w:p>
    <w:p>
      <w:pPr>
        <w:pStyle w:val="yHeading5"/>
      </w:pPr>
      <w:bookmarkStart w:id="119" w:name="_Toc216947850"/>
      <w:r>
        <w:rPr>
          <w:rStyle w:val="CharSClsNo"/>
        </w:rPr>
        <w:t>5</w:t>
      </w:r>
      <w:r>
        <w:t>.</w:t>
      </w:r>
      <w:r>
        <w:tab/>
        <w:t xml:space="preserve">Application of </w:t>
      </w:r>
      <w:r>
        <w:rPr>
          <w:i/>
        </w:rPr>
        <w:t>Interpretation Act 1984</w:t>
      </w:r>
      <w:bookmarkEnd w:id="119"/>
    </w:p>
    <w:p>
      <w:pPr>
        <w:pStyle w:val="ySubsection"/>
      </w:pPr>
      <w:r>
        <w:tab/>
      </w:r>
      <w:r>
        <w:tab/>
        <w:t xml:space="preserve">The </w:t>
      </w:r>
      <w:r>
        <w:rPr>
          <w:i/>
        </w:rPr>
        <w:t>Interpretation Act 1984</w:t>
      </w:r>
      <w:r>
        <w:t xml:space="preserve"> Part V applies in relation to amendments made by the amendment Act subject to this Division and transitional regulations.</w:t>
      </w:r>
    </w:p>
    <w:p>
      <w:pPr>
        <w:pStyle w:val="yFootnotesection"/>
      </w:pPr>
      <w:r>
        <w:tab/>
        <w:t>[Clause 5 inserted: No. 12 of 2025 s. 8.]</w:t>
      </w:r>
    </w:p>
    <w:p>
      <w:pPr>
        <w:pStyle w:val="yHeading5"/>
      </w:pPr>
      <w:bookmarkStart w:id="120" w:name="_Toc216947851"/>
      <w:r>
        <w:rPr>
          <w:rStyle w:val="CharSClsNo"/>
        </w:rPr>
        <w:t>6</w:t>
      </w:r>
      <w:r>
        <w:t>.</w:t>
      </w:r>
      <w:r>
        <w:tab/>
        <w:t>Transitional regulations</w:t>
      </w:r>
      <w:bookmarkEnd w:id="120"/>
    </w:p>
    <w:p>
      <w:pPr>
        <w:pStyle w:val="ySubsection"/>
      </w:pPr>
      <w:r>
        <w:tab/>
        <w:t>(1)</w:t>
      </w:r>
      <w:r>
        <w:tab/>
        <w:t xml:space="preserve">In this clause — </w:t>
      </w:r>
    </w:p>
    <w:p>
      <w:pPr>
        <w:pStyle w:val="yDefstart"/>
      </w:pPr>
      <w:r>
        <w:tab/>
      </w:r>
      <w:r>
        <w:rPr>
          <w:rStyle w:val="CharDefText"/>
        </w:rPr>
        <w:t>publication day</w:t>
      </w:r>
      <w:r>
        <w:t xml:space="preserve">, for transitional regulations, means the day on which the regulations are published in accordance with the </w:t>
      </w:r>
      <w:r>
        <w:rPr>
          <w:i/>
        </w:rPr>
        <w:t>Interpretation Act 1984</w:t>
      </w:r>
      <w:r>
        <w:t xml:space="preserve"> section 41(1)(a);</w:t>
      </w:r>
    </w:p>
    <w:p>
      <w:pPr>
        <w:pStyle w:val="yDefstart"/>
      </w:pPr>
      <w:r>
        <w:tab/>
      </w:r>
      <w:r>
        <w:rPr>
          <w:rStyle w:val="CharDefText"/>
        </w:rPr>
        <w:t>specified</w:t>
      </w:r>
      <w:r>
        <w:t xml:space="preserve"> means specified or described in transitional regulations;</w:t>
      </w:r>
    </w:p>
    <w:p>
      <w:pPr>
        <w:pStyle w:val="yDefstart"/>
      </w:pPr>
      <w:r>
        <w:tab/>
      </w:r>
      <w:r>
        <w:rPr>
          <w:rStyle w:val="CharDefText"/>
        </w:rPr>
        <w:t>transitional matter</w:t>
      </w:r>
      <w:r>
        <w:t xml:space="preserve"> means a matter or issue of a transitional, savings or application nature.</w:t>
      </w:r>
    </w:p>
    <w:p>
      <w:pPr>
        <w:pStyle w:val="ySubsection"/>
      </w:pPr>
      <w:r>
        <w:tab/>
        <w:t>(2)</w:t>
      </w:r>
      <w:r>
        <w:tab/>
        <w:t>Regulations may prescribe anything required, necessary or convenient to be prescribed in relation to a transitional matter in connection with the enactment of, or any amendment made by, the amendment Act.</w:t>
      </w:r>
    </w:p>
    <w:p>
      <w:pPr>
        <w:pStyle w:val="ySubsection"/>
        <w:keepNext/>
      </w:pPr>
      <w:r>
        <w:lastRenderedPageBreak/>
        <w:tab/>
        <w:t>(3)</w:t>
      </w:r>
      <w:r>
        <w:tab/>
        <w:t xml:space="preserve">Without limiting subclause (2), transitional regulations may provide for specified provisions of this Act or another written law — </w:t>
      </w:r>
    </w:p>
    <w:p>
      <w:pPr>
        <w:pStyle w:val="yIndenta"/>
      </w:pPr>
      <w:r>
        <w:tab/>
        <w:t>(a)</w:t>
      </w:r>
      <w:r>
        <w:tab/>
        <w:t>not to apply to, or in relation to, a specified matter or thing; or</w:t>
      </w:r>
    </w:p>
    <w:p>
      <w:pPr>
        <w:pStyle w:val="yIndenta"/>
      </w:pPr>
      <w:r>
        <w:tab/>
        <w:t>(b)</w:t>
      </w:r>
      <w:r>
        <w:tab/>
        <w:t>to apply with specified modifications to, or in relation to, a specified matter or thing.</w:t>
      </w:r>
    </w:p>
    <w:p>
      <w:pPr>
        <w:pStyle w:val="ySubsection"/>
      </w:pPr>
      <w:r>
        <w:tab/>
        <w:t>(4)</w:t>
      </w:r>
      <w:r>
        <w:tab/>
        <w:t>If transitional regulations provide that a specified state of affairs is taken to have existed, or not to have existed, on and after a day that is earlier than publication day but not earlier than the day on which the amendment Act Part 2 comes into operation, the transitional regulations have effect according to their terms.</w:t>
      </w:r>
    </w:p>
    <w:p>
      <w:pPr>
        <w:pStyle w:val="ySubsection"/>
      </w:pPr>
      <w:r>
        <w:tab/>
        <w:t>(5)</w:t>
      </w:r>
      <w:r>
        <w:tab/>
        <w:t xml:space="preserve">If transitional regulations contain a provision referred to in subclause (4), the provision does not operate so as — </w:t>
      </w:r>
    </w:p>
    <w:p>
      <w:pPr>
        <w:pStyle w:val="yIndenta"/>
      </w:pPr>
      <w:r>
        <w:tab/>
        <w:t>(a)</w:t>
      </w:r>
      <w:r>
        <w:tab/>
        <w:t>to affect in a manner prejudicial to a person (other than the State or an authority of the State) the rights of that person existing before publication day; or</w:t>
      </w:r>
    </w:p>
    <w:p>
      <w:pPr>
        <w:pStyle w:val="yIndenta"/>
      </w:pPr>
      <w:r>
        <w:tab/>
        <w:t>(b)</w:t>
      </w:r>
      <w:r>
        <w:tab/>
        <w:t>to impose liabilities on a person (other than the State or an authority of the State) in respect of an act done or omission made before publication day.</w:t>
      </w:r>
    </w:p>
    <w:p>
      <w:pPr>
        <w:pStyle w:val="yFootnotesection"/>
      </w:pPr>
      <w:r>
        <w:tab/>
        <w:t>[Clause 6 inserted: No. 12 of 2025 s. 8.]</w:t>
      </w:r>
    </w:p>
    <w:p>
      <w:pPr>
        <w:pStyle w:val="yHeading4"/>
      </w:pPr>
      <w:bookmarkStart w:id="121" w:name="_Toc216874928"/>
      <w:bookmarkStart w:id="122" w:name="_Toc216875362"/>
      <w:bookmarkStart w:id="123" w:name="_Toc216876364"/>
      <w:bookmarkStart w:id="124" w:name="_Toc216876460"/>
      <w:bookmarkStart w:id="125" w:name="_Toc216947852"/>
      <w:r>
        <w:t>Subdivision 2 — Amendments relating to employees stood down or on workers compensation</w:t>
      </w:r>
      <w:bookmarkEnd w:id="121"/>
      <w:bookmarkEnd w:id="122"/>
      <w:bookmarkEnd w:id="123"/>
      <w:bookmarkEnd w:id="124"/>
      <w:bookmarkEnd w:id="125"/>
    </w:p>
    <w:p>
      <w:pPr>
        <w:pStyle w:val="yFootnoteheading"/>
        <w:rPr>
          <w:snapToGrid w:val="0"/>
        </w:rPr>
      </w:pPr>
      <w:r>
        <w:tab/>
      </w:r>
      <w:r>
        <w:rPr>
          <w:snapToGrid w:val="0"/>
        </w:rPr>
        <w:t>[Heading inserted: No. 12 of 2025 s. 8.]</w:t>
      </w:r>
    </w:p>
    <w:p>
      <w:pPr>
        <w:pStyle w:val="yHeading5"/>
      </w:pPr>
      <w:bookmarkStart w:id="126" w:name="_Toc216947853"/>
      <w:r>
        <w:rPr>
          <w:rStyle w:val="CharSClsNo"/>
        </w:rPr>
        <w:t>7</w:t>
      </w:r>
      <w:r>
        <w:t>.</w:t>
      </w:r>
      <w:r>
        <w:tab/>
        <w:t>Terms used</w:t>
      </w:r>
      <w:bookmarkEnd w:id="126"/>
    </w:p>
    <w:p>
      <w:pPr>
        <w:pStyle w:val="ySubsection"/>
      </w:pPr>
      <w:r>
        <w:tab/>
        <w:t>(1)</w:t>
      </w:r>
      <w:r>
        <w:tab/>
        <w:t xml:space="preserve">In this Subdivision — </w:t>
      </w:r>
    </w:p>
    <w:p>
      <w:pPr>
        <w:pStyle w:val="yDefstart"/>
      </w:pPr>
      <w:r>
        <w:tab/>
      </w:r>
      <w:r>
        <w:rPr>
          <w:rStyle w:val="CharDefText"/>
        </w:rPr>
        <w:t>amendment Act</w:t>
      </w:r>
      <w:r>
        <w:t xml:space="preserve"> means the </w:t>
      </w:r>
      <w:r>
        <w:rPr>
          <w:i/>
        </w:rPr>
        <w:t>Construction Industry Portable Paid Long Service Leave Amendment Act 2025</w:t>
      </w:r>
      <w:r>
        <w:t>;</w:t>
      </w:r>
    </w:p>
    <w:p>
      <w:pPr>
        <w:pStyle w:val="yDefstart"/>
      </w:pPr>
      <w:r>
        <w:tab/>
      </w:r>
      <w:r>
        <w:rPr>
          <w:rStyle w:val="CharDefText"/>
        </w:rPr>
        <w:t>commencement day</w:t>
      </w:r>
      <w:r>
        <w:t xml:space="preserve"> means the day on which the amendment Act section 8 comes into operation;</w:t>
      </w:r>
    </w:p>
    <w:p>
      <w:pPr>
        <w:pStyle w:val="yDefstart"/>
      </w:pPr>
      <w:r>
        <w:tab/>
      </w:r>
      <w:r>
        <w:rPr>
          <w:rStyle w:val="CharDefText"/>
        </w:rPr>
        <w:t>on workers compensation (1981 Act)</w:t>
      </w:r>
      <w:r>
        <w:t xml:space="preserve"> has the meaning given in subclause (2).</w:t>
      </w:r>
    </w:p>
    <w:p>
      <w:pPr>
        <w:pStyle w:val="ySubsection"/>
        <w:keepNext/>
      </w:pPr>
      <w:r>
        <w:lastRenderedPageBreak/>
        <w:tab/>
        <w:t>(2)</w:t>
      </w:r>
      <w:r>
        <w:tab/>
        <w:t xml:space="preserve">An employee was </w:t>
      </w:r>
      <w:r>
        <w:rPr>
          <w:rStyle w:val="CharDefText"/>
        </w:rPr>
        <w:t>on workers compensation (1981 Act)</w:t>
      </w:r>
      <w:r>
        <w:t xml:space="preserve"> in respect of a day if — </w:t>
      </w:r>
    </w:p>
    <w:p>
      <w:pPr>
        <w:pStyle w:val="yIndenta"/>
      </w:pPr>
      <w:r>
        <w:tab/>
        <w:t>(a)</w:t>
      </w:r>
      <w:r>
        <w:tab/>
        <w:t>the employee was employed by an employer on the day; and</w:t>
      </w:r>
    </w:p>
    <w:p>
      <w:pPr>
        <w:pStyle w:val="yIndenta"/>
      </w:pPr>
      <w:r>
        <w:tab/>
        <w:t>(b)</w:t>
      </w:r>
      <w:r>
        <w:tab/>
        <w:t>the employee would usually work in that employment on the day; and</w:t>
      </w:r>
    </w:p>
    <w:p>
      <w:pPr>
        <w:pStyle w:val="yIndenta"/>
      </w:pPr>
      <w:r>
        <w:tab/>
        <w:t>(c)</w:t>
      </w:r>
      <w:r>
        <w:tab/>
        <w:t xml:space="preserve">the employee was entitled to receive weekly payments of compensation calculated and varied under the </w:t>
      </w:r>
      <w:r>
        <w:rPr>
          <w:i/>
        </w:rPr>
        <w:t>Workers’ Compensation and Injury Management Act 1981</w:t>
      </w:r>
      <w:r>
        <w:t xml:space="preserve"> Schedule 1 for a period that includes the day.</w:t>
      </w:r>
    </w:p>
    <w:p>
      <w:pPr>
        <w:pStyle w:val="yFootnotesection"/>
      </w:pPr>
      <w:r>
        <w:tab/>
        <w:t>[Clause 7 inserted: No. 12 of 2025 s. 8.]</w:t>
      </w:r>
    </w:p>
    <w:p>
      <w:pPr>
        <w:pStyle w:val="yHeading5"/>
      </w:pPr>
      <w:bookmarkStart w:id="127" w:name="_Toc216947854"/>
      <w:r>
        <w:rPr>
          <w:rStyle w:val="CharSClsNo"/>
        </w:rPr>
        <w:t>8</w:t>
      </w:r>
      <w:r>
        <w:t>.</w:t>
      </w:r>
      <w:r>
        <w:tab/>
        <w:t>Application of Act to employees stood down during pre</w:t>
      </w:r>
      <w:r>
        <w:noBreakHyphen/>
        <w:t>commencement period</w:t>
      </w:r>
      <w:bookmarkEnd w:id="127"/>
    </w:p>
    <w:p>
      <w:pPr>
        <w:pStyle w:val="ySubsection"/>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April 2020 and ending immediately before commencement day.</w:t>
      </w:r>
    </w:p>
    <w:p>
      <w:pPr>
        <w:pStyle w:val="ySubsection"/>
      </w:pPr>
      <w:r>
        <w:tab/>
        <w:t>(2)</w:t>
      </w:r>
      <w:r>
        <w:tab/>
        <w:t>This clause applies in relation to an employee who, during the pre</w:t>
      </w:r>
      <w:r>
        <w:noBreakHyphen/>
        <w:t>commencement period, was stood down in respect of a day.</w:t>
      </w:r>
    </w:p>
    <w:p>
      <w:pPr>
        <w:pStyle w:val="ySubsection"/>
      </w:pPr>
      <w:r>
        <w:tab/>
        <w:t>(3)</w:t>
      </w:r>
      <w:r>
        <w:tab/>
        <w:t xml:space="preserve">For the purposes of the Board determining the employee’s entitlement to long service leave under this Act, the Board must apply this Act as if, on that day — </w:t>
      </w:r>
    </w:p>
    <w:p>
      <w:pPr>
        <w:pStyle w:val="yIndenta"/>
      </w:pPr>
      <w:r>
        <w:tab/>
        <w:t>(a)</w:t>
      </w:r>
      <w:r>
        <w:tab/>
        <w:t xml:space="preserve">the definition of </w:t>
      </w:r>
      <w:r>
        <w:rPr>
          <w:b/>
          <w:i/>
        </w:rPr>
        <w:t>day of service</w:t>
      </w:r>
      <w:r>
        <w:t xml:space="preserve"> was as set out in section 3B; and </w:t>
      </w:r>
    </w:p>
    <w:p>
      <w:pPr>
        <w:pStyle w:val="yIndenta"/>
      </w:pPr>
      <w:r>
        <w:tab/>
        <w:t>(b)</w:t>
      </w:r>
      <w:r>
        <w:tab/>
        <w:t xml:space="preserve">the definition of </w:t>
      </w:r>
      <w:r>
        <w:rPr>
          <w:b/>
          <w:i/>
        </w:rPr>
        <w:t>stood down</w:t>
      </w:r>
      <w:r>
        <w:t xml:space="preserve"> in section 3(3B) applied accordingly.</w:t>
      </w:r>
    </w:p>
    <w:p>
      <w:pPr>
        <w:pStyle w:val="yFootnotesection"/>
      </w:pPr>
      <w:r>
        <w:tab/>
        <w:t>[Clause 8 inserted: No. 12 of 2025 s. 8.]</w:t>
      </w:r>
    </w:p>
    <w:p>
      <w:pPr>
        <w:pStyle w:val="yHeading5"/>
      </w:pPr>
      <w:bookmarkStart w:id="128" w:name="_Toc216947855"/>
      <w:r>
        <w:rPr>
          <w:rStyle w:val="CharSClsNo"/>
        </w:rPr>
        <w:t>9</w:t>
      </w:r>
      <w:r>
        <w:t>.</w:t>
      </w:r>
      <w:r>
        <w:tab/>
        <w:t>Application of Act to employees on workers compensation before commencement day</w:t>
      </w:r>
      <w:bookmarkEnd w:id="128"/>
    </w:p>
    <w:p>
      <w:pPr>
        <w:pStyle w:val="ySubsection"/>
      </w:pPr>
      <w:r>
        <w:tab/>
        <w:t>(1)</w:t>
      </w:r>
      <w:r>
        <w:tab/>
        <w:t xml:space="preserve">This clause applies in relation to an employee who, before commencement day — </w:t>
      </w:r>
    </w:p>
    <w:p>
      <w:pPr>
        <w:pStyle w:val="yIndenta"/>
      </w:pPr>
      <w:r>
        <w:tab/>
        <w:t>(a)</w:t>
      </w:r>
      <w:r>
        <w:tab/>
        <w:t>was on workers compensation in respect of a day; or</w:t>
      </w:r>
    </w:p>
    <w:p>
      <w:pPr>
        <w:pStyle w:val="yIndenta"/>
      </w:pPr>
      <w:r>
        <w:tab/>
        <w:t>(b)</w:t>
      </w:r>
      <w:r>
        <w:tab/>
        <w:t>was on workers compensation (1981 Act) in respect of a day.</w:t>
      </w:r>
    </w:p>
    <w:p>
      <w:pPr>
        <w:pStyle w:val="ySubsection"/>
      </w:pPr>
      <w:r>
        <w:lastRenderedPageBreak/>
        <w:tab/>
        <w:t>(2)</w:t>
      </w:r>
      <w:r>
        <w:tab/>
        <w:t xml:space="preserve">For the purposes of the Board determining the employee’s entitlement to long service leave under this Act, the Board must apply this Act as if, on that day — </w:t>
      </w:r>
    </w:p>
    <w:p>
      <w:pPr>
        <w:pStyle w:val="yIndenta"/>
      </w:pPr>
      <w:r>
        <w:tab/>
        <w:t>(a)</w:t>
      </w:r>
      <w:r>
        <w:tab/>
        <w:t xml:space="preserve">the definition of </w:t>
      </w:r>
      <w:r>
        <w:rPr>
          <w:b/>
          <w:i/>
        </w:rPr>
        <w:t>day of service</w:t>
      </w:r>
      <w:r>
        <w:t xml:space="preserve"> was as set out in section 3B; and</w:t>
      </w:r>
    </w:p>
    <w:p>
      <w:pPr>
        <w:pStyle w:val="yIndenta"/>
      </w:pPr>
      <w:r>
        <w:tab/>
        <w:t>(b)</w:t>
      </w:r>
      <w:r>
        <w:tab/>
        <w:t xml:space="preserve">the definition of </w:t>
      </w:r>
      <w:r>
        <w:rPr>
          <w:b/>
          <w:i/>
        </w:rPr>
        <w:t xml:space="preserve">on workers compensation </w:t>
      </w:r>
      <w:r>
        <w:t>in section 3(3C) applied accordingly; and</w:t>
      </w:r>
    </w:p>
    <w:p>
      <w:pPr>
        <w:pStyle w:val="yIndenta"/>
      </w:pPr>
      <w:r>
        <w:tab/>
        <w:t>(c)</w:t>
      </w:r>
      <w:r>
        <w:tab/>
        <w:t xml:space="preserve">the reference in section 3(3C)(c) to income compensation under the </w:t>
      </w:r>
      <w:r>
        <w:rPr>
          <w:i/>
        </w:rPr>
        <w:t>Workers Compensation and Injury Management Act 2023</w:t>
      </w:r>
      <w:r>
        <w:t xml:space="preserve"> Part 2 Division 3 included a reference to weekly payments of compensation calculated and varied under the </w:t>
      </w:r>
      <w:r>
        <w:rPr>
          <w:i/>
        </w:rPr>
        <w:t>Workers’ Compensation and Injury Management Act 1981</w:t>
      </w:r>
      <w:r>
        <w:t xml:space="preserve"> Schedule 1.</w:t>
      </w:r>
    </w:p>
    <w:p>
      <w:pPr>
        <w:pStyle w:val="yFootnotesection"/>
      </w:pPr>
      <w:r>
        <w:tab/>
        <w:t>[Clause 9 inserted: No. 12 of 2025 s. 8.]</w:t>
      </w:r>
    </w:p>
    <w:p>
      <w:pPr>
        <w:pStyle w:val="yHeading5"/>
      </w:pPr>
      <w:bookmarkStart w:id="129" w:name="_Toc216947856"/>
      <w:r>
        <w:rPr>
          <w:rStyle w:val="CharSClsNo"/>
        </w:rPr>
        <w:t>10</w:t>
      </w:r>
      <w:r>
        <w:t>.</w:t>
      </w:r>
      <w:r>
        <w:tab/>
        <w:t>Re</w:t>
      </w:r>
      <w:r>
        <w:noBreakHyphen/>
        <w:t>registration of particular employees</w:t>
      </w:r>
      <w:bookmarkEnd w:id="129"/>
    </w:p>
    <w:p>
      <w:pPr>
        <w:pStyle w:val="ySubsection"/>
      </w:pPr>
      <w:r>
        <w:tab/>
        <w:t>(1)</w:t>
      </w:r>
      <w:r>
        <w:tab/>
        <w:t>This clause applies in relation to an employee referred to in clause 8(2) or 9(1).</w:t>
      </w:r>
    </w:p>
    <w:p>
      <w:pPr>
        <w:pStyle w:val="ySubsection"/>
      </w:pPr>
      <w:r>
        <w:tab/>
        <w:t>(2)</w:t>
      </w:r>
      <w:r>
        <w:tab/>
        <w:t>Each day in respect of which the employee was stood down, on workers compensation or on workers compensation (1981 Act) is taken to be a day of service by the employee for the purposes of section 23(1)(a) and (b).</w:t>
      </w:r>
    </w:p>
    <w:p>
      <w:pPr>
        <w:pStyle w:val="ySubsection"/>
      </w:pPr>
      <w:r>
        <w:tab/>
        <w:t>(3)</w:t>
      </w:r>
      <w:r>
        <w:tab/>
        <w:t xml:space="preserve">Subclause (4) applies if — </w:t>
      </w:r>
    </w:p>
    <w:p>
      <w:pPr>
        <w:pStyle w:val="yIndenta"/>
      </w:pPr>
      <w:r>
        <w:tab/>
        <w:t>(a)</w:t>
      </w:r>
      <w:r>
        <w:tab/>
        <w:t>before commencement day, the Board caused the employee’s name to be removed from the employees register under section 23(1); and</w:t>
      </w:r>
    </w:p>
    <w:p>
      <w:pPr>
        <w:pStyle w:val="yIndenta"/>
      </w:pPr>
      <w:r>
        <w:tab/>
        <w:t>(b)</w:t>
      </w:r>
      <w:r>
        <w:tab/>
        <w:t>the employee would have been entitled to remain on the employees register had the provision made by subclause (2) applied at the time of the removal.</w:t>
      </w:r>
    </w:p>
    <w:p>
      <w:pPr>
        <w:pStyle w:val="ySubsection"/>
      </w:pPr>
      <w:r>
        <w:tab/>
        <w:t>(4)</w:t>
      </w:r>
      <w:r>
        <w:tab/>
        <w:t>The Board may cause the employee to be re</w:t>
      </w:r>
      <w:r>
        <w:noBreakHyphen/>
        <w:t>registered on the employees register.</w:t>
      </w:r>
    </w:p>
    <w:p>
      <w:pPr>
        <w:pStyle w:val="ySubsection"/>
      </w:pPr>
      <w:r>
        <w:tab/>
        <w:t>(5)</w:t>
      </w:r>
      <w:r>
        <w:tab/>
        <w:t>If the employee is re</w:t>
      </w:r>
      <w:r>
        <w:noBreakHyphen/>
        <w:t>registered, for the purposes of the Board determining the employee’s entitlement to long service leave under this Act, the Board must apply this Act as if the Board had not caused the employee’s name to be removed.</w:t>
      </w:r>
    </w:p>
    <w:p>
      <w:pPr>
        <w:pStyle w:val="yFootnotesection"/>
      </w:pPr>
      <w:r>
        <w:lastRenderedPageBreak/>
        <w:tab/>
        <w:t>[Clause 10 inserted: No. 12 of 2025 s. 8.]</w:t>
      </w:r>
    </w:p>
    <w:p>
      <w:pPr>
        <w:pStyle w:val="yHeading5"/>
      </w:pPr>
      <w:bookmarkStart w:id="130" w:name="_Toc216947857"/>
      <w:r>
        <w:rPr>
          <w:rStyle w:val="CharSClsNo"/>
        </w:rPr>
        <w:t>11</w:t>
      </w:r>
      <w:r>
        <w:t>.</w:t>
      </w:r>
      <w:r>
        <w:tab/>
        <w:t>Board may set aside decision and make different decision</w:t>
      </w:r>
      <w:bookmarkEnd w:id="130"/>
    </w:p>
    <w:p>
      <w:pPr>
        <w:pStyle w:val="ySubsection"/>
      </w:pPr>
      <w:r>
        <w:tab/>
        <w:t>(1)</w:t>
      </w:r>
      <w:r>
        <w:tab/>
        <w:t xml:space="preserve">This clause applies if — </w:t>
      </w:r>
    </w:p>
    <w:p>
      <w:pPr>
        <w:pStyle w:val="yIndenta"/>
      </w:pPr>
      <w:r>
        <w:tab/>
        <w:t>(a)</w:t>
      </w:r>
      <w:r>
        <w:tab/>
        <w:t xml:space="preserve">before commencement day, the Board made a decision (the </w:t>
      </w:r>
      <w:r>
        <w:rPr>
          <w:rStyle w:val="CharDefText"/>
        </w:rPr>
        <w:t>original decision</w:t>
      </w:r>
      <w:r>
        <w:t>) to pay, not pay, or pay a particular amount of, a lump sum payment under section 22; and</w:t>
      </w:r>
    </w:p>
    <w:p>
      <w:pPr>
        <w:pStyle w:val="yIndenta"/>
      </w:pPr>
      <w:r>
        <w:tab/>
        <w:t>(b)</w:t>
      </w:r>
      <w:r>
        <w:tab/>
        <w:t>as a consequence of this Subdivision, the Board considers a different decision should be made.</w:t>
      </w:r>
    </w:p>
    <w:p>
      <w:pPr>
        <w:pStyle w:val="ySubsection"/>
      </w:pPr>
      <w:r>
        <w:tab/>
        <w:t>(2)</w:t>
      </w:r>
      <w:r>
        <w:tab/>
        <w:t>The Board may, on its own initiative or on the application of any person, set aside the original decision and make the different decision.</w:t>
      </w:r>
    </w:p>
    <w:p>
      <w:pPr>
        <w:pStyle w:val="yFootnotesection"/>
      </w:pPr>
      <w:r>
        <w:tab/>
        <w:t>[Clause 11 inserted: No. 12 of 2025 s. 8.]</w:t>
      </w:r>
    </w:p>
    <w:p>
      <w:pPr>
        <w:pStyle w:val="yHeading4"/>
      </w:pPr>
      <w:bookmarkStart w:id="131" w:name="_Toc207269880"/>
      <w:bookmarkStart w:id="132" w:name="_Toc207269946"/>
      <w:bookmarkStart w:id="133" w:name="_Toc207270347"/>
      <w:bookmarkStart w:id="134" w:name="_Toc216876370"/>
      <w:bookmarkStart w:id="135" w:name="_Toc216876466"/>
      <w:bookmarkStart w:id="136" w:name="_Toc216947858"/>
      <w:r>
        <w:t>Subdivision 3 — Amendments relating to vessels</w:t>
      </w:r>
      <w:bookmarkEnd w:id="131"/>
      <w:bookmarkEnd w:id="132"/>
      <w:bookmarkEnd w:id="133"/>
      <w:bookmarkEnd w:id="134"/>
      <w:bookmarkEnd w:id="135"/>
      <w:bookmarkEnd w:id="136"/>
    </w:p>
    <w:p>
      <w:pPr>
        <w:pStyle w:val="yFootnoteheading"/>
        <w:rPr>
          <w:snapToGrid w:val="0"/>
        </w:rPr>
      </w:pPr>
      <w:bookmarkStart w:id="137" w:name="_Toc207270348"/>
      <w:r>
        <w:tab/>
      </w:r>
      <w:r>
        <w:rPr>
          <w:snapToGrid w:val="0"/>
        </w:rPr>
        <w:t>[Heading inserted: No. 12 of 2025 s. 18.]</w:t>
      </w:r>
    </w:p>
    <w:p>
      <w:pPr>
        <w:pStyle w:val="yHeading5"/>
      </w:pPr>
      <w:bookmarkStart w:id="138" w:name="_Toc216947859"/>
      <w:r>
        <w:rPr>
          <w:rStyle w:val="CharSClsNo"/>
        </w:rPr>
        <w:t>12</w:t>
      </w:r>
      <w:r>
        <w:t>.</w:t>
      </w:r>
      <w:r>
        <w:tab/>
        <w:t>Terms used</w:t>
      </w:r>
      <w:bookmarkEnd w:id="137"/>
      <w:bookmarkEnd w:id="138"/>
    </w:p>
    <w:p>
      <w:pPr>
        <w:pStyle w:val="ySubsection"/>
      </w:pPr>
      <w:r>
        <w:tab/>
      </w:r>
      <w:r>
        <w:tab/>
        <w:t xml:space="preserve">In this Subdivision — </w:t>
      </w:r>
    </w:p>
    <w:p>
      <w:pPr>
        <w:pStyle w:val="yDefstart"/>
      </w:pPr>
      <w:r>
        <w:tab/>
      </w:r>
      <w:r>
        <w:rPr>
          <w:rStyle w:val="CharDefText"/>
        </w:rPr>
        <w:t>amendment Act</w:t>
      </w:r>
      <w:r>
        <w:t xml:space="preserve"> means the </w:t>
      </w:r>
      <w:r>
        <w:rPr>
          <w:i/>
        </w:rPr>
        <w:t>Construction Industry Portable Paid Long Service Leave Amendment Act 2025</w:t>
      </w:r>
      <w:r>
        <w:rPr>
          <w:iCs/>
        </w:rPr>
        <w:t>;</w:t>
      </w:r>
    </w:p>
    <w:p>
      <w:pPr>
        <w:pStyle w:val="yDefstart"/>
      </w:pPr>
      <w:r>
        <w:tab/>
      </w:r>
      <w:r>
        <w:rPr>
          <w:rStyle w:val="CharDefText"/>
        </w:rPr>
        <w:t>commencement day</w:t>
      </w:r>
      <w:r>
        <w:t xml:space="preserve"> means the day on which the amendment Act section 18 comes into operation;</w:t>
      </w:r>
    </w:p>
    <w:p>
      <w:pPr>
        <w:pStyle w:val="yDefstart"/>
      </w:pPr>
      <w:r>
        <w:tab/>
      </w:r>
      <w:r>
        <w:rPr>
          <w:rStyle w:val="CharDefText"/>
        </w:rPr>
        <w:t>relevant day</w:t>
      </w:r>
      <w:r>
        <w:t xml:space="preserve"> has the meaning given in clause 13(2);</w:t>
      </w:r>
    </w:p>
    <w:p>
      <w:pPr>
        <w:pStyle w:val="yDefstart"/>
      </w:pPr>
      <w:r>
        <w:tab/>
      </w:r>
      <w:r>
        <w:rPr>
          <w:rStyle w:val="CharDefText"/>
        </w:rPr>
        <w:t>vessel</w:t>
      </w:r>
      <w:r>
        <w:rPr>
          <w:rStyle w:val="CharDefText"/>
        </w:rPr>
        <w:noBreakHyphen/>
        <w:t>related person</w:t>
      </w:r>
      <w:r>
        <w:t xml:space="preserve"> has the meaning given in clause 13(2).</w:t>
      </w:r>
    </w:p>
    <w:p>
      <w:pPr>
        <w:pStyle w:val="yFootnotesection"/>
      </w:pPr>
      <w:bookmarkStart w:id="139" w:name="_Toc207270349"/>
      <w:r>
        <w:tab/>
        <w:t>[Clause 12 inserted: No. 12 of 2025 s. 18.]</w:t>
      </w:r>
    </w:p>
    <w:p>
      <w:pPr>
        <w:pStyle w:val="yHeading5"/>
      </w:pPr>
      <w:bookmarkStart w:id="140" w:name="_Toc216947860"/>
      <w:r>
        <w:rPr>
          <w:rStyle w:val="CharSClsNo"/>
        </w:rPr>
        <w:t>13</w:t>
      </w:r>
      <w:r>
        <w:t>.</w:t>
      </w:r>
      <w:r>
        <w:tab/>
        <w:t>Vessel</w:t>
      </w:r>
      <w:r>
        <w:noBreakHyphen/>
        <w:t>related person taken to be employee</w:t>
      </w:r>
      <w:bookmarkEnd w:id="139"/>
      <w:bookmarkEnd w:id="140"/>
    </w:p>
    <w:p>
      <w:pPr>
        <w:pStyle w:val="ySubsection"/>
      </w:pPr>
      <w:r>
        <w:tab/>
        <w:t>(1)</w:t>
      </w:r>
      <w:r>
        <w:tab/>
        <w:t xml:space="preserve">In this clause — </w:t>
      </w:r>
    </w:p>
    <w:p>
      <w:pPr>
        <w:pStyle w:val="yDefstart"/>
      </w:pPr>
      <w:r>
        <w:tab/>
      </w:r>
      <w:r>
        <w:rPr>
          <w:rStyle w:val="CharDefText"/>
        </w:rPr>
        <w:t>former</w:t>
      </w:r>
      <w:r>
        <w:t xml:space="preserve">, in relation to the definition of </w:t>
      </w:r>
      <w:r>
        <w:rPr>
          <w:b/>
          <w:i/>
        </w:rPr>
        <w:t>construction industry</w:t>
      </w:r>
      <w:r>
        <w:t xml:space="preserve">, means the definition of </w:t>
      </w:r>
      <w:r>
        <w:rPr>
          <w:b/>
          <w:i/>
        </w:rPr>
        <w:t>construction industry</w:t>
      </w:r>
      <w:r>
        <w:t xml:space="preserve"> in section 3(1) as in force before commencement day.</w:t>
      </w:r>
    </w:p>
    <w:p>
      <w:pPr>
        <w:pStyle w:val="ySubsection"/>
      </w:pPr>
      <w:r>
        <w:tab/>
        <w:t>(2)</w:t>
      </w:r>
      <w:r>
        <w:tab/>
        <w:t xml:space="preserve">A person (a </w:t>
      </w:r>
      <w:r>
        <w:rPr>
          <w:rStyle w:val="CharDefText"/>
        </w:rPr>
        <w:t>vessel</w:t>
      </w:r>
      <w:r>
        <w:rPr>
          <w:rStyle w:val="CharDefText"/>
        </w:rPr>
        <w:noBreakHyphen/>
        <w:t>related person</w:t>
      </w:r>
      <w:r>
        <w:t xml:space="preserve">) is taken to have been an employee on a day (a </w:t>
      </w:r>
      <w:r>
        <w:rPr>
          <w:rStyle w:val="CharDefText"/>
        </w:rPr>
        <w:t>relevant day</w:t>
      </w:r>
      <w:r>
        <w:t xml:space="preserve">) before commencement day if, but for the operation of paragraph (d) of the former definition of </w:t>
      </w:r>
      <w:r>
        <w:rPr>
          <w:b/>
          <w:i/>
        </w:rPr>
        <w:t xml:space="preserve">construction </w:t>
      </w:r>
      <w:r>
        <w:rPr>
          <w:b/>
          <w:i/>
        </w:rPr>
        <w:lastRenderedPageBreak/>
        <w:t>industry</w:t>
      </w:r>
      <w:r>
        <w:t>, the person would have been considered an employee on the relevant day.</w:t>
      </w:r>
    </w:p>
    <w:p>
      <w:pPr>
        <w:pStyle w:val="ySubsection"/>
      </w:pPr>
      <w:r>
        <w:tab/>
        <w:t>(3)</w:t>
      </w:r>
      <w:r>
        <w:tab/>
        <w:t>The references in this Subdivision to day of service and employer in respect of the vessel</w:t>
      </w:r>
      <w:r>
        <w:noBreakHyphen/>
        <w:t>related person are to be read accordingly.</w:t>
      </w:r>
    </w:p>
    <w:p>
      <w:pPr>
        <w:pStyle w:val="ySubsection"/>
      </w:pPr>
      <w:r>
        <w:tab/>
        <w:t>(4)</w:t>
      </w:r>
      <w:r>
        <w:tab/>
        <w:t>This clause applies subject to clauses 14 and 15.</w:t>
      </w:r>
    </w:p>
    <w:p>
      <w:pPr>
        <w:pStyle w:val="yFootnotesection"/>
      </w:pPr>
      <w:bookmarkStart w:id="141" w:name="_Toc207270350"/>
      <w:r>
        <w:tab/>
        <w:t>[Clause 13 inserted: No. 12 of 2025 s. 18.]</w:t>
      </w:r>
    </w:p>
    <w:p>
      <w:pPr>
        <w:pStyle w:val="yHeading5"/>
      </w:pPr>
      <w:bookmarkStart w:id="142" w:name="_Toc216947861"/>
      <w:r>
        <w:rPr>
          <w:rStyle w:val="CharSClsNo"/>
        </w:rPr>
        <w:t>14</w:t>
      </w:r>
      <w:r>
        <w:t>.</w:t>
      </w:r>
      <w:r>
        <w:tab/>
        <w:t>Days of service for particular vessel</w:t>
      </w:r>
      <w:r>
        <w:noBreakHyphen/>
        <w:t>related persons</w:t>
      </w:r>
      <w:bookmarkEnd w:id="141"/>
      <w:bookmarkEnd w:id="142"/>
    </w:p>
    <w:p>
      <w:pPr>
        <w:pStyle w:val="ySubsection"/>
      </w:pPr>
      <w:r>
        <w:tab/>
        <w:t>(1)</w:t>
      </w:r>
      <w:r>
        <w:tab/>
        <w:t xml:space="preserve">This clause applies if, before commencement day — </w:t>
      </w:r>
    </w:p>
    <w:p>
      <w:pPr>
        <w:pStyle w:val="yIndenta"/>
      </w:pPr>
      <w:r>
        <w:tab/>
        <w:t>(a)</w:t>
      </w:r>
      <w:r>
        <w:tab/>
        <w:t>a day of service was undertaken by a vessel</w:t>
      </w:r>
      <w:r>
        <w:noBreakHyphen/>
        <w:t>related person on a relevant day; and</w:t>
      </w:r>
    </w:p>
    <w:p>
      <w:pPr>
        <w:pStyle w:val="yIndenta"/>
      </w:pPr>
      <w:r>
        <w:tab/>
        <w:t>(b)</w:t>
      </w:r>
      <w:r>
        <w:tab/>
        <w:t xml:space="preserve">the person’s employer for the relevant day — </w:t>
      </w:r>
    </w:p>
    <w:p>
      <w:pPr>
        <w:pStyle w:val="yIndenti0"/>
      </w:pPr>
      <w:r>
        <w:tab/>
        <w:t>(i)</w:t>
      </w:r>
      <w:r>
        <w:tab/>
        <w:t>made a payment of an amount to the Board in respect of the person for the day; and</w:t>
      </w:r>
    </w:p>
    <w:p>
      <w:pPr>
        <w:pStyle w:val="yIndenti0"/>
      </w:pPr>
      <w:r>
        <w:tab/>
        <w:t>(ii)</w:t>
      </w:r>
      <w:r>
        <w:tab/>
        <w:t>did not receive a refund of the amount.</w:t>
      </w:r>
    </w:p>
    <w:p>
      <w:pPr>
        <w:pStyle w:val="ySubsection"/>
      </w:pPr>
      <w:r>
        <w:tab/>
        <w:t>(2)</w:t>
      </w:r>
      <w:r>
        <w:tab/>
        <w:t>The relevant day is taken to be a day of service as an employee for the purposes of the Board determining the vessel</w:t>
      </w:r>
      <w:r>
        <w:noBreakHyphen/>
        <w:t>related person’s entitlement to long service leave under this Act.</w:t>
      </w:r>
    </w:p>
    <w:p>
      <w:pPr>
        <w:pStyle w:val="PermNoteHeading"/>
      </w:pPr>
      <w:r>
        <w:tab/>
        <w:t>Note for this clause:</w:t>
      </w:r>
    </w:p>
    <w:p>
      <w:pPr>
        <w:pStyle w:val="PermNoteText"/>
      </w:pPr>
      <w:r>
        <w:tab/>
      </w:r>
      <w:r>
        <w:tab/>
        <w:t>See Subdivision 2 for transitional provisions about days of service for employees stood down and for employees on workers compensation.</w:t>
      </w:r>
    </w:p>
    <w:p>
      <w:pPr>
        <w:pStyle w:val="yFootnotesection"/>
      </w:pPr>
      <w:bookmarkStart w:id="143" w:name="_Toc207270351"/>
      <w:r>
        <w:tab/>
        <w:t>[Clause 14 inserted: No. 12 of 2025 s. 18.]</w:t>
      </w:r>
    </w:p>
    <w:p>
      <w:pPr>
        <w:pStyle w:val="yHeading5"/>
      </w:pPr>
      <w:bookmarkStart w:id="144" w:name="_Toc216947862"/>
      <w:r>
        <w:rPr>
          <w:rStyle w:val="CharSClsNo"/>
        </w:rPr>
        <w:t>15</w:t>
      </w:r>
      <w:r>
        <w:t>.</w:t>
      </w:r>
      <w:r>
        <w:tab/>
        <w:t>Re</w:t>
      </w:r>
      <w:r>
        <w:noBreakHyphen/>
        <w:t>registration of particular vessel</w:t>
      </w:r>
      <w:r>
        <w:noBreakHyphen/>
        <w:t>related persons</w:t>
      </w:r>
      <w:bookmarkEnd w:id="143"/>
      <w:bookmarkEnd w:id="144"/>
    </w:p>
    <w:p>
      <w:pPr>
        <w:pStyle w:val="ySubsection"/>
      </w:pPr>
      <w:r>
        <w:tab/>
        <w:t>(1)</w:t>
      </w:r>
      <w:r>
        <w:tab/>
        <w:t>Subclause (3) applies to a relevant day before commencement day on which a day of service was undertaken by a vessel</w:t>
      </w:r>
      <w:r>
        <w:noBreakHyphen/>
        <w:t xml:space="preserve">related person if, before commencement day — </w:t>
      </w:r>
    </w:p>
    <w:p>
      <w:pPr>
        <w:pStyle w:val="yIndenta"/>
      </w:pPr>
      <w:r>
        <w:tab/>
        <w:t>(a)</w:t>
      </w:r>
      <w:r>
        <w:tab/>
        <w:t xml:space="preserve">the person’s employer for the day — </w:t>
      </w:r>
    </w:p>
    <w:p>
      <w:pPr>
        <w:pStyle w:val="yIndenti0"/>
      </w:pPr>
      <w:r>
        <w:tab/>
        <w:t>(i)</w:t>
      </w:r>
      <w:r>
        <w:tab/>
        <w:t>paid an amount to the Board in respect of the vessel</w:t>
      </w:r>
      <w:r>
        <w:noBreakHyphen/>
        <w:t>related person for the day; and</w:t>
      </w:r>
    </w:p>
    <w:p>
      <w:pPr>
        <w:pStyle w:val="yIndenti0"/>
      </w:pPr>
      <w:r>
        <w:tab/>
        <w:t>(ii)</w:t>
      </w:r>
      <w:r>
        <w:tab/>
        <w:t>received a refund of the amount;</w:t>
      </w:r>
    </w:p>
    <w:p>
      <w:pPr>
        <w:pStyle w:val="yIndenta"/>
      </w:pPr>
      <w:r>
        <w:tab/>
      </w:r>
      <w:r>
        <w:tab/>
        <w:t>and</w:t>
      </w:r>
    </w:p>
    <w:p>
      <w:pPr>
        <w:pStyle w:val="yIndenta"/>
      </w:pPr>
      <w:r>
        <w:lastRenderedPageBreak/>
        <w:tab/>
        <w:t>(b)</w:t>
      </w:r>
      <w:r>
        <w:tab/>
        <w:t>the Board removed from its records the day as a day of service for the person.</w:t>
      </w:r>
    </w:p>
    <w:p>
      <w:pPr>
        <w:pStyle w:val="ySubsection"/>
      </w:pPr>
      <w:r>
        <w:tab/>
        <w:t>(2)</w:t>
      </w:r>
      <w:r>
        <w:tab/>
        <w:t>Subclause (3) also applies to a relevant day referred to in clause 14 on which a day of service was undertaken by a vessel</w:t>
      </w:r>
      <w:r>
        <w:noBreakHyphen/>
        <w:t>related person.</w:t>
      </w:r>
    </w:p>
    <w:p>
      <w:pPr>
        <w:pStyle w:val="ySubsection"/>
      </w:pPr>
      <w:r>
        <w:tab/>
        <w:t>(3)</w:t>
      </w:r>
      <w:r>
        <w:tab/>
        <w:t>The relevant day is taken to be a day of service by the employee for the purposes of section 23(1)(a) and (b).</w:t>
      </w:r>
    </w:p>
    <w:p>
      <w:pPr>
        <w:pStyle w:val="ySubsection"/>
      </w:pPr>
      <w:r>
        <w:tab/>
        <w:t>(4)</w:t>
      </w:r>
      <w:r>
        <w:tab/>
        <w:t xml:space="preserve">Subclause (5) applies if — </w:t>
      </w:r>
    </w:p>
    <w:p>
      <w:pPr>
        <w:pStyle w:val="yIndenta"/>
      </w:pPr>
      <w:r>
        <w:tab/>
        <w:t>(a)</w:t>
      </w:r>
      <w:r>
        <w:tab/>
        <w:t>before commencement day, the Board caused the vessel</w:t>
      </w:r>
      <w:r>
        <w:noBreakHyphen/>
        <w:t>related person’s name to be removed from the employees register under section 23(1); and</w:t>
      </w:r>
    </w:p>
    <w:p>
      <w:pPr>
        <w:pStyle w:val="yIndenta"/>
      </w:pPr>
      <w:r>
        <w:tab/>
        <w:t>(b)</w:t>
      </w:r>
      <w:r>
        <w:tab/>
        <w:t>the person would have been entitled to remain on the employees register had the provision made by subclause (3) applied at the time of the removal.</w:t>
      </w:r>
    </w:p>
    <w:p>
      <w:pPr>
        <w:pStyle w:val="ySubsection"/>
      </w:pPr>
      <w:r>
        <w:tab/>
        <w:t>(5)</w:t>
      </w:r>
      <w:r>
        <w:tab/>
        <w:t>The Board may cause the vessel</w:t>
      </w:r>
      <w:r>
        <w:noBreakHyphen/>
        <w:t>related person to be re</w:t>
      </w:r>
      <w:r>
        <w:noBreakHyphen/>
        <w:t>registered on the employees register.</w:t>
      </w:r>
    </w:p>
    <w:p>
      <w:pPr>
        <w:pStyle w:val="ySubsection"/>
      </w:pPr>
      <w:r>
        <w:tab/>
        <w:t>(6)</w:t>
      </w:r>
      <w:r>
        <w:tab/>
        <w:t>If the vessel</w:t>
      </w:r>
      <w:r>
        <w:noBreakHyphen/>
        <w:t>related person is re</w:t>
      </w:r>
      <w:r>
        <w:noBreakHyphen/>
        <w:t>registered, for the purposes of the Board determining the person’s entitlement to long service leave under this Act, the Board must apply this Act as if the Board had not caused the person’s name to be removed.</w:t>
      </w:r>
    </w:p>
    <w:p>
      <w:pPr>
        <w:pStyle w:val="yFootnotesection"/>
      </w:pPr>
      <w:bookmarkStart w:id="145" w:name="_Toc207270352"/>
      <w:r>
        <w:tab/>
        <w:t>[Clause 15 inserted: No. 12 of 2025 s. 18.]</w:t>
      </w:r>
    </w:p>
    <w:p>
      <w:pPr>
        <w:pStyle w:val="yHeading5"/>
      </w:pPr>
      <w:bookmarkStart w:id="146" w:name="_Toc216947863"/>
      <w:r>
        <w:rPr>
          <w:rStyle w:val="CharSClsNo"/>
        </w:rPr>
        <w:t>16</w:t>
      </w:r>
      <w:r>
        <w:t>.</w:t>
      </w:r>
      <w:r>
        <w:tab/>
        <w:t>Particular payments before commencement day taken to have been made under s. 34</w:t>
      </w:r>
      <w:bookmarkEnd w:id="145"/>
      <w:bookmarkEnd w:id="146"/>
    </w:p>
    <w:p>
      <w:pPr>
        <w:pStyle w:val="ySubsection"/>
      </w:pPr>
      <w:r>
        <w:tab/>
        <w:t>(1)</w:t>
      </w:r>
      <w:r>
        <w:tab/>
        <w:t xml:space="preserve">This clause applies if, before commencement day — </w:t>
      </w:r>
    </w:p>
    <w:p>
      <w:pPr>
        <w:pStyle w:val="yIndenta"/>
      </w:pPr>
      <w:r>
        <w:tab/>
        <w:t>(a)</w:t>
      </w:r>
      <w:r>
        <w:tab/>
        <w:t>an employer made a payment of an amount to the Board in respect of a vessel</w:t>
      </w:r>
      <w:r>
        <w:noBreakHyphen/>
        <w:t xml:space="preserve">related person employed by the employer; and </w:t>
      </w:r>
    </w:p>
    <w:p>
      <w:pPr>
        <w:pStyle w:val="yIndenta"/>
      </w:pPr>
      <w:r>
        <w:tab/>
        <w:t>(b)</w:t>
      </w:r>
      <w:r>
        <w:tab/>
        <w:t>the payment was not refunded.</w:t>
      </w:r>
    </w:p>
    <w:p>
      <w:pPr>
        <w:pStyle w:val="ySubsection"/>
      </w:pPr>
      <w:r>
        <w:tab/>
        <w:t>(2)</w:t>
      </w:r>
      <w:r>
        <w:tab/>
        <w:t>The payment is taken to have been made under section 34(1).</w:t>
      </w:r>
    </w:p>
    <w:p>
      <w:pPr>
        <w:pStyle w:val="yFootnotesection"/>
      </w:pPr>
      <w:bookmarkStart w:id="147" w:name="_Toc207270353"/>
      <w:r>
        <w:tab/>
        <w:t>[Clause 16 inserted: No. 12 of 2025 s. 18.]</w:t>
      </w:r>
    </w:p>
    <w:p>
      <w:pPr>
        <w:pStyle w:val="yHeading5"/>
      </w:pPr>
      <w:bookmarkStart w:id="148" w:name="_Toc216947864"/>
      <w:r>
        <w:rPr>
          <w:rStyle w:val="CharSClsNo"/>
        </w:rPr>
        <w:t>17</w:t>
      </w:r>
      <w:r>
        <w:t>.</w:t>
      </w:r>
      <w:r>
        <w:tab/>
        <w:t>Board may set aside decision and make different decision</w:t>
      </w:r>
      <w:bookmarkEnd w:id="147"/>
      <w:bookmarkEnd w:id="148"/>
    </w:p>
    <w:p>
      <w:pPr>
        <w:pStyle w:val="ySubsection"/>
      </w:pPr>
      <w:r>
        <w:tab/>
        <w:t>(1)</w:t>
      </w:r>
      <w:r>
        <w:tab/>
        <w:t xml:space="preserve">This clause applies if — </w:t>
      </w:r>
    </w:p>
    <w:p>
      <w:pPr>
        <w:pStyle w:val="yIndenta"/>
      </w:pPr>
      <w:r>
        <w:lastRenderedPageBreak/>
        <w:tab/>
        <w:t>(a)</w:t>
      </w:r>
      <w:r>
        <w:tab/>
        <w:t xml:space="preserve">before commencement day, the Board made a decision (the </w:t>
      </w:r>
      <w:r>
        <w:rPr>
          <w:rStyle w:val="CharDefText"/>
        </w:rPr>
        <w:t>original decision</w:t>
      </w:r>
      <w:r>
        <w:t>) to pay, not pay, or pay a particular amount of, a lump sum payment under section 22; and</w:t>
      </w:r>
    </w:p>
    <w:p>
      <w:pPr>
        <w:pStyle w:val="yIndenta"/>
      </w:pPr>
      <w:r>
        <w:tab/>
        <w:t>(b)</w:t>
      </w:r>
      <w:r>
        <w:tab/>
        <w:t>as a consequence of this Subdivision, the Board considers a different decision should be made.</w:t>
      </w:r>
    </w:p>
    <w:p>
      <w:pPr>
        <w:pStyle w:val="ySubsection"/>
      </w:pPr>
      <w:r>
        <w:tab/>
        <w:t>(2)</w:t>
      </w:r>
      <w:r>
        <w:tab/>
        <w:t>The Board may, on its own initiative or on the application of any person, set aside the original decision and make the different decision.</w:t>
      </w:r>
    </w:p>
    <w:p>
      <w:pPr>
        <w:pStyle w:val="yFootnotesection"/>
      </w:pPr>
      <w:r>
        <w:tab/>
        <w:t>[Clause 17 inserted: No. 12 of 2025 s. 18.]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50" w:name="_Toc216874934"/>
      <w:bookmarkStart w:id="151" w:name="_Toc216875368"/>
      <w:bookmarkStart w:id="152" w:name="_Toc216876377"/>
      <w:bookmarkStart w:id="153" w:name="_Toc216876473"/>
      <w:bookmarkStart w:id="154" w:name="_Toc216947865"/>
      <w:bookmarkStart w:id="155" w:name="_Toc216874938"/>
      <w:r>
        <w:lastRenderedPageBreak/>
        <w:t>Notes</w:t>
      </w:r>
      <w:bookmarkEnd w:id="150"/>
      <w:bookmarkEnd w:id="151"/>
      <w:bookmarkEnd w:id="152"/>
      <w:bookmarkEnd w:id="153"/>
      <w:bookmarkEnd w:id="154"/>
    </w:p>
    <w:p>
      <w:pPr>
        <w:pStyle w:val="nStatement"/>
      </w:pPr>
      <w:r>
        <w:t xml:space="preserve">This is a compilation of the </w:t>
      </w:r>
      <w:r>
        <w:rPr>
          <w:i/>
          <w:noProof/>
        </w:rPr>
        <w:t>Construction Industry Portable Paid Long Service Leave Act 1985</w:t>
      </w:r>
      <w:r>
        <w:t xml:space="preserve"> and includes amendments made by other written laws</w:t>
      </w:r>
      <w:r>
        <w:rPr>
          <w:snapToGrid w:val="0"/>
          <w:vertAlign w:val="superscript"/>
        </w:rPr>
        <w:t> 2</w:t>
      </w:r>
      <w:r>
        <w:t>. For provisions that have come into operation, and for information about any reprints, see the compilation table.</w:t>
      </w:r>
    </w:p>
    <w:p>
      <w:pPr>
        <w:pStyle w:val="nHeading3"/>
      </w:pPr>
      <w:bookmarkStart w:id="156" w:name="_Toc216947866"/>
      <w:r>
        <w:t>Compilation table</w:t>
      </w:r>
      <w:bookmarkEnd w:id="156"/>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7"/>
        <w:gridCol w:w="1107"/>
        <w:gridCol w:w="27"/>
        <w:gridCol w:w="2525"/>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Construction Industry </w:t>
            </w:r>
            <w:r>
              <w:rPr>
                <w:i/>
                <w:noProof/>
              </w:rPr>
              <w:t>Portable</w:t>
            </w:r>
            <w:r>
              <w:rPr>
                <w:i/>
              </w:rPr>
              <w:t xml:space="preserve"> Paid Long Service Leave Act 1985</w:t>
            </w:r>
          </w:p>
        </w:tc>
        <w:tc>
          <w:tcPr>
            <w:tcW w:w="1133" w:type="dxa"/>
            <w:gridSpan w:val="2"/>
          </w:tcPr>
          <w:p>
            <w:pPr>
              <w:pStyle w:val="nTable"/>
              <w:spacing w:after="40"/>
            </w:pPr>
            <w:r>
              <w:t>72 of 1985</w:t>
            </w:r>
          </w:p>
        </w:tc>
        <w:tc>
          <w:tcPr>
            <w:tcW w:w="1134" w:type="dxa"/>
            <w:gridSpan w:val="2"/>
          </w:tcPr>
          <w:p>
            <w:pPr>
              <w:pStyle w:val="nTable"/>
              <w:spacing w:after="40"/>
            </w:pPr>
            <w:r>
              <w:t>13 Dec 1985</w:t>
            </w:r>
          </w:p>
        </w:tc>
        <w:tc>
          <w:tcPr>
            <w:tcW w:w="2552" w:type="dxa"/>
            <w:gridSpan w:val="2"/>
          </w:tcPr>
          <w:p>
            <w:pPr>
              <w:pStyle w:val="nTable"/>
              <w:spacing w:after="40"/>
            </w:pPr>
            <w:r>
              <w:t>s. 1 and 2: 13 Dec 1985;</w:t>
            </w:r>
            <w:r>
              <w:br/>
              <w:t xml:space="preserve">Act other than s. 1 and 2: 19 Dec 1986 (see s. 2 and </w:t>
            </w:r>
            <w:r>
              <w:rPr>
                <w:i/>
              </w:rPr>
              <w:t>Gazette</w:t>
            </w:r>
            <w:r>
              <w:t xml:space="preserve"> 19 Dec 1986 p. 4860)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Acts Amendment (Financial </w:t>
            </w:r>
            <w:r>
              <w:rPr>
                <w:i/>
                <w:noProof/>
              </w:rPr>
              <w:t>Administration</w:t>
            </w:r>
            <w:r>
              <w:rPr>
                <w:i/>
              </w:rPr>
              <w:t xml:space="preserve"> and Audit) Act 1986</w:t>
            </w:r>
            <w:r>
              <w:t xml:space="preserve"> s. 4</w:t>
            </w:r>
          </w:p>
        </w:tc>
        <w:tc>
          <w:tcPr>
            <w:tcW w:w="1133" w:type="dxa"/>
            <w:gridSpan w:val="2"/>
          </w:tcPr>
          <w:p>
            <w:pPr>
              <w:pStyle w:val="nTable"/>
              <w:spacing w:after="40"/>
            </w:pPr>
            <w:r>
              <w:t>4 of 1986</w:t>
            </w:r>
          </w:p>
        </w:tc>
        <w:tc>
          <w:tcPr>
            <w:tcW w:w="1134" w:type="dxa"/>
            <w:gridSpan w:val="2"/>
          </w:tcPr>
          <w:p>
            <w:pPr>
              <w:pStyle w:val="nTable"/>
              <w:spacing w:after="40"/>
            </w:pPr>
            <w:r>
              <w:t>27 Jun 1986</w:t>
            </w:r>
          </w:p>
        </w:tc>
        <w:tc>
          <w:tcPr>
            <w:tcW w:w="2552" w:type="dxa"/>
            <w:gridSpan w:val="2"/>
          </w:tcPr>
          <w:p>
            <w:pPr>
              <w:pStyle w:val="nTable"/>
              <w:spacing w:after="40"/>
            </w:pPr>
            <w:r>
              <w:t>1 </w:t>
            </w:r>
            <w:r>
              <w:rPr>
                <w:snapToGrid w:val="0"/>
              </w:rPr>
              <w:t>Jul</w:t>
            </w:r>
            <w:r>
              <w:t xml:space="preserve"> 1986 (see s. 2 and </w:t>
            </w:r>
            <w:r>
              <w:rPr>
                <w:i/>
                <w:iCs/>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Construction Industry Portable Paid Long Service Leave Amendment Act 1989</w:t>
            </w:r>
            <w:r>
              <w:rPr>
                <w:iCs/>
                <w:vertAlign w:val="superscript"/>
              </w:rPr>
              <w:t> 1</w:t>
            </w:r>
          </w:p>
        </w:tc>
        <w:tc>
          <w:tcPr>
            <w:tcW w:w="1133" w:type="dxa"/>
            <w:gridSpan w:val="2"/>
          </w:tcPr>
          <w:p>
            <w:pPr>
              <w:pStyle w:val="nTable"/>
              <w:spacing w:after="40"/>
            </w:pPr>
            <w:r>
              <w:t>30 of 1989</w:t>
            </w:r>
          </w:p>
        </w:tc>
        <w:tc>
          <w:tcPr>
            <w:tcW w:w="1134" w:type="dxa"/>
            <w:gridSpan w:val="2"/>
          </w:tcPr>
          <w:p>
            <w:pPr>
              <w:pStyle w:val="nTable"/>
              <w:spacing w:after="40"/>
            </w:pPr>
            <w:r>
              <w:t>12 Dec 1989</w:t>
            </w:r>
          </w:p>
        </w:tc>
        <w:tc>
          <w:tcPr>
            <w:tcW w:w="2552" w:type="dxa"/>
            <w:gridSpan w:val="2"/>
          </w:tcPr>
          <w:p>
            <w:pPr>
              <w:pStyle w:val="nTable"/>
              <w:spacing w:after="40"/>
            </w:pPr>
            <w:r>
              <w:t>s. 1 and 2: 12 Dec 1989;</w:t>
            </w:r>
            <w:r>
              <w:br/>
              <w:t xml:space="preserve">Act other than s. 1 and 2: 29 Dec 1989 (see s. 2 and </w:t>
            </w:r>
            <w:r>
              <w:rPr>
                <w:i/>
              </w:rPr>
              <w:t>Gazette</w:t>
            </w:r>
            <w:r>
              <w:t xml:space="preserve"> 29 Dec 1989 p. 4665)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Financial Administration </w:t>
            </w:r>
            <w:r>
              <w:rPr>
                <w:i/>
                <w:noProof/>
              </w:rPr>
              <w:t>Legislation</w:t>
            </w:r>
            <w:r>
              <w:rPr>
                <w:i/>
              </w:rPr>
              <w:t xml:space="preserve"> Amendment Act 1993</w:t>
            </w:r>
            <w:r>
              <w:t xml:space="preserve"> s. 11</w:t>
            </w:r>
          </w:p>
        </w:tc>
        <w:tc>
          <w:tcPr>
            <w:tcW w:w="1133" w:type="dxa"/>
            <w:gridSpan w:val="2"/>
          </w:tcPr>
          <w:p>
            <w:pPr>
              <w:pStyle w:val="nTable"/>
              <w:spacing w:after="40"/>
            </w:pPr>
            <w:r>
              <w:t>6 of 1993</w:t>
            </w:r>
          </w:p>
        </w:tc>
        <w:tc>
          <w:tcPr>
            <w:tcW w:w="1134" w:type="dxa"/>
            <w:gridSpan w:val="2"/>
          </w:tcPr>
          <w:p>
            <w:pPr>
              <w:pStyle w:val="nTable"/>
              <w:spacing w:after="40"/>
            </w:pPr>
            <w:r>
              <w:t>27 Aug 1993</w:t>
            </w:r>
          </w:p>
        </w:tc>
        <w:tc>
          <w:tcPr>
            <w:tcW w:w="2552" w:type="dxa"/>
            <w:gridSpan w:val="2"/>
          </w:tcPr>
          <w:p>
            <w:pPr>
              <w:pStyle w:val="nTable"/>
              <w:spacing w:after="40"/>
            </w:pPr>
            <w:r>
              <w:t>1 </w:t>
            </w:r>
            <w:r>
              <w:rPr>
                <w:snapToGrid w:val="0"/>
              </w:rPr>
              <w:t>Jul</w:t>
            </w:r>
            <w:r>
              <w:t> 1993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Acts Amendment (Public </w:t>
            </w:r>
            <w:r>
              <w:rPr>
                <w:i/>
                <w:noProof/>
              </w:rPr>
              <w:t>Sector</w:t>
            </w:r>
            <w:r>
              <w:rPr>
                <w:i/>
              </w:rPr>
              <w:t xml:space="preserve"> Management) Act 1994</w:t>
            </w:r>
            <w:r>
              <w:t xml:space="preserve"> s. 3(2)</w:t>
            </w:r>
          </w:p>
        </w:tc>
        <w:tc>
          <w:tcPr>
            <w:tcW w:w="1133"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1 </w:t>
            </w:r>
            <w:r>
              <w:rPr>
                <w:snapToGrid w:val="0"/>
              </w:rPr>
              <w:t>Oct</w:t>
            </w:r>
            <w:r>
              <w:t xml:space="preserve">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Local Government (</w:t>
            </w:r>
            <w:r>
              <w:rPr>
                <w:i/>
                <w:noProof/>
              </w:rPr>
              <w:t>Consequential</w:t>
            </w:r>
            <w:r>
              <w:rPr>
                <w:i/>
              </w:rPr>
              <w:t xml:space="preserve"> Amendments) Act 1996</w:t>
            </w:r>
            <w:r>
              <w:t xml:space="preserve"> s. 4</w:t>
            </w:r>
          </w:p>
        </w:tc>
        <w:tc>
          <w:tcPr>
            <w:tcW w:w="1133"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w:t>
            </w:r>
            <w:r>
              <w:rPr>
                <w:snapToGrid w:val="0"/>
              </w:rPr>
              <w:t>Jul</w:t>
            </w:r>
            <w:r>
              <w:t> 1996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noProof/>
              </w:rPr>
              <w:t>Financial</w:t>
            </w:r>
            <w:r>
              <w:rPr>
                <w:i/>
              </w:rPr>
              <w:t xml:space="preserve"> Legislation Amendment Act 1996</w:t>
            </w:r>
            <w:r>
              <w:t xml:space="preserve"> s. 64</w:t>
            </w:r>
          </w:p>
        </w:tc>
        <w:tc>
          <w:tcPr>
            <w:tcW w:w="1133"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noProof/>
              </w:rPr>
              <w:t>Trustees</w:t>
            </w:r>
            <w:r>
              <w:rPr>
                <w:i/>
              </w:rPr>
              <w:t xml:space="preserve"> Amendment Act 1997</w:t>
            </w:r>
            <w:r>
              <w:t xml:space="preserve"> s. 18</w:t>
            </w:r>
          </w:p>
        </w:tc>
        <w:tc>
          <w:tcPr>
            <w:tcW w:w="1133"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noProof/>
              </w:rPr>
              <w:t>Statutes</w:t>
            </w:r>
            <w:r>
              <w:rPr>
                <w:i/>
              </w:rPr>
              <w:t xml:space="preserve"> (Repeals and Minor Amendments) Act 1997</w:t>
            </w:r>
            <w:r>
              <w:t xml:space="preserve"> s. 38</w:t>
            </w:r>
          </w:p>
        </w:tc>
        <w:tc>
          <w:tcPr>
            <w:tcW w:w="1133"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Reprint</w:t>
            </w:r>
            <w:r>
              <w:rPr>
                <w:b/>
                <w:bCs/>
              </w:rPr>
              <w:t xml:space="preserve"> of the </w:t>
            </w:r>
            <w:r>
              <w:rPr>
                <w:b/>
                <w:bCs/>
                <w:i/>
              </w:rPr>
              <w:t>Construction Industry Portable Paid Long Service Leave Act 1985</w:t>
            </w:r>
            <w:r>
              <w:rPr>
                <w:b/>
                <w:bCs/>
              </w:rPr>
              <w:t xml:space="preserve"> as at 5 Mar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rPr>
            </w:pPr>
            <w:r>
              <w:rPr>
                <w:i/>
              </w:rPr>
              <w:lastRenderedPageBreak/>
              <w:t>Corporations (</w:t>
            </w:r>
            <w:r>
              <w:rPr>
                <w:i/>
                <w:noProof/>
              </w:rPr>
              <w:t>Consequential</w:t>
            </w:r>
            <w:r>
              <w:rPr>
                <w:i/>
              </w:rPr>
              <w:t xml:space="preserve"> Amendments) Act 2001 </w:t>
            </w:r>
            <w:r>
              <w:t>Pt. 14</w:t>
            </w:r>
          </w:p>
        </w:tc>
        <w:tc>
          <w:tcPr>
            <w:tcW w:w="1133" w:type="dxa"/>
            <w:gridSpan w:val="2"/>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15 </w:t>
            </w:r>
            <w:r>
              <w:rPr>
                <w:snapToGrid w:val="0"/>
              </w:rPr>
              <w:t>Jul</w:t>
            </w:r>
            <w:r>
              <w:t xml:space="preserve">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rPr>
            </w:pPr>
            <w:r>
              <w:rPr>
                <w:i/>
              </w:rPr>
              <w:t xml:space="preserve">Acts Amendment (Equality of Status) Act 2003 </w:t>
            </w:r>
            <w:r>
              <w:t>Pt. 7</w:t>
            </w:r>
          </w:p>
        </w:tc>
        <w:tc>
          <w:tcPr>
            <w:tcW w:w="1133" w:type="dxa"/>
            <w:gridSpan w:val="2"/>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1 </w:t>
            </w:r>
            <w:r>
              <w:rPr>
                <w:snapToGrid w:val="0"/>
              </w:rPr>
              <w:t>Jul</w:t>
            </w:r>
            <w:r>
              <w:t xml:space="preserve">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rPr>
            </w:pPr>
            <w:r>
              <w:rPr>
                <w:i/>
                <w:noProof/>
              </w:rPr>
              <w:t>Criminal</w:t>
            </w:r>
            <w:r>
              <w:rPr>
                <w:i/>
                <w:snapToGrid w:val="0"/>
              </w:rPr>
              <w:t xml:space="preserve"> Procedure and Appeals (Consequential and Other Provisions) Act 2004</w:t>
            </w:r>
            <w:r>
              <w:rPr>
                <w:snapToGrid w:val="0"/>
              </w:rPr>
              <w:t xml:space="preserve"> s. 80 and 82</w:t>
            </w:r>
          </w:p>
        </w:tc>
        <w:tc>
          <w:tcPr>
            <w:tcW w:w="1133"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napToGrid w:val="0"/>
              </w:rPr>
            </w:pPr>
            <w:r>
              <w:rPr>
                <w:b/>
              </w:rPr>
              <w:t>Reprint</w:t>
            </w:r>
            <w:r>
              <w:rPr>
                <w:b/>
                <w:bCs/>
              </w:rPr>
              <w:t xml:space="preserve"> 2: The </w:t>
            </w:r>
            <w:r>
              <w:rPr>
                <w:b/>
                <w:bCs/>
                <w:i/>
              </w:rPr>
              <w:t>Construction Industry Portable Paid Long Service Leave Act 1985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Labour Relations </w:t>
            </w:r>
            <w:r>
              <w:rPr>
                <w:i/>
                <w:noProof/>
              </w:rPr>
              <w:t>Legislation</w:t>
            </w:r>
            <w:r>
              <w:rPr>
                <w:i/>
                <w:snapToGrid w:val="0"/>
              </w:rPr>
              <w:t xml:space="preserve"> Amendment Act 2006 </w:t>
            </w:r>
            <w:r>
              <w:rPr>
                <w:iCs/>
                <w:snapToGrid w:val="0"/>
              </w:rPr>
              <w:t>Pt. 7 Div. 1</w:t>
            </w:r>
          </w:p>
        </w:tc>
        <w:tc>
          <w:tcPr>
            <w:tcW w:w="1133" w:type="dxa"/>
            <w:gridSpan w:val="2"/>
            <w:tcBorders>
              <w:top w:val="nil"/>
              <w:bottom w:val="nil"/>
            </w:tcBorders>
          </w:tcPr>
          <w:p>
            <w:pPr>
              <w:pStyle w:val="nTable"/>
              <w:spacing w:after="40"/>
              <w:rPr>
                <w:snapToGrid w:val="0"/>
              </w:rPr>
            </w:pPr>
            <w:r>
              <w:rPr>
                <w:snapToGrid w:val="0"/>
              </w:rPr>
              <w:t>36 of 2006</w:t>
            </w:r>
          </w:p>
        </w:tc>
        <w:tc>
          <w:tcPr>
            <w:tcW w:w="1134" w:type="dxa"/>
            <w:gridSpan w:val="2"/>
            <w:tcBorders>
              <w:top w:val="nil"/>
              <w:bottom w:val="nil"/>
            </w:tcBorders>
          </w:tcPr>
          <w:p>
            <w:pPr>
              <w:pStyle w:val="nTable"/>
              <w:spacing w:after="40"/>
              <w:rPr>
                <w:snapToGrid w:val="0"/>
              </w:rPr>
            </w:pPr>
            <w:r>
              <w:rPr>
                <w:snapToGrid w:val="0"/>
              </w:rPr>
              <w:t>4 Jul </w:t>
            </w:r>
            <w:r>
              <w:t>2006</w:t>
            </w:r>
          </w:p>
        </w:tc>
        <w:tc>
          <w:tcPr>
            <w:tcW w:w="2552" w:type="dxa"/>
            <w:gridSpan w:val="2"/>
            <w:tcBorders>
              <w:top w:val="nil"/>
              <w:bottom w:val="nil"/>
            </w:tcBorders>
          </w:tcPr>
          <w:p>
            <w:pPr>
              <w:pStyle w:val="nTable"/>
              <w:spacing w:after="40"/>
              <w:rPr>
                <w:snapToGrid w:val="0"/>
              </w:rPr>
            </w:pPr>
            <w:r>
              <w:rPr>
                <w:snapToGrid w:val="0"/>
              </w:rPr>
              <w:t>1 Oct 2006 (see s. 2(2))</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Financial Legislation </w:t>
            </w:r>
            <w:r>
              <w:rPr>
                <w:i/>
                <w:noProof/>
              </w:rPr>
              <w:t>Amendment</w:t>
            </w:r>
            <w:r>
              <w:rPr>
                <w:i/>
                <w:snapToGrid w:val="0"/>
              </w:rPr>
              <w:t xml:space="preserve"> and Repeal Act 2006 </w:t>
            </w:r>
            <w:r>
              <w:rPr>
                <w:iCs/>
                <w:snapToGrid w:val="0"/>
              </w:rPr>
              <w:t>s. 4 and Sch. 1 cl. 31</w:t>
            </w:r>
          </w:p>
        </w:tc>
        <w:tc>
          <w:tcPr>
            <w:tcW w:w="1133"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rPr>
                <w:snapToGrid w:val="0"/>
              </w:rPr>
            </w:pPr>
            <w:r>
              <w:rPr>
                <w:snapToGrid w:val="0"/>
              </w:rPr>
              <w:t>21 </w:t>
            </w:r>
            <w:r>
              <w:t>Dec</w:t>
            </w:r>
            <w:r>
              <w:rPr>
                <w:snapToGrid w:val="0"/>
              </w:rPr>
              <w:t>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noProof/>
              </w:rPr>
              <w:t>Statutes</w:t>
            </w:r>
            <w:r>
              <w:rPr>
                <w:i/>
                <w:snapToGrid w:val="0"/>
              </w:rPr>
              <w:t xml:space="preserve"> (Repeals and Miscellaneous Amendments) Act 2009 </w:t>
            </w:r>
            <w:r>
              <w:rPr>
                <w:iCs/>
                <w:snapToGrid w:val="0"/>
              </w:rPr>
              <w:t>s. 39</w:t>
            </w:r>
          </w:p>
        </w:tc>
        <w:tc>
          <w:tcPr>
            <w:tcW w:w="1133" w:type="dxa"/>
            <w:gridSpan w:val="2"/>
            <w:tcBorders>
              <w:top w:val="nil"/>
              <w:bottom w:val="nil"/>
            </w:tcBorders>
          </w:tcPr>
          <w:p>
            <w:pPr>
              <w:pStyle w:val="nTable"/>
              <w:spacing w:after="40"/>
              <w:rPr>
                <w:snapToGrid w:val="0"/>
              </w:rPr>
            </w:pPr>
            <w:r>
              <w:t xml:space="preserve">8 of 2009 </w:t>
            </w:r>
          </w:p>
        </w:tc>
        <w:tc>
          <w:tcPr>
            <w:tcW w:w="1134" w:type="dxa"/>
            <w:gridSpan w:val="2"/>
            <w:tcBorders>
              <w:top w:val="nil"/>
              <w:bottom w:val="nil"/>
            </w:tcBorders>
          </w:tcPr>
          <w:p>
            <w:pPr>
              <w:pStyle w:val="nTable"/>
              <w:spacing w:after="40"/>
              <w:rPr>
                <w:snapToGrid w:val="0"/>
              </w:rPr>
            </w:pPr>
            <w:r>
              <w:t>21 May 2009</w:t>
            </w:r>
          </w:p>
        </w:tc>
        <w:tc>
          <w:tcPr>
            <w:tcW w:w="2552" w:type="dxa"/>
            <w:gridSpan w:val="2"/>
            <w:tcBorders>
              <w:top w:val="nil"/>
              <w:bottom w:val="nil"/>
            </w:tcBorders>
          </w:tcPr>
          <w:p>
            <w:pPr>
              <w:pStyle w:val="nTable"/>
              <w:spacing w:after="40"/>
              <w:rPr>
                <w:snapToGrid w:val="0"/>
              </w:rPr>
            </w:pPr>
            <w:r>
              <w:t>22 </w:t>
            </w:r>
            <w:r>
              <w:rPr>
                <w:snapToGrid w:val="0"/>
              </w:rPr>
              <w:t>May</w:t>
            </w:r>
            <w:r>
              <w:t>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snapToGrid w:val="0"/>
              </w:rPr>
            </w:pPr>
            <w:r>
              <w:rPr>
                <w:i/>
                <w:snapToGrid w:val="0"/>
              </w:rPr>
              <w:t xml:space="preserve">Acts </w:t>
            </w:r>
            <w:r>
              <w:rPr>
                <w:i/>
                <w:noProof/>
              </w:rPr>
              <w:t>Amendment</w:t>
            </w:r>
            <w:r>
              <w:rPr>
                <w:i/>
                <w:snapToGrid w:val="0"/>
              </w:rPr>
              <w:t xml:space="preserve"> (Bankruptcy) Act 2009 </w:t>
            </w:r>
            <w:r>
              <w:rPr>
                <w:iCs/>
                <w:snapToGrid w:val="0"/>
              </w:rPr>
              <w:t>s. 21</w:t>
            </w:r>
          </w:p>
        </w:tc>
        <w:tc>
          <w:tcPr>
            <w:tcW w:w="1133"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w:t>
            </w:r>
            <w:r>
              <w:rPr>
                <w:snapToGrid w:val="0"/>
              </w:rPr>
              <w:t>Sep</w:t>
            </w:r>
            <w:r>
              <w:t xml:space="preserve"> 2009 (see s. 2(b))</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Reprint</w:t>
            </w:r>
            <w:r>
              <w:rPr>
                <w:b/>
                <w:bCs/>
              </w:rPr>
              <w:t xml:space="preserve"> 3: The </w:t>
            </w:r>
            <w:r>
              <w:rPr>
                <w:b/>
                <w:bCs/>
                <w:i/>
              </w:rPr>
              <w:t>Construction Industry Portable Paid Long Service Leave Act 1985</w:t>
            </w:r>
            <w:r>
              <w:rPr>
                <w:b/>
                <w:bCs/>
              </w:rPr>
              <w:t xml:space="preserve"> as at 21 May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Cs/>
                <w:snapToGrid w:val="0"/>
              </w:rPr>
            </w:pPr>
            <w:r>
              <w:rPr>
                <w:i/>
                <w:noProof/>
              </w:rPr>
              <w:t>Public</w:t>
            </w:r>
            <w:r>
              <w:rPr>
                <w:i/>
                <w:iCs/>
                <w:snapToGrid w:val="0"/>
              </w:rPr>
              <w:t xml:space="preserve"> Sector Reform Act 2010</w:t>
            </w:r>
            <w:r>
              <w:rPr>
                <w:iCs/>
                <w:snapToGrid w:val="0"/>
              </w:rPr>
              <w:t xml:space="preserve"> s. 89</w:t>
            </w:r>
          </w:p>
        </w:tc>
        <w:tc>
          <w:tcPr>
            <w:tcW w:w="1133" w:type="dxa"/>
            <w:gridSpan w:val="2"/>
          </w:tcPr>
          <w:p>
            <w:pPr>
              <w:pStyle w:val="nTable"/>
              <w:spacing w:after="40"/>
            </w:pPr>
            <w:r>
              <w:rPr>
                <w:snapToGrid w:val="0"/>
              </w:rPr>
              <w:t xml:space="preserve">39 of </w:t>
            </w:r>
            <w:r>
              <w:t>2010</w:t>
            </w:r>
          </w:p>
        </w:tc>
        <w:tc>
          <w:tcPr>
            <w:tcW w:w="1134" w:type="dxa"/>
            <w:gridSpan w:val="2"/>
          </w:tcPr>
          <w:p>
            <w:pPr>
              <w:pStyle w:val="nTable"/>
              <w:spacing w:after="40"/>
            </w:pPr>
            <w:r>
              <w:t>1 Oct 2010</w:t>
            </w:r>
          </w:p>
        </w:tc>
        <w:tc>
          <w:tcPr>
            <w:tcW w:w="2552"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rPr>
                <w:i/>
                <w:iCs/>
                <w:snapToGrid w:val="0"/>
              </w:rPr>
            </w:pPr>
            <w:r>
              <w:rPr>
                <w:i/>
                <w:noProof/>
              </w:rPr>
              <w:t>Industrial</w:t>
            </w:r>
            <w:r>
              <w:rPr>
                <w:i/>
                <w:snapToGrid w:val="0"/>
              </w:rPr>
              <w:t xml:space="preserve"> Legislation Amendment Act 2011 </w:t>
            </w:r>
            <w:r>
              <w:rPr>
                <w:snapToGrid w:val="0"/>
              </w:rPr>
              <w:t>Pt. 2</w:t>
            </w:r>
          </w:p>
        </w:tc>
        <w:tc>
          <w:tcPr>
            <w:tcW w:w="1133" w:type="dxa"/>
            <w:gridSpan w:val="2"/>
            <w:shd w:val="clear" w:color="auto" w:fill="auto"/>
          </w:tcPr>
          <w:p>
            <w:pPr>
              <w:pStyle w:val="nTable"/>
              <w:spacing w:after="40"/>
              <w:rPr>
                <w:snapToGrid w:val="0"/>
              </w:rPr>
            </w:pPr>
            <w:r>
              <w:rPr>
                <w:snapToGrid w:val="0"/>
              </w:rPr>
              <w:t xml:space="preserve">53 </w:t>
            </w:r>
            <w:r>
              <w:t>of</w:t>
            </w:r>
            <w:r>
              <w:rPr>
                <w:snapToGrid w:val="0"/>
              </w:rPr>
              <w:t xml:space="preserve"> 2011</w:t>
            </w:r>
          </w:p>
        </w:tc>
        <w:tc>
          <w:tcPr>
            <w:tcW w:w="1134" w:type="dxa"/>
            <w:gridSpan w:val="2"/>
            <w:shd w:val="clear" w:color="auto" w:fill="auto"/>
          </w:tcPr>
          <w:p>
            <w:pPr>
              <w:pStyle w:val="nTable"/>
              <w:spacing w:after="40"/>
            </w:pPr>
            <w:r>
              <w:rPr>
                <w:snapToGrid w:val="0"/>
              </w:rPr>
              <w:t xml:space="preserve">11 </w:t>
            </w:r>
            <w:r>
              <w:t>Nov</w:t>
            </w:r>
            <w:r>
              <w:rPr>
                <w:snapToGrid w:val="0"/>
              </w:rPr>
              <w:t xml:space="preserve"> 2011</w:t>
            </w:r>
          </w:p>
        </w:tc>
        <w:tc>
          <w:tcPr>
            <w:tcW w:w="2552" w:type="dxa"/>
            <w:gridSpan w:val="2"/>
            <w:shd w:val="clear" w:color="auto" w:fill="auto"/>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rPr>
              <w:t>Reprint</w:t>
            </w:r>
            <w:r>
              <w:rPr>
                <w:b/>
                <w:bCs/>
              </w:rPr>
              <w:t xml:space="preserve"> 4: The </w:t>
            </w:r>
            <w:r>
              <w:rPr>
                <w:b/>
                <w:bCs/>
                <w:i/>
              </w:rPr>
              <w:t>Construction Industry Portable Paid Long Service Leave Act 1985</w:t>
            </w:r>
            <w:r>
              <w:rPr>
                <w:b/>
                <w:bCs/>
              </w:rPr>
              <w:t xml:space="preserve"> as at 8 Nov 2013</w:t>
            </w:r>
            <w:r>
              <w:t xml:space="preserve"> (includes amendments listed above)</w:t>
            </w:r>
          </w:p>
        </w:tc>
      </w:tr>
      <w:tr>
        <w:trPr>
          <w:gridBefore w:val="1"/>
          <w:wBefore w:w="28" w:type="dxa"/>
          <w:cantSplit/>
        </w:trPr>
        <w:tc>
          <w:tcPr>
            <w:tcW w:w="2268" w:type="dxa"/>
            <w:gridSpan w:val="2"/>
            <w:tcBorders>
              <w:top w:val="nil"/>
            </w:tcBorders>
            <w:shd w:val="clear" w:color="auto" w:fill="auto"/>
          </w:tcPr>
          <w:p>
            <w:pPr>
              <w:pStyle w:val="nTable"/>
              <w:spacing w:after="40"/>
              <w:rPr>
                <w:i/>
                <w:iCs/>
                <w:snapToGrid w:val="0"/>
              </w:rPr>
            </w:pPr>
            <w:r>
              <w:rPr>
                <w:i/>
                <w:noProof/>
              </w:rPr>
              <w:t>Construction</w:t>
            </w:r>
            <w:r>
              <w:rPr>
                <w:i/>
              </w:rPr>
              <w:t xml:space="preserve"> Industry Portable Paid Long Service Leave Amendment Act 2025</w:t>
            </w:r>
            <w:r>
              <w:rPr>
                <w:i/>
                <w:snapToGrid w:val="0"/>
              </w:rPr>
              <w:t xml:space="preserve"> </w:t>
            </w:r>
            <w:r>
              <w:rPr>
                <w:snapToGrid w:val="0"/>
              </w:rPr>
              <w:t>Pt. 1-6</w:t>
            </w:r>
          </w:p>
        </w:tc>
        <w:tc>
          <w:tcPr>
            <w:tcW w:w="1133" w:type="dxa"/>
            <w:gridSpan w:val="2"/>
            <w:tcBorders>
              <w:top w:val="nil"/>
            </w:tcBorders>
            <w:shd w:val="clear" w:color="auto" w:fill="auto"/>
          </w:tcPr>
          <w:p>
            <w:pPr>
              <w:pStyle w:val="nTable"/>
              <w:spacing w:after="40"/>
              <w:rPr>
                <w:snapToGrid w:val="0"/>
              </w:rPr>
            </w:pPr>
            <w:r>
              <w:rPr>
                <w:snapToGrid w:val="0"/>
              </w:rPr>
              <w:t xml:space="preserve">12 of </w:t>
            </w:r>
            <w:r>
              <w:t>2025</w:t>
            </w:r>
          </w:p>
        </w:tc>
        <w:tc>
          <w:tcPr>
            <w:tcW w:w="1134" w:type="dxa"/>
            <w:gridSpan w:val="2"/>
            <w:tcBorders>
              <w:top w:val="nil"/>
            </w:tcBorders>
            <w:shd w:val="clear" w:color="auto" w:fill="auto"/>
          </w:tcPr>
          <w:p>
            <w:pPr>
              <w:pStyle w:val="nTable"/>
              <w:spacing w:after="40"/>
            </w:pPr>
            <w:r>
              <w:rPr>
                <w:snapToGrid w:val="0"/>
              </w:rPr>
              <w:t>28 Aug 2025</w:t>
            </w:r>
          </w:p>
        </w:tc>
        <w:tc>
          <w:tcPr>
            <w:tcW w:w="2552" w:type="dxa"/>
            <w:gridSpan w:val="2"/>
            <w:tcBorders>
              <w:top w:val="nil"/>
            </w:tcBorders>
            <w:shd w:val="clear" w:color="auto" w:fill="auto"/>
          </w:tcPr>
          <w:p>
            <w:pPr>
              <w:pStyle w:val="nTable"/>
              <w:spacing w:after="40"/>
            </w:pPr>
            <w:r>
              <w:t>Pt. 1: 28 Aug 2025 (see s. 2(a));</w:t>
            </w:r>
            <w:r>
              <w:br/>
              <w:t>Pt. 2</w:t>
            </w:r>
            <w:r>
              <w:noBreakHyphen/>
              <w:t>4 and 6: 29 Aug 2025 (see s. 2(c));</w:t>
            </w:r>
          </w:p>
          <w:p>
            <w:pPr>
              <w:pStyle w:val="nTable"/>
              <w:spacing w:after="40"/>
              <w:rPr>
                <w:snapToGrid w:val="0"/>
              </w:rPr>
            </w:pPr>
            <w:r>
              <w:t xml:space="preserve">Pt. 5: 1 Jan 2026 </w:t>
            </w:r>
            <w:r>
              <w:rPr>
                <w:snapToGrid w:val="0"/>
              </w:rPr>
              <w:t>(see s. 2(b) and SL 2025/170 cl. 2)</w:t>
            </w:r>
          </w:p>
        </w:tc>
      </w:tr>
    </w:tbl>
    <w:p>
      <w:pPr>
        <w:pStyle w:val="nHeading3"/>
      </w:pPr>
      <w:bookmarkStart w:id="157" w:name="_Toc216947867"/>
      <w:r>
        <w:lastRenderedPageBreak/>
        <w:t>Other notes</w:t>
      </w:r>
      <w:bookmarkEnd w:id="157"/>
    </w:p>
    <w:p>
      <w:pPr>
        <w:pStyle w:val="nNote"/>
        <w:keepNext/>
        <w:keepLines/>
        <w:rPr>
          <w:snapToGrid w:val="0"/>
        </w:rPr>
      </w:pPr>
      <w:r>
        <w:rPr>
          <w:snapToGrid w:val="0"/>
          <w:vertAlign w:val="superscript"/>
        </w:rPr>
        <w:t>1</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spacing w:before="0"/>
        <w:rPr>
          <w:b w:val="0"/>
          <w:snapToGrid w:val="0"/>
        </w:rPr>
      </w:pPr>
      <w:r>
        <w:rPr>
          <w:snapToGrid w:val="0"/>
        </w:rPr>
        <w:t>13.</w:t>
      </w:r>
      <w:r>
        <w:rPr>
          <w:snapToGrid w:val="0"/>
        </w:rPr>
        <w:tab/>
        <w:t>Tr</w:t>
      </w:r>
      <w:r>
        <w:t>a</w:t>
      </w:r>
      <w:r>
        <w:rPr>
          <w:snapToGrid w:val="0"/>
        </w:rPr>
        <w:t>nsitional</w:t>
      </w:r>
    </w:p>
    <w:p>
      <w:pPr>
        <w:pStyle w:val="nzSubsection"/>
        <w:spacing w:before="0"/>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b/>
          <w:i/>
        </w:rPr>
        <w:t>day of service</w:t>
      </w:r>
      <w:r>
        <w:t xml:space="preserve">, </w:t>
      </w:r>
      <w:r>
        <w:rPr>
          <w:b/>
          <w:i/>
        </w:rPr>
        <w:t>employee</w:t>
      </w:r>
      <w:r>
        <w:t xml:space="preserve"> and </w:t>
      </w:r>
      <w:r>
        <w:rPr>
          <w:b/>
          <w:i/>
        </w:rPr>
        <w:t>employer</w:t>
      </w:r>
      <w:r>
        <w:t xml:space="preserve"> have the same meaning as in the principal Act; and</w:t>
      </w:r>
    </w:p>
    <w:p>
      <w:pPr>
        <w:pStyle w:val="nzDefstart"/>
      </w:pPr>
      <w:r>
        <w:rPr>
          <w:b/>
        </w:rPr>
        <w:tab/>
      </w:r>
      <w:r>
        <w:rPr>
          <w:b/>
          <w:i/>
        </w:rPr>
        <w:t xml:space="preserve">the </w:t>
      </w:r>
      <w:r>
        <w:rPr>
          <w:rStyle w:val="CharDefText"/>
        </w:rPr>
        <w:t>appointed</w:t>
      </w:r>
      <w:r>
        <w:rPr>
          <w:b/>
          <w:i/>
        </w:rPr>
        <w:t xml:space="preserve"> day</w:t>
      </w:r>
      <w:r>
        <w:t xml:space="preserve"> means the day fixed by the Minister by Order published in the </w:t>
      </w:r>
      <w:r>
        <w:rPr>
          <w:i/>
        </w:rPr>
        <w:t>Government Gazette</w:t>
      </w:r>
      <w:r>
        <w:t xml:space="preserve"> as the appointed day for the purposes of this section.</w:t>
      </w:r>
    </w:p>
    <w:p>
      <w:pPr>
        <w:pStyle w:val="nzSubsection"/>
        <w:spacing w:before="0"/>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spacing w:before="0"/>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spacing w:before="0"/>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b w:val="0"/>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Note"/>
        <w:keepNext/>
        <w:keepLines/>
      </w:pPr>
      <w:r>
        <w:rPr>
          <w:snapToGrid w:val="0"/>
          <w:vertAlign w:val="superscript"/>
        </w:rPr>
        <w:lastRenderedPageBreak/>
        <w:t>2</w:t>
      </w:r>
      <w:r>
        <w:rPr>
          <w:snapToGrid w:val="0"/>
        </w:rPr>
        <w:tab/>
        <w:t xml:space="preserve">The </w:t>
      </w:r>
      <w:r>
        <w:rPr>
          <w:i/>
          <w:snapToGrid w:val="0"/>
        </w:rPr>
        <w:t>Standardisation of Formatting Act 2010</w:t>
      </w:r>
      <w:r>
        <w:rPr>
          <w:snapToGrid w:val="0"/>
        </w:rPr>
        <w:t xml:space="preserve"> s. 51 Table item 14, the amendment to the Schedule, had not come into operation when it was deleted by the </w:t>
      </w:r>
      <w:r>
        <w:rPr>
          <w:i/>
          <w:snapToGrid w:val="0"/>
        </w:rPr>
        <w:t>Statutes (Repeals and Minor Amendments) Act 2014</w:t>
      </w:r>
      <w:r>
        <w:rPr>
          <w:snapToGrid w:val="0"/>
        </w:rPr>
        <w:t xml:space="preserve"> s. 39(3).</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159" w:name="_Toc216947868"/>
      <w:bookmarkEnd w:id="155"/>
      <w:r>
        <w:rPr>
          <w:sz w:val="28"/>
        </w:rPr>
        <w:lastRenderedPageBreak/>
        <w:t>Defined terms</w:t>
      </w:r>
      <w:bookmarkEnd w:id="1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Act</w:t>
      </w:r>
      <w:r>
        <w:tab/>
        <w:t>Sch. cl. 4, 7(1) and 12</w:t>
      </w:r>
    </w:p>
    <w:p>
      <w:pPr>
        <w:pStyle w:val="DefinedTerms"/>
      </w:pPr>
      <w:r>
        <w:t>appointed day</w:t>
      </w:r>
      <w:r>
        <w:tab/>
        <w:t>3(1)</w:t>
      </w:r>
    </w:p>
    <w:p>
      <w:pPr>
        <w:pStyle w:val="DefinedTerms"/>
      </w:pPr>
      <w:r>
        <w:t>apprentice</w:t>
      </w:r>
      <w:r>
        <w:tab/>
        <w:t>3(1)</w:t>
      </w:r>
    </w:p>
    <w:p>
      <w:pPr>
        <w:pStyle w:val="DefinedTerms"/>
      </w:pPr>
      <w:r>
        <w:t>approved form</w:t>
      </w:r>
      <w:r>
        <w:tab/>
        <w:t>3(1)</w:t>
      </w:r>
    </w:p>
    <w:p>
      <w:pPr>
        <w:pStyle w:val="DefinedTerms"/>
      </w:pPr>
      <w:r>
        <w:t>Board</w:t>
      </w:r>
      <w:r>
        <w:tab/>
        <w:t>3(1)</w:t>
      </w:r>
    </w:p>
    <w:p>
      <w:pPr>
        <w:pStyle w:val="DefinedTerms"/>
      </w:pPr>
      <w:r>
        <w:t>books</w:t>
      </w:r>
      <w:r>
        <w:tab/>
        <w:t>3(1)</w:t>
      </w:r>
    </w:p>
    <w:p>
      <w:pPr>
        <w:pStyle w:val="DefinedTerms"/>
      </w:pPr>
      <w:r>
        <w:t>break in service</w:t>
      </w:r>
      <w:r>
        <w:tab/>
        <w:t>21(3)</w:t>
      </w:r>
    </w:p>
    <w:p>
      <w:pPr>
        <w:pStyle w:val="DefinedTerms"/>
      </w:pPr>
      <w:r>
        <w:t>chief executive officer</w:t>
      </w:r>
      <w:r>
        <w:tab/>
        <w:t>3(1)</w:t>
      </w:r>
    </w:p>
    <w:p>
      <w:pPr>
        <w:pStyle w:val="DefinedTerms"/>
      </w:pPr>
      <w:r>
        <w:t>commencement day</w:t>
      </w:r>
      <w:r>
        <w:tab/>
        <w:t>Sch. cl. 3(7), 7(1) and 12</w:t>
      </w:r>
    </w:p>
    <w:p>
      <w:pPr>
        <w:pStyle w:val="DefinedTerms"/>
      </w:pPr>
      <w:r>
        <w:t>construction industry</w:t>
      </w:r>
      <w:r>
        <w:tab/>
        <w:t>3(1), 29A(1)</w:t>
      </w:r>
    </w:p>
    <w:p>
      <w:pPr>
        <w:pStyle w:val="DefinedTerms"/>
      </w:pPr>
      <w:r>
        <w:t>corresponding law</w:t>
      </w:r>
      <w:r>
        <w:tab/>
        <w:t>29A(1)</w:t>
      </w:r>
    </w:p>
    <w:p>
      <w:pPr>
        <w:pStyle w:val="DefinedTerms"/>
      </w:pPr>
      <w:r>
        <w:t>corresponding public employer in this State</w:t>
      </w:r>
      <w:r>
        <w:tab/>
        <w:t>29A(1)</w:t>
      </w:r>
    </w:p>
    <w:p>
      <w:pPr>
        <w:pStyle w:val="DefinedTerms"/>
      </w:pPr>
      <w:r>
        <w:t>day of service</w:t>
      </w:r>
      <w:r>
        <w:tab/>
        <w:t>3(1), 3B(1)</w:t>
      </w:r>
    </w:p>
    <w:p>
      <w:pPr>
        <w:pStyle w:val="DefinedTerms"/>
      </w:pPr>
      <w:r>
        <w:t>employee</w:t>
      </w:r>
      <w:r>
        <w:tab/>
        <w:t>3(1)</w:t>
      </w:r>
    </w:p>
    <w:p>
      <w:pPr>
        <w:pStyle w:val="DefinedTerms"/>
      </w:pPr>
      <w:r>
        <w:t>employees register</w:t>
      </w:r>
      <w:r>
        <w:tab/>
        <w:t>3(1)</w:t>
      </w:r>
    </w:p>
    <w:p>
      <w:pPr>
        <w:pStyle w:val="DefinedTerms"/>
      </w:pPr>
      <w:r>
        <w:t>employer</w:t>
      </w:r>
      <w:r>
        <w:tab/>
        <w:t>3(1)</w:t>
      </w:r>
    </w:p>
    <w:p>
      <w:pPr>
        <w:pStyle w:val="DefinedTerms"/>
      </w:pPr>
      <w:r>
        <w:t>employers register</w:t>
      </w:r>
      <w:r>
        <w:tab/>
        <w:t>3(1)</w:t>
      </w:r>
    </w:p>
    <w:p>
      <w:pPr>
        <w:pStyle w:val="DefinedTerms"/>
      </w:pPr>
      <w:r>
        <w:t>former</w:t>
      </w:r>
      <w:r>
        <w:tab/>
        <w:t>Sch. cl. 13(1)</w:t>
      </w:r>
    </w:p>
    <w:p>
      <w:pPr>
        <w:pStyle w:val="DefinedTerms"/>
      </w:pPr>
      <w:r>
        <w:t>industrial instrument</w:t>
      </w:r>
      <w:r>
        <w:tab/>
        <w:t>3(1)</w:t>
      </w:r>
    </w:p>
    <w:p>
      <w:pPr>
        <w:pStyle w:val="DefinedTerms"/>
      </w:pPr>
      <w:r>
        <w:t>inspector</w:t>
      </w:r>
      <w:r>
        <w:tab/>
        <w:t>3(1)</w:t>
      </w:r>
    </w:p>
    <w:p>
      <w:pPr>
        <w:pStyle w:val="DefinedTerms"/>
      </w:pPr>
      <w:r>
        <w:t>labour hire agency</w:t>
      </w:r>
      <w:r>
        <w:tab/>
        <w:t>3(1)</w:t>
      </w:r>
    </w:p>
    <w:p>
      <w:pPr>
        <w:pStyle w:val="DefinedTerms"/>
      </w:pPr>
      <w:r>
        <w:t>medical practitioner</w:t>
      </w:r>
      <w:r>
        <w:tab/>
        <w:t>22(1B)</w:t>
      </w:r>
    </w:p>
    <w:p>
      <w:pPr>
        <w:pStyle w:val="DefinedTerms"/>
      </w:pPr>
      <w:r>
        <w:t>member</w:t>
      </w:r>
      <w:r>
        <w:tab/>
        <w:t>3(1)</w:t>
      </w:r>
    </w:p>
    <w:p>
      <w:pPr>
        <w:pStyle w:val="DefinedTerms"/>
      </w:pPr>
      <w:r>
        <w:t>offshore area</w:t>
      </w:r>
      <w:r>
        <w:tab/>
        <w:t>3(1)</w:t>
      </w:r>
    </w:p>
    <w:p>
      <w:pPr>
        <w:pStyle w:val="DefinedTerms"/>
      </w:pPr>
      <w:r>
        <w:t>on workers compensation</w:t>
      </w:r>
      <w:r>
        <w:tab/>
        <w:t>3(1) and (3C)</w:t>
      </w:r>
    </w:p>
    <w:p>
      <w:pPr>
        <w:pStyle w:val="DefinedTerms"/>
      </w:pPr>
      <w:r>
        <w:t>on workers compensation (1981 Act)</w:t>
      </w:r>
      <w:r>
        <w:tab/>
        <w:t>Sch. cl. 7(1) and 7(2)</w:t>
      </w:r>
    </w:p>
    <w:p>
      <w:pPr>
        <w:pStyle w:val="DefinedTerms"/>
      </w:pPr>
      <w:r>
        <w:t>operate</w:t>
      </w:r>
      <w:r>
        <w:tab/>
        <w:t>3(1)</w:t>
      </w:r>
    </w:p>
    <w:p>
      <w:pPr>
        <w:pStyle w:val="DefinedTerms"/>
      </w:pPr>
      <w:r>
        <w:t>ordinary pay</w:t>
      </w:r>
      <w:r>
        <w:tab/>
        <w:t>3(1), 21(3), 51(2)</w:t>
      </w:r>
    </w:p>
    <w:p>
      <w:pPr>
        <w:pStyle w:val="DefinedTerms"/>
      </w:pPr>
      <w:r>
        <w:t>original decision</w:t>
      </w:r>
      <w:r>
        <w:tab/>
        <w:t>Sch. cl. 11(1) and 17(1)</w:t>
      </w:r>
    </w:p>
    <w:p>
      <w:pPr>
        <w:pStyle w:val="DefinedTerms"/>
      </w:pPr>
      <w:r>
        <w:t>person A</w:t>
      </w:r>
      <w:r>
        <w:tab/>
        <w:t>3(1)</w:t>
      </w:r>
    </w:p>
    <w:p>
      <w:pPr>
        <w:pStyle w:val="DefinedTerms"/>
      </w:pPr>
      <w:r>
        <w:t>person B</w:t>
      </w:r>
      <w:r>
        <w:tab/>
        <w:t>3(1)</w:t>
      </w:r>
    </w:p>
    <w:p>
      <w:pPr>
        <w:pStyle w:val="DefinedTerms"/>
      </w:pPr>
      <w:r>
        <w:t>pre-commencement period</w:t>
      </w:r>
      <w:r>
        <w:tab/>
        <w:t>Sch. cl. 8(1)</w:t>
      </w:r>
    </w:p>
    <w:p>
      <w:pPr>
        <w:pStyle w:val="DefinedTerms"/>
      </w:pPr>
      <w:r>
        <w:t>prescribed</w:t>
      </w:r>
      <w:r>
        <w:tab/>
        <w:t>3(1)</w:t>
      </w:r>
    </w:p>
    <w:p>
      <w:pPr>
        <w:pStyle w:val="DefinedTerms"/>
      </w:pPr>
      <w:r>
        <w:t>publication day</w:t>
      </w:r>
      <w:r>
        <w:tab/>
        <w:t>Sch. cl. 6(1)</w:t>
      </w:r>
    </w:p>
    <w:p>
      <w:pPr>
        <w:pStyle w:val="DefinedTerms"/>
      </w:pPr>
      <w:r>
        <w:t>relevant day</w:t>
      </w:r>
      <w:r>
        <w:tab/>
        <w:t>Sch. cl. 12 and 13(2)</w:t>
      </w:r>
    </w:p>
    <w:p>
      <w:pPr>
        <w:pStyle w:val="DefinedTerms"/>
      </w:pPr>
      <w:r>
        <w:t>relevant party</w:t>
      </w:r>
      <w:r>
        <w:tab/>
        <w:t>22(2C)</w:t>
      </w:r>
    </w:p>
    <w:p>
      <w:pPr>
        <w:pStyle w:val="DefinedTerms"/>
      </w:pPr>
      <w:r>
        <w:t>reviewable decision</w:t>
      </w:r>
      <w:r>
        <w:tab/>
        <w:t>50(1)</w:t>
      </w:r>
    </w:p>
    <w:p>
      <w:pPr>
        <w:pStyle w:val="DefinedTerms"/>
      </w:pPr>
      <w:r>
        <w:t>self-propelled vessel</w:t>
      </w:r>
      <w:r>
        <w:tab/>
        <w:t>3(1)</w:t>
      </w:r>
    </w:p>
    <w:p>
      <w:pPr>
        <w:pStyle w:val="DefinedTerms"/>
      </w:pPr>
      <w:r>
        <w:t>specified</w:t>
      </w:r>
      <w:r>
        <w:tab/>
        <w:t>Sch. cl. 6(1)</w:t>
      </w:r>
    </w:p>
    <w:p>
      <w:pPr>
        <w:pStyle w:val="DefinedTerms"/>
      </w:pPr>
      <w:r>
        <w:lastRenderedPageBreak/>
        <w:t>stood down</w:t>
      </w:r>
      <w:r>
        <w:tab/>
        <w:t>3(1) and (3B)</w:t>
      </w:r>
    </w:p>
    <w:p>
      <w:pPr>
        <w:pStyle w:val="DefinedTerms"/>
      </w:pPr>
      <w:r>
        <w:t>training contract</w:t>
      </w:r>
      <w:r>
        <w:tab/>
        <w:t>3(1)</w:t>
      </w:r>
    </w:p>
    <w:p>
      <w:pPr>
        <w:pStyle w:val="DefinedTerms"/>
      </w:pPr>
      <w:r>
        <w:t>transitional matter</w:t>
      </w:r>
      <w:r>
        <w:tab/>
        <w:t>Sch. cl. 6(1)</w:t>
      </w:r>
    </w:p>
    <w:p>
      <w:pPr>
        <w:pStyle w:val="DefinedTerms"/>
      </w:pPr>
      <w:r>
        <w:t>transitional regulations</w:t>
      </w:r>
      <w:r>
        <w:tab/>
        <w:t>Sch. cl. 4</w:t>
      </w:r>
    </w:p>
    <w:p>
      <w:pPr>
        <w:pStyle w:val="DefinedTerms"/>
      </w:pPr>
      <w:r>
        <w:t>union</w:t>
      </w:r>
      <w:r>
        <w:tab/>
        <w:t>3(1)</w:t>
      </w:r>
    </w:p>
    <w:p>
      <w:pPr>
        <w:pStyle w:val="DefinedTerms"/>
      </w:pPr>
      <w:r>
        <w:t>vessel</w:t>
      </w:r>
      <w:r>
        <w:tab/>
        <w:t>3(1)</w:t>
      </w:r>
    </w:p>
    <w:p>
      <w:pPr>
        <w:pStyle w:val="DefinedTerms"/>
      </w:pPr>
      <w:r>
        <w:t>vessel-related person</w:t>
      </w:r>
      <w:r>
        <w:tab/>
        <w:t>Sch. cl. 12 and 13(2)</w:t>
      </w:r>
    </w:p>
    <w:p>
      <w:pPr>
        <w:pStyle w:val="DefinedTerms"/>
      </w:pPr>
      <w:r>
        <w:t>WAIRC</w:t>
      </w:r>
      <w:r>
        <w:tab/>
        <w:t>3(1)</w:t>
      </w:r>
    </w:p>
    <w:p>
      <w:pPr>
        <w:pStyle w:val="DefinedTerms"/>
      </w:pPr>
      <w:r>
        <w:t>year of service</w:t>
      </w:r>
      <w:r>
        <w:tab/>
        <w:t>3(1)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7458075</wp:posOffset>
                </wp:positionV>
                <wp:extent cx="127000" cy="6858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858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7.25pt;width:10pt;height:54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Itali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02" w:type="dxa"/>
      <w:jc w:val="center"/>
      <w:tblLayout w:type="fixed"/>
      <w:tblCellMar>
        <w:left w:w="72" w:type="dxa"/>
        <w:right w:w="72" w:type="dxa"/>
      </w:tblCellMar>
      <w:tblLook w:val="0000" w:firstRow="0" w:lastRow="0" w:firstColumn="0" w:lastColumn="0" w:noHBand="0" w:noVBand="0"/>
    </w:tblPr>
    <w:tblGrid>
      <w:gridCol w:w="5985"/>
      <w:gridCol w:w="1317"/>
    </w:tblGrid>
    <w:tr>
      <w:trPr>
        <w:cantSplit/>
        <w:jc w:val="center"/>
      </w:trPr>
      <w:tc>
        <w:tcPr>
          <w:tcW w:w="730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1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1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0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49" w:name="Schedule"/>
    <w:bookmarkEnd w:id="1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0" w:name="DefinedTerms"/>
    <w:bookmarkEnd w:id="16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30222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A28B2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C42E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88B2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66B3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902C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AA88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4A85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CAB3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45861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C86A6B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7143827"/>
    <w:docVar w:name="WAFER_20140115094942" w:val="RemoveTocBookmarks,RemoveUnusedBookmarks,RemoveLanguageTags,UsedStyles,ResetPageSize,UpdateArrangement"/>
    <w:docVar w:name="WAFER_20140115094942_GUID" w:val="3bd6329f-391f-4447-a4ad-0372a2ccff5b"/>
    <w:docVar w:name="WAFER_20140115094951" w:val="RemoveTocBookmarks,RunningHeaders"/>
    <w:docVar w:name="WAFER_20140115094951_GUID" w:val="2f367692-87c6-4f74-9153-66628eb9936c"/>
    <w:docVar w:name="WAFER_20140306114116" w:val="RemoveTocBookmarks,RemoveUnusedBookmarks,RemoveLanguageTags,UsedStyles,ResetPageSize"/>
    <w:docVar w:name="WAFER_20140306114116_GUID" w:val="d7486b9a-af9c-4274-97e5-c55cf0a77739"/>
    <w:docVar w:name="WAFER_20140306114902" w:val="RemoveTocBookmarks,RunningHeaders"/>
    <w:docVar w:name="WAFER_20140306114902_GUID" w:val="79e93653-9568-4512-959f-93c5e4ca2346"/>
    <w:docVar w:name="WAFER_20150401115606" w:val="ResetPageSize,UpdateArrangement,UpdateNTable"/>
    <w:docVar w:name="WAFER_20150401115606_GUID" w:val="c30e1f28-4f65-4a37-9286-08ce91f51950"/>
    <w:docVar w:name="WAFER_20150401120125" w:val="ResetPageSize,UpdateArrangement,UpdateNTable"/>
    <w:docVar w:name="WAFER_20150401120125_GUID" w:val="07afba28-3f08-4483-a53d-5cfd60a25d2c"/>
    <w:docVar w:name="WAFER_20151102161816" w:val="UpdateStyles,UsedStyles"/>
    <w:docVar w:name="WAFER_20151102161816_GUID" w:val="225d4b9d-6a44-45ae-89ce-283c19e8fdd7"/>
    <w:docVar w:name="WAFER_202508220951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822095152_GUID" w:val="f94b5e7e-3759-4f5f-8a51-6fde9f2a2ba9"/>
    <w:docVar w:name="WAFER_20251217143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7143827_GUID" w:val="4a308e87-8db1-46c4-b35c-6c5e112eae14"/>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E16DC47E-EEFB-4E9E-AB07-5E7B4B3FD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17907</Words>
  <Characters>85062</Characters>
  <Application>Microsoft Office Word</Application>
  <DocSecurity>0</DocSecurity>
  <Lines>2298</Lines>
  <Paragraphs>1271</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101698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1985 - 04-e0-00</dc:title>
  <dc:subject/>
  <dc:creator/>
  <cp:keywords/>
  <dc:description/>
  <cp:lastModifiedBy>Master Repository Process</cp:lastModifiedBy>
  <cp:revision>4</cp:revision>
  <cp:lastPrinted>2013-11-26T01:00:00Z</cp:lastPrinted>
  <dcterms:created xsi:type="dcterms:W3CDTF">2025-12-30T03:47:00Z</dcterms:created>
  <dcterms:modified xsi:type="dcterms:W3CDTF">2025-12-30T03:47:00Z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DocumentType">
    <vt:lpwstr>Act</vt:lpwstr>
  </property>
  <property fmtid="{D5CDD505-2E9C-101B-9397-08002B2CF9AE}" pid="4" name="OwlsUID">
    <vt:i4>175</vt:i4>
  </property>
  <property fmtid="{D5CDD505-2E9C-101B-9397-08002B2CF9AE}" pid="5" name="ReprintNo">
    <vt:lpwstr>4</vt:lpwstr>
  </property>
  <property fmtid="{D5CDD505-2E9C-101B-9397-08002B2CF9AE}" pid="6" name="ReprintedAsAt">
    <vt:filetime>2013-11-07T16:00:00Z</vt:filetime>
  </property>
  <property fmtid="{D5CDD505-2E9C-101B-9397-08002B2CF9AE}" pid="7" name="AsAtDate">
    <vt:lpwstr>01 Jan 2026</vt:lpwstr>
  </property>
  <property fmtid="{D5CDD505-2E9C-101B-9397-08002B2CF9AE}" pid="8" name="Suffix">
    <vt:lpwstr>04-e0-00</vt:lpwstr>
  </property>
  <property fmtid="{D5CDD505-2E9C-101B-9397-08002B2CF9AE}" pid="9" name="Official">
    <vt:lpwstr/>
  </property>
  <property fmtid="{D5CDD505-2E9C-101B-9397-08002B2CF9AE}" pid="10" name="CommencementDate">
    <vt:lpwstr>20260101</vt:lpwstr>
  </property>
  <property fmtid="{D5CDD505-2E9C-101B-9397-08002B2CF9AE}" pid="11" name="CommencementAsAt">
    <vt:filetime>2025-12-31T16:00:00Z</vt:filetime>
  </property>
  <property fmtid="{D5CDD505-2E9C-101B-9397-08002B2CF9AE}" pid="12" name="CommencementYear">
    <vt:lpwstr>2026</vt:lpwstr>
  </property>
</Properties>
</file>