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Mining Act 1978</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Mining (Royalties) Amendment Regulations 2026</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Mining (Royalties) Amendment Regulations 2026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_Toc218675375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_Toc218675376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_Toc218675377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3 amended</w:t>
      </w:r>
      <w:r>
        <w:tab/>
      </w:r>
      <w:r>
        <w:fldChar w:fldCharType="begin"/>
      </w:r>
      <w:r>
        <w:instrText xml:space="preserve"> PAGEREF _Toc218675378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 13 amended</w:t>
      </w:r>
      <w:r>
        <w:tab/>
      </w:r>
      <w:r>
        <w:fldChar w:fldCharType="begin"/>
      </w:r>
      <w:r>
        <w:instrText xml:space="preserve"> PAGEREF _Toc218675379 \h </w:instrText>
      </w:r>
      <w:r>
        <w:fldChar w:fldCharType="separate"/>
      </w:r>
      <w:r>
        <w:t>2</w:t>
      </w:r>
      <w:r>
        <w:fldChar w:fldCharType="end"/>
      </w:r>
    </w:p>
    <w:p>
      <w:pPr>
        <w:pStyle w:val="TOC8"/>
        <w:rPr>
          <w:rFonts w:asciiTheme="minorHAnsi" w:eastAsiaTheme="minorEastAsia" w:hAnsiTheme="minorHAnsi" w:cstheme="minorBidi"/>
          <w:szCs w:val="22"/>
        </w:rPr>
      </w:pPr>
      <w:r>
        <w:t>6.</w:t>
      </w:r>
      <w:r>
        <w:tab/>
        <w:t>Regulation 14 amended</w:t>
      </w:r>
      <w:r>
        <w:tab/>
      </w:r>
      <w:r>
        <w:fldChar w:fldCharType="begin"/>
      </w:r>
      <w:r>
        <w:instrText xml:space="preserve"> PAGEREF _Toc218675380 \h </w:instrText>
      </w:r>
      <w:r>
        <w:fldChar w:fldCharType="separate"/>
      </w:r>
      <w:r>
        <w:t>2</w:t>
      </w:r>
      <w:r>
        <w:fldChar w:fldCharType="end"/>
      </w:r>
    </w:p>
    <w:p>
      <w:pPr>
        <w:pStyle w:val="TOC8"/>
        <w:rPr>
          <w:rFonts w:asciiTheme="minorHAnsi" w:eastAsiaTheme="minorEastAsia" w:hAnsiTheme="minorHAnsi" w:cstheme="minorBidi"/>
          <w:szCs w:val="22"/>
        </w:rPr>
      </w:pPr>
      <w:r>
        <w:t>7.</w:t>
      </w:r>
      <w:r>
        <w:tab/>
        <w:t>Regulation 41A inserted</w:t>
      </w:r>
      <w:r>
        <w:tab/>
      </w:r>
      <w:r>
        <w:fldChar w:fldCharType="begin"/>
      </w:r>
      <w:r>
        <w:instrText xml:space="preserve"> PAGEREF _Toc218675381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41A.</w:t>
      </w:r>
      <w:r>
        <w:rPr>
          <w:noProof/>
        </w:rPr>
        <w:tab/>
        <w:t>Method for working out royalty value of vanadium in certain circumstances</w:t>
      </w:r>
      <w:r>
        <w:rPr>
          <w:noProof/>
        </w:rPr>
        <w:tab/>
      </w:r>
      <w:r>
        <w:rPr>
          <w:noProof/>
        </w:rPr>
        <w:fldChar w:fldCharType="begin"/>
      </w:r>
      <w:r>
        <w:rPr>
          <w:noProof/>
        </w:rPr>
        <w:instrText xml:space="preserve"> PAGEREF _Toc218675382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8.</w:t>
      </w:r>
      <w:r>
        <w:tab/>
        <w:t>Schedule 1 amended</w:t>
      </w:r>
      <w:r>
        <w:tab/>
      </w:r>
      <w:r>
        <w:fldChar w:fldCharType="begin"/>
      </w:r>
      <w:r>
        <w:instrText xml:space="preserve"> PAGEREF _Toc218675383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Mining Act 1978</w:t>
      </w:r>
    </w:p>
    <w:p>
      <w:pPr>
        <w:pStyle w:val="NameofActReg"/>
      </w:pPr>
      <w:r>
        <w:t>Mining (Royalties) Amendment Regulations 2026</w:t>
      </w:r>
    </w:p>
    <w:p>
      <w:pPr>
        <w:pStyle w:val="MadeBy"/>
      </w:pPr>
      <w:r>
        <w:t>Made by the Governor in Executive Council.</w:t>
      </w:r>
    </w:p>
    <w:p>
      <w:pPr>
        <w:pStyle w:val="Heading5"/>
      </w:pPr>
      <w:bookmarkStart w:id="2" w:name="_Toc218520154"/>
      <w:bookmarkStart w:id="3" w:name="_Toc218675375"/>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Mining (Royalties) Amendment Regulations 2026</w:t>
      </w:r>
      <w:r>
        <w:t>.</w:t>
      </w:r>
    </w:p>
    <w:p>
      <w:pPr>
        <w:pStyle w:val="Heading5"/>
        <w:rPr>
          <w:spacing w:val="-2"/>
        </w:rPr>
      </w:pPr>
      <w:bookmarkStart w:id="5" w:name="_Toc218520155"/>
      <w:bookmarkStart w:id="6" w:name="_Toc218675376"/>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rPr>
          <w:snapToGrid w:val="0"/>
        </w:rPr>
      </w:pPr>
      <w:bookmarkStart w:id="7" w:name="_Toc218520156"/>
      <w:bookmarkStart w:id="8" w:name="_Toc218675377"/>
      <w:r>
        <w:rPr>
          <w:rStyle w:val="CharSectno"/>
        </w:rPr>
        <w:t>3</w:t>
      </w:r>
      <w:r>
        <w:rPr>
          <w:snapToGrid w:val="0"/>
        </w:rPr>
        <w:t>.</w:t>
      </w:r>
      <w:r>
        <w:rPr>
          <w:snapToGrid w:val="0"/>
        </w:rPr>
        <w:tab/>
        <w:t>Regulations amended</w:t>
      </w:r>
      <w:bookmarkEnd w:id="7"/>
      <w:bookmarkEnd w:id="8"/>
    </w:p>
    <w:p>
      <w:pPr>
        <w:pStyle w:val="Subsection"/>
        <w:rPr>
          <w:rStyle w:val="DraftersNotes"/>
          <w:b w:val="0"/>
          <w:i w:val="0"/>
          <w:sz w:val="24"/>
        </w:rPr>
      </w:pPr>
      <w:r>
        <w:tab/>
      </w:r>
      <w:r>
        <w:tab/>
        <w:t xml:space="preserve">These </w:t>
      </w:r>
      <w:r>
        <w:rPr>
          <w:spacing w:val="-2"/>
        </w:rPr>
        <w:t>regulations amend</w:t>
      </w:r>
      <w:r>
        <w:t xml:space="preserve"> the </w:t>
      </w:r>
      <w:r>
        <w:rPr>
          <w:i/>
        </w:rPr>
        <w:t>Mining (Royalties) Regulations 2025</w:t>
      </w:r>
      <w:r>
        <w:t>.</w:t>
      </w:r>
    </w:p>
    <w:p>
      <w:pPr>
        <w:pStyle w:val="Heading5"/>
      </w:pPr>
      <w:bookmarkStart w:id="9" w:name="_Toc218520157"/>
      <w:bookmarkStart w:id="10" w:name="_Toc218675378"/>
      <w:r>
        <w:rPr>
          <w:rStyle w:val="CharSectno"/>
        </w:rPr>
        <w:t>4</w:t>
      </w:r>
      <w:r>
        <w:t>.</w:t>
      </w:r>
      <w:r>
        <w:tab/>
        <w:t>Regulation 3 amended</w:t>
      </w:r>
      <w:bookmarkEnd w:id="9"/>
      <w:bookmarkEnd w:id="10"/>
    </w:p>
    <w:p>
      <w:pPr>
        <w:pStyle w:val="Subsection"/>
        <w:keepNext/>
      </w:pPr>
      <w:r>
        <w:tab/>
      </w:r>
      <w:r>
        <w:tab/>
        <w:t>In regulation 3 insert in alphabetical order:</w:t>
      </w:r>
    </w:p>
    <w:p>
      <w:pPr>
        <w:pStyle w:val="BlankOpen"/>
      </w:pPr>
    </w:p>
    <w:p>
      <w:pPr>
        <w:pStyle w:val="zDefstart"/>
        <w:keepNext/>
      </w:pPr>
      <w:r>
        <w:tab/>
      </w:r>
      <w:r>
        <w:rPr>
          <w:rStyle w:val="CharDefText"/>
        </w:rPr>
        <w:t>specified vanadium product</w:t>
      </w:r>
      <w:r>
        <w:t xml:space="preserve"> means any of the following — </w:t>
      </w:r>
    </w:p>
    <w:p>
      <w:pPr>
        <w:pStyle w:val="zDefpara"/>
      </w:pPr>
      <w:r>
        <w:tab/>
        <w:t>(a)</w:t>
      </w:r>
      <w:r>
        <w:tab/>
        <w:t>ferrovanadium;</w:t>
      </w:r>
    </w:p>
    <w:p>
      <w:pPr>
        <w:pStyle w:val="zDefpara"/>
      </w:pPr>
      <w:r>
        <w:tab/>
        <w:t>(b)</w:t>
      </w:r>
      <w:r>
        <w:tab/>
        <w:t>vanadium pentoxide;</w:t>
      </w:r>
    </w:p>
    <w:p>
      <w:pPr>
        <w:pStyle w:val="zDefpara"/>
      </w:pPr>
      <w:r>
        <w:tab/>
        <w:t>(c)</w:t>
      </w:r>
      <w:r>
        <w:tab/>
        <w:t>vanadium trioxide;</w:t>
      </w:r>
    </w:p>
    <w:p>
      <w:pPr>
        <w:pStyle w:val="zDefpara"/>
        <w:rPr>
          <w:rStyle w:val="DraftersNotes"/>
          <w:b w:val="0"/>
          <w:i w:val="0"/>
          <w:sz w:val="24"/>
        </w:rPr>
      </w:pPr>
      <w:r>
        <w:tab/>
        <w:t>(d)</w:t>
      </w:r>
      <w:r>
        <w:tab/>
        <w:t>ammonium metavanadate;</w:t>
      </w:r>
    </w:p>
    <w:p>
      <w:pPr>
        <w:pStyle w:val="zDefpara"/>
      </w:pPr>
      <w:r>
        <w:lastRenderedPageBreak/>
        <w:tab/>
        <w:t>(e)</w:t>
      </w:r>
      <w:r>
        <w:tab/>
        <w:t>ammonium polyvanadate;</w:t>
      </w:r>
    </w:p>
    <w:p>
      <w:pPr>
        <w:pStyle w:val="zDefpara"/>
      </w:pPr>
      <w:r>
        <w:tab/>
        <w:t>(f)</w:t>
      </w:r>
      <w:r>
        <w:tab/>
        <w:t>vanadium carbide;</w:t>
      </w:r>
    </w:p>
    <w:p>
      <w:pPr>
        <w:pStyle w:val="zDefpara"/>
      </w:pPr>
      <w:r>
        <w:tab/>
        <w:t>(g)</w:t>
      </w:r>
      <w:r>
        <w:tab/>
        <w:t>vanadium nitride;</w:t>
      </w:r>
    </w:p>
    <w:p>
      <w:pPr>
        <w:pStyle w:val="zDefpara"/>
      </w:pPr>
      <w:r>
        <w:tab/>
        <w:t>(h)</w:t>
      </w:r>
      <w:r>
        <w:tab/>
        <w:t>vanadium carbonitride;</w:t>
      </w:r>
    </w:p>
    <w:p>
      <w:pPr>
        <w:pStyle w:val="zDefpara"/>
      </w:pPr>
      <w:r>
        <w:tab/>
        <w:t>(i)</w:t>
      </w:r>
      <w:r>
        <w:tab/>
        <w:t>vanadyl sulphate;</w:t>
      </w:r>
    </w:p>
    <w:p>
      <w:pPr>
        <w:pStyle w:val="BlankClose"/>
      </w:pPr>
    </w:p>
    <w:p>
      <w:pPr>
        <w:pStyle w:val="Heading5"/>
      </w:pPr>
      <w:bookmarkStart w:id="11" w:name="_Toc218520158"/>
      <w:bookmarkStart w:id="12" w:name="_Toc218675379"/>
      <w:r>
        <w:rPr>
          <w:rStyle w:val="CharSectno"/>
        </w:rPr>
        <w:t>5</w:t>
      </w:r>
      <w:r>
        <w:t>.</w:t>
      </w:r>
      <w:r>
        <w:tab/>
        <w:t>Regulation 13 amended</w:t>
      </w:r>
      <w:bookmarkEnd w:id="11"/>
      <w:bookmarkEnd w:id="12"/>
    </w:p>
    <w:p>
      <w:pPr>
        <w:pStyle w:val="Subsection"/>
      </w:pPr>
      <w:r>
        <w:tab/>
      </w:r>
      <w:r>
        <w:tab/>
        <w:t>After regulation 13(2)(e) insert:</w:t>
      </w:r>
    </w:p>
    <w:p>
      <w:pPr>
        <w:pStyle w:val="BlankOpen"/>
      </w:pPr>
    </w:p>
    <w:p>
      <w:pPr>
        <w:pStyle w:val="zIndenta"/>
      </w:pPr>
      <w:r>
        <w:tab/>
        <w:t>(ea)</w:t>
      </w:r>
      <w:r>
        <w:tab/>
        <w:t>in the case of a specified vanadium product sold in the circumstances described in regulation 41A(1)(a) — for the quantity of the specified vanadium product sold as described in that regulation during the quarter;</w:t>
      </w:r>
    </w:p>
    <w:p>
      <w:pPr>
        <w:pStyle w:val="zIndenta"/>
      </w:pPr>
      <w:r>
        <w:tab/>
        <w:t>(eb)</w:t>
      </w:r>
      <w:r>
        <w:tab/>
        <w:t>in the case of vanadium used in the circumstances described in regulation 41A(1)(b) — for the quantity of vanadium used as described in that regulation during the quarter;</w:t>
      </w:r>
    </w:p>
    <w:p>
      <w:pPr>
        <w:pStyle w:val="BlankClose"/>
      </w:pPr>
    </w:p>
    <w:p>
      <w:pPr>
        <w:pStyle w:val="Heading5"/>
      </w:pPr>
      <w:bookmarkStart w:id="13" w:name="_Toc218520159"/>
      <w:bookmarkStart w:id="14" w:name="_Toc218675380"/>
      <w:r>
        <w:rPr>
          <w:rStyle w:val="CharSectno"/>
        </w:rPr>
        <w:t>6</w:t>
      </w:r>
      <w:r>
        <w:t>.</w:t>
      </w:r>
      <w:r>
        <w:tab/>
        <w:t>Regulation 14 amended</w:t>
      </w:r>
      <w:bookmarkEnd w:id="13"/>
      <w:bookmarkEnd w:id="14"/>
    </w:p>
    <w:p>
      <w:pPr>
        <w:pStyle w:val="Subsection"/>
      </w:pPr>
      <w:r>
        <w:tab/>
        <w:t>(1)</w:t>
      </w:r>
      <w:r>
        <w:tab/>
        <w:t>After regulation 14(2)(g) insert:</w:t>
      </w:r>
    </w:p>
    <w:p>
      <w:pPr>
        <w:pStyle w:val="BlankOpen"/>
      </w:pPr>
    </w:p>
    <w:p>
      <w:pPr>
        <w:pStyle w:val="zIndenta"/>
      </w:pPr>
      <w:r>
        <w:tab/>
        <w:t>(ga)</w:t>
      </w:r>
      <w:r>
        <w:tab/>
        <w:t>in the case of vanadium sold or used in the circumstances described in regulation 41A(1) — has the meaning given in regulation 41A(2); or</w:t>
      </w:r>
    </w:p>
    <w:p>
      <w:pPr>
        <w:pStyle w:val="BlankClose"/>
      </w:pPr>
    </w:p>
    <w:p>
      <w:pPr>
        <w:pStyle w:val="Subsection"/>
        <w:keepNext/>
      </w:pPr>
      <w:r>
        <w:lastRenderedPageBreak/>
        <w:tab/>
        <w:t>(2)</w:t>
      </w:r>
      <w:r>
        <w:tab/>
        <w:t>In regulation 14(2) after each of paragraphs (e) and (g) insert:</w:t>
      </w:r>
    </w:p>
    <w:p>
      <w:pPr>
        <w:pStyle w:val="BlankOpen"/>
      </w:pPr>
    </w:p>
    <w:p>
      <w:pPr>
        <w:pStyle w:val="Subsection"/>
        <w:keepNext/>
      </w:pPr>
      <w:r>
        <w:tab/>
      </w:r>
      <w:r>
        <w:tab/>
        <w:t>or</w:t>
      </w:r>
    </w:p>
    <w:p>
      <w:pPr>
        <w:pStyle w:val="BlankClose"/>
      </w:pPr>
    </w:p>
    <w:p>
      <w:pPr>
        <w:pStyle w:val="Heading5"/>
      </w:pPr>
      <w:bookmarkStart w:id="15" w:name="_Toc218520160"/>
      <w:bookmarkStart w:id="16" w:name="_Toc218675381"/>
      <w:r>
        <w:rPr>
          <w:rStyle w:val="CharSectno"/>
        </w:rPr>
        <w:t>7</w:t>
      </w:r>
      <w:r>
        <w:t>.</w:t>
      </w:r>
      <w:r>
        <w:tab/>
        <w:t>Regulation 41A inserted</w:t>
      </w:r>
      <w:bookmarkEnd w:id="15"/>
      <w:bookmarkEnd w:id="16"/>
    </w:p>
    <w:p>
      <w:pPr>
        <w:pStyle w:val="Subsection"/>
      </w:pPr>
      <w:r>
        <w:tab/>
      </w:r>
      <w:r>
        <w:tab/>
        <w:t>At the end of Part 3 Division 3 insert:</w:t>
      </w:r>
    </w:p>
    <w:p>
      <w:pPr>
        <w:pStyle w:val="BlankOpen"/>
      </w:pPr>
    </w:p>
    <w:p>
      <w:pPr>
        <w:pStyle w:val="zHeading5"/>
      </w:pPr>
      <w:bookmarkStart w:id="17" w:name="_Toc218520161"/>
      <w:bookmarkStart w:id="18" w:name="_Toc218675382"/>
      <w:r>
        <w:t>41A.</w:t>
      </w:r>
      <w:r>
        <w:tab/>
        <w:t>Method for working out royalty value of vanadium in certain circumstances</w:t>
      </w:r>
      <w:bookmarkEnd w:id="17"/>
      <w:bookmarkEnd w:id="18"/>
    </w:p>
    <w:p>
      <w:pPr>
        <w:pStyle w:val="zSubsection"/>
      </w:pPr>
      <w:r>
        <w:tab/>
        <w:t>(1)</w:t>
      </w:r>
      <w:r>
        <w:tab/>
        <w:t xml:space="preserve">This regulation applies if the producer of vanadium — </w:t>
      </w:r>
    </w:p>
    <w:p>
      <w:pPr>
        <w:pStyle w:val="zIndenta"/>
      </w:pPr>
      <w:r>
        <w:tab/>
        <w:t>(a)</w:t>
      </w:r>
      <w:r>
        <w:tab/>
        <w:t>sells a specified vanadium product to a related corporation of the producer; or</w:t>
      </w:r>
    </w:p>
    <w:p>
      <w:pPr>
        <w:pStyle w:val="zIndenta"/>
      </w:pPr>
      <w:r>
        <w:tab/>
        <w:t>(b)</w:t>
      </w:r>
      <w:r>
        <w:tab/>
        <w:t>uses vanadium as feedstock to produce vanadium electrolyte.</w:t>
      </w:r>
    </w:p>
    <w:p>
      <w:pPr>
        <w:pStyle w:val="zSubsection"/>
      </w:pPr>
      <w:r>
        <w:tab/>
        <w:t>(2)</w:t>
      </w:r>
      <w:r>
        <w:tab/>
        <w:t xml:space="preserve">The </w:t>
      </w:r>
      <w:r>
        <w:rPr>
          <w:rStyle w:val="CharDefText"/>
        </w:rPr>
        <w:t>royalty value</w:t>
      </w:r>
      <w:r>
        <w:t xml:space="preserve"> of the vanadium is the amount worked out using the method decided by the Minister under subregulation (3).</w:t>
      </w:r>
    </w:p>
    <w:p>
      <w:pPr>
        <w:pStyle w:val="zSubsection"/>
      </w:pPr>
      <w:r>
        <w:tab/>
        <w:t>(3)</w:t>
      </w:r>
      <w:r>
        <w:tab/>
        <w:t>The Minister may decide a method for working out the royalty value of vanadium sold or used in the circumstances described in subregulation (1) that takes into account the market price for vanadium of the same or a similar form and grade.</w:t>
      </w:r>
    </w:p>
    <w:p>
      <w:pPr>
        <w:pStyle w:val="BlankClose"/>
      </w:pPr>
    </w:p>
    <w:p>
      <w:pPr>
        <w:pStyle w:val="Heading5"/>
      </w:pPr>
      <w:bookmarkStart w:id="19" w:name="_Toc218520162"/>
      <w:bookmarkStart w:id="20" w:name="_Toc218675383"/>
      <w:r>
        <w:rPr>
          <w:rStyle w:val="CharSectno"/>
        </w:rPr>
        <w:t>8</w:t>
      </w:r>
      <w:r>
        <w:t>.</w:t>
      </w:r>
      <w:r>
        <w:tab/>
        <w:t>Schedule 1 amended</w:t>
      </w:r>
      <w:bookmarkEnd w:id="19"/>
      <w:bookmarkEnd w:id="20"/>
    </w:p>
    <w:p>
      <w:pPr>
        <w:pStyle w:val="Subsection"/>
      </w:pPr>
      <w:r>
        <w:tab/>
        <w:t>(1)</w:t>
      </w:r>
      <w:r>
        <w:tab/>
        <w:t>In Schedule 1 Division 2 in the item for Lithium delete “</w:t>
      </w:r>
      <w:r>
        <w:rPr>
          <w:sz w:val="22"/>
        </w:rPr>
        <w:t>sold</w:t>
      </w:r>
      <w:r>
        <w:t>”.</w:t>
      </w:r>
    </w:p>
    <w:p>
      <w:pPr>
        <w:pStyle w:val="Subsection"/>
        <w:keepNext/>
      </w:pPr>
      <w:r>
        <w:lastRenderedPageBreak/>
        <w:tab/>
        <w:t>(2)</w:t>
      </w:r>
      <w:r>
        <w:tab/>
        <w:t>In Schedule 1 Division 2 after the item for Uranium insert:</w:t>
      </w:r>
    </w:p>
    <w:p>
      <w:pPr>
        <w:pStyle w:val="BlankOpen"/>
      </w:pPr>
    </w:p>
    <w:tbl>
      <w:tblPr>
        <w:tblW w:w="6834"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91"/>
        <w:gridCol w:w="1843"/>
      </w:tblGrid>
      <w:tr>
        <w:tc>
          <w:tcPr>
            <w:tcW w:w="4991" w:type="dxa"/>
            <w:tcBorders>
              <w:top w:val="single" w:sz="4" w:space="0" w:color="auto"/>
              <w:bottom w:val="nil"/>
            </w:tcBorders>
          </w:tcPr>
          <w:p>
            <w:pPr>
              <w:pStyle w:val="zyTableNAm"/>
              <w:keepNext/>
            </w:pPr>
            <w:r>
              <w:t>Vanadium</w:t>
            </w:r>
          </w:p>
        </w:tc>
        <w:tc>
          <w:tcPr>
            <w:tcW w:w="1843" w:type="dxa"/>
            <w:tcBorders>
              <w:top w:val="single" w:sz="4" w:space="0" w:color="auto"/>
              <w:bottom w:val="nil"/>
            </w:tcBorders>
          </w:tcPr>
          <w:p>
            <w:pPr>
              <w:pStyle w:val="zyTableNAm"/>
              <w:keepNext/>
              <w:jc w:val="center"/>
            </w:pPr>
          </w:p>
        </w:tc>
      </w:tr>
      <w:tr>
        <w:tc>
          <w:tcPr>
            <w:tcW w:w="4991" w:type="dxa"/>
            <w:tcBorders>
              <w:top w:val="nil"/>
              <w:left w:val="single" w:sz="4" w:space="0" w:color="auto"/>
              <w:bottom w:val="nil"/>
            </w:tcBorders>
          </w:tcPr>
          <w:p>
            <w:pPr>
              <w:pStyle w:val="zyTableNAm"/>
            </w:pPr>
            <w:r>
              <w:t> — sold as a specified vanadium product</w:t>
            </w:r>
          </w:p>
        </w:tc>
        <w:tc>
          <w:tcPr>
            <w:tcW w:w="1843" w:type="dxa"/>
            <w:tcBorders>
              <w:top w:val="nil"/>
              <w:bottom w:val="nil"/>
            </w:tcBorders>
          </w:tcPr>
          <w:p>
            <w:pPr>
              <w:pStyle w:val="zyTableNAm"/>
              <w:jc w:val="center"/>
            </w:pPr>
            <w:r>
              <w:t>2.5%</w:t>
            </w:r>
          </w:p>
        </w:tc>
      </w:tr>
      <w:tr>
        <w:tc>
          <w:tcPr>
            <w:tcW w:w="4991" w:type="dxa"/>
            <w:tcBorders>
              <w:top w:val="nil"/>
              <w:bottom w:val="single" w:sz="4" w:space="0" w:color="auto"/>
            </w:tcBorders>
          </w:tcPr>
          <w:p>
            <w:pPr>
              <w:pStyle w:val="zyTableNAm"/>
              <w:rPr>
                <w:rStyle w:val="DraftersNotes"/>
                <w:b w:val="0"/>
                <w:i w:val="0"/>
                <w:sz w:val="22"/>
              </w:rPr>
            </w:pPr>
            <w:r>
              <w:t> — used as feedstock to produce vanadium electrolyte</w:t>
            </w:r>
          </w:p>
        </w:tc>
        <w:tc>
          <w:tcPr>
            <w:tcW w:w="1843" w:type="dxa"/>
            <w:tcBorders>
              <w:top w:val="nil"/>
              <w:bottom w:val="single" w:sz="4" w:space="0" w:color="auto"/>
            </w:tcBorders>
          </w:tcPr>
          <w:p>
            <w:pPr>
              <w:pStyle w:val="zyTableNAm"/>
              <w:jc w:val="center"/>
            </w:pPr>
            <w:r>
              <w:t>2.5%</w:t>
            </w:r>
          </w:p>
        </w:tc>
      </w:tr>
    </w:tbl>
    <w:p>
      <w:pPr>
        <w:pStyle w:val="BlankClose"/>
      </w:pPr>
    </w:p>
    <w:p>
      <w:pPr>
        <w:pStyle w:val="Subsection"/>
      </w:pPr>
      <w:r>
        <w:tab/>
        <w:t>(3)</w:t>
      </w:r>
      <w:r>
        <w:tab/>
        <w:t>In Schedule 1 Division 3 delete the item for Vanadium and insert:</w:t>
      </w:r>
    </w:p>
    <w:p>
      <w:pPr>
        <w:pStyle w:val="BlankOpen"/>
      </w:pPr>
    </w:p>
    <w:tbl>
      <w:tblPr>
        <w:tblW w:w="6804"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1447"/>
        <w:gridCol w:w="1955"/>
      </w:tblGrid>
      <w:tr>
        <w:tc>
          <w:tcPr>
            <w:tcW w:w="3402" w:type="dxa"/>
          </w:tcPr>
          <w:p>
            <w:pPr>
              <w:pStyle w:val="zyTableNAm"/>
            </w:pPr>
            <w:r>
              <w:t>Vanadium — for vanadium not realised on contained vanadium from a product (such as magnetite) where the average grades of vanadium are over 0.275% V2O5 in the ore and a vanadium circuit is not installed</w:t>
            </w:r>
          </w:p>
        </w:tc>
        <w:tc>
          <w:tcPr>
            <w:tcW w:w="1447" w:type="dxa"/>
          </w:tcPr>
          <w:p>
            <w:pPr>
              <w:pStyle w:val="zyTableNAm"/>
              <w:jc w:val="center"/>
            </w:pPr>
            <w:r>
              <w:t>5%</w:t>
            </w:r>
          </w:p>
        </w:tc>
        <w:tc>
          <w:tcPr>
            <w:tcW w:w="1955" w:type="dxa"/>
          </w:tcPr>
          <w:p>
            <w:pPr>
              <w:pStyle w:val="zyTableNAm"/>
            </w:pPr>
            <w:r>
              <w:t>Vanadium pentoxide price</w:t>
            </w:r>
          </w:p>
        </w:tc>
      </w:tr>
    </w:tbl>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A. O’SULLIVAN,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right</wp:align>
                </wp:positionH>
                <wp:positionV relativeFrom="page">
                  <wp:posOffset>7421526</wp:posOffset>
                </wp:positionV>
                <wp:extent cx="127000" cy="669851"/>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69851"/>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41.2pt;margin-top:584.35pt;width:10pt;height:52.75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2026/2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08 Jan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2026/2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08 Jan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2026/2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08 Jan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2026/2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08 Jan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2026/2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08 Jan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2026/2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08 Jan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Amendment Regulations 2026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(Royalties) Amendment Regulations 2026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Amendment Regulations 2026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Mining (Royalties) Amendment Regulations 2026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Current&gt;2&lt;/Current&gt;&lt;Maximum&gt;1&lt;/Maximum&gt;&lt;/AllLaws&gt;"/>
    <w:docVar w:name="WAFER" w:val="20260105154116"/>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1128161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28161006_GUID" w:val="96ed372b-fa8b-4549-82a3-5d9c18029d81"/>
    <w:docVar w:name="WAFER_20251211162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211162311_GUID" w:val="2b421d9c-1759-4fef-9c3e-8c640a233ac6"/>
    <w:docVar w:name="WAFER_202601051541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105154116_GUID" w:val="0505af90-c55f-46fc-b13c-129f9e1f81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E013F381-F2E6-46A9-8F56-4D82A3E00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651</Words>
  <Characters>3452</Characters>
  <Application>Microsoft Office Word</Application>
  <DocSecurity>0</DocSecurity>
  <Lines>156</Lines>
  <Paragraphs>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(Royalties) Amendment Regulations 2026 - 00-00-00</dc:title>
  <dc:subject/>
  <dc:creator/>
  <cp:keywords/>
  <dc:description/>
  <cp:lastModifiedBy>Master Repository Process</cp:lastModifiedBy>
  <cp:revision>4</cp:revision>
  <cp:lastPrinted>2021-03-14T07:59:00Z</cp:lastPrinted>
  <dcterms:created xsi:type="dcterms:W3CDTF">2026-01-07T03:01:00Z</dcterms:created>
  <dcterms:modified xsi:type="dcterms:W3CDTF">2026-01-07T03:01:00Z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55733</vt:lpwstr>
  </property>
  <property fmtid="{D5CDD505-2E9C-101B-9397-08002B2CF9AE}" pid="3" name="DocumentType">
    <vt:lpwstr>Reg</vt:lpwstr>
  </property>
  <property fmtid="{D5CDD505-2E9C-101B-9397-08002B2CF9AE}" pid="4" name="AsAtDate">
    <vt:lpwstr>08 Jan 2026</vt:lpwstr>
  </property>
  <property fmtid="{D5CDD505-2E9C-101B-9397-08002B2CF9AE}" pid="5" name="Suffix">
    <vt:lpwstr>00-00-00</vt:lpwstr>
  </property>
  <property fmtid="{D5CDD505-2E9C-101B-9397-08002B2CF9AE}" pid="6" name="Official">
    <vt:lpwstr/>
  </property>
  <property fmtid="{D5CDD505-2E9C-101B-9397-08002B2CF9AE}" pid="7" name="SLAPId">
    <vt:lpwstr>2026/2</vt:lpwstr>
  </property>
  <property fmtid="{D5CDD505-2E9C-101B-9397-08002B2CF9AE}" pid="8" name="PublishDate">
    <vt:lpwstr>8 Jan 2026</vt:lpwstr>
  </property>
  <property fmtid="{D5CDD505-2E9C-101B-9397-08002B2CF9AE}" pid="9" name="CommencementDate">
    <vt:lpwstr>20260108</vt:lpwstr>
  </property>
  <property fmtid="{D5CDD505-2E9C-101B-9397-08002B2CF9AE}" pid="10" name="CommencementAsAt">
    <vt:filetime>2026-01-07T16:00:00Z</vt:filetime>
  </property>
  <property fmtid="{D5CDD505-2E9C-101B-9397-08002B2CF9AE}" pid="11" name="CommencementYear">
    <vt:lpwstr>2026</vt:lpwstr>
  </property>
</Properties>
</file>