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Residential Parks (Long-stay Tenants) Act 2006</w:t>
      </w:r>
      <w:r>
        <w:rPr>
          <w:noProof/>
        </w:rPr>
        <w:br/>
        <w:t>Residential Tenancies Act 1987</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Commerce Regulations Amendment (Residential Tenancies and Residential Parks) Regulations 2026</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Commerce Regulations Amendment (Residential Tenancies and Residential Parks) Regulations 2026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_Toc218521579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_Toc218521580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iCs/>
        </w:rPr>
        <w:t>Residential Parks (Long</w:t>
      </w:r>
      <w:r>
        <w:rPr>
          <w:i/>
          <w:iCs/>
        </w:rPr>
        <w:noBreakHyphen/>
        <w:t>stay Tenants) Regulations 2007</w:t>
      </w:r>
      <w:r>
        <w:t xml:space="preserve"> amended</w:t>
      </w:r>
    </w:p>
    <w:p>
      <w:pPr>
        <w:pStyle w:val="TOC8"/>
        <w:rPr>
          <w:rFonts w:asciiTheme="minorHAnsi" w:eastAsiaTheme="minorEastAsia" w:hAnsiTheme="minorHAnsi" w:cstheme="minorBidi"/>
          <w:szCs w:val="22"/>
        </w:rPr>
      </w:pPr>
      <w:r>
        <w:t>3.</w:t>
      </w:r>
      <w:r>
        <w:tab/>
      </w:r>
      <w:r>
        <w:rPr>
          <w:snapToGrid w:val="0"/>
        </w:rPr>
        <w:t>Regulations amended</w:t>
      </w:r>
      <w:r>
        <w:tab/>
      </w:r>
      <w:r>
        <w:fldChar w:fldCharType="begin"/>
      </w:r>
      <w:r>
        <w:instrText xml:space="preserve"> PAGEREF _Toc218521582 \h </w:instrText>
      </w:r>
      <w:r>
        <w:fldChar w:fldCharType="separate"/>
      </w:r>
      <w:r>
        <w:t>2</w:t>
      </w:r>
      <w:r>
        <w:fldChar w:fldCharType="end"/>
      </w:r>
    </w:p>
    <w:p>
      <w:pPr>
        <w:pStyle w:val="TOC8"/>
        <w:rPr>
          <w:rFonts w:asciiTheme="minorHAnsi" w:eastAsiaTheme="minorEastAsia" w:hAnsiTheme="minorHAnsi" w:cstheme="minorBidi"/>
          <w:szCs w:val="22"/>
        </w:rPr>
      </w:pPr>
      <w:r>
        <w:t>4.</w:t>
      </w:r>
      <w:r>
        <w:tab/>
        <w:t>Regulation 3 amended</w:t>
      </w:r>
      <w:r>
        <w:tab/>
      </w:r>
      <w:r>
        <w:fldChar w:fldCharType="begin"/>
      </w:r>
      <w:r>
        <w:instrText xml:space="preserve"> PAGEREF _Toc218521583 \h </w:instrText>
      </w:r>
      <w:r>
        <w:fldChar w:fldCharType="separate"/>
      </w:r>
      <w:r>
        <w:t>2</w:t>
      </w:r>
      <w:r>
        <w:fldChar w:fldCharType="end"/>
      </w:r>
    </w:p>
    <w:p>
      <w:pPr>
        <w:pStyle w:val="TOC8"/>
        <w:rPr>
          <w:rFonts w:asciiTheme="minorHAnsi" w:eastAsiaTheme="minorEastAsia" w:hAnsiTheme="minorHAnsi" w:cstheme="minorBidi"/>
          <w:szCs w:val="22"/>
        </w:rPr>
      </w:pPr>
      <w:r>
        <w:t>5.</w:t>
      </w:r>
      <w:r>
        <w:tab/>
        <w:t>Regulation 16A replaced</w:t>
      </w:r>
      <w:r>
        <w:tab/>
      </w:r>
      <w:r>
        <w:fldChar w:fldCharType="begin"/>
      </w:r>
      <w:r>
        <w:instrText xml:space="preserve"> PAGEREF _Toc218521584 \h </w:instrText>
      </w:r>
      <w:r>
        <w:fldChar w:fldCharType="separate"/>
      </w:r>
      <w:r>
        <w:t>2</w:t>
      </w:r>
      <w:r>
        <w:fldChar w:fldCharType="end"/>
      </w:r>
    </w:p>
    <w:p>
      <w:pPr>
        <w:pStyle w:val="TOC9"/>
        <w:rPr>
          <w:rFonts w:asciiTheme="minorHAnsi" w:eastAsiaTheme="minorEastAsia" w:hAnsiTheme="minorHAnsi" w:cstheme="minorBidi"/>
          <w:noProof/>
          <w:sz w:val="22"/>
          <w:szCs w:val="22"/>
        </w:rPr>
      </w:pPr>
      <w:r>
        <w:rPr>
          <w:noProof/>
        </w:rPr>
        <w:t>16A.</w:t>
      </w:r>
      <w:r>
        <w:rPr>
          <w:noProof/>
        </w:rPr>
        <w:tab/>
        <w:t>Service by electronic means (Act s. 91(1)(c))</w:t>
      </w:r>
      <w:r>
        <w:rPr>
          <w:noProof/>
        </w:rPr>
        <w:tab/>
      </w:r>
      <w:r>
        <w:rPr>
          <w:noProof/>
        </w:rPr>
        <w:fldChar w:fldCharType="begin"/>
      </w:r>
      <w:r>
        <w:rPr>
          <w:noProof/>
        </w:rPr>
        <w:instrText xml:space="preserve"> PAGEREF _Toc218521585 \h </w:instrText>
      </w:r>
      <w:r>
        <w:rPr>
          <w:noProof/>
        </w:rPr>
      </w:r>
      <w:r>
        <w:rPr>
          <w:noProof/>
        </w:rPr>
        <w:fldChar w:fldCharType="separate"/>
      </w:r>
      <w:r>
        <w:rPr>
          <w:noProof/>
        </w:rPr>
        <w:t>2</w:t>
      </w:r>
      <w:r>
        <w:rPr>
          <w:noProof/>
        </w:rPr>
        <w:fldChar w:fldCharType="end"/>
      </w:r>
    </w:p>
    <w:p>
      <w:pPr>
        <w:pStyle w:val="TOC8"/>
        <w:rPr>
          <w:rFonts w:asciiTheme="minorHAnsi" w:eastAsiaTheme="minorEastAsia" w:hAnsiTheme="minorHAnsi" w:cstheme="minorBidi"/>
          <w:szCs w:val="22"/>
        </w:rPr>
      </w:pPr>
      <w:r>
        <w:t>6.</w:t>
      </w:r>
      <w:r>
        <w:tab/>
        <w:t>Regulation 17 deleted</w:t>
      </w:r>
      <w:r>
        <w:tab/>
      </w:r>
      <w:r>
        <w:fldChar w:fldCharType="begin"/>
      </w:r>
      <w:r>
        <w:instrText xml:space="preserve"> PAGEREF _Toc218521586 \h </w:instrText>
      </w:r>
      <w:r>
        <w:fldChar w:fldCharType="separate"/>
      </w:r>
      <w:r>
        <w:t>4</w:t>
      </w:r>
      <w:r>
        <w:fldChar w:fldCharType="end"/>
      </w:r>
    </w:p>
    <w:p>
      <w:pPr>
        <w:pStyle w:val="TOC8"/>
        <w:rPr>
          <w:rFonts w:asciiTheme="minorHAnsi" w:eastAsiaTheme="minorEastAsia" w:hAnsiTheme="minorHAnsi" w:cstheme="minorBidi"/>
          <w:szCs w:val="22"/>
        </w:rPr>
      </w:pPr>
      <w:r>
        <w:t>7.</w:t>
      </w:r>
      <w:r>
        <w:tab/>
        <w:t>Regulation 18 replaced</w:t>
      </w:r>
      <w:r>
        <w:tab/>
      </w:r>
      <w:r>
        <w:fldChar w:fldCharType="begin"/>
      </w:r>
      <w:r>
        <w:instrText xml:space="preserve"> PAGEREF _Toc218521587 \h </w:instrText>
      </w:r>
      <w:r>
        <w:fldChar w:fldCharType="separate"/>
      </w:r>
      <w:r>
        <w:t>4</w:t>
      </w:r>
      <w:r>
        <w:fldChar w:fldCharType="end"/>
      </w:r>
    </w:p>
    <w:p>
      <w:pPr>
        <w:pStyle w:val="TOC9"/>
        <w:rPr>
          <w:rFonts w:asciiTheme="minorHAnsi" w:eastAsiaTheme="minorEastAsia" w:hAnsiTheme="minorHAnsi" w:cstheme="minorBidi"/>
          <w:noProof/>
          <w:sz w:val="22"/>
          <w:szCs w:val="22"/>
        </w:rPr>
      </w:pPr>
      <w:r>
        <w:rPr>
          <w:noProof/>
        </w:rPr>
        <w:t>18.</w:t>
      </w:r>
      <w:r>
        <w:rPr>
          <w:noProof/>
        </w:rPr>
        <w:tab/>
        <w:t>Disposal of security bond amounts: general (Act s. 94(c))</w:t>
      </w:r>
      <w:r>
        <w:rPr>
          <w:noProof/>
        </w:rPr>
        <w:tab/>
      </w:r>
      <w:r>
        <w:rPr>
          <w:noProof/>
        </w:rPr>
        <w:fldChar w:fldCharType="begin"/>
      </w:r>
      <w:r>
        <w:rPr>
          <w:noProof/>
        </w:rPr>
        <w:instrText xml:space="preserve"> PAGEREF _Toc218521588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18A.</w:t>
      </w:r>
      <w:r>
        <w:rPr>
          <w:noProof/>
        </w:rPr>
        <w:tab/>
        <w:t>Relevant party</w:t>
      </w:r>
      <w:r>
        <w:rPr>
          <w:noProof/>
        </w:rPr>
        <w:tab/>
      </w:r>
      <w:r>
        <w:rPr>
          <w:noProof/>
        </w:rPr>
        <w:fldChar w:fldCharType="begin"/>
      </w:r>
      <w:r>
        <w:rPr>
          <w:noProof/>
        </w:rPr>
        <w:instrText xml:space="preserve"> PAGEREF _Toc218521589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18B.</w:t>
      </w:r>
      <w:r>
        <w:rPr>
          <w:noProof/>
        </w:rPr>
        <w:tab/>
        <w:t>Application for release of security bond</w:t>
      </w:r>
      <w:r>
        <w:rPr>
          <w:noProof/>
        </w:rPr>
        <w:tab/>
      </w:r>
      <w:r>
        <w:rPr>
          <w:noProof/>
        </w:rPr>
        <w:fldChar w:fldCharType="begin"/>
      </w:r>
      <w:r>
        <w:rPr>
          <w:noProof/>
        </w:rPr>
        <w:instrText xml:space="preserve"> PAGEREF _Toc218521590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18C.</w:t>
      </w:r>
      <w:r>
        <w:rPr>
          <w:noProof/>
        </w:rPr>
        <w:tab/>
        <w:t>Application for partial release of security bond</w:t>
      </w:r>
      <w:r>
        <w:rPr>
          <w:noProof/>
        </w:rPr>
        <w:tab/>
      </w:r>
      <w:r>
        <w:rPr>
          <w:noProof/>
        </w:rPr>
        <w:fldChar w:fldCharType="begin"/>
      </w:r>
      <w:r>
        <w:rPr>
          <w:noProof/>
        </w:rPr>
        <w:instrText xml:space="preserve"> PAGEREF _Toc218521591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18D.</w:t>
      </w:r>
      <w:r>
        <w:rPr>
          <w:noProof/>
        </w:rPr>
        <w:tab/>
        <w:t>Notice of security bond release application to other relevant parties</w:t>
      </w:r>
      <w:r>
        <w:rPr>
          <w:noProof/>
        </w:rPr>
        <w:tab/>
      </w:r>
      <w:r>
        <w:rPr>
          <w:noProof/>
        </w:rPr>
        <w:fldChar w:fldCharType="begin"/>
      </w:r>
      <w:r>
        <w:rPr>
          <w:noProof/>
        </w:rPr>
        <w:instrText xml:space="preserve"> PAGEREF _Toc218521592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18E.</w:t>
      </w:r>
      <w:r>
        <w:rPr>
          <w:noProof/>
        </w:rPr>
        <w:tab/>
        <w:t>Agreeing to security bond release application</w:t>
      </w:r>
      <w:r>
        <w:rPr>
          <w:noProof/>
        </w:rPr>
        <w:tab/>
      </w:r>
      <w:r>
        <w:rPr>
          <w:noProof/>
        </w:rPr>
        <w:fldChar w:fldCharType="begin"/>
      </w:r>
      <w:r>
        <w:rPr>
          <w:noProof/>
        </w:rPr>
        <w:instrText xml:space="preserve"> PAGEREF _Toc218521593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18F.</w:t>
      </w:r>
      <w:r>
        <w:rPr>
          <w:noProof/>
        </w:rPr>
        <w:tab/>
        <w:t>Disputing security bond release application</w:t>
      </w:r>
      <w:r>
        <w:rPr>
          <w:noProof/>
        </w:rPr>
        <w:tab/>
      </w:r>
      <w:r>
        <w:rPr>
          <w:noProof/>
        </w:rPr>
        <w:fldChar w:fldCharType="begin"/>
      </w:r>
      <w:r>
        <w:rPr>
          <w:noProof/>
        </w:rPr>
        <w:instrText xml:space="preserve"> PAGEREF _Toc218521594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lastRenderedPageBreak/>
        <w:t>18G.</w:t>
      </w:r>
      <w:r>
        <w:rPr>
          <w:noProof/>
        </w:rPr>
        <w:tab/>
        <w:t>Payment of security bond with agreement of all relevant parties</w:t>
      </w:r>
      <w:r>
        <w:rPr>
          <w:noProof/>
        </w:rPr>
        <w:tab/>
      </w:r>
      <w:r>
        <w:rPr>
          <w:noProof/>
        </w:rPr>
        <w:fldChar w:fldCharType="begin"/>
      </w:r>
      <w:r>
        <w:rPr>
          <w:noProof/>
        </w:rPr>
        <w:instrText xml:space="preserve"> PAGEREF _Toc218521595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18H.</w:t>
      </w:r>
      <w:r>
        <w:rPr>
          <w:noProof/>
        </w:rPr>
        <w:tab/>
        <w:t>Payment of security bond in accordance with State Administrative Tribunal order</w:t>
      </w:r>
      <w:r>
        <w:rPr>
          <w:noProof/>
        </w:rPr>
        <w:tab/>
      </w:r>
      <w:r>
        <w:rPr>
          <w:noProof/>
        </w:rPr>
        <w:fldChar w:fldCharType="begin"/>
      </w:r>
      <w:r>
        <w:rPr>
          <w:noProof/>
        </w:rPr>
        <w:instrText xml:space="preserve"> PAGEREF _Toc218521596 \h </w:instrText>
      </w:r>
      <w:r>
        <w:rPr>
          <w:noProof/>
        </w:rPr>
      </w:r>
      <w:r>
        <w:rPr>
          <w:noProof/>
        </w:rPr>
        <w:fldChar w:fldCharType="separate"/>
      </w:r>
      <w:r>
        <w:rPr>
          <w:noProof/>
        </w:rPr>
        <w:t>9</w:t>
      </w:r>
      <w:r>
        <w:rPr>
          <w:noProof/>
        </w:rPr>
        <w:fldChar w:fldCharType="end"/>
      </w:r>
    </w:p>
    <w:p>
      <w:pPr>
        <w:pStyle w:val="TOC8"/>
        <w:rPr>
          <w:rFonts w:asciiTheme="minorHAnsi" w:eastAsiaTheme="minorEastAsia" w:hAnsiTheme="minorHAnsi" w:cstheme="minorBidi"/>
          <w:szCs w:val="22"/>
        </w:rPr>
      </w:pPr>
      <w:r>
        <w:t>8.</w:t>
      </w:r>
      <w:r>
        <w:tab/>
        <w:t>Regulation 19 amended</w:t>
      </w:r>
      <w:r>
        <w:tab/>
      </w:r>
      <w:r>
        <w:fldChar w:fldCharType="begin"/>
      </w:r>
      <w:r>
        <w:instrText xml:space="preserve"> PAGEREF _Toc218521597 \h </w:instrText>
      </w:r>
      <w:r>
        <w:fldChar w:fldCharType="separate"/>
      </w:r>
      <w:r>
        <w:t>9</w:t>
      </w:r>
      <w:r>
        <w:fldChar w:fldCharType="end"/>
      </w:r>
    </w:p>
    <w:p>
      <w:pPr>
        <w:pStyle w:val="TOC8"/>
        <w:rPr>
          <w:rFonts w:asciiTheme="minorHAnsi" w:eastAsiaTheme="minorEastAsia" w:hAnsiTheme="minorHAnsi" w:cstheme="minorBidi"/>
          <w:szCs w:val="22"/>
        </w:rPr>
      </w:pPr>
      <w:r>
        <w:t>9.</w:t>
      </w:r>
      <w:r>
        <w:tab/>
        <w:t>Regulation 27 deleted</w:t>
      </w:r>
      <w:r>
        <w:tab/>
      </w:r>
      <w:r>
        <w:fldChar w:fldCharType="begin"/>
      </w:r>
      <w:r>
        <w:instrText xml:space="preserve"> PAGEREF _Toc218521598 \h </w:instrText>
      </w:r>
      <w:r>
        <w:fldChar w:fldCharType="separate"/>
      </w:r>
      <w:r>
        <w:t>10</w:t>
      </w:r>
      <w:r>
        <w:fldChar w:fldCharType="end"/>
      </w:r>
    </w:p>
    <w:p>
      <w:pPr>
        <w:pStyle w:val="TOC8"/>
        <w:rPr>
          <w:rFonts w:asciiTheme="minorHAnsi" w:eastAsiaTheme="minorEastAsia" w:hAnsiTheme="minorHAnsi" w:cstheme="minorBidi"/>
          <w:szCs w:val="22"/>
        </w:rPr>
      </w:pPr>
      <w:r>
        <w:t>10.</w:t>
      </w:r>
      <w:r>
        <w:tab/>
        <w:t>Regulation 29 inserted</w:t>
      </w:r>
      <w:r>
        <w:tab/>
      </w:r>
      <w:r>
        <w:fldChar w:fldCharType="begin"/>
      </w:r>
      <w:r>
        <w:instrText xml:space="preserve"> PAGEREF _Toc218521599 \h </w:instrText>
      </w:r>
      <w:r>
        <w:fldChar w:fldCharType="separate"/>
      </w:r>
      <w:r>
        <w:t>10</w:t>
      </w:r>
      <w:r>
        <w:fldChar w:fldCharType="end"/>
      </w:r>
    </w:p>
    <w:p>
      <w:pPr>
        <w:pStyle w:val="TOC9"/>
        <w:rPr>
          <w:rFonts w:asciiTheme="minorHAnsi" w:eastAsiaTheme="minorEastAsia" w:hAnsiTheme="minorHAnsi" w:cstheme="minorBidi"/>
          <w:noProof/>
          <w:sz w:val="22"/>
          <w:szCs w:val="22"/>
        </w:rPr>
      </w:pPr>
      <w:r>
        <w:rPr>
          <w:noProof/>
        </w:rPr>
        <w:t>29.</w:t>
      </w:r>
      <w:r>
        <w:rPr>
          <w:noProof/>
        </w:rPr>
        <w:tab/>
        <w:t xml:space="preserve">Transitional provision for </w:t>
      </w:r>
      <w:r>
        <w:rPr>
          <w:i/>
          <w:noProof/>
        </w:rPr>
        <w:t>Commerce Regulations Amendment (Residential Tenancies and Residential Parks) Regulations 2026</w:t>
      </w:r>
      <w:r>
        <w:rPr>
          <w:noProof/>
        </w:rPr>
        <w:tab/>
      </w:r>
      <w:r>
        <w:rPr>
          <w:noProof/>
        </w:rPr>
        <w:fldChar w:fldCharType="begin"/>
      </w:r>
      <w:r>
        <w:rPr>
          <w:noProof/>
        </w:rPr>
        <w:instrText xml:space="preserve"> PAGEREF _Toc218521600 \h </w:instrText>
      </w:r>
      <w:r>
        <w:rPr>
          <w:noProof/>
        </w:rPr>
      </w:r>
      <w:r>
        <w:rPr>
          <w:noProof/>
        </w:rPr>
        <w:fldChar w:fldCharType="separate"/>
      </w:r>
      <w:r>
        <w:rPr>
          <w:noProof/>
        </w:rPr>
        <w:t>10</w:t>
      </w:r>
      <w:r>
        <w:rPr>
          <w:noProof/>
        </w:rPr>
        <w:fldChar w:fldCharType="end"/>
      </w:r>
    </w:p>
    <w:p>
      <w:pPr>
        <w:pStyle w:val="TOC8"/>
        <w:rPr>
          <w:rFonts w:asciiTheme="minorHAnsi" w:eastAsiaTheme="minorEastAsia" w:hAnsiTheme="minorHAnsi" w:cstheme="minorBidi"/>
          <w:szCs w:val="22"/>
        </w:rPr>
      </w:pPr>
      <w:r>
        <w:t>11.</w:t>
      </w:r>
      <w:r>
        <w:tab/>
        <w:t>Schedule 11 Division 2 amended</w:t>
      </w:r>
      <w:r>
        <w:tab/>
      </w:r>
      <w:r>
        <w:fldChar w:fldCharType="begin"/>
      </w:r>
      <w:r>
        <w:instrText xml:space="preserve"> PAGEREF _Toc218521601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iCs/>
        </w:rPr>
        <w:t>Residential Tenancies Regulations 1989</w:t>
      </w:r>
      <w:r>
        <w:t xml:space="preserve"> amended</w:t>
      </w:r>
    </w:p>
    <w:p>
      <w:pPr>
        <w:pStyle w:val="TOC8"/>
        <w:rPr>
          <w:rFonts w:asciiTheme="minorHAnsi" w:eastAsiaTheme="minorEastAsia" w:hAnsiTheme="minorHAnsi" w:cstheme="minorBidi"/>
          <w:szCs w:val="22"/>
        </w:rPr>
      </w:pPr>
      <w:r>
        <w:t>12</w:t>
      </w:r>
      <w:r>
        <w:rPr>
          <w:snapToGrid w:val="0"/>
        </w:rPr>
        <w:t>.</w:t>
      </w:r>
      <w:r>
        <w:rPr>
          <w:snapToGrid w:val="0"/>
        </w:rPr>
        <w:tab/>
        <w:t>Regulations amended</w:t>
      </w:r>
      <w:r>
        <w:tab/>
      </w:r>
      <w:r>
        <w:fldChar w:fldCharType="begin"/>
      </w:r>
      <w:r>
        <w:instrText xml:space="preserve"> PAGEREF _Toc218521603 \h </w:instrText>
      </w:r>
      <w:r>
        <w:fldChar w:fldCharType="separate"/>
      </w:r>
      <w:r>
        <w:t>12</w:t>
      </w:r>
      <w:r>
        <w:fldChar w:fldCharType="end"/>
      </w:r>
    </w:p>
    <w:p>
      <w:pPr>
        <w:pStyle w:val="TOC8"/>
        <w:rPr>
          <w:rFonts w:asciiTheme="minorHAnsi" w:eastAsiaTheme="minorEastAsia" w:hAnsiTheme="minorHAnsi" w:cstheme="minorBidi"/>
          <w:szCs w:val="22"/>
        </w:rPr>
      </w:pPr>
      <w:r>
        <w:t>13.</w:t>
      </w:r>
      <w:r>
        <w:tab/>
        <w:t>Regulation 3A amended</w:t>
      </w:r>
      <w:r>
        <w:tab/>
      </w:r>
      <w:r>
        <w:fldChar w:fldCharType="begin"/>
      </w:r>
      <w:r>
        <w:instrText xml:space="preserve"> PAGEREF _Toc218521604 \h </w:instrText>
      </w:r>
      <w:r>
        <w:fldChar w:fldCharType="separate"/>
      </w:r>
      <w:r>
        <w:t>12</w:t>
      </w:r>
      <w:r>
        <w:fldChar w:fldCharType="end"/>
      </w:r>
    </w:p>
    <w:p>
      <w:pPr>
        <w:pStyle w:val="TOC8"/>
        <w:rPr>
          <w:rFonts w:asciiTheme="minorHAnsi" w:eastAsiaTheme="minorEastAsia" w:hAnsiTheme="minorHAnsi" w:cstheme="minorBidi"/>
          <w:szCs w:val="22"/>
        </w:rPr>
      </w:pPr>
      <w:r>
        <w:t>14.</w:t>
      </w:r>
      <w:r>
        <w:tab/>
        <w:t>Regulation 5AB amended</w:t>
      </w:r>
      <w:r>
        <w:tab/>
      </w:r>
      <w:r>
        <w:fldChar w:fldCharType="begin"/>
      </w:r>
      <w:r>
        <w:instrText xml:space="preserve"> PAGEREF _Toc218521605 \h </w:instrText>
      </w:r>
      <w:r>
        <w:fldChar w:fldCharType="separate"/>
      </w:r>
      <w:r>
        <w:t>13</w:t>
      </w:r>
      <w:r>
        <w:fldChar w:fldCharType="end"/>
      </w:r>
    </w:p>
    <w:p>
      <w:pPr>
        <w:pStyle w:val="TOC8"/>
        <w:rPr>
          <w:rFonts w:asciiTheme="minorHAnsi" w:eastAsiaTheme="minorEastAsia" w:hAnsiTheme="minorHAnsi" w:cstheme="minorBidi"/>
          <w:szCs w:val="22"/>
        </w:rPr>
      </w:pPr>
      <w:r>
        <w:t>15.</w:t>
      </w:r>
      <w:r>
        <w:tab/>
        <w:t>Regulation 5ACA inserted</w:t>
      </w:r>
      <w:r>
        <w:tab/>
      </w:r>
      <w:r>
        <w:fldChar w:fldCharType="begin"/>
      </w:r>
      <w:r>
        <w:instrText xml:space="preserve"> PAGEREF _Toc218521606 \h </w:instrText>
      </w:r>
      <w:r>
        <w:fldChar w:fldCharType="separate"/>
      </w:r>
      <w:r>
        <w:t>13</w:t>
      </w:r>
      <w:r>
        <w:fldChar w:fldCharType="end"/>
      </w:r>
    </w:p>
    <w:p>
      <w:pPr>
        <w:pStyle w:val="TOC9"/>
        <w:rPr>
          <w:rFonts w:asciiTheme="minorHAnsi" w:eastAsiaTheme="minorEastAsia" w:hAnsiTheme="minorHAnsi" w:cstheme="minorBidi"/>
          <w:noProof/>
          <w:sz w:val="22"/>
          <w:szCs w:val="22"/>
        </w:rPr>
      </w:pPr>
      <w:r>
        <w:rPr>
          <w:noProof/>
        </w:rPr>
        <w:t>5ACA.</w:t>
      </w:r>
      <w:r>
        <w:rPr>
          <w:noProof/>
        </w:rPr>
        <w:tab/>
        <w:t>Modified application of Act s. 27C(1) for Housing Authority</w:t>
      </w:r>
      <w:r>
        <w:rPr>
          <w:noProof/>
        </w:rPr>
        <w:tab/>
      </w:r>
      <w:r>
        <w:rPr>
          <w:noProof/>
        </w:rPr>
        <w:fldChar w:fldCharType="begin"/>
      </w:r>
      <w:r>
        <w:rPr>
          <w:noProof/>
        </w:rPr>
        <w:instrText xml:space="preserve"> PAGEREF _Toc218521607 \h </w:instrText>
      </w:r>
      <w:r>
        <w:rPr>
          <w:noProof/>
        </w:rPr>
      </w:r>
      <w:r>
        <w:rPr>
          <w:noProof/>
        </w:rPr>
        <w:fldChar w:fldCharType="separate"/>
      </w:r>
      <w:r>
        <w:rPr>
          <w:noProof/>
        </w:rPr>
        <w:t>13</w:t>
      </w:r>
      <w:r>
        <w:rPr>
          <w:noProof/>
        </w:rPr>
        <w:fldChar w:fldCharType="end"/>
      </w:r>
    </w:p>
    <w:p>
      <w:pPr>
        <w:pStyle w:val="TOC8"/>
        <w:rPr>
          <w:rFonts w:asciiTheme="minorHAnsi" w:eastAsiaTheme="minorEastAsia" w:hAnsiTheme="minorHAnsi" w:cstheme="minorBidi"/>
          <w:szCs w:val="22"/>
        </w:rPr>
      </w:pPr>
      <w:r>
        <w:t>16.</w:t>
      </w:r>
      <w:r>
        <w:tab/>
        <w:t>Regulation 5AD amended</w:t>
      </w:r>
      <w:r>
        <w:tab/>
      </w:r>
      <w:r>
        <w:fldChar w:fldCharType="begin"/>
      </w:r>
      <w:r>
        <w:instrText xml:space="preserve"> PAGEREF _Toc218521608 \h </w:instrText>
      </w:r>
      <w:r>
        <w:fldChar w:fldCharType="separate"/>
      </w:r>
      <w:r>
        <w:t>14</w:t>
      </w:r>
      <w:r>
        <w:fldChar w:fldCharType="end"/>
      </w:r>
    </w:p>
    <w:p>
      <w:pPr>
        <w:pStyle w:val="TOC8"/>
        <w:rPr>
          <w:rFonts w:asciiTheme="minorHAnsi" w:eastAsiaTheme="minorEastAsia" w:hAnsiTheme="minorHAnsi" w:cstheme="minorBidi"/>
          <w:szCs w:val="22"/>
        </w:rPr>
      </w:pPr>
      <w:r>
        <w:t>17.</w:t>
      </w:r>
      <w:r>
        <w:tab/>
        <w:t>Regulations 5AE to 5AH inserted</w:t>
      </w:r>
      <w:r>
        <w:tab/>
      </w:r>
      <w:r>
        <w:fldChar w:fldCharType="begin"/>
      </w:r>
      <w:r>
        <w:instrText xml:space="preserve"> PAGEREF _Toc218521609 \h </w:instrText>
      </w:r>
      <w:r>
        <w:fldChar w:fldCharType="separate"/>
      </w:r>
      <w:r>
        <w:t>15</w:t>
      </w:r>
      <w:r>
        <w:fldChar w:fldCharType="end"/>
      </w:r>
    </w:p>
    <w:p>
      <w:pPr>
        <w:pStyle w:val="TOC9"/>
        <w:rPr>
          <w:rFonts w:asciiTheme="minorHAnsi" w:eastAsiaTheme="minorEastAsia" w:hAnsiTheme="minorHAnsi" w:cstheme="minorBidi"/>
          <w:noProof/>
          <w:sz w:val="22"/>
          <w:szCs w:val="22"/>
        </w:rPr>
      </w:pPr>
      <w:r>
        <w:rPr>
          <w:noProof/>
        </w:rPr>
        <w:t>5AE.</w:t>
      </w:r>
      <w:r>
        <w:rPr>
          <w:noProof/>
        </w:rPr>
        <w:tab/>
        <w:t>Exemption of Housing Authority from Act s. 27C(4) if agreement terminated under Act s. 60(1)(i)</w:t>
      </w:r>
      <w:r>
        <w:rPr>
          <w:noProof/>
        </w:rPr>
        <w:tab/>
      </w:r>
      <w:r>
        <w:rPr>
          <w:noProof/>
        </w:rPr>
        <w:fldChar w:fldCharType="begin"/>
      </w:r>
      <w:r>
        <w:rPr>
          <w:noProof/>
        </w:rPr>
        <w:instrText xml:space="preserve"> PAGEREF _Toc218521610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5AF.</w:t>
      </w:r>
      <w:r>
        <w:rPr>
          <w:noProof/>
        </w:rPr>
        <w:tab/>
        <w:t>Modified application of Act s. 27C(4) for WA Country Health Service: tenancy longer than 3 months</w:t>
      </w:r>
      <w:r>
        <w:rPr>
          <w:noProof/>
        </w:rPr>
        <w:tab/>
      </w:r>
      <w:r>
        <w:rPr>
          <w:noProof/>
        </w:rPr>
        <w:fldChar w:fldCharType="begin"/>
      </w:r>
      <w:r>
        <w:rPr>
          <w:noProof/>
        </w:rPr>
        <w:instrText xml:space="preserve"> PAGEREF _Toc218521611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5AG.</w:t>
      </w:r>
      <w:r>
        <w:rPr>
          <w:noProof/>
        </w:rPr>
        <w:tab/>
        <w:t>Modified application of Act s. 27C(4) for WA Country Health Service: tenancy 3 months or less and no shared accommodation</w:t>
      </w:r>
      <w:r>
        <w:rPr>
          <w:noProof/>
        </w:rPr>
        <w:tab/>
      </w:r>
      <w:r>
        <w:rPr>
          <w:noProof/>
        </w:rPr>
        <w:fldChar w:fldCharType="begin"/>
      </w:r>
      <w:r>
        <w:rPr>
          <w:noProof/>
        </w:rPr>
        <w:instrText xml:space="preserve"> PAGEREF _Toc218521612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t>5AH.</w:t>
      </w:r>
      <w:r>
        <w:rPr>
          <w:noProof/>
        </w:rPr>
        <w:tab/>
        <w:t>Exemption of WA Country Health Service from Act s. 27C(1) and (4): tenancy 3 months or less and shared accommodation</w:t>
      </w:r>
      <w:r>
        <w:rPr>
          <w:noProof/>
        </w:rPr>
        <w:tab/>
      </w:r>
      <w:r>
        <w:rPr>
          <w:noProof/>
        </w:rPr>
        <w:fldChar w:fldCharType="begin"/>
      </w:r>
      <w:r>
        <w:rPr>
          <w:noProof/>
        </w:rPr>
        <w:instrText xml:space="preserve"> PAGEREF _Toc218521613 \h </w:instrText>
      </w:r>
      <w:r>
        <w:rPr>
          <w:noProof/>
        </w:rPr>
      </w:r>
      <w:r>
        <w:rPr>
          <w:noProof/>
        </w:rPr>
        <w:fldChar w:fldCharType="separate"/>
      </w:r>
      <w:r>
        <w:rPr>
          <w:noProof/>
        </w:rPr>
        <w:t>19</w:t>
      </w:r>
      <w:r>
        <w:rPr>
          <w:noProof/>
        </w:rPr>
        <w:fldChar w:fldCharType="end"/>
      </w:r>
    </w:p>
    <w:p>
      <w:pPr>
        <w:pStyle w:val="TOC8"/>
        <w:rPr>
          <w:rFonts w:asciiTheme="minorHAnsi" w:eastAsiaTheme="minorEastAsia" w:hAnsiTheme="minorHAnsi" w:cstheme="minorBidi"/>
          <w:szCs w:val="22"/>
        </w:rPr>
      </w:pPr>
      <w:r>
        <w:t>18.</w:t>
      </w:r>
      <w:r>
        <w:tab/>
        <w:t>Regulation 5BA deleted</w:t>
      </w:r>
      <w:r>
        <w:tab/>
      </w:r>
      <w:r>
        <w:fldChar w:fldCharType="begin"/>
      </w:r>
      <w:r>
        <w:instrText xml:space="preserve"> PAGEREF _Toc218521614 \h </w:instrText>
      </w:r>
      <w:r>
        <w:fldChar w:fldCharType="separate"/>
      </w:r>
      <w:r>
        <w:t>19</w:t>
      </w:r>
      <w:r>
        <w:fldChar w:fldCharType="end"/>
      </w:r>
    </w:p>
    <w:p>
      <w:pPr>
        <w:pStyle w:val="TOC8"/>
        <w:rPr>
          <w:rFonts w:asciiTheme="minorHAnsi" w:eastAsiaTheme="minorEastAsia" w:hAnsiTheme="minorHAnsi" w:cstheme="minorBidi"/>
          <w:szCs w:val="22"/>
        </w:rPr>
      </w:pPr>
      <w:r>
        <w:t>19.</w:t>
      </w:r>
      <w:r>
        <w:tab/>
        <w:t>Regulation 5B amended</w:t>
      </w:r>
      <w:r>
        <w:tab/>
      </w:r>
      <w:r>
        <w:fldChar w:fldCharType="begin"/>
      </w:r>
      <w:r>
        <w:instrText xml:space="preserve"> PAGEREF _Toc218521615 \h </w:instrText>
      </w:r>
      <w:r>
        <w:fldChar w:fldCharType="separate"/>
      </w:r>
      <w:r>
        <w:t>19</w:t>
      </w:r>
      <w:r>
        <w:fldChar w:fldCharType="end"/>
      </w:r>
    </w:p>
    <w:p>
      <w:pPr>
        <w:pStyle w:val="TOC8"/>
        <w:rPr>
          <w:rFonts w:asciiTheme="minorHAnsi" w:eastAsiaTheme="minorEastAsia" w:hAnsiTheme="minorHAnsi" w:cstheme="minorBidi"/>
          <w:szCs w:val="22"/>
        </w:rPr>
      </w:pPr>
      <w:r>
        <w:t>20.</w:t>
      </w:r>
      <w:r>
        <w:tab/>
        <w:t>Regulation 5CB inserted</w:t>
      </w:r>
      <w:r>
        <w:tab/>
      </w:r>
      <w:r>
        <w:fldChar w:fldCharType="begin"/>
      </w:r>
      <w:r>
        <w:instrText xml:space="preserve"> PAGEREF _Toc218521616 \h </w:instrText>
      </w:r>
      <w:r>
        <w:fldChar w:fldCharType="separate"/>
      </w:r>
      <w:r>
        <w:t>20</w:t>
      </w:r>
      <w:r>
        <w:fldChar w:fldCharType="end"/>
      </w:r>
    </w:p>
    <w:p>
      <w:pPr>
        <w:pStyle w:val="TOC9"/>
        <w:rPr>
          <w:rFonts w:asciiTheme="minorHAnsi" w:eastAsiaTheme="minorEastAsia" w:hAnsiTheme="minorHAnsi" w:cstheme="minorBidi"/>
          <w:noProof/>
          <w:sz w:val="22"/>
          <w:szCs w:val="22"/>
        </w:rPr>
      </w:pPr>
      <w:r>
        <w:rPr>
          <w:noProof/>
        </w:rPr>
        <w:t>5CB.</w:t>
      </w:r>
      <w:r>
        <w:rPr>
          <w:noProof/>
        </w:rPr>
        <w:tab/>
        <w:t>Modified application of Act s. 31</w:t>
      </w:r>
      <w:r>
        <w:rPr>
          <w:noProof/>
        </w:rPr>
        <w:tab/>
      </w:r>
      <w:r>
        <w:rPr>
          <w:noProof/>
        </w:rPr>
        <w:fldChar w:fldCharType="begin"/>
      </w:r>
      <w:r>
        <w:rPr>
          <w:noProof/>
        </w:rPr>
        <w:instrText xml:space="preserve"> PAGEREF _Toc218521617 \h </w:instrText>
      </w:r>
      <w:r>
        <w:rPr>
          <w:noProof/>
        </w:rPr>
      </w:r>
      <w:r>
        <w:rPr>
          <w:noProof/>
        </w:rPr>
        <w:fldChar w:fldCharType="separate"/>
      </w:r>
      <w:r>
        <w:rPr>
          <w:noProof/>
        </w:rPr>
        <w:t>20</w:t>
      </w:r>
      <w:r>
        <w:rPr>
          <w:noProof/>
        </w:rPr>
        <w:fldChar w:fldCharType="end"/>
      </w:r>
    </w:p>
    <w:p>
      <w:pPr>
        <w:pStyle w:val="TOC8"/>
        <w:rPr>
          <w:rFonts w:asciiTheme="minorHAnsi" w:eastAsiaTheme="minorEastAsia" w:hAnsiTheme="minorHAnsi" w:cstheme="minorBidi"/>
          <w:szCs w:val="22"/>
        </w:rPr>
      </w:pPr>
      <w:r>
        <w:t>21.</w:t>
      </w:r>
      <w:r>
        <w:tab/>
        <w:t>Regulations 5E and 5F inserted</w:t>
      </w:r>
      <w:r>
        <w:tab/>
      </w:r>
      <w:r>
        <w:fldChar w:fldCharType="begin"/>
      </w:r>
      <w:r>
        <w:instrText xml:space="preserve"> PAGEREF _Toc218521618 \h </w:instrText>
      </w:r>
      <w:r>
        <w:fldChar w:fldCharType="separate"/>
      </w:r>
      <w:r>
        <w:t>21</w:t>
      </w:r>
      <w:r>
        <w:fldChar w:fldCharType="end"/>
      </w:r>
    </w:p>
    <w:p>
      <w:pPr>
        <w:pStyle w:val="TOC9"/>
        <w:rPr>
          <w:rFonts w:asciiTheme="minorHAnsi" w:eastAsiaTheme="minorEastAsia" w:hAnsiTheme="minorHAnsi" w:cstheme="minorBidi"/>
          <w:noProof/>
          <w:sz w:val="22"/>
          <w:szCs w:val="22"/>
        </w:rPr>
      </w:pPr>
      <w:r>
        <w:rPr>
          <w:noProof/>
        </w:rPr>
        <w:t>5E.</w:t>
      </w:r>
      <w:r>
        <w:rPr>
          <w:noProof/>
        </w:rPr>
        <w:tab/>
        <w:t>Modified application of Act s. 40(2) for Housing Authority if previous agreement terminated under Act s. 60(1)(i)</w:t>
      </w:r>
      <w:r>
        <w:rPr>
          <w:noProof/>
        </w:rPr>
        <w:tab/>
      </w:r>
      <w:r>
        <w:rPr>
          <w:noProof/>
        </w:rPr>
        <w:fldChar w:fldCharType="begin"/>
      </w:r>
      <w:r>
        <w:rPr>
          <w:noProof/>
        </w:rPr>
        <w:instrText xml:space="preserve"> PAGEREF _Toc218521619 \h </w:instrText>
      </w:r>
      <w:r>
        <w:rPr>
          <w:noProof/>
        </w:rPr>
      </w:r>
      <w:r>
        <w:rPr>
          <w:noProof/>
        </w:rPr>
        <w:fldChar w:fldCharType="separate"/>
      </w:r>
      <w:r>
        <w:rPr>
          <w:noProof/>
        </w:rPr>
        <w:t>21</w:t>
      </w:r>
      <w:r>
        <w:rPr>
          <w:noProof/>
        </w:rPr>
        <w:fldChar w:fldCharType="end"/>
      </w:r>
    </w:p>
    <w:p>
      <w:pPr>
        <w:pStyle w:val="TOC9"/>
        <w:rPr>
          <w:rFonts w:asciiTheme="minorHAnsi" w:eastAsiaTheme="minorEastAsia" w:hAnsiTheme="minorHAnsi" w:cstheme="minorBidi"/>
          <w:noProof/>
          <w:sz w:val="22"/>
          <w:szCs w:val="22"/>
        </w:rPr>
      </w:pPr>
      <w:r>
        <w:rPr>
          <w:noProof/>
        </w:rPr>
        <w:lastRenderedPageBreak/>
        <w:t>5F.</w:t>
      </w:r>
      <w:r>
        <w:rPr>
          <w:noProof/>
        </w:rPr>
        <w:tab/>
        <w:t>Modified application of Act s. 42(2)(a) for Housing Authority if previous agreement terminated under Act s. 60(1)(i)</w:t>
      </w:r>
      <w:r>
        <w:rPr>
          <w:noProof/>
        </w:rPr>
        <w:tab/>
      </w:r>
      <w:r>
        <w:rPr>
          <w:noProof/>
        </w:rPr>
        <w:fldChar w:fldCharType="begin"/>
      </w:r>
      <w:r>
        <w:rPr>
          <w:noProof/>
        </w:rPr>
        <w:instrText xml:space="preserve"> PAGEREF _Toc218521620 \h </w:instrText>
      </w:r>
      <w:r>
        <w:rPr>
          <w:noProof/>
        </w:rPr>
      </w:r>
      <w:r>
        <w:rPr>
          <w:noProof/>
        </w:rPr>
        <w:fldChar w:fldCharType="separate"/>
      </w:r>
      <w:r>
        <w:rPr>
          <w:noProof/>
        </w:rPr>
        <w:t>22</w:t>
      </w:r>
      <w:r>
        <w:rPr>
          <w:noProof/>
        </w:rPr>
        <w:fldChar w:fldCharType="end"/>
      </w:r>
    </w:p>
    <w:p>
      <w:pPr>
        <w:pStyle w:val="TOC8"/>
        <w:rPr>
          <w:rFonts w:asciiTheme="minorHAnsi" w:eastAsiaTheme="minorEastAsia" w:hAnsiTheme="minorHAnsi" w:cstheme="minorBidi"/>
          <w:szCs w:val="22"/>
        </w:rPr>
      </w:pPr>
      <w:r>
        <w:t>22.</w:t>
      </w:r>
      <w:r>
        <w:tab/>
        <w:t>Regulation 7AA to 7AF inserted</w:t>
      </w:r>
      <w:r>
        <w:tab/>
      </w:r>
      <w:r>
        <w:fldChar w:fldCharType="begin"/>
      </w:r>
      <w:r>
        <w:instrText xml:space="preserve"> PAGEREF _Toc218521621 \h </w:instrText>
      </w:r>
      <w:r>
        <w:fldChar w:fldCharType="separate"/>
      </w:r>
      <w:r>
        <w:t>23</w:t>
      </w:r>
      <w:r>
        <w:fldChar w:fldCharType="end"/>
      </w:r>
    </w:p>
    <w:p>
      <w:pPr>
        <w:pStyle w:val="TOC9"/>
        <w:rPr>
          <w:rFonts w:asciiTheme="minorHAnsi" w:eastAsiaTheme="minorEastAsia" w:hAnsiTheme="minorHAnsi" w:cstheme="minorBidi"/>
          <w:noProof/>
          <w:sz w:val="22"/>
          <w:szCs w:val="22"/>
        </w:rPr>
      </w:pPr>
      <w:r>
        <w:rPr>
          <w:noProof/>
        </w:rPr>
        <w:t>7AA.</w:t>
      </w:r>
      <w:r>
        <w:rPr>
          <w:noProof/>
        </w:rPr>
        <w:tab/>
        <w:t>Modified application of Act s. 50B</w:t>
      </w:r>
      <w:r>
        <w:rPr>
          <w:noProof/>
        </w:rPr>
        <w:tab/>
      </w:r>
      <w:r>
        <w:rPr>
          <w:noProof/>
        </w:rPr>
        <w:fldChar w:fldCharType="begin"/>
      </w:r>
      <w:r>
        <w:rPr>
          <w:noProof/>
        </w:rPr>
        <w:instrText xml:space="preserve"> PAGEREF _Toc218521622 \h </w:instrText>
      </w:r>
      <w:r>
        <w:rPr>
          <w:noProof/>
        </w:rPr>
      </w:r>
      <w:r>
        <w:rPr>
          <w:noProof/>
        </w:rPr>
        <w:fldChar w:fldCharType="separate"/>
      </w:r>
      <w:r>
        <w:rPr>
          <w:noProof/>
        </w:rPr>
        <w:t>23</w:t>
      </w:r>
      <w:r>
        <w:rPr>
          <w:noProof/>
        </w:rPr>
        <w:fldChar w:fldCharType="end"/>
      </w:r>
    </w:p>
    <w:p>
      <w:pPr>
        <w:pStyle w:val="TOC9"/>
        <w:rPr>
          <w:rFonts w:asciiTheme="minorHAnsi" w:eastAsiaTheme="minorEastAsia" w:hAnsiTheme="minorHAnsi" w:cstheme="minorBidi"/>
          <w:noProof/>
          <w:sz w:val="22"/>
          <w:szCs w:val="22"/>
        </w:rPr>
      </w:pPr>
      <w:r>
        <w:rPr>
          <w:noProof/>
        </w:rPr>
        <w:t>7AB.</w:t>
      </w:r>
      <w:r>
        <w:rPr>
          <w:noProof/>
        </w:rPr>
        <w:tab/>
        <w:t>Modified application of Act s. 50F</w:t>
      </w:r>
      <w:r>
        <w:rPr>
          <w:noProof/>
        </w:rPr>
        <w:tab/>
      </w:r>
      <w:r>
        <w:rPr>
          <w:noProof/>
        </w:rPr>
        <w:fldChar w:fldCharType="begin"/>
      </w:r>
      <w:r>
        <w:rPr>
          <w:noProof/>
        </w:rPr>
        <w:instrText xml:space="preserve"> PAGEREF _Toc218521623 \h </w:instrText>
      </w:r>
      <w:r>
        <w:rPr>
          <w:noProof/>
        </w:rPr>
      </w:r>
      <w:r>
        <w:rPr>
          <w:noProof/>
        </w:rPr>
        <w:fldChar w:fldCharType="separate"/>
      </w:r>
      <w:r>
        <w:rPr>
          <w:noProof/>
        </w:rPr>
        <w:t>24</w:t>
      </w:r>
      <w:r>
        <w:rPr>
          <w:noProof/>
        </w:rPr>
        <w:fldChar w:fldCharType="end"/>
      </w:r>
    </w:p>
    <w:p>
      <w:pPr>
        <w:pStyle w:val="TOC9"/>
        <w:rPr>
          <w:rFonts w:asciiTheme="minorHAnsi" w:eastAsiaTheme="minorEastAsia" w:hAnsiTheme="minorHAnsi" w:cstheme="minorBidi"/>
          <w:noProof/>
          <w:sz w:val="22"/>
          <w:szCs w:val="22"/>
        </w:rPr>
      </w:pPr>
      <w:r>
        <w:rPr>
          <w:noProof/>
        </w:rPr>
        <w:t>7AC.</w:t>
      </w:r>
      <w:r>
        <w:rPr>
          <w:noProof/>
        </w:rPr>
        <w:tab/>
        <w:t>Modified application of Act s. 50G</w:t>
      </w:r>
      <w:r>
        <w:rPr>
          <w:noProof/>
        </w:rPr>
        <w:tab/>
      </w:r>
      <w:r>
        <w:rPr>
          <w:noProof/>
        </w:rPr>
        <w:fldChar w:fldCharType="begin"/>
      </w:r>
      <w:r>
        <w:rPr>
          <w:noProof/>
        </w:rPr>
        <w:instrText xml:space="preserve"> PAGEREF _Toc218521624 \h </w:instrText>
      </w:r>
      <w:r>
        <w:rPr>
          <w:noProof/>
        </w:rPr>
      </w:r>
      <w:r>
        <w:rPr>
          <w:noProof/>
        </w:rPr>
        <w:fldChar w:fldCharType="separate"/>
      </w:r>
      <w:r>
        <w:rPr>
          <w:noProof/>
        </w:rPr>
        <w:t>24</w:t>
      </w:r>
      <w:r>
        <w:rPr>
          <w:noProof/>
        </w:rPr>
        <w:fldChar w:fldCharType="end"/>
      </w:r>
    </w:p>
    <w:p>
      <w:pPr>
        <w:pStyle w:val="TOC9"/>
        <w:rPr>
          <w:rFonts w:asciiTheme="minorHAnsi" w:eastAsiaTheme="minorEastAsia" w:hAnsiTheme="minorHAnsi" w:cstheme="minorBidi"/>
          <w:noProof/>
          <w:sz w:val="22"/>
          <w:szCs w:val="22"/>
        </w:rPr>
      </w:pPr>
      <w:r>
        <w:rPr>
          <w:noProof/>
        </w:rPr>
        <w:t>7AD.</w:t>
      </w:r>
      <w:r>
        <w:rPr>
          <w:noProof/>
        </w:rPr>
        <w:tab/>
        <w:t>Modified application of Act s. 50O</w:t>
      </w:r>
      <w:r>
        <w:rPr>
          <w:noProof/>
        </w:rPr>
        <w:tab/>
      </w:r>
      <w:r>
        <w:rPr>
          <w:noProof/>
        </w:rPr>
        <w:fldChar w:fldCharType="begin"/>
      </w:r>
      <w:r>
        <w:rPr>
          <w:noProof/>
        </w:rPr>
        <w:instrText xml:space="preserve"> PAGEREF _Toc218521625 \h </w:instrText>
      </w:r>
      <w:r>
        <w:rPr>
          <w:noProof/>
        </w:rPr>
      </w:r>
      <w:r>
        <w:rPr>
          <w:noProof/>
        </w:rPr>
        <w:fldChar w:fldCharType="separate"/>
      </w:r>
      <w:r>
        <w:rPr>
          <w:noProof/>
        </w:rPr>
        <w:t>24</w:t>
      </w:r>
      <w:r>
        <w:rPr>
          <w:noProof/>
        </w:rPr>
        <w:fldChar w:fldCharType="end"/>
      </w:r>
    </w:p>
    <w:p>
      <w:pPr>
        <w:pStyle w:val="TOC9"/>
        <w:rPr>
          <w:rFonts w:asciiTheme="minorHAnsi" w:eastAsiaTheme="minorEastAsia" w:hAnsiTheme="minorHAnsi" w:cstheme="minorBidi"/>
          <w:noProof/>
          <w:sz w:val="22"/>
          <w:szCs w:val="22"/>
        </w:rPr>
      </w:pPr>
      <w:r>
        <w:rPr>
          <w:noProof/>
        </w:rPr>
        <w:t>7AE.</w:t>
      </w:r>
      <w:r>
        <w:rPr>
          <w:noProof/>
        </w:rPr>
        <w:tab/>
        <w:t>Modified application of Act s. 50T</w:t>
      </w:r>
      <w:r>
        <w:rPr>
          <w:noProof/>
        </w:rPr>
        <w:tab/>
      </w:r>
      <w:r>
        <w:rPr>
          <w:noProof/>
        </w:rPr>
        <w:fldChar w:fldCharType="begin"/>
      </w:r>
      <w:r>
        <w:rPr>
          <w:noProof/>
        </w:rPr>
        <w:instrText xml:space="preserve"> PAGEREF _Toc218521626 \h </w:instrText>
      </w:r>
      <w:r>
        <w:rPr>
          <w:noProof/>
        </w:rPr>
      </w:r>
      <w:r>
        <w:rPr>
          <w:noProof/>
        </w:rPr>
        <w:fldChar w:fldCharType="separate"/>
      </w:r>
      <w:r>
        <w:rPr>
          <w:noProof/>
        </w:rPr>
        <w:t>25</w:t>
      </w:r>
      <w:r>
        <w:rPr>
          <w:noProof/>
        </w:rPr>
        <w:fldChar w:fldCharType="end"/>
      </w:r>
    </w:p>
    <w:p>
      <w:pPr>
        <w:pStyle w:val="TOC9"/>
        <w:rPr>
          <w:rFonts w:asciiTheme="minorHAnsi" w:eastAsiaTheme="minorEastAsia" w:hAnsiTheme="minorHAnsi" w:cstheme="minorBidi"/>
          <w:noProof/>
          <w:sz w:val="22"/>
          <w:szCs w:val="22"/>
        </w:rPr>
      </w:pPr>
      <w:r>
        <w:rPr>
          <w:noProof/>
        </w:rPr>
        <w:t>7AF.</w:t>
      </w:r>
      <w:r>
        <w:rPr>
          <w:noProof/>
        </w:rPr>
        <w:tab/>
        <w:t>Modified application of Act s. 50U</w:t>
      </w:r>
      <w:r>
        <w:rPr>
          <w:noProof/>
        </w:rPr>
        <w:tab/>
      </w:r>
      <w:r>
        <w:rPr>
          <w:noProof/>
        </w:rPr>
        <w:fldChar w:fldCharType="begin"/>
      </w:r>
      <w:r>
        <w:rPr>
          <w:noProof/>
        </w:rPr>
        <w:instrText xml:space="preserve"> PAGEREF _Toc218521627 \h </w:instrText>
      </w:r>
      <w:r>
        <w:rPr>
          <w:noProof/>
        </w:rPr>
      </w:r>
      <w:r>
        <w:rPr>
          <w:noProof/>
        </w:rPr>
        <w:fldChar w:fldCharType="separate"/>
      </w:r>
      <w:r>
        <w:rPr>
          <w:noProof/>
        </w:rPr>
        <w:t>26</w:t>
      </w:r>
      <w:r>
        <w:rPr>
          <w:noProof/>
        </w:rPr>
        <w:fldChar w:fldCharType="end"/>
      </w:r>
    </w:p>
    <w:p>
      <w:pPr>
        <w:pStyle w:val="TOC8"/>
        <w:rPr>
          <w:rFonts w:asciiTheme="minorHAnsi" w:eastAsiaTheme="minorEastAsia" w:hAnsiTheme="minorHAnsi" w:cstheme="minorBidi"/>
          <w:szCs w:val="22"/>
        </w:rPr>
      </w:pPr>
      <w:r>
        <w:t>23.</w:t>
      </w:r>
      <w:r>
        <w:tab/>
        <w:t>Regulation 7F replaced</w:t>
      </w:r>
      <w:r>
        <w:tab/>
      </w:r>
      <w:r>
        <w:fldChar w:fldCharType="begin"/>
      </w:r>
      <w:r>
        <w:instrText xml:space="preserve"> PAGEREF _Toc218521628 \h </w:instrText>
      </w:r>
      <w:r>
        <w:fldChar w:fldCharType="separate"/>
      </w:r>
      <w:r>
        <w:t>26</w:t>
      </w:r>
      <w:r>
        <w:fldChar w:fldCharType="end"/>
      </w:r>
    </w:p>
    <w:p>
      <w:pPr>
        <w:pStyle w:val="TOC9"/>
        <w:rPr>
          <w:rFonts w:asciiTheme="minorHAnsi" w:eastAsiaTheme="minorEastAsia" w:hAnsiTheme="minorHAnsi" w:cstheme="minorBidi"/>
          <w:noProof/>
          <w:sz w:val="22"/>
          <w:szCs w:val="22"/>
        </w:rPr>
      </w:pPr>
      <w:r>
        <w:rPr>
          <w:noProof/>
        </w:rPr>
        <w:t>7EA.</w:t>
      </w:r>
      <w:r>
        <w:rPr>
          <w:noProof/>
        </w:rPr>
        <w:tab/>
        <w:t>Exemption from Act s. 79 for Housing Authority if agreement terminated under Act s. 60(1)(i)</w:t>
      </w:r>
      <w:r>
        <w:rPr>
          <w:noProof/>
        </w:rPr>
        <w:tab/>
      </w:r>
      <w:r>
        <w:rPr>
          <w:noProof/>
        </w:rPr>
        <w:fldChar w:fldCharType="begin"/>
      </w:r>
      <w:r>
        <w:rPr>
          <w:noProof/>
        </w:rPr>
        <w:instrText xml:space="preserve"> PAGEREF _Toc218521629 \h </w:instrText>
      </w:r>
      <w:r>
        <w:rPr>
          <w:noProof/>
        </w:rPr>
      </w:r>
      <w:r>
        <w:rPr>
          <w:noProof/>
        </w:rPr>
        <w:fldChar w:fldCharType="separate"/>
      </w:r>
      <w:r>
        <w:rPr>
          <w:noProof/>
        </w:rPr>
        <w:t>26</w:t>
      </w:r>
      <w:r>
        <w:rPr>
          <w:noProof/>
        </w:rPr>
        <w:fldChar w:fldCharType="end"/>
      </w:r>
    </w:p>
    <w:p>
      <w:pPr>
        <w:pStyle w:val="TOC9"/>
        <w:rPr>
          <w:rFonts w:asciiTheme="minorHAnsi" w:eastAsiaTheme="minorEastAsia" w:hAnsiTheme="minorHAnsi" w:cstheme="minorBidi"/>
          <w:noProof/>
          <w:sz w:val="22"/>
          <w:szCs w:val="22"/>
        </w:rPr>
      </w:pPr>
      <w:r>
        <w:rPr>
          <w:noProof/>
        </w:rPr>
        <w:t>7EB.</w:t>
      </w:r>
      <w:r>
        <w:rPr>
          <w:noProof/>
        </w:rPr>
        <w:tab/>
        <w:t>Exemption from Act s. 80A for Housing Authority if agreement terminated under Act s. 60(1)(i)</w:t>
      </w:r>
      <w:r>
        <w:rPr>
          <w:noProof/>
        </w:rPr>
        <w:tab/>
      </w:r>
      <w:r>
        <w:rPr>
          <w:noProof/>
        </w:rPr>
        <w:fldChar w:fldCharType="begin"/>
      </w:r>
      <w:r>
        <w:rPr>
          <w:noProof/>
        </w:rPr>
        <w:instrText xml:space="preserve"> PAGEREF _Toc218521630 \h </w:instrText>
      </w:r>
      <w:r>
        <w:rPr>
          <w:noProof/>
        </w:rPr>
      </w:r>
      <w:r>
        <w:rPr>
          <w:noProof/>
        </w:rPr>
        <w:fldChar w:fldCharType="separate"/>
      </w:r>
      <w:r>
        <w:rPr>
          <w:noProof/>
        </w:rPr>
        <w:t>27</w:t>
      </w:r>
      <w:r>
        <w:rPr>
          <w:noProof/>
        </w:rPr>
        <w:fldChar w:fldCharType="end"/>
      </w:r>
    </w:p>
    <w:p>
      <w:pPr>
        <w:pStyle w:val="TOC9"/>
        <w:rPr>
          <w:rFonts w:asciiTheme="minorHAnsi" w:eastAsiaTheme="minorEastAsia" w:hAnsiTheme="minorHAnsi" w:cstheme="minorBidi"/>
          <w:noProof/>
          <w:sz w:val="22"/>
          <w:szCs w:val="22"/>
        </w:rPr>
      </w:pPr>
      <w:r>
        <w:rPr>
          <w:noProof/>
        </w:rPr>
        <w:t>7F.</w:t>
      </w:r>
      <w:r>
        <w:rPr>
          <w:noProof/>
        </w:rPr>
        <w:tab/>
        <w:t>Exemptions from Act s. 82</w:t>
      </w:r>
      <w:r>
        <w:rPr>
          <w:noProof/>
        </w:rPr>
        <w:tab/>
      </w:r>
      <w:r>
        <w:rPr>
          <w:noProof/>
        </w:rPr>
        <w:fldChar w:fldCharType="begin"/>
      </w:r>
      <w:r>
        <w:rPr>
          <w:noProof/>
        </w:rPr>
        <w:instrText xml:space="preserve"> PAGEREF _Toc218521631 \h </w:instrText>
      </w:r>
      <w:r>
        <w:rPr>
          <w:noProof/>
        </w:rPr>
      </w:r>
      <w:r>
        <w:rPr>
          <w:noProof/>
        </w:rPr>
        <w:fldChar w:fldCharType="separate"/>
      </w:r>
      <w:r>
        <w:rPr>
          <w:noProof/>
        </w:rPr>
        <w:t>27</w:t>
      </w:r>
      <w:r>
        <w:rPr>
          <w:noProof/>
        </w:rPr>
        <w:fldChar w:fldCharType="end"/>
      </w:r>
    </w:p>
    <w:p>
      <w:pPr>
        <w:pStyle w:val="TOC8"/>
        <w:rPr>
          <w:rFonts w:asciiTheme="minorHAnsi" w:eastAsiaTheme="minorEastAsia" w:hAnsiTheme="minorHAnsi" w:cstheme="minorBidi"/>
          <w:szCs w:val="22"/>
        </w:rPr>
      </w:pPr>
      <w:r>
        <w:t>24.</w:t>
      </w:r>
      <w:r>
        <w:tab/>
        <w:t>Regulation 7H deleted</w:t>
      </w:r>
      <w:r>
        <w:tab/>
      </w:r>
      <w:r>
        <w:fldChar w:fldCharType="begin"/>
      </w:r>
      <w:r>
        <w:instrText xml:space="preserve"> PAGEREF _Toc218521632 \h </w:instrText>
      </w:r>
      <w:r>
        <w:fldChar w:fldCharType="separate"/>
      </w:r>
      <w:r>
        <w:t>28</w:t>
      </w:r>
      <w:r>
        <w:fldChar w:fldCharType="end"/>
      </w:r>
    </w:p>
    <w:p>
      <w:pPr>
        <w:pStyle w:val="TOC8"/>
        <w:rPr>
          <w:rFonts w:asciiTheme="minorHAnsi" w:eastAsiaTheme="minorEastAsia" w:hAnsiTheme="minorHAnsi" w:cstheme="minorBidi"/>
          <w:szCs w:val="22"/>
        </w:rPr>
      </w:pPr>
      <w:r>
        <w:t>25.</w:t>
      </w:r>
      <w:r>
        <w:tab/>
        <w:t>Regulation 7IA inserted</w:t>
      </w:r>
      <w:r>
        <w:tab/>
      </w:r>
      <w:r>
        <w:fldChar w:fldCharType="begin"/>
      </w:r>
      <w:r>
        <w:instrText xml:space="preserve"> PAGEREF _Toc218521633 \h </w:instrText>
      </w:r>
      <w:r>
        <w:fldChar w:fldCharType="separate"/>
      </w:r>
      <w:r>
        <w:t>28</w:t>
      </w:r>
      <w:r>
        <w:fldChar w:fldCharType="end"/>
      </w:r>
    </w:p>
    <w:p>
      <w:pPr>
        <w:pStyle w:val="TOC9"/>
        <w:rPr>
          <w:rFonts w:asciiTheme="minorHAnsi" w:eastAsiaTheme="minorEastAsia" w:hAnsiTheme="minorHAnsi" w:cstheme="minorBidi"/>
          <w:noProof/>
          <w:sz w:val="22"/>
          <w:szCs w:val="22"/>
        </w:rPr>
      </w:pPr>
      <w:r>
        <w:rPr>
          <w:noProof/>
        </w:rPr>
        <w:t>7IA.</w:t>
      </w:r>
      <w:r>
        <w:rPr>
          <w:noProof/>
        </w:rPr>
        <w:tab/>
        <w:t>Use of BondsOnline eTransactions subject to terms and conditions</w:t>
      </w:r>
      <w:r>
        <w:rPr>
          <w:noProof/>
        </w:rPr>
        <w:tab/>
      </w:r>
      <w:r>
        <w:rPr>
          <w:noProof/>
        </w:rPr>
        <w:fldChar w:fldCharType="begin"/>
      </w:r>
      <w:r>
        <w:rPr>
          <w:noProof/>
        </w:rPr>
        <w:instrText xml:space="preserve"> PAGEREF _Toc218521634 \h </w:instrText>
      </w:r>
      <w:r>
        <w:rPr>
          <w:noProof/>
        </w:rPr>
      </w:r>
      <w:r>
        <w:rPr>
          <w:noProof/>
        </w:rPr>
        <w:fldChar w:fldCharType="separate"/>
      </w:r>
      <w:r>
        <w:rPr>
          <w:noProof/>
        </w:rPr>
        <w:t>28</w:t>
      </w:r>
      <w:r>
        <w:rPr>
          <w:noProof/>
        </w:rPr>
        <w:fldChar w:fldCharType="end"/>
      </w:r>
    </w:p>
    <w:p>
      <w:pPr>
        <w:pStyle w:val="TOC8"/>
        <w:rPr>
          <w:rFonts w:asciiTheme="minorHAnsi" w:eastAsiaTheme="minorEastAsia" w:hAnsiTheme="minorHAnsi" w:cstheme="minorBidi"/>
          <w:szCs w:val="22"/>
        </w:rPr>
      </w:pPr>
      <w:r>
        <w:t>26.</w:t>
      </w:r>
      <w:r>
        <w:tab/>
        <w:t>Regulation 7 amended</w:t>
      </w:r>
      <w:r>
        <w:tab/>
      </w:r>
      <w:r>
        <w:fldChar w:fldCharType="begin"/>
      </w:r>
      <w:r>
        <w:instrText xml:space="preserve"> PAGEREF _Toc218521635 \h </w:instrText>
      </w:r>
      <w:r>
        <w:fldChar w:fldCharType="separate"/>
      </w:r>
      <w:r>
        <w:t>28</w:t>
      </w:r>
      <w:r>
        <w:fldChar w:fldCharType="end"/>
      </w:r>
    </w:p>
    <w:p>
      <w:pPr>
        <w:pStyle w:val="TOC8"/>
        <w:rPr>
          <w:rFonts w:asciiTheme="minorHAnsi" w:eastAsiaTheme="minorEastAsia" w:hAnsiTheme="minorHAnsi" w:cstheme="minorBidi"/>
          <w:szCs w:val="22"/>
        </w:rPr>
      </w:pPr>
      <w:r>
        <w:t>27.</w:t>
      </w:r>
      <w:r>
        <w:tab/>
        <w:t>Regulation 10A amended</w:t>
      </w:r>
      <w:r>
        <w:tab/>
      </w:r>
      <w:r>
        <w:fldChar w:fldCharType="begin"/>
      </w:r>
      <w:r>
        <w:instrText xml:space="preserve"> PAGEREF _Toc218521636 \h </w:instrText>
      </w:r>
      <w:r>
        <w:fldChar w:fldCharType="separate"/>
      </w:r>
      <w:r>
        <w:t>29</w:t>
      </w:r>
      <w:r>
        <w:fldChar w:fldCharType="end"/>
      </w:r>
    </w:p>
    <w:p>
      <w:pPr>
        <w:pStyle w:val="TOC8"/>
        <w:rPr>
          <w:rFonts w:asciiTheme="minorHAnsi" w:eastAsiaTheme="minorEastAsia" w:hAnsiTheme="minorHAnsi" w:cstheme="minorBidi"/>
          <w:szCs w:val="22"/>
        </w:rPr>
      </w:pPr>
      <w:r>
        <w:t>28.</w:t>
      </w:r>
      <w:r>
        <w:tab/>
        <w:t>Regulation 11A inserted</w:t>
      </w:r>
      <w:r>
        <w:tab/>
      </w:r>
      <w:r>
        <w:fldChar w:fldCharType="begin"/>
      </w:r>
      <w:r>
        <w:instrText xml:space="preserve"> PAGEREF _Toc218521637 \h </w:instrText>
      </w:r>
      <w:r>
        <w:fldChar w:fldCharType="separate"/>
      </w:r>
      <w:r>
        <w:t>29</w:t>
      </w:r>
      <w:r>
        <w:fldChar w:fldCharType="end"/>
      </w:r>
    </w:p>
    <w:p>
      <w:pPr>
        <w:pStyle w:val="TOC9"/>
        <w:rPr>
          <w:rFonts w:asciiTheme="minorHAnsi" w:eastAsiaTheme="minorEastAsia" w:hAnsiTheme="minorHAnsi" w:cstheme="minorBidi"/>
          <w:noProof/>
          <w:sz w:val="22"/>
          <w:szCs w:val="22"/>
        </w:rPr>
      </w:pPr>
      <w:r>
        <w:rPr>
          <w:noProof/>
        </w:rPr>
        <w:t>11A.</w:t>
      </w:r>
      <w:r>
        <w:rPr>
          <w:noProof/>
        </w:rPr>
        <w:tab/>
        <w:t>Way in which security bond must be paid for Act s. 29(5)</w:t>
      </w:r>
      <w:r>
        <w:rPr>
          <w:noProof/>
        </w:rPr>
        <w:tab/>
      </w:r>
      <w:r>
        <w:rPr>
          <w:noProof/>
        </w:rPr>
        <w:fldChar w:fldCharType="begin"/>
      </w:r>
      <w:r>
        <w:rPr>
          <w:noProof/>
        </w:rPr>
        <w:instrText xml:space="preserve"> PAGEREF _Toc218521638 \h </w:instrText>
      </w:r>
      <w:r>
        <w:rPr>
          <w:noProof/>
        </w:rPr>
      </w:r>
      <w:r>
        <w:rPr>
          <w:noProof/>
        </w:rPr>
        <w:fldChar w:fldCharType="separate"/>
      </w:r>
      <w:r>
        <w:rPr>
          <w:noProof/>
        </w:rPr>
        <w:t>29</w:t>
      </w:r>
      <w:r>
        <w:rPr>
          <w:noProof/>
        </w:rPr>
        <w:fldChar w:fldCharType="end"/>
      </w:r>
    </w:p>
    <w:p>
      <w:pPr>
        <w:pStyle w:val="TOC8"/>
        <w:rPr>
          <w:rFonts w:asciiTheme="minorHAnsi" w:eastAsiaTheme="minorEastAsia" w:hAnsiTheme="minorHAnsi" w:cstheme="minorBidi"/>
          <w:szCs w:val="22"/>
        </w:rPr>
      </w:pPr>
      <w:r>
        <w:t>29.</w:t>
      </w:r>
      <w:r>
        <w:tab/>
        <w:t>Regulation 12BB amended</w:t>
      </w:r>
      <w:r>
        <w:tab/>
      </w:r>
      <w:r>
        <w:fldChar w:fldCharType="begin"/>
      </w:r>
      <w:r>
        <w:instrText xml:space="preserve"> PAGEREF _Toc218521639 \h </w:instrText>
      </w:r>
      <w:r>
        <w:fldChar w:fldCharType="separate"/>
      </w:r>
      <w:r>
        <w:t>30</w:t>
      </w:r>
      <w:r>
        <w:fldChar w:fldCharType="end"/>
      </w:r>
    </w:p>
    <w:p>
      <w:pPr>
        <w:pStyle w:val="TOC8"/>
        <w:rPr>
          <w:rFonts w:asciiTheme="minorHAnsi" w:eastAsiaTheme="minorEastAsia" w:hAnsiTheme="minorHAnsi" w:cstheme="minorBidi"/>
          <w:szCs w:val="22"/>
        </w:rPr>
      </w:pPr>
      <w:r>
        <w:t>30.</w:t>
      </w:r>
      <w:r>
        <w:tab/>
        <w:t>Regulations 12F to 12I inserted</w:t>
      </w:r>
      <w:r>
        <w:tab/>
      </w:r>
      <w:r>
        <w:fldChar w:fldCharType="begin"/>
      </w:r>
      <w:r>
        <w:instrText xml:space="preserve"> PAGEREF _Toc218521640 \h </w:instrText>
      </w:r>
      <w:r>
        <w:fldChar w:fldCharType="separate"/>
      </w:r>
      <w:r>
        <w:t>31</w:t>
      </w:r>
      <w:r>
        <w:fldChar w:fldCharType="end"/>
      </w:r>
    </w:p>
    <w:p>
      <w:pPr>
        <w:pStyle w:val="TOC9"/>
        <w:rPr>
          <w:rFonts w:asciiTheme="minorHAnsi" w:eastAsiaTheme="minorEastAsia" w:hAnsiTheme="minorHAnsi" w:cstheme="minorBidi"/>
          <w:noProof/>
          <w:sz w:val="22"/>
          <w:szCs w:val="22"/>
        </w:rPr>
      </w:pPr>
      <w:r>
        <w:rPr>
          <w:noProof/>
        </w:rPr>
        <w:t>12F.</w:t>
      </w:r>
      <w:r>
        <w:rPr>
          <w:noProof/>
        </w:rPr>
        <w:tab/>
        <w:t>Property manager must make security bond release application using BondsOnline eTransactions</w:t>
      </w:r>
      <w:r>
        <w:rPr>
          <w:noProof/>
        </w:rPr>
        <w:tab/>
      </w:r>
      <w:r>
        <w:rPr>
          <w:noProof/>
        </w:rPr>
        <w:fldChar w:fldCharType="begin"/>
      </w:r>
      <w:r>
        <w:rPr>
          <w:noProof/>
        </w:rPr>
        <w:instrText xml:space="preserve"> PAGEREF _Toc218521641 \h </w:instrText>
      </w:r>
      <w:r>
        <w:rPr>
          <w:noProof/>
        </w:rPr>
      </w:r>
      <w:r>
        <w:rPr>
          <w:noProof/>
        </w:rPr>
        <w:fldChar w:fldCharType="separate"/>
      </w:r>
      <w:r>
        <w:rPr>
          <w:noProof/>
        </w:rPr>
        <w:t>31</w:t>
      </w:r>
      <w:r>
        <w:rPr>
          <w:noProof/>
        </w:rPr>
        <w:fldChar w:fldCharType="end"/>
      </w:r>
    </w:p>
    <w:p>
      <w:pPr>
        <w:pStyle w:val="TOC9"/>
        <w:rPr>
          <w:rFonts w:asciiTheme="minorHAnsi" w:eastAsiaTheme="minorEastAsia" w:hAnsiTheme="minorHAnsi" w:cstheme="minorBidi"/>
          <w:noProof/>
          <w:sz w:val="22"/>
          <w:szCs w:val="22"/>
        </w:rPr>
      </w:pPr>
      <w:r>
        <w:rPr>
          <w:noProof/>
        </w:rPr>
        <w:t>12G.</w:t>
      </w:r>
      <w:r>
        <w:rPr>
          <w:noProof/>
        </w:rPr>
        <w:tab/>
        <w:t>Way of giving bond administrator notice prescribed for Act s. 81G(2) and 81H(2)</w:t>
      </w:r>
      <w:r>
        <w:rPr>
          <w:noProof/>
        </w:rPr>
        <w:tab/>
      </w:r>
      <w:r>
        <w:rPr>
          <w:noProof/>
        </w:rPr>
        <w:fldChar w:fldCharType="begin"/>
      </w:r>
      <w:r>
        <w:rPr>
          <w:noProof/>
        </w:rPr>
        <w:instrText xml:space="preserve"> PAGEREF _Toc218521642 \h </w:instrText>
      </w:r>
      <w:r>
        <w:rPr>
          <w:noProof/>
        </w:rPr>
      </w:r>
      <w:r>
        <w:rPr>
          <w:noProof/>
        </w:rPr>
        <w:fldChar w:fldCharType="separate"/>
      </w:r>
      <w:r>
        <w:rPr>
          <w:noProof/>
        </w:rPr>
        <w:t>32</w:t>
      </w:r>
      <w:r>
        <w:rPr>
          <w:noProof/>
        </w:rPr>
        <w:fldChar w:fldCharType="end"/>
      </w:r>
    </w:p>
    <w:p>
      <w:pPr>
        <w:pStyle w:val="TOC9"/>
        <w:rPr>
          <w:rFonts w:asciiTheme="minorHAnsi" w:eastAsiaTheme="minorEastAsia" w:hAnsiTheme="minorHAnsi" w:cstheme="minorBidi"/>
          <w:noProof/>
          <w:sz w:val="22"/>
          <w:szCs w:val="22"/>
        </w:rPr>
      </w:pPr>
      <w:r>
        <w:rPr>
          <w:noProof/>
        </w:rPr>
        <w:t>12H.</w:t>
      </w:r>
      <w:r>
        <w:rPr>
          <w:noProof/>
        </w:rPr>
        <w:tab/>
        <w:t>Way bond administrator must deal with unclaimed security bond prescribed for Act s. 81T(2)</w:t>
      </w:r>
      <w:r>
        <w:rPr>
          <w:noProof/>
        </w:rPr>
        <w:tab/>
      </w:r>
      <w:r>
        <w:rPr>
          <w:noProof/>
        </w:rPr>
        <w:fldChar w:fldCharType="begin"/>
      </w:r>
      <w:r>
        <w:rPr>
          <w:noProof/>
        </w:rPr>
        <w:instrText xml:space="preserve"> PAGEREF _Toc218521643 \h </w:instrText>
      </w:r>
      <w:r>
        <w:rPr>
          <w:noProof/>
        </w:rPr>
      </w:r>
      <w:r>
        <w:rPr>
          <w:noProof/>
        </w:rPr>
        <w:fldChar w:fldCharType="separate"/>
      </w:r>
      <w:r>
        <w:rPr>
          <w:noProof/>
        </w:rPr>
        <w:t>32</w:t>
      </w:r>
      <w:r>
        <w:rPr>
          <w:noProof/>
        </w:rPr>
        <w:fldChar w:fldCharType="end"/>
      </w:r>
    </w:p>
    <w:p>
      <w:pPr>
        <w:pStyle w:val="TOC9"/>
        <w:rPr>
          <w:rFonts w:asciiTheme="minorHAnsi" w:eastAsiaTheme="minorEastAsia" w:hAnsiTheme="minorHAnsi" w:cstheme="minorBidi"/>
          <w:noProof/>
          <w:sz w:val="22"/>
          <w:szCs w:val="22"/>
        </w:rPr>
      </w:pPr>
      <w:r>
        <w:rPr>
          <w:noProof/>
        </w:rPr>
        <w:t>12I.</w:t>
      </w:r>
      <w:r>
        <w:rPr>
          <w:noProof/>
        </w:rPr>
        <w:tab/>
        <w:t>Prescribed circumstances and prescribed electronic means for purposes of Act s. 85(1)(c)</w:t>
      </w:r>
      <w:r>
        <w:rPr>
          <w:noProof/>
        </w:rPr>
        <w:tab/>
      </w:r>
      <w:r>
        <w:rPr>
          <w:noProof/>
        </w:rPr>
        <w:fldChar w:fldCharType="begin"/>
      </w:r>
      <w:r>
        <w:rPr>
          <w:noProof/>
        </w:rPr>
        <w:instrText xml:space="preserve"> PAGEREF _Toc218521644 \h </w:instrText>
      </w:r>
      <w:r>
        <w:rPr>
          <w:noProof/>
        </w:rPr>
      </w:r>
      <w:r>
        <w:rPr>
          <w:noProof/>
        </w:rPr>
        <w:fldChar w:fldCharType="separate"/>
      </w:r>
      <w:r>
        <w:rPr>
          <w:noProof/>
        </w:rPr>
        <w:t>33</w:t>
      </w:r>
      <w:r>
        <w:rPr>
          <w:noProof/>
        </w:rPr>
        <w:fldChar w:fldCharType="end"/>
      </w:r>
    </w:p>
    <w:p>
      <w:pPr>
        <w:pStyle w:val="TOC8"/>
        <w:rPr>
          <w:rFonts w:asciiTheme="minorHAnsi" w:eastAsiaTheme="minorEastAsia" w:hAnsiTheme="minorHAnsi" w:cstheme="minorBidi"/>
          <w:szCs w:val="22"/>
        </w:rPr>
      </w:pPr>
      <w:r>
        <w:t>31.</w:t>
      </w:r>
      <w:r>
        <w:tab/>
        <w:t>Regulation 15 replaced</w:t>
      </w:r>
      <w:r>
        <w:tab/>
      </w:r>
      <w:r>
        <w:fldChar w:fldCharType="begin"/>
      </w:r>
      <w:r>
        <w:instrText xml:space="preserve"> PAGEREF _Toc218521645 \h </w:instrText>
      </w:r>
      <w:r>
        <w:fldChar w:fldCharType="separate"/>
      </w:r>
      <w:r>
        <w:t>34</w:t>
      </w:r>
      <w:r>
        <w:fldChar w:fldCharType="end"/>
      </w:r>
    </w:p>
    <w:p>
      <w:pPr>
        <w:pStyle w:val="TOC9"/>
        <w:rPr>
          <w:rFonts w:asciiTheme="minorHAnsi" w:eastAsiaTheme="minorEastAsia" w:hAnsiTheme="minorHAnsi" w:cstheme="minorBidi"/>
          <w:noProof/>
          <w:sz w:val="22"/>
          <w:szCs w:val="22"/>
        </w:rPr>
      </w:pPr>
      <w:r>
        <w:rPr>
          <w:noProof/>
        </w:rPr>
        <w:t>15.</w:t>
      </w:r>
      <w:r>
        <w:rPr>
          <w:noProof/>
        </w:rPr>
        <w:tab/>
        <w:t>Dealing with unclaimed security bonds generally</w:t>
      </w:r>
      <w:r>
        <w:rPr>
          <w:noProof/>
        </w:rPr>
        <w:tab/>
      </w:r>
      <w:r>
        <w:rPr>
          <w:noProof/>
        </w:rPr>
        <w:fldChar w:fldCharType="begin"/>
      </w:r>
      <w:r>
        <w:rPr>
          <w:noProof/>
        </w:rPr>
        <w:instrText xml:space="preserve"> PAGEREF _Toc218521646 \h </w:instrText>
      </w:r>
      <w:r>
        <w:rPr>
          <w:noProof/>
        </w:rPr>
      </w:r>
      <w:r>
        <w:rPr>
          <w:noProof/>
        </w:rPr>
        <w:fldChar w:fldCharType="separate"/>
      </w:r>
      <w:r>
        <w:rPr>
          <w:noProof/>
        </w:rPr>
        <w:t>34</w:t>
      </w:r>
      <w:r>
        <w:rPr>
          <w:noProof/>
        </w:rPr>
        <w:fldChar w:fldCharType="end"/>
      </w:r>
    </w:p>
    <w:p>
      <w:pPr>
        <w:pStyle w:val="TOC9"/>
        <w:rPr>
          <w:rFonts w:asciiTheme="minorHAnsi" w:eastAsiaTheme="minorEastAsia" w:hAnsiTheme="minorHAnsi" w:cstheme="minorBidi"/>
          <w:noProof/>
          <w:sz w:val="22"/>
          <w:szCs w:val="22"/>
        </w:rPr>
      </w:pPr>
      <w:r>
        <w:rPr>
          <w:noProof/>
        </w:rPr>
        <w:t>16.</w:t>
      </w:r>
      <w:r>
        <w:rPr>
          <w:noProof/>
        </w:rPr>
        <w:tab/>
        <w:t>Dealing with unclaimed security bonds if tenant has died</w:t>
      </w:r>
      <w:r>
        <w:rPr>
          <w:noProof/>
        </w:rPr>
        <w:tab/>
      </w:r>
      <w:r>
        <w:rPr>
          <w:noProof/>
        </w:rPr>
        <w:fldChar w:fldCharType="begin"/>
      </w:r>
      <w:r>
        <w:rPr>
          <w:noProof/>
        </w:rPr>
        <w:instrText xml:space="preserve"> PAGEREF _Toc218521647 \h </w:instrText>
      </w:r>
      <w:r>
        <w:rPr>
          <w:noProof/>
        </w:rPr>
      </w:r>
      <w:r>
        <w:rPr>
          <w:noProof/>
        </w:rPr>
        <w:fldChar w:fldCharType="separate"/>
      </w:r>
      <w:r>
        <w:rPr>
          <w:noProof/>
        </w:rPr>
        <w:t>36</w:t>
      </w:r>
      <w:r>
        <w:rPr>
          <w:noProof/>
        </w:rPr>
        <w:fldChar w:fldCharType="end"/>
      </w:r>
    </w:p>
    <w:p>
      <w:pPr>
        <w:pStyle w:val="TOC8"/>
        <w:rPr>
          <w:rFonts w:asciiTheme="minorHAnsi" w:eastAsiaTheme="minorEastAsia" w:hAnsiTheme="minorHAnsi" w:cstheme="minorBidi"/>
          <w:szCs w:val="22"/>
        </w:rPr>
      </w:pPr>
      <w:r>
        <w:t>32.</w:t>
      </w:r>
      <w:r>
        <w:tab/>
        <w:t>Regulation 20 inserted</w:t>
      </w:r>
      <w:r>
        <w:tab/>
      </w:r>
      <w:r>
        <w:fldChar w:fldCharType="begin"/>
      </w:r>
      <w:r>
        <w:instrText xml:space="preserve"> PAGEREF _Toc218521648 \h </w:instrText>
      </w:r>
      <w:r>
        <w:fldChar w:fldCharType="separate"/>
      </w:r>
      <w:r>
        <w:t>38</w:t>
      </w:r>
      <w:r>
        <w:fldChar w:fldCharType="end"/>
      </w:r>
    </w:p>
    <w:p>
      <w:pPr>
        <w:pStyle w:val="TOC9"/>
        <w:rPr>
          <w:rFonts w:asciiTheme="minorHAnsi" w:eastAsiaTheme="minorEastAsia" w:hAnsiTheme="minorHAnsi" w:cstheme="minorBidi"/>
          <w:noProof/>
          <w:sz w:val="22"/>
          <w:szCs w:val="22"/>
        </w:rPr>
      </w:pPr>
      <w:r>
        <w:rPr>
          <w:noProof/>
        </w:rPr>
        <w:lastRenderedPageBreak/>
        <w:t>20.</w:t>
      </w:r>
      <w:r>
        <w:rPr>
          <w:noProof/>
        </w:rPr>
        <w:tab/>
        <w:t xml:space="preserve">Transitional provision — </w:t>
      </w:r>
      <w:r>
        <w:rPr>
          <w:i/>
          <w:noProof/>
        </w:rPr>
        <w:t>Commerce Regulations Amendment (Residential Tenancies and Residential Parks) Regulations 2026</w:t>
      </w:r>
      <w:r>
        <w:rPr>
          <w:noProof/>
        </w:rPr>
        <w:tab/>
      </w:r>
      <w:r>
        <w:rPr>
          <w:noProof/>
        </w:rPr>
        <w:fldChar w:fldCharType="begin"/>
      </w:r>
      <w:r>
        <w:rPr>
          <w:noProof/>
        </w:rPr>
        <w:instrText xml:space="preserve"> PAGEREF _Toc218521649 \h </w:instrText>
      </w:r>
      <w:r>
        <w:rPr>
          <w:noProof/>
        </w:rPr>
      </w:r>
      <w:r>
        <w:rPr>
          <w:noProof/>
        </w:rPr>
        <w:fldChar w:fldCharType="separate"/>
      </w:r>
      <w:r>
        <w:rPr>
          <w:noProof/>
        </w:rPr>
        <w:t>38</w:t>
      </w:r>
      <w:r>
        <w:rPr>
          <w:noProof/>
        </w:rPr>
        <w:fldChar w:fldCharType="end"/>
      </w:r>
    </w:p>
    <w:p>
      <w:pPr>
        <w:pStyle w:val="TOC8"/>
        <w:rPr>
          <w:rFonts w:asciiTheme="minorHAnsi" w:eastAsiaTheme="minorEastAsia" w:hAnsiTheme="minorHAnsi" w:cstheme="minorBidi"/>
          <w:szCs w:val="22"/>
        </w:rPr>
      </w:pPr>
      <w:r>
        <w:t>33.</w:t>
      </w:r>
      <w:r>
        <w:tab/>
        <w:t>Schedule 3 amended</w:t>
      </w:r>
      <w:r>
        <w:tab/>
      </w:r>
      <w:r>
        <w:fldChar w:fldCharType="begin"/>
      </w:r>
      <w:r>
        <w:instrText xml:space="preserve"> PAGEREF _Toc218521650 \h </w:instrText>
      </w:r>
      <w:r>
        <w:fldChar w:fldCharType="separate"/>
      </w:r>
      <w:r>
        <w:t>38</w:t>
      </w:r>
      <w:r>
        <w:fldChar w:fldCharType="end"/>
      </w:r>
    </w:p>
    <w:p>
      <w:pPr>
        <w:pStyle w:val="TOC8"/>
        <w:rPr>
          <w:rFonts w:asciiTheme="minorHAnsi" w:eastAsiaTheme="minorEastAsia" w:hAnsiTheme="minorHAnsi" w:cstheme="minorBidi"/>
          <w:szCs w:val="22"/>
        </w:rPr>
      </w:pPr>
      <w:r>
        <w:t>34.</w:t>
      </w:r>
      <w:r>
        <w:tab/>
        <w:t>Schedule 5 amended</w:t>
      </w:r>
      <w:r>
        <w:tab/>
      </w:r>
      <w:r>
        <w:fldChar w:fldCharType="begin"/>
      </w:r>
      <w:r>
        <w:instrText xml:space="preserve"> PAGEREF _Toc218521651 \h </w:instrText>
      </w:r>
      <w:r>
        <w:fldChar w:fldCharType="separate"/>
      </w:r>
      <w:r>
        <w:t>39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rPr>
          <w:iCs/>
        </w:rPr>
        <w:lastRenderedPageBreak/>
        <w:t>Residential Parks (Long</w:t>
      </w:r>
      <w:r>
        <w:rPr>
          <w:iCs/>
        </w:rPr>
        <w:noBreakHyphen/>
        <w:t>stay Tenants) Act 2006</w:t>
      </w:r>
      <w:r>
        <w:rPr>
          <w:iCs/>
        </w:rPr>
        <w:br/>
      </w:r>
      <w:r>
        <w:t>Residential Tenancies Act 1987</w:t>
      </w:r>
    </w:p>
    <w:p>
      <w:pPr>
        <w:pStyle w:val="NameofActReg"/>
      </w:pPr>
      <w:r>
        <w:t>Commerce Regulations Amendment (Residential Tenancies and Residential Parks) Regulations 2026</w:t>
      </w:r>
    </w:p>
    <w:p>
      <w:pPr>
        <w:pStyle w:val="MadeBy"/>
      </w:pPr>
      <w:r>
        <w:t>Made by the Governor in Executive Council.</w:t>
      </w:r>
    </w:p>
    <w:p>
      <w:pPr>
        <w:pStyle w:val="Heading2"/>
        <w:pageBreakBefore w:val="0"/>
        <w:spacing w:before="240"/>
      </w:pPr>
      <w:bookmarkStart w:id="2" w:name="_Toc218520942"/>
      <w:bookmarkStart w:id="3" w:name="_Toc218521016"/>
      <w:bookmarkStart w:id="4" w:name="_Toc218521090"/>
      <w:bookmarkStart w:id="5" w:name="_Toc218521164"/>
      <w:bookmarkStart w:id="6" w:name="_Toc218521238"/>
      <w:bookmarkStart w:id="7" w:name="_Toc218521329"/>
      <w:bookmarkStart w:id="8" w:name="_Toc218521409"/>
      <w:bookmarkStart w:id="9" w:name="_Toc21852157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pPr>
      <w:bookmarkStart w:id="10" w:name="_Toc218521017"/>
      <w:bookmarkStart w:id="11" w:name="_Toc218521579"/>
      <w:r>
        <w:rPr>
          <w:rStyle w:val="CharSectno"/>
        </w:rPr>
        <w:t>1</w:t>
      </w:r>
      <w:r>
        <w:t>.</w:t>
      </w:r>
      <w:r>
        <w:tab/>
        <w:t>Citation</w:t>
      </w:r>
      <w:bookmarkEnd w:id="10"/>
      <w:bookmarkEnd w:id="11"/>
    </w:p>
    <w:p>
      <w:pPr>
        <w:pStyle w:val="Subsection"/>
      </w:pPr>
      <w:r>
        <w:tab/>
      </w:r>
      <w:r>
        <w:tab/>
      </w:r>
      <w:bookmarkStart w:id="12" w:name="Start_Cursor"/>
      <w:bookmarkEnd w:id="12"/>
      <w:r>
        <w:t xml:space="preserve">These </w:t>
      </w:r>
      <w:r>
        <w:rPr>
          <w:spacing w:val="-2"/>
        </w:rPr>
        <w:t>regulations</w:t>
      </w:r>
      <w:r>
        <w:t xml:space="preserve"> are the </w:t>
      </w:r>
      <w:r>
        <w:rPr>
          <w:i/>
        </w:rPr>
        <w:t>Commerce Regulations Amendment (Residential Tenancies and Residential Parks) Regulations 2026</w:t>
      </w:r>
      <w:r>
        <w:t>.</w:t>
      </w:r>
    </w:p>
    <w:p>
      <w:pPr>
        <w:pStyle w:val="Heading5"/>
        <w:rPr>
          <w:spacing w:val="-2"/>
        </w:rPr>
      </w:pPr>
      <w:bookmarkStart w:id="13" w:name="_Toc218521018"/>
      <w:bookmarkStart w:id="14" w:name="_Toc218521580"/>
      <w:r>
        <w:rPr>
          <w:rStyle w:val="CharSectno"/>
        </w:rPr>
        <w:t>2</w:t>
      </w:r>
      <w:r>
        <w:rPr>
          <w:spacing w:val="-2"/>
        </w:rPr>
        <w:t>.</w:t>
      </w:r>
      <w:r>
        <w:rPr>
          <w:spacing w:val="-2"/>
        </w:rPr>
        <w:tab/>
        <w:t>Commencement</w:t>
      </w:r>
      <w:bookmarkEnd w:id="13"/>
      <w:bookmarkEnd w:id="14"/>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Part 1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xml:space="preserve"> — on the day on which the </w:t>
      </w:r>
      <w:r>
        <w:rPr>
          <w:i/>
        </w:rPr>
        <w:t>Residential Tenancies Amendment Act </w:t>
      </w:r>
      <w:r>
        <w:rPr>
          <w:i/>
          <w:iCs/>
        </w:rPr>
        <w:t>2024</w:t>
      </w:r>
      <w:r>
        <w:t xml:space="preserve"> section 43 comes into operation.</w:t>
      </w:r>
    </w:p>
    <w:p>
      <w:pPr>
        <w:pStyle w:val="Heading2"/>
      </w:pPr>
      <w:bookmarkStart w:id="15" w:name="_Ref214964619"/>
      <w:bookmarkStart w:id="16" w:name="_Ref214964942"/>
      <w:bookmarkStart w:id="17" w:name="_Toc218520945"/>
      <w:bookmarkStart w:id="18" w:name="_Toc218521019"/>
      <w:bookmarkStart w:id="19" w:name="_Toc218521093"/>
      <w:bookmarkStart w:id="20" w:name="_Toc218521167"/>
      <w:bookmarkStart w:id="21" w:name="_Toc218521241"/>
      <w:bookmarkStart w:id="22" w:name="_Toc218521332"/>
      <w:bookmarkStart w:id="23" w:name="_Toc218521412"/>
      <w:bookmarkStart w:id="24" w:name="_Toc218521581"/>
      <w:r>
        <w:rPr>
          <w:rStyle w:val="CharPartNo"/>
        </w:rPr>
        <w:lastRenderedPageBreak/>
        <w:t>Part 2</w:t>
      </w:r>
      <w:r>
        <w:rPr>
          <w:rStyle w:val="CharDivNo"/>
        </w:rPr>
        <w:t> </w:t>
      </w:r>
      <w:r>
        <w:t>—</w:t>
      </w:r>
      <w:r>
        <w:rPr>
          <w:rStyle w:val="CharDivText"/>
        </w:rPr>
        <w:t> </w:t>
      </w:r>
      <w:r>
        <w:rPr>
          <w:rStyle w:val="CharPartText"/>
          <w:i/>
          <w:iCs/>
        </w:rPr>
        <w:t>Residential Parks (Long</w:t>
      </w:r>
      <w:r>
        <w:rPr>
          <w:rStyle w:val="CharPartText"/>
          <w:i/>
          <w:iCs/>
        </w:rPr>
        <w:noBreakHyphen/>
        <w:t>stay Tenants) Regulations 2007</w:t>
      </w:r>
      <w:r>
        <w:rPr>
          <w:rStyle w:val="CharPartText"/>
        </w:rPr>
        <w:t xml:space="preserve"> amended</w:t>
      </w:r>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218521020"/>
      <w:bookmarkStart w:id="26" w:name="_Toc218521582"/>
      <w:r>
        <w:rPr>
          <w:rStyle w:val="CharSectno"/>
        </w:rPr>
        <w:t>3</w:t>
      </w:r>
      <w:r>
        <w:t>.</w:t>
      </w:r>
      <w:r>
        <w:tab/>
      </w:r>
      <w:r>
        <w:rPr>
          <w:snapToGrid w:val="0"/>
        </w:rPr>
        <w:t>Regulations amended</w:t>
      </w:r>
      <w:bookmarkEnd w:id="25"/>
      <w:bookmarkEnd w:id="26"/>
    </w:p>
    <w:p>
      <w:pPr>
        <w:pStyle w:val="Subsection"/>
      </w:pPr>
      <w:r>
        <w:tab/>
      </w:r>
      <w:r>
        <w:tab/>
        <w:t xml:space="preserve">This Part amends the </w:t>
      </w:r>
      <w:r>
        <w:rPr>
          <w:i/>
        </w:rPr>
        <w:t>Residential Parks (Long</w:t>
      </w:r>
      <w:r>
        <w:rPr>
          <w:i/>
        </w:rPr>
        <w:noBreakHyphen/>
        <w:t>stay Tenants) Regulations 2007</w:t>
      </w:r>
      <w:r>
        <w:t>.</w:t>
      </w:r>
    </w:p>
    <w:p>
      <w:pPr>
        <w:pStyle w:val="Heading5"/>
      </w:pPr>
      <w:bookmarkStart w:id="27" w:name="_Toc218521021"/>
      <w:bookmarkStart w:id="28" w:name="_Toc218521583"/>
      <w:r>
        <w:rPr>
          <w:rStyle w:val="CharSectno"/>
        </w:rPr>
        <w:t>4</w:t>
      </w:r>
      <w:r>
        <w:t>.</w:t>
      </w:r>
      <w:r>
        <w:tab/>
        <w:t>Regulation 3 amended</w:t>
      </w:r>
      <w:bookmarkEnd w:id="27"/>
      <w:bookmarkEnd w:id="28"/>
    </w:p>
    <w:p>
      <w:pPr>
        <w:pStyle w:val="Subsection"/>
      </w:pPr>
      <w:r>
        <w:tab/>
      </w:r>
      <w:r>
        <w:tab/>
        <w:t>In regulation 3 insert in alphabetical order:</w:t>
      </w:r>
    </w:p>
    <w:p>
      <w:pPr>
        <w:pStyle w:val="BlankOpen"/>
      </w:pPr>
    </w:p>
    <w:p>
      <w:pPr>
        <w:pStyle w:val="zDefstart"/>
      </w:pPr>
      <w:r>
        <w:tab/>
      </w:r>
      <w:r>
        <w:rPr>
          <w:rStyle w:val="CharDefText"/>
        </w:rPr>
        <w:t>relevant party</w:t>
      </w:r>
      <w:r>
        <w:t xml:space="preserve"> has the meaning given in regulation 18A;</w:t>
      </w:r>
    </w:p>
    <w:p>
      <w:pPr>
        <w:pStyle w:val="BlankClose"/>
      </w:pPr>
    </w:p>
    <w:p>
      <w:pPr>
        <w:pStyle w:val="SectAltNote"/>
      </w:pPr>
      <w:r>
        <w:tab/>
        <w:t>Note: The heading to amended regulation 3 is to read:</w:t>
      </w:r>
    </w:p>
    <w:p>
      <w:pPr>
        <w:pStyle w:val="SectAltHeading"/>
      </w:pPr>
      <w:r>
        <w:tab/>
      </w:r>
      <w:r>
        <w:tab/>
        <w:t>Terms used</w:t>
      </w:r>
    </w:p>
    <w:p>
      <w:pPr>
        <w:pStyle w:val="Heading5"/>
      </w:pPr>
      <w:bookmarkStart w:id="29" w:name="_Toc218521022"/>
      <w:bookmarkStart w:id="30" w:name="_Toc218521584"/>
      <w:r>
        <w:rPr>
          <w:rStyle w:val="CharSectno"/>
        </w:rPr>
        <w:t>5</w:t>
      </w:r>
      <w:r>
        <w:t>.</w:t>
      </w:r>
      <w:r>
        <w:tab/>
        <w:t>Regulation 16A replaced</w:t>
      </w:r>
      <w:bookmarkEnd w:id="29"/>
      <w:bookmarkEnd w:id="30"/>
    </w:p>
    <w:p>
      <w:pPr>
        <w:pStyle w:val="Subsection"/>
      </w:pPr>
      <w:r>
        <w:tab/>
      </w:r>
      <w:r>
        <w:tab/>
        <w:t>Delete regulation 16A and insert:</w:t>
      </w:r>
    </w:p>
    <w:p>
      <w:pPr>
        <w:pStyle w:val="BlankOpen"/>
      </w:pPr>
    </w:p>
    <w:p>
      <w:pPr>
        <w:pStyle w:val="zHeading5"/>
      </w:pPr>
      <w:bookmarkStart w:id="31" w:name="_Toc218521023"/>
      <w:bookmarkStart w:id="32" w:name="_Toc218521585"/>
      <w:r>
        <w:t>16A.</w:t>
      </w:r>
      <w:r>
        <w:tab/>
        <w:t>Service by electronic means (Act s. 91(1)(c))</w:t>
      </w:r>
      <w:bookmarkEnd w:id="31"/>
      <w:bookmarkEnd w:id="32"/>
    </w:p>
    <w:p>
      <w:pPr>
        <w:pStyle w:val="zSubsection"/>
      </w:pPr>
      <w:r>
        <w:tab/>
        <w:t>(1)</w:t>
      </w:r>
      <w:r>
        <w:tab/>
        <w:t>In this regulation —</w:t>
      </w:r>
    </w:p>
    <w:p>
      <w:pPr>
        <w:pStyle w:val="zDefstart"/>
      </w:pPr>
      <w:r>
        <w:tab/>
      </w:r>
      <w:r>
        <w:rPr>
          <w:rStyle w:val="CharDefText"/>
        </w:rPr>
        <w:t>BondsOnline eTransactions</w:t>
      </w:r>
      <w:r>
        <w:t xml:space="preserve"> means the electronic system known as BondsOnline eTransactions that —</w:t>
      </w:r>
    </w:p>
    <w:p>
      <w:pPr>
        <w:pStyle w:val="zDefpara"/>
      </w:pPr>
      <w:r>
        <w:tab/>
        <w:t>(a)</w:t>
      </w:r>
      <w:r>
        <w:tab/>
        <w:t>is administered by the bond administrator and accessible through the Department’s website; and</w:t>
      </w:r>
    </w:p>
    <w:p>
      <w:pPr>
        <w:pStyle w:val="zDefpara"/>
      </w:pPr>
      <w:r>
        <w:tab/>
        <w:t>(b)</w:t>
      </w:r>
      <w:r>
        <w:tab/>
        <w:t>facilitates payments, applications and other processes under the Act in relation to security bonds;</w:t>
      </w:r>
    </w:p>
    <w:p>
      <w:pPr>
        <w:pStyle w:val="zDefstart"/>
      </w:pPr>
      <w:r>
        <w:tab/>
      </w:r>
      <w:r>
        <w:rPr>
          <w:rStyle w:val="CharDefText"/>
        </w:rPr>
        <w:t>Department’s website</w:t>
      </w:r>
      <w:r>
        <w:t xml:space="preserve"> means a website maintained by, or on behalf of, the Department.</w:t>
      </w:r>
    </w:p>
    <w:p>
      <w:pPr>
        <w:pStyle w:val="zSubsection"/>
      </w:pPr>
      <w:r>
        <w:lastRenderedPageBreak/>
        <w:tab/>
        <w:t>(2)</w:t>
      </w:r>
      <w:r>
        <w:tab/>
        <w:t>For the purposes of section 91(1)(c) of the Act —</w:t>
      </w:r>
    </w:p>
    <w:p>
      <w:pPr>
        <w:pStyle w:val="zIndenta"/>
      </w:pPr>
      <w:r>
        <w:tab/>
        <w:t>(a)</w:t>
      </w:r>
      <w:r>
        <w:tab/>
        <w:t>if the long</w:t>
      </w:r>
      <w:r>
        <w:noBreakHyphen/>
        <w:t>stay tenant and park operator agree as mentioned in section 91(1)(c) of the Act — either the long</w:t>
      </w:r>
      <w:r>
        <w:noBreakHyphen/>
        <w:t xml:space="preserve">stay tenant or park operator (each the </w:t>
      </w:r>
      <w:r>
        <w:rPr>
          <w:rStyle w:val="CharDefText"/>
        </w:rPr>
        <w:t>sender</w:t>
      </w:r>
      <w:r>
        <w:t xml:space="preserve">) may give a document to the other (the </w:t>
      </w:r>
      <w:r>
        <w:rPr>
          <w:rStyle w:val="CharDefText"/>
        </w:rPr>
        <w:t>recipient</w:t>
      </w:r>
      <w:r>
        <w:t>) by sending the document by email to the email address given to the sender by the recipient; and</w:t>
      </w:r>
    </w:p>
    <w:p>
      <w:pPr>
        <w:pStyle w:val="zIndenta"/>
      </w:pPr>
      <w:r>
        <w:tab/>
        <w:t>(b)</w:t>
      </w:r>
      <w:r>
        <w:tab/>
        <w:t>if the bond administrator is required to give a person a notice under regulation 18D(2) or 19(3), the notice may be given by sending the notice by email to the email address of the person provided to the bond administrator together with —</w:t>
      </w:r>
    </w:p>
    <w:p>
      <w:pPr>
        <w:pStyle w:val="zIndenti"/>
      </w:pPr>
      <w:r>
        <w:tab/>
        <w:t>(i)</w:t>
      </w:r>
      <w:r>
        <w:tab/>
        <w:t>a record of the payment by the person of a security bond given under section 22(1)(b) of the Act; or</w:t>
      </w:r>
    </w:p>
    <w:p>
      <w:pPr>
        <w:pStyle w:val="zIndenti"/>
      </w:pPr>
      <w:r>
        <w:tab/>
        <w:t>(ii)</w:t>
      </w:r>
      <w:r>
        <w:tab/>
        <w:t xml:space="preserve">a security bond release application made under regulation 18B(1); </w:t>
      </w:r>
    </w:p>
    <w:p>
      <w:pPr>
        <w:pStyle w:val="zIndenta"/>
      </w:pPr>
      <w:r>
        <w:tab/>
      </w:r>
      <w:r>
        <w:tab/>
        <w:t>and</w:t>
      </w:r>
    </w:p>
    <w:p>
      <w:pPr>
        <w:pStyle w:val="zIndenta"/>
      </w:pPr>
      <w:r>
        <w:tab/>
        <w:t>(c)</w:t>
      </w:r>
      <w:r>
        <w:tab/>
        <w:t>if a person is required to give the bond administrator a notice under regulation 18E(2) or 18F(2), the notice may be given in 1 of the following ways —</w:t>
      </w:r>
    </w:p>
    <w:p>
      <w:pPr>
        <w:pStyle w:val="zIndenti"/>
      </w:pPr>
      <w:r>
        <w:tab/>
        <w:t>(i)</w:t>
      </w:r>
      <w:r>
        <w:tab/>
        <w:t>using BondsOnline eTransactions;</w:t>
      </w:r>
    </w:p>
    <w:p>
      <w:pPr>
        <w:pStyle w:val="zIndenti"/>
      </w:pPr>
      <w:r>
        <w:tab/>
        <w:t>(ii)</w:t>
      </w:r>
      <w:r>
        <w:tab/>
        <w:t>using any other electronic system, administered by the bond administrator and accessible through the Department’s website, that facilitates applications and other processes under the Act in relation to security bonds;</w:t>
      </w:r>
    </w:p>
    <w:p>
      <w:pPr>
        <w:pStyle w:val="zIndenti"/>
        <w:keepLines/>
      </w:pPr>
      <w:r>
        <w:lastRenderedPageBreak/>
        <w:tab/>
        <w:t>(iii)</w:t>
      </w:r>
      <w:r>
        <w:tab/>
        <w:t>if the bond administrator consents, by sending the notice by email to the email address provided by the bond administrator.</w:t>
      </w:r>
    </w:p>
    <w:p>
      <w:pPr>
        <w:pStyle w:val="BlankClose"/>
      </w:pPr>
    </w:p>
    <w:p>
      <w:pPr>
        <w:pStyle w:val="Heading5"/>
      </w:pPr>
      <w:bookmarkStart w:id="33" w:name="_Toc218521024"/>
      <w:bookmarkStart w:id="34" w:name="_Toc218521586"/>
      <w:r>
        <w:rPr>
          <w:rStyle w:val="CharSectno"/>
        </w:rPr>
        <w:t>6</w:t>
      </w:r>
      <w:r>
        <w:t>.</w:t>
      </w:r>
      <w:r>
        <w:tab/>
        <w:t>Regulation 17 deleted</w:t>
      </w:r>
      <w:bookmarkEnd w:id="33"/>
      <w:bookmarkEnd w:id="34"/>
    </w:p>
    <w:p>
      <w:pPr>
        <w:pStyle w:val="Subsection"/>
      </w:pPr>
      <w:r>
        <w:tab/>
      </w:r>
      <w:r>
        <w:tab/>
        <w:t>Delete regulation 17.</w:t>
      </w:r>
    </w:p>
    <w:p>
      <w:pPr>
        <w:pStyle w:val="Heading5"/>
      </w:pPr>
      <w:bookmarkStart w:id="35" w:name="_Toc218521025"/>
      <w:bookmarkStart w:id="36" w:name="_Toc218521587"/>
      <w:r>
        <w:rPr>
          <w:rStyle w:val="CharSectno"/>
        </w:rPr>
        <w:t>7</w:t>
      </w:r>
      <w:r>
        <w:t>.</w:t>
      </w:r>
      <w:r>
        <w:tab/>
        <w:t>Regulation 18 replaced</w:t>
      </w:r>
      <w:bookmarkEnd w:id="35"/>
      <w:bookmarkEnd w:id="36"/>
    </w:p>
    <w:p>
      <w:pPr>
        <w:pStyle w:val="Subsection"/>
      </w:pPr>
      <w:r>
        <w:tab/>
      </w:r>
      <w:r>
        <w:tab/>
        <w:t>Delete regulation 18 and insert:</w:t>
      </w:r>
    </w:p>
    <w:p>
      <w:pPr>
        <w:pStyle w:val="BlankOpen"/>
      </w:pPr>
    </w:p>
    <w:p>
      <w:pPr>
        <w:pStyle w:val="zHeading5"/>
      </w:pPr>
      <w:bookmarkStart w:id="37" w:name="_Toc218521026"/>
      <w:bookmarkStart w:id="38" w:name="_Toc218521588"/>
      <w:r>
        <w:t>18.</w:t>
      </w:r>
      <w:r>
        <w:tab/>
        <w:t>Disposal of security bond amounts: general (Act s. 94(c))</w:t>
      </w:r>
      <w:bookmarkEnd w:id="37"/>
      <w:bookmarkEnd w:id="38"/>
    </w:p>
    <w:p>
      <w:pPr>
        <w:pStyle w:val="zSubsection"/>
      </w:pPr>
      <w:r>
        <w:tab/>
      </w:r>
      <w:r>
        <w:tab/>
      </w:r>
      <w:r>
        <w:rPr>
          <w:snapToGrid w:val="0"/>
        </w:rPr>
        <w:t xml:space="preserve">For the purposes of </w:t>
      </w:r>
      <w:r>
        <w:rPr>
          <w:szCs w:val="24"/>
        </w:rPr>
        <w:t xml:space="preserve">section 94(c) </w:t>
      </w:r>
      <w:r>
        <w:rPr>
          <w:snapToGrid w:val="0"/>
        </w:rPr>
        <w:t xml:space="preserve">of the Act, a security bond amount must be paid out by </w:t>
      </w:r>
      <w:r>
        <w:rPr>
          <w:szCs w:val="24"/>
        </w:rPr>
        <w:t>the bond administrator</w:t>
      </w:r>
      <w:r>
        <w:rPr>
          <w:snapToGrid w:val="0"/>
        </w:rPr>
        <w:t xml:space="preserve"> in accordance with regulation 18G, 18H or 19.</w:t>
      </w:r>
    </w:p>
    <w:p>
      <w:pPr>
        <w:pStyle w:val="zHeading5"/>
      </w:pPr>
      <w:bookmarkStart w:id="39" w:name="_Toc218521027"/>
      <w:bookmarkStart w:id="40" w:name="_Toc218521589"/>
      <w:r>
        <w:t>18A.</w:t>
      </w:r>
      <w:r>
        <w:tab/>
        <w:t>Relevant party</w:t>
      </w:r>
      <w:bookmarkEnd w:id="39"/>
      <w:bookmarkEnd w:id="40"/>
    </w:p>
    <w:p>
      <w:pPr>
        <w:pStyle w:val="zSubsection"/>
      </w:pPr>
      <w:r>
        <w:tab/>
      </w:r>
      <w:r>
        <w:tab/>
        <w:t xml:space="preserve">A person is a </w:t>
      </w:r>
      <w:r>
        <w:rPr>
          <w:rStyle w:val="CharDefText"/>
        </w:rPr>
        <w:t>relevant party</w:t>
      </w:r>
      <w:r>
        <w:t xml:space="preserve"> in relation to a long</w:t>
      </w:r>
      <w:r>
        <w:noBreakHyphen/>
        <w:t>stay agreement if —</w:t>
      </w:r>
    </w:p>
    <w:p>
      <w:pPr>
        <w:pStyle w:val="zIndenta"/>
      </w:pPr>
      <w:r>
        <w:tab/>
        <w:t>(a)</w:t>
      </w:r>
      <w:r>
        <w:tab/>
        <w:t>the person is a party or former party to the long</w:t>
      </w:r>
      <w:r>
        <w:noBreakHyphen/>
        <w:t>stay agreement; and</w:t>
      </w:r>
    </w:p>
    <w:p>
      <w:pPr>
        <w:pStyle w:val="zIndenta"/>
      </w:pPr>
      <w:r>
        <w:tab/>
        <w:t>(b)</w:t>
      </w:r>
      <w:r>
        <w:tab/>
        <w:t>the security bond amount in respect of the long</w:t>
      </w:r>
      <w:r>
        <w:noBreakHyphen/>
        <w:t>stay agreement is held in the person’s name.</w:t>
      </w:r>
    </w:p>
    <w:p>
      <w:pPr>
        <w:pStyle w:val="zHeading5"/>
      </w:pPr>
      <w:bookmarkStart w:id="41" w:name="_Toc218521028"/>
      <w:bookmarkStart w:id="42" w:name="_Toc218521590"/>
      <w:r>
        <w:t>18B.</w:t>
      </w:r>
      <w:r>
        <w:tab/>
        <w:t>Application for release of security bond</w:t>
      </w:r>
      <w:bookmarkEnd w:id="41"/>
      <w:bookmarkEnd w:id="42"/>
    </w:p>
    <w:p>
      <w:pPr>
        <w:pStyle w:val="zSubsection"/>
      </w:pPr>
      <w:r>
        <w:tab/>
        <w:t>(1)</w:t>
      </w:r>
      <w:r>
        <w:tab/>
        <w:t>One, some or all of the relevant parties to a long</w:t>
      </w:r>
      <w:r>
        <w:noBreakHyphen/>
        <w:t xml:space="preserve">stay agreement may apply to the bond administrator, in the form approved by the bond administrator, for the </w:t>
      </w:r>
      <w:r>
        <w:lastRenderedPageBreak/>
        <w:t xml:space="preserve">security bond held in respect of the agreement to be paid out (a </w:t>
      </w:r>
      <w:r>
        <w:rPr>
          <w:rStyle w:val="CharDefText"/>
        </w:rPr>
        <w:t>security bond release application</w:t>
      </w:r>
      <w:r>
        <w:t>).</w:t>
      </w:r>
    </w:p>
    <w:p>
      <w:pPr>
        <w:pStyle w:val="zSubsection"/>
      </w:pPr>
      <w:r>
        <w:tab/>
        <w:t>(2)</w:t>
      </w:r>
      <w:r>
        <w:tab/>
        <w:t>The security bond release application must state the amount of the security bond to be paid to each relevant party to the long</w:t>
      </w:r>
      <w:r>
        <w:noBreakHyphen/>
        <w:t>stay agreement.</w:t>
      </w:r>
    </w:p>
    <w:p>
      <w:pPr>
        <w:pStyle w:val="zSubsection"/>
      </w:pPr>
      <w:r>
        <w:tab/>
        <w:t>(3)</w:t>
      </w:r>
      <w:r>
        <w:tab/>
        <w:t>The security bond release application must not be made before the long</w:t>
      </w:r>
      <w:r>
        <w:noBreakHyphen/>
        <w:t>stay agreement terminates.</w:t>
      </w:r>
    </w:p>
    <w:p>
      <w:pPr>
        <w:pStyle w:val="zSubsection"/>
      </w:pPr>
      <w:r>
        <w:tab/>
        <w:t>(4)</w:t>
      </w:r>
      <w:r>
        <w:tab/>
        <w:t>However, the security bond release application may be made before the long</w:t>
      </w:r>
      <w:r>
        <w:noBreakHyphen/>
        <w:t>stay agreement terminates if —</w:t>
      </w:r>
    </w:p>
    <w:p>
      <w:pPr>
        <w:pStyle w:val="zIndenta"/>
      </w:pPr>
      <w:r>
        <w:tab/>
        <w:t>(a)</w:t>
      </w:r>
      <w:r>
        <w:tab/>
        <w:t>the long</w:t>
      </w:r>
      <w:r>
        <w:noBreakHyphen/>
        <w:t>stay tenant or, if there are 2 or more long</w:t>
      </w:r>
      <w:r>
        <w:noBreakHyphen/>
        <w:t>stay tenants, all of the long</w:t>
      </w:r>
      <w:r>
        <w:noBreakHyphen/>
        <w:t>stay tenants deliver up vacant possession of the premises; and</w:t>
      </w:r>
    </w:p>
    <w:p>
      <w:pPr>
        <w:pStyle w:val="zIndenta"/>
      </w:pPr>
      <w:r>
        <w:tab/>
        <w:t>(b)</w:t>
      </w:r>
      <w:r>
        <w:tab/>
        <w:t>the parties to the long</w:t>
      </w:r>
      <w:r>
        <w:noBreakHyphen/>
        <w:t>stay agreement agree in writing to terminate the agreement.</w:t>
      </w:r>
    </w:p>
    <w:p>
      <w:pPr>
        <w:pStyle w:val="zSubsection"/>
      </w:pPr>
      <w:r>
        <w:tab/>
        <w:t>(5)</w:t>
      </w:r>
      <w:r>
        <w:tab/>
        <w:t>The park operator must not ask or require a long</w:t>
      </w:r>
      <w:r>
        <w:noBreakHyphen/>
        <w:t>stay tenant or former long</w:t>
      </w:r>
      <w:r>
        <w:noBreakHyphen/>
        <w:t>stay tenant to sign a security bond release application unless —</w:t>
      </w:r>
    </w:p>
    <w:p>
      <w:pPr>
        <w:pStyle w:val="zIndenta"/>
      </w:pPr>
      <w:r>
        <w:tab/>
        <w:t>(a)</w:t>
      </w:r>
      <w:r>
        <w:tab/>
        <w:t>the long</w:t>
      </w:r>
      <w:r>
        <w:noBreakHyphen/>
        <w:t>stay agreement has terminated or subregulation (4) or regulation 18C applies; and</w:t>
      </w:r>
    </w:p>
    <w:p>
      <w:pPr>
        <w:pStyle w:val="zIndenta"/>
      </w:pPr>
      <w:r>
        <w:tab/>
        <w:t>(b)</w:t>
      </w:r>
      <w:r>
        <w:tab/>
        <w:t>the application states the amount of the security bond (if any) to be paid to the park operator and the long</w:t>
      </w:r>
      <w:r>
        <w:noBreakHyphen/>
        <w:t>stay tenant or former long</w:t>
      </w:r>
      <w:r>
        <w:noBreakHyphen/>
        <w:t>stay tenant or, if there are 2 or more long</w:t>
      </w:r>
      <w:r>
        <w:noBreakHyphen/>
        <w:t>stay tenants or former long</w:t>
      </w:r>
      <w:r>
        <w:noBreakHyphen/>
        <w:t>stay tenants, each long</w:t>
      </w:r>
      <w:r>
        <w:noBreakHyphen/>
        <w:t>stay tenant or former long</w:t>
      </w:r>
      <w:r>
        <w:noBreakHyphen/>
        <w:t>stay tenant.</w:t>
      </w:r>
    </w:p>
    <w:p>
      <w:pPr>
        <w:pStyle w:val="zPenstart"/>
      </w:pPr>
      <w:r>
        <w:tab/>
        <w:t>Penalty for this subregulation: a fine of $5 000.</w:t>
      </w:r>
    </w:p>
    <w:p>
      <w:pPr>
        <w:pStyle w:val="zHeading5"/>
      </w:pPr>
      <w:bookmarkStart w:id="43" w:name="_Toc218521029"/>
      <w:bookmarkStart w:id="44" w:name="_Toc218521591"/>
      <w:r>
        <w:lastRenderedPageBreak/>
        <w:t>18C.</w:t>
      </w:r>
      <w:r>
        <w:tab/>
        <w:t>Application for partial release of security bond</w:t>
      </w:r>
      <w:bookmarkEnd w:id="43"/>
      <w:bookmarkEnd w:id="44"/>
    </w:p>
    <w:p>
      <w:pPr>
        <w:pStyle w:val="zSubsection"/>
        <w:keepNext/>
      </w:pPr>
      <w:r>
        <w:tab/>
        <w:t>(1)</w:t>
      </w:r>
      <w:r>
        <w:tab/>
        <w:t>A security bond release application under regulation 18B may apply for —</w:t>
      </w:r>
    </w:p>
    <w:p>
      <w:pPr>
        <w:pStyle w:val="zIndenta"/>
      </w:pPr>
      <w:r>
        <w:tab/>
        <w:t>(a)</w:t>
      </w:r>
      <w:r>
        <w:tab/>
        <w:t>only part of the security bond held in respect of the agreement to be paid out; and</w:t>
      </w:r>
    </w:p>
    <w:p>
      <w:pPr>
        <w:pStyle w:val="zIndenta"/>
      </w:pPr>
      <w:r>
        <w:tab/>
        <w:t>(b)</w:t>
      </w:r>
      <w:r>
        <w:tab/>
        <w:t>that part of the security bond to be paid to the long</w:t>
      </w:r>
      <w:r>
        <w:noBreakHyphen/>
        <w:t>stay tenant or former long</w:t>
      </w:r>
      <w:r>
        <w:noBreakHyphen/>
        <w:t>stay tenant or, if there are 2 or more long</w:t>
      </w:r>
      <w:r>
        <w:noBreakHyphen/>
        <w:t>stay tenants or former long</w:t>
      </w:r>
      <w:r>
        <w:noBreakHyphen/>
        <w:t>stay tenants, 1 or more of the long</w:t>
      </w:r>
      <w:r>
        <w:noBreakHyphen/>
        <w:t>stay tenants or former long</w:t>
      </w:r>
      <w:r>
        <w:noBreakHyphen/>
        <w:t>stay tenants.</w:t>
      </w:r>
    </w:p>
    <w:p>
      <w:pPr>
        <w:pStyle w:val="zSubsection"/>
      </w:pPr>
      <w:r>
        <w:tab/>
        <w:t>(2)</w:t>
      </w:r>
      <w:r>
        <w:tab/>
        <w:t>An application may be made under subregulation (1) only if —</w:t>
      </w:r>
    </w:p>
    <w:p>
      <w:pPr>
        <w:pStyle w:val="zIndenta"/>
      </w:pPr>
      <w:r>
        <w:tab/>
        <w:t>(a)</w:t>
      </w:r>
      <w:r>
        <w:tab/>
        <w:t>the rent payable under the long</w:t>
      </w:r>
      <w:r>
        <w:noBreakHyphen/>
        <w:t>stay agreement has been reduced; or</w:t>
      </w:r>
    </w:p>
    <w:p>
      <w:pPr>
        <w:pStyle w:val="zIndenta"/>
      </w:pPr>
      <w:r>
        <w:tab/>
        <w:t>(b)</w:t>
      </w:r>
      <w:r>
        <w:tab/>
        <w:t>the long</w:t>
      </w:r>
      <w:r>
        <w:noBreakHyphen/>
        <w:t>stay tenant or former long</w:t>
      </w:r>
      <w:r>
        <w:noBreakHyphen/>
        <w:t>stay tenant paid the prescribed amount under section 21(2)(b) of the Act in relation to a pet that the long</w:t>
      </w:r>
      <w:r>
        <w:noBreakHyphen/>
        <w:t>stay tenant or former long</w:t>
      </w:r>
      <w:r>
        <w:noBreakHyphen/>
        <w:t>stay tenant was permitted to keep at the premises and the pet is no longer being kept at the premises.</w:t>
      </w:r>
    </w:p>
    <w:p>
      <w:pPr>
        <w:pStyle w:val="zSubsection"/>
      </w:pPr>
      <w:r>
        <w:tab/>
        <w:t>(3)</w:t>
      </w:r>
      <w:r>
        <w:tab/>
        <w:t>Regulation 18B(3) does not apply in relation to an application under subregulation (1).</w:t>
      </w:r>
    </w:p>
    <w:p>
      <w:pPr>
        <w:pStyle w:val="zSubsection"/>
      </w:pPr>
      <w:r>
        <w:tab/>
        <w:t>(4)</w:t>
      </w:r>
      <w:r>
        <w:tab/>
        <w:t>These regulations apply to a security bond release application under subregulation (1) as if a reference in these regulations to a security bond were a reference to the part of the security bond to which the application relates.</w:t>
      </w:r>
    </w:p>
    <w:p>
      <w:pPr>
        <w:pStyle w:val="zHeading5"/>
      </w:pPr>
      <w:bookmarkStart w:id="45" w:name="_Toc218521030"/>
      <w:bookmarkStart w:id="46" w:name="_Toc218521592"/>
      <w:r>
        <w:lastRenderedPageBreak/>
        <w:t>18D.</w:t>
      </w:r>
      <w:r>
        <w:tab/>
        <w:t>Notice of security bond release application to other relevant parties</w:t>
      </w:r>
      <w:bookmarkEnd w:id="45"/>
      <w:bookmarkEnd w:id="46"/>
    </w:p>
    <w:p>
      <w:pPr>
        <w:pStyle w:val="zSubsection"/>
      </w:pPr>
      <w:r>
        <w:tab/>
        <w:t>(1)</w:t>
      </w:r>
      <w:r>
        <w:tab/>
        <w:t>This regulation applies if a security bond release application for a long</w:t>
      </w:r>
      <w:r>
        <w:noBreakHyphen/>
        <w:t xml:space="preserve">stay agreement is not made by each person known to the bond administrator as a relevant party to the agreement (a </w:t>
      </w:r>
      <w:r>
        <w:rPr>
          <w:rStyle w:val="CharDefText"/>
        </w:rPr>
        <w:t>known party</w:t>
      </w:r>
      <w:r>
        <w:t>).</w:t>
      </w:r>
    </w:p>
    <w:p>
      <w:pPr>
        <w:pStyle w:val="zSubsection"/>
      </w:pPr>
      <w:r>
        <w:tab/>
        <w:t>(2)</w:t>
      </w:r>
      <w:r>
        <w:tab/>
        <w:t>The bond administrator must give written notice of the security bond release application to each known party who did not make the application.</w:t>
      </w:r>
    </w:p>
    <w:p>
      <w:pPr>
        <w:pStyle w:val="zSubsection"/>
      </w:pPr>
      <w:r>
        <w:tab/>
        <w:t>(3)</w:t>
      </w:r>
      <w:r>
        <w:tab/>
        <w:t>The notice must state that, during the notice period, the party may —</w:t>
      </w:r>
    </w:p>
    <w:p>
      <w:pPr>
        <w:pStyle w:val="zIndenta"/>
      </w:pPr>
      <w:r>
        <w:tab/>
        <w:t>(a)</w:t>
      </w:r>
      <w:r>
        <w:tab/>
        <w:t>agree to the security bond release application or a variation of the application under regulation 18E; or</w:t>
      </w:r>
    </w:p>
    <w:p>
      <w:pPr>
        <w:pStyle w:val="zIndenta"/>
      </w:pPr>
      <w:r>
        <w:tab/>
        <w:t>(b)</w:t>
      </w:r>
      <w:r>
        <w:tab/>
        <w:t xml:space="preserve">dispute the security bond release application under regulation 18F. </w:t>
      </w:r>
    </w:p>
    <w:p>
      <w:pPr>
        <w:pStyle w:val="zSubsection"/>
      </w:pPr>
      <w:r>
        <w:tab/>
        <w:t>(4)</w:t>
      </w:r>
      <w:r>
        <w:tab/>
        <w:t xml:space="preserve">For the purposes of subregulation (3), the </w:t>
      </w:r>
      <w:r>
        <w:rPr>
          <w:rStyle w:val="CharDefText"/>
        </w:rPr>
        <w:t>notice period</w:t>
      </w:r>
      <w:r>
        <w:t xml:space="preserve"> is the period —</w:t>
      </w:r>
    </w:p>
    <w:p>
      <w:pPr>
        <w:pStyle w:val="zIndenta"/>
      </w:pPr>
      <w:r>
        <w:tab/>
        <w:t>(a)</w:t>
      </w:r>
      <w:r>
        <w:tab/>
        <w:t>starting when the party is given the notice under subregulation (2); and</w:t>
      </w:r>
    </w:p>
    <w:p>
      <w:pPr>
        <w:pStyle w:val="zIndenta"/>
      </w:pPr>
      <w:r>
        <w:tab/>
        <w:t>(b)</w:t>
      </w:r>
      <w:r>
        <w:tab/>
        <w:t>ending on the day stated in the notice as the day on which the notice period ends.</w:t>
      </w:r>
    </w:p>
    <w:p>
      <w:pPr>
        <w:pStyle w:val="zHeading5"/>
      </w:pPr>
      <w:bookmarkStart w:id="47" w:name="_Toc218521031"/>
      <w:bookmarkStart w:id="48" w:name="_Toc218521593"/>
      <w:r>
        <w:t>18E.</w:t>
      </w:r>
      <w:r>
        <w:tab/>
        <w:t>Agreeing to security bond release application</w:t>
      </w:r>
      <w:bookmarkEnd w:id="47"/>
      <w:bookmarkEnd w:id="48"/>
    </w:p>
    <w:p>
      <w:pPr>
        <w:pStyle w:val="zSubsection"/>
      </w:pPr>
      <w:r>
        <w:tab/>
        <w:t>(1)</w:t>
      </w:r>
      <w:r>
        <w:tab/>
        <w:t>A relevant party to a long</w:t>
      </w:r>
      <w:r>
        <w:noBreakHyphen/>
        <w:t>stay agreement given notice of a security bond release application under regulation 18D(2) may agree to the application or a variation of the application.</w:t>
      </w:r>
    </w:p>
    <w:p>
      <w:pPr>
        <w:pStyle w:val="zSubsection"/>
        <w:keepNext/>
        <w:keepLines/>
      </w:pPr>
      <w:r>
        <w:lastRenderedPageBreak/>
        <w:tab/>
        <w:t>(2)</w:t>
      </w:r>
      <w:r>
        <w:tab/>
        <w:t>The relevant party agrees to the security bond release application or varied application by giving the bond administrator written notice of the relevant party’s agreement to the security bond being paid in accordance with the application or varied application.</w:t>
      </w:r>
    </w:p>
    <w:p>
      <w:pPr>
        <w:pStyle w:val="zSubsection"/>
      </w:pPr>
      <w:r>
        <w:tab/>
        <w:t>(3)</w:t>
      </w:r>
      <w:r>
        <w:tab/>
        <w:t>The bond administrator may accept notice of the relevant party’s agreement after the notice period ends.</w:t>
      </w:r>
    </w:p>
    <w:p>
      <w:pPr>
        <w:pStyle w:val="zHeading5"/>
      </w:pPr>
      <w:bookmarkStart w:id="49" w:name="_Toc218521032"/>
      <w:bookmarkStart w:id="50" w:name="_Toc218521594"/>
      <w:r>
        <w:t>18F.</w:t>
      </w:r>
      <w:r>
        <w:tab/>
        <w:t>Disputing security bond release application</w:t>
      </w:r>
      <w:bookmarkEnd w:id="49"/>
      <w:bookmarkEnd w:id="50"/>
    </w:p>
    <w:p>
      <w:pPr>
        <w:pStyle w:val="zSubsection"/>
      </w:pPr>
      <w:r>
        <w:tab/>
        <w:t>(1)</w:t>
      </w:r>
      <w:r>
        <w:tab/>
        <w:t>A relevant party to a long</w:t>
      </w:r>
      <w:r>
        <w:noBreakHyphen/>
        <w:t>stay agreement given notice of a security bond release application under regulation 18D(2) may dispute the application.</w:t>
      </w:r>
    </w:p>
    <w:p>
      <w:pPr>
        <w:pStyle w:val="zSubsection"/>
      </w:pPr>
      <w:r>
        <w:tab/>
        <w:t>(2)</w:t>
      </w:r>
      <w:r>
        <w:tab/>
        <w:t>The relevant party disputes the security bond release application by giving the bond administrator written notice of the relevant party’s dispute with the security bond being paid in accordance with the application.</w:t>
      </w:r>
    </w:p>
    <w:p>
      <w:pPr>
        <w:pStyle w:val="zSubsection"/>
      </w:pPr>
      <w:r>
        <w:tab/>
        <w:t>(3)</w:t>
      </w:r>
      <w:r>
        <w:tab/>
        <w:t>If a relevant party disputes the security bond release application under this regulation, the bond administrator must notify the other relevant parties to the long</w:t>
      </w:r>
      <w:r>
        <w:noBreakHyphen/>
        <w:t>stay agreement of the dispute.</w:t>
      </w:r>
    </w:p>
    <w:p>
      <w:pPr>
        <w:pStyle w:val="zHeading5"/>
      </w:pPr>
      <w:bookmarkStart w:id="51" w:name="_Toc218521033"/>
      <w:bookmarkStart w:id="52" w:name="_Toc218521595"/>
      <w:r>
        <w:t>18G.</w:t>
      </w:r>
      <w:r>
        <w:tab/>
        <w:t>Payment of security bond with agreement of all relevant parties</w:t>
      </w:r>
      <w:bookmarkEnd w:id="51"/>
      <w:bookmarkEnd w:id="52"/>
    </w:p>
    <w:p>
      <w:pPr>
        <w:pStyle w:val="zSubsection"/>
      </w:pPr>
      <w:r>
        <w:tab/>
        <w:t>(1)</w:t>
      </w:r>
      <w:r>
        <w:tab/>
        <w:t>This regulation applies if each person the bond administrator knows is a relevant party to a long</w:t>
      </w:r>
      <w:r>
        <w:noBreakHyphen/>
        <w:t xml:space="preserve">stay agreement (a </w:t>
      </w:r>
      <w:r>
        <w:rPr>
          <w:rStyle w:val="CharDefText"/>
        </w:rPr>
        <w:t>known party</w:t>
      </w:r>
      <w:r>
        <w:t>) —</w:t>
      </w:r>
    </w:p>
    <w:p>
      <w:pPr>
        <w:pStyle w:val="zIndenta"/>
      </w:pPr>
      <w:r>
        <w:tab/>
        <w:t>(a)</w:t>
      </w:r>
      <w:r>
        <w:tab/>
        <w:t>makes a security bond release application in relation to the agreement; or</w:t>
      </w:r>
    </w:p>
    <w:p>
      <w:pPr>
        <w:pStyle w:val="zIndenta"/>
      </w:pPr>
      <w:r>
        <w:tab/>
        <w:t>(b)</w:t>
      </w:r>
      <w:r>
        <w:tab/>
        <w:t>agrees to the application under regulation 18E or otherwise; or</w:t>
      </w:r>
    </w:p>
    <w:p>
      <w:pPr>
        <w:pStyle w:val="zIndenta"/>
      </w:pPr>
      <w:r>
        <w:tab/>
        <w:t>(c)</w:t>
      </w:r>
      <w:r>
        <w:tab/>
        <w:t>agrees to a variation of the application under regulation 18E or otherwise.</w:t>
      </w:r>
    </w:p>
    <w:p>
      <w:pPr>
        <w:pStyle w:val="zSubsection"/>
      </w:pPr>
      <w:r>
        <w:lastRenderedPageBreak/>
        <w:tab/>
        <w:t>(2)</w:t>
      </w:r>
      <w:r>
        <w:tab/>
        <w:t>The bond administrator must pay the security bond to the persons and in the amounts stated in the security bond release application or varied application.</w:t>
      </w:r>
    </w:p>
    <w:p>
      <w:pPr>
        <w:pStyle w:val="zHeading5"/>
      </w:pPr>
      <w:bookmarkStart w:id="53" w:name="_Toc218521034"/>
      <w:bookmarkStart w:id="54" w:name="_Toc218521596"/>
      <w:r>
        <w:t>18H.</w:t>
      </w:r>
      <w:r>
        <w:tab/>
        <w:t>Payment of security bond in accordance with State Administrative Tribunal order</w:t>
      </w:r>
      <w:bookmarkEnd w:id="53"/>
      <w:bookmarkEnd w:id="54"/>
    </w:p>
    <w:p>
      <w:pPr>
        <w:pStyle w:val="zSubsection"/>
      </w:pPr>
      <w:r>
        <w:tab/>
        <w:t>(1)</w:t>
      </w:r>
      <w:r>
        <w:tab/>
        <w:t>This regulation applies if the State Administrative Tribunal makes an order about the payment of the security bond held in respect of a long</w:t>
      </w:r>
      <w:r>
        <w:noBreakHyphen/>
        <w:t>stay agreement.</w:t>
      </w:r>
    </w:p>
    <w:p>
      <w:pPr>
        <w:pStyle w:val="zSubsection"/>
      </w:pPr>
      <w:r>
        <w:tab/>
        <w:t>(2)</w:t>
      </w:r>
      <w:r>
        <w:tab/>
        <w:t>The bond administrator must pay the security bond to the persons and in the amounts stated in the order.</w:t>
      </w:r>
    </w:p>
    <w:p>
      <w:pPr>
        <w:pStyle w:val="zSubsection"/>
      </w:pPr>
      <w:r>
        <w:tab/>
        <w:t>(3)</w:t>
      </w:r>
      <w:r>
        <w:tab/>
        <w:t>This regulation applies despite any other provision in these regulations and whether or not a security bond release application is made in relation to the security bond.</w:t>
      </w:r>
    </w:p>
    <w:p>
      <w:pPr>
        <w:pStyle w:val="BlankClose"/>
      </w:pPr>
    </w:p>
    <w:p>
      <w:pPr>
        <w:pStyle w:val="Heading5"/>
      </w:pPr>
      <w:bookmarkStart w:id="55" w:name="_Toc218521035"/>
      <w:bookmarkStart w:id="56" w:name="_Toc218521597"/>
      <w:r>
        <w:rPr>
          <w:rStyle w:val="CharSectno"/>
        </w:rPr>
        <w:t>8</w:t>
      </w:r>
      <w:r>
        <w:t>.</w:t>
      </w:r>
      <w:r>
        <w:tab/>
        <w:t>Regulation 19 amended</w:t>
      </w:r>
      <w:bookmarkEnd w:id="55"/>
      <w:bookmarkEnd w:id="56"/>
    </w:p>
    <w:p>
      <w:pPr>
        <w:pStyle w:val="Subsection"/>
      </w:pPr>
      <w:r>
        <w:tab/>
        <w:t>(1)</w:t>
      </w:r>
      <w:r>
        <w:tab/>
        <w:t>In regulation 19(1) insert in alphabetical order:</w:t>
      </w:r>
    </w:p>
    <w:p>
      <w:pPr>
        <w:pStyle w:val="BlankOpen"/>
      </w:pPr>
    </w:p>
    <w:p>
      <w:pPr>
        <w:pStyle w:val="zDefstart"/>
      </w:pPr>
      <w:r>
        <w:tab/>
      </w:r>
      <w:r>
        <w:rPr>
          <w:rStyle w:val="CharDefText"/>
        </w:rPr>
        <w:t>former regulation 18</w:t>
      </w:r>
      <w:r>
        <w:t xml:space="preserve"> means regulation 18 as in force from time to time before the day on which the </w:t>
      </w:r>
      <w:r>
        <w:rPr>
          <w:i/>
        </w:rPr>
        <w:t>Commerce Regulations Amendment (Residential Tenancies and Residential Parks) Regulations 2026</w:t>
      </w:r>
      <w:r>
        <w:t xml:space="preserve"> Part 2 comes into operation;</w:t>
      </w:r>
    </w:p>
    <w:p>
      <w:pPr>
        <w:pStyle w:val="BlankClose"/>
      </w:pPr>
    </w:p>
    <w:p>
      <w:pPr>
        <w:pStyle w:val="Subsection"/>
      </w:pPr>
      <w:r>
        <w:tab/>
        <w:t>(2)</w:t>
      </w:r>
      <w:r>
        <w:tab/>
        <w:t>In regulation 19(2)(b) after “with” insert:</w:t>
      </w:r>
    </w:p>
    <w:p>
      <w:pPr>
        <w:pStyle w:val="BlankOpen"/>
      </w:pPr>
    </w:p>
    <w:p>
      <w:pPr>
        <w:pStyle w:val="Subsection"/>
        <w:rPr>
          <w:snapToGrid w:val="0"/>
        </w:rPr>
      </w:pPr>
      <w:r>
        <w:tab/>
      </w:r>
      <w:r>
        <w:tab/>
      </w:r>
      <w:r>
        <w:rPr>
          <w:snapToGrid w:val="0"/>
        </w:rPr>
        <w:t>regulation 18G or 18H or former</w:t>
      </w:r>
    </w:p>
    <w:p>
      <w:pPr>
        <w:pStyle w:val="BlankClose"/>
      </w:pPr>
    </w:p>
    <w:p>
      <w:pPr>
        <w:pStyle w:val="Subsection"/>
        <w:keepNext/>
      </w:pPr>
      <w:r>
        <w:lastRenderedPageBreak/>
        <w:tab/>
        <w:t>(3)</w:t>
      </w:r>
      <w:r>
        <w:tab/>
        <w:t>In regulation 19(3)(b) delete “18(2)(a)” and insert:</w:t>
      </w:r>
    </w:p>
    <w:p>
      <w:pPr>
        <w:pStyle w:val="BlankOpen"/>
      </w:pPr>
    </w:p>
    <w:p>
      <w:pPr>
        <w:pStyle w:val="Subsection"/>
      </w:pPr>
      <w:r>
        <w:tab/>
      </w:r>
      <w:r>
        <w:tab/>
        <w:t>18B</w:t>
      </w:r>
    </w:p>
    <w:p>
      <w:pPr>
        <w:pStyle w:val="BlankClose"/>
      </w:pPr>
    </w:p>
    <w:p>
      <w:pPr>
        <w:pStyle w:val="Subsection"/>
      </w:pPr>
      <w:r>
        <w:tab/>
        <w:t>(4)</w:t>
      </w:r>
      <w:r>
        <w:tab/>
        <w:t>In regulation 19(6) delete “Regulation 18(2) and (3)” and insert:</w:t>
      </w:r>
    </w:p>
    <w:p>
      <w:pPr>
        <w:pStyle w:val="BlankOpen"/>
      </w:pPr>
    </w:p>
    <w:p>
      <w:pPr>
        <w:pStyle w:val="Subsection"/>
        <w:rPr>
          <w:szCs w:val="24"/>
        </w:rPr>
      </w:pPr>
      <w:r>
        <w:tab/>
      </w:r>
      <w:r>
        <w:tab/>
      </w:r>
      <w:r>
        <w:rPr>
          <w:szCs w:val="24"/>
        </w:rPr>
        <w:t>Regulations 18G and 18H</w:t>
      </w:r>
    </w:p>
    <w:p>
      <w:pPr>
        <w:pStyle w:val="BlankClose"/>
      </w:pPr>
    </w:p>
    <w:p>
      <w:pPr>
        <w:pStyle w:val="Heading5"/>
      </w:pPr>
      <w:bookmarkStart w:id="57" w:name="_Toc218521036"/>
      <w:bookmarkStart w:id="58" w:name="_Toc218521598"/>
      <w:r>
        <w:rPr>
          <w:rStyle w:val="CharSectno"/>
        </w:rPr>
        <w:t>9</w:t>
      </w:r>
      <w:r>
        <w:t>.</w:t>
      </w:r>
      <w:r>
        <w:tab/>
        <w:t>Regulation 27 deleted</w:t>
      </w:r>
      <w:bookmarkEnd w:id="57"/>
      <w:bookmarkEnd w:id="58"/>
    </w:p>
    <w:p>
      <w:pPr>
        <w:pStyle w:val="Subsection"/>
      </w:pPr>
      <w:r>
        <w:tab/>
      </w:r>
      <w:r>
        <w:tab/>
        <w:t>Delete regulation 27.</w:t>
      </w:r>
    </w:p>
    <w:p>
      <w:pPr>
        <w:pStyle w:val="Heading5"/>
      </w:pPr>
      <w:bookmarkStart w:id="59" w:name="_Toc218521037"/>
      <w:bookmarkStart w:id="60" w:name="_Toc218521599"/>
      <w:r>
        <w:rPr>
          <w:rStyle w:val="CharSectno"/>
        </w:rPr>
        <w:t>10</w:t>
      </w:r>
      <w:r>
        <w:t>.</w:t>
      </w:r>
      <w:r>
        <w:tab/>
        <w:t>Regulation 29 inserted</w:t>
      </w:r>
      <w:bookmarkEnd w:id="59"/>
      <w:bookmarkEnd w:id="60"/>
    </w:p>
    <w:p>
      <w:pPr>
        <w:pStyle w:val="Subsection"/>
      </w:pPr>
      <w:r>
        <w:tab/>
      </w:r>
      <w:r>
        <w:tab/>
        <w:t>After regulation 28 insert:</w:t>
      </w:r>
    </w:p>
    <w:p>
      <w:pPr>
        <w:pStyle w:val="BlankOpen"/>
      </w:pPr>
    </w:p>
    <w:p>
      <w:pPr>
        <w:pStyle w:val="zHeading5"/>
      </w:pPr>
      <w:bookmarkStart w:id="61" w:name="_Toc218521038"/>
      <w:bookmarkStart w:id="62" w:name="_Toc218521600"/>
      <w:r>
        <w:t>29.</w:t>
      </w:r>
      <w:r>
        <w:tab/>
        <w:t xml:space="preserve">Transitional provision for </w:t>
      </w:r>
      <w:r>
        <w:rPr>
          <w:i/>
        </w:rPr>
        <w:t>Commerce Regulations Amendment (Residential Tenancies and Residential Parks) Regulations 2026</w:t>
      </w:r>
      <w:bookmarkEnd w:id="61"/>
      <w:bookmarkEnd w:id="62"/>
    </w:p>
    <w:p>
      <w:pPr>
        <w:pStyle w:val="zSubsection"/>
      </w:pPr>
      <w:r>
        <w:tab/>
        <w:t>(1)</w:t>
      </w:r>
      <w:r>
        <w:tab/>
        <w:t>In this regulation —</w:t>
      </w:r>
    </w:p>
    <w:p>
      <w:pPr>
        <w:pStyle w:val="zDefstart"/>
      </w:pPr>
      <w:r>
        <w:tab/>
      </w:r>
      <w:r>
        <w:rPr>
          <w:rStyle w:val="CharDefText"/>
        </w:rPr>
        <w:t>amendment regulations</w:t>
      </w:r>
      <w:r>
        <w:t xml:space="preserve"> means the </w:t>
      </w:r>
      <w:r>
        <w:rPr>
          <w:i/>
        </w:rPr>
        <w:t>Commerce Regulations Amendment (Residential Tenancies and Residential Parks) Regulations 2026</w:t>
      </w:r>
      <w:r>
        <w:t>;</w:t>
      </w:r>
    </w:p>
    <w:p>
      <w:pPr>
        <w:pStyle w:val="zDefstart"/>
      </w:pPr>
      <w:r>
        <w:tab/>
      </w:r>
      <w:r>
        <w:rPr>
          <w:rStyle w:val="CharDefText"/>
        </w:rPr>
        <w:t>commencement day</w:t>
      </w:r>
      <w:r>
        <w:t xml:space="preserve"> means the day on which Part 2 of the amendment regulations comes into operation;</w:t>
      </w:r>
    </w:p>
    <w:p>
      <w:pPr>
        <w:pStyle w:val="zDefstart"/>
      </w:pPr>
      <w:r>
        <w:tab/>
      </w:r>
      <w:r>
        <w:rPr>
          <w:rStyle w:val="CharDefText"/>
        </w:rPr>
        <w:t>existing bond application</w:t>
      </w:r>
      <w:r>
        <w:t xml:space="preserve"> means an application for the payment of a security bond amount — </w:t>
      </w:r>
    </w:p>
    <w:p>
      <w:pPr>
        <w:pStyle w:val="zDefpara"/>
      </w:pPr>
      <w:r>
        <w:tab/>
        <w:t>(a)</w:t>
      </w:r>
      <w:r>
        <w:tab/>
        <w:t>that was made, but not withdrawn, before commencement day; and</w:t>
      </w:r>
    </w:p>
    <w:p>
      <w:pPr>
        <w:pStyle w:val="zDefpara"/>
        <w:keepNext/>
        <w:keepLines/>
      </w:pPr>
      <w:r>
        <w:lastRenderedPageBreak/>
        <w:tab/>
        <w:t>(b)</w:t>
      </w:r>
      <w:r>
        <w:tab/>
        <w:t>in relation to which the security bond amount was not paid by the bond administrator under former regulation 18(2) before commencement day;</w:t>
      </w:r>
    </w:p>
    <w:p>
      <w:pPr>
        <w:pStyle w:val="zDefstart"/>
      </w:pPr>
      <w:r>
        <w:tab/>
      </w:r>
      <w:r>
        <w:rPr>
          <w:rStyle w:val="CharDefText"/>
        </w:rPr>
        <w:t>former</w:t>
      </w:r>
      <w:r>
        <w:t>, in relation to a provision of these regulations, means the provision as in force from time to time before commencement day.</w:t>
      </w:r>
    </w:p>
    <w:p>
      <w:pPr>
        <w:pStyle w:val="zSubsection"/>
      </w:pPr>
      <w:r>
        <w:tab/>
        <w:t>(2)</w:t>
      </w:r>
      <w:r>
        <w:tab/>
        <w:t>The bond administrator may continue to deal with an existing bond application under former regulation 18 as if the amendment regulations had not been made.</w:t>
      </w:r>
    </w:p>
    <w:p>
      <w:pPr>
        <w:pStyle w:val="BlankClose"/>
      </w:pPr>
    </w:p>
    <w:p>
      <w:pPr>
        <w:pStyle w:val="Heading5"/>
      </w:pPr>
      <w:bookmarkStart w:id="63" w:name="_Toc218521039"/>
      <w:bookmarkStart w:id="64" w:name="_Toc218521601"/>
      <w:r>
        <w:rPr>
          <w:rStyle w:val="CharSectno"/>
        </w:rPr>
        <w:t>11</w:t>
      </w:r>
      <w:r>
        <w:t>.</w:t>
      </w:r>
      <w:r>
        <w:tab/>
        <w:t>Schedule 11 Division 2 amended</w:t>
      </w:r>
      <w:bookmarkEnd w:id="63"/>
      <w:bookmarkEnd w:id="64"/>
    </w:p>
    <w:p>
      <w:pPr>
        <w:pStyle w:val="Subsection"/>
        <w:keepNext/>
      </w:pPr>
      <w:r>
        <w:tab/>
      </w:r>
      <w:r>
        <w:tab/>
        <w:t>In Schedule 11 Division 2 after the item for regulation 7(6) insert:</w:t>
      </w:r>
    </w:p>
    <w:p>
      <w:pPr>
        <w:pStyle w:val="BlankOpen"/>
      </w:pP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992" w:type="dxa"/>
            <w:noWrap/>
          </w:tcPr>
          <w:p>
            <w:pPr>
              <w:pStyle w:val="zyTableNAm"/>
            </w:pPr>
            <w:r>
              <w:t>r. 18B(5)</w:t>
            </w:r>
          </w:p>
        </w:tc>
        <w:tc>
          <w:tcPr>
            <w:tcW w:w="4394" w:type="dxa"/>
            <w:noWrap/>
          </w:tcPr>
          <w:p>
            <w:pPr>
              <w:pStyle w:val="zyTableNAm"/>
              <w:rPr>
                <w:rStyle w:val="DraftersNotes"/>
              </w:rPr>
            </w:pPr>
            <w:r>
              <w:t>Unlawfully asking or requiring tenant to sign security bond release application</w:t>
            </w:r>
          </w:p>
        </w:tc>
        <w:tc>
          <w:tcPr>
            <w:tcW w:w="1276" w:type="dxa"/>
            <w:noWrap/>
            <w:vAlign w:val="bottom"/>
          </w:tcPr>
          <w:p>
            <w:pPr>
              <w:pStyle w:val="zyTableNAm"/>
              <w:jc w:val="center"/>
            </w:pPr>
            <w:r>
              <w:t>$1 000</w:t>
            </w:r>
          </w:p>
        </w:tc>
      </w:tr>
    </w:tbl>
    <w:p>
      <w:pPr>
        <w:pStyle w:val="BlankClose"/>
      </w:pPr>
    </w:p>
    <w:p>
      <w:pPr>
        <w:pStyle w:val="Heading2"/>
      </w:pPr>
      <w:bookmarkStart w:id="65" w:name="_Ref214981490"/>
      <w:bookmarkStart w:id="66" w:name="_Toc218520966"/>
      <w:bookmarkStart w:id="67" w:name="_Toc218521040"/>
      <w:bookmarkStart w:id="68" w:name="_Toc218521114"/>
      <w:bookmarkStart w:id="69" w:name="_Toc218521188"/>
      <w:bookmarkStart w:id="70" w:name="_Toc218521262"/>
      <w:bookmarkStart w:id="71" w:name="_Toc218521353"/>
      <w:bookmarkStart w:id="72" w:name="_Toc218521433"/>
      <w:bookmarkStart w:id="73" w:name="_Toc218521602"/>
      <w:r>
        <w:rPr>
          <w:rStyle w:val="CharPartNo"/>
        </w:rPr>
        <w:lastRenderedPageBreak/>
        <w:t>Part 3</w:t>
      </w:r>
      <w:r>
        <w:rPr>
          <w:rStyle w:val="CharDivNo"/>
        </w:rPr>
        <w:t> </w:t>
      </w:r>
      <w:r>
        <w:t>—</w:t>
      </w:r>
      <w:r>
        <w:rPr>
          <w:rStyle w:val="CharDivText"/>
        </w:rPr>
        <w:t> </w:t>
      </w:r>
      <w:r>
        <w:rPr>
          <w:rStyle w:val="CharPartText"/>
          <w:i/>
          <w:iCs/>
        </w:rPr>
        <w:t>Residential Tenancies Regulations 1989</w:t>
      </w:r>
      <w:r>
        <w:rPr>
          <w:rStyle w:val="CharPartText"/>
        </w:rPr>
        <w:t xml:space="preserve"> amended</w:t>
      </w:r>
      <w:bookmarkEnd w:id="65"/>
      <w:bookmarkEnd w:id="66"/>
      <w:bookmarkEnd w:id="67"/>
      <w:bookmarkEnd w:id="68"/>
      <w:bookmarkEnd w:id="69"/>
      <w:bookmarkEnd w:id="70"/>
      <w:bookmarkEnd w:id="71"/>
      <w:bookmarkEnd w:id="72"/>
      <w:bookmarkEnd w:id="73"/>
    </w:p>
    <w:p>
      <w:pPr>
        <w:pStyle w:val="Heading5"/>
        <w:rPr>
          <w:snapToGrid w:val="0"/>
        </w:rPr>
      </w:pPr>
      <w:bookmarkStart w:id="74" w:name="_Toc218521041"/>
      <w:bookmarkStart w:id="75" w:name="_Toc218521603"/>
      <w:r>
        <w:rPr>
          <w:rStyle w:val="CharSectno"/>
        </w:rPr>
        <w:t>12</w:t>
      </w:r>
      <w:r>
        <w:rPr>
          <w:snapToGrid w:val="0"/>
        </w:rPr>
        <w:t>.</w:t>
      </w:r>
      <w:r>
        <w:rPr>
          <w:snapToGrid w:val="0"/>
        </w:rPr>
        <w:tab/>
        <w:t>Regulations amended</w:t>
      </w:r>
      <w:bookmarkEnd w:id="74"/>
      <w:bookmarkEnd w:id="75"/>
    </w:p>
    <w:p>
      <w:pPr>
        <w:pStyle w:val="Subsection"/>
      </w:pPr>
      <w:r>
        <w:tab/>
      </w:r>
      <w:r>
        <w:tab/>
        <w:t xml:space="preserve">This Part amends the </w:t>
      </w:r>
      <w:r>
        <w:rPr>
          <w:i/>
        </w:rPr>
        <w:t>Residential Tenancies Regulations 1989</w:t>
      </w:r>
      <w:r>
        <w:t>.</w:t>
      </w:r>
    </w:p>
    <w:p>
      <w:pPr>
        <w:pStyle w:val="Heading5"/>
      </w:pPr>
      <w:bookmarkStart w:id="76" w:name="_Toc218521042"/>
      <w:bookmarkStart w:id="77" w:name="_Toc218521604"/>
      <w:r>
        <w:rPr>
          <w:rStyle w:val="CharSectno"/>
        </w:rPr>
        <w:t>13</w:t>
      </w:r>
      <w:r>
        <w:t>.</w:t>
      </w:r>
      <w:r>
        <w:tab/>
        <w:t>Regulation 3A amended</w:t>
      </w:r>
      <w:bookmarkEnd w:id="76"/>
      <w:bookmarkEnd w:id="77"/>
    </w:p>
    <w:p>
      <w:pPr>
        <w:pStyle w:val="Subsection"/>
      </w:pPr>
      <w:r>
        <w:tab/>
        <w:t>(1)</w:t>
      </w:r>
      <w:r>
        <w:tab/>
        <w:t xml:space="preserve">In regulation 3A delete the definition of </w:t>
      </w:r>
      <w:r>
        <w:rPr>
          <w:b/>
          <w:bCs/>
          <w:i/>
          <w:iCs/>
        </w:rPr>
        <w:t>Housing Authority</w:t>
      </w:r>
      <w:r>
        <w:t>.</w:t>
      </w:r>
    </w:p>
    <w:p>
      <w:pPr>
        <w:pStyle w:val="Subsection"/>
      </w:pPr>
      <w:r>
        <w:tab/>
        <w:t>(2)</w:t>
      </w:r>
      <w:r>
        <w:tab/>
        <w:t>In regulation 3A insert in alphabetical order:</w:t>
      </w:r>
    </w:p>
    <w:p>
      <w:pPr>
        <w:pStyle w:val="BlankOpen"/>
      </w:pPr>
    </w:p>
    <w:p>
      <w:pPr>
        <w:pStyle w:val="zDefstart"/>
      </w:pPr>
      <w:r>
        <w:tab/>
      </w:r>
      <w:r>
        <w:rPr>
          <w:rStyle w:val="CharDefText"/>
        </w:rPr>
        <w:t>BondsOnline eTransactions</w:t>
      </w:r>
      <w:r>
        <w:t xml:space="preserve"> means the electronic system known as BondsOnline eTransactions that —</w:t>
      </w:r>
    </w:p>
    <w:p>
      <w:pPr>
        <w:pStyle w:val="zDefpara"/>
      </w:pPr>
      <w:r>
        <w:tab/>
        <w:t>(a)</w:t>
      </w:r>
      <w:r>
        <w:tab/>
        <w:t>is administered by the bond administrator and accessible through the Department’s website; and</w:t>
      </w:r>
    </w:p>
    <w:p>
      <w:pPr>
        <w:pStyle w:val="zDefpara"/>
      </w:pPr>
      <w:r>
        <w:tab/>
        <w:t>(b)</w:t>
      </w:r>
      <w:r>
        <w:tab/>
        <w:t>facilitates payments, applications and other processes under the Act in relation to security bonds;</w:t>
      </w:r>
    </w:p>
    <w:p>
      <w:pPr>
        <w:pStyle w:val="zDefstart"/>
      </w:pPr>
      <w:r>
        <w:tab/>
      </w:r>
      <w:r>
        <w:rPr>
          <w:rStyle w:val="CharDefText"/>
        </w:rPr>
        <w:t>Department’s website</w:t>
      </w:r>
      <w:r>
        <w:t xml:space="preserve"> means a website maintained by, or on behalf of, the Department;</w:t>
      </w:r>
    </w:p>
    <w:p>
      <w:pPr>
        <w:pStyle w:val="zDefstart"/>
      </w:pPr>
      <w:r>
        <w:tab/>
      </w:r>
      <w:r>
        <w:rPr>
          <w:rStyle w:val="CharDefText"/>
        </w:rPr>
        <w:t>WA Country Health Service</w:t>
      </w:r>
      <w:r>
        <w:t xml:space="preserve"> means the health service provider with the corporate name “WA Country Health Service” established under the </w:t>
      </w:r>
      <w:r>
        <w:rPr>
          <w:i/>
        </w:rPr>
        <w:t>Health Services (Health Service Providers) Order 2016</w:t>
      </w:r>
      <w:r>
        <w:t xml:space="preserve"> clause 14(1).</w:t>
      </w:r>
    </w:p>
    <w:p>
      <w:pPr>
        <w:pStyle w:val="BlankClose"/>
      </w:pPr>
    </w:p>
    <w:p>
      <w:pPr>
        <w:pStyle w:val="Subsection"/>
      </w:pPr>
      <w:r>
        <w:tab/>
        <w:t>(3)</w:t>
      </w:r>
      <w:r>
        <w:tab/>
        <w:t xml:space="preserve">In regulation 3A in the definition of </w:t>
      </w:r>
      <w:r>
        <w:rPr>
          <w:b/>
          <w:bCs/>
          <w:i/>
          <w:iCs/>
        </w:rPr>
        <w:t>installing</w:t>
      </w:r>
      <w:r>
        <w:t xml:space="preserve"> delete “altering.” and insert:</w:t>
      </w:r>
    </w:p>
    <w:p>
      <w:pPr>
        <w:pStyle w:val="BlankOpen"/>
      </w:pPr>
    </w:p>
    <w:p>
      <w:pPr>
        <w:pStyle w:val="Subsection"/>
      </w:pPr>
      <w:r>
        <w:tab/>
      </w:r>
      <w:r>
        <w:tab/>
        <w:t>altering;</w:t>
      </w:r>
    </w:p>
    <w:p>
      <w:pPr>
        <w:pStyle w:val="BlankClose"/>
      </w:pPr>
    </w:p>
    <w:p>
      <w:pPr>
        <w:pStyle w:val="Heading5"/>
      </w:pPr>
      <w:bookmarkStart w:id="78" w:name="_Toc218521043"/>
      <w:bookmarkStart w:id="79" w:name="_Toc218521605"/>
      <w:r>
        <w:rPr>
          <w:rStyle w:val="CharSectno"/>
        </w:rPr>
        <w:lastRenderedPageBreak/>
        <w:t>14</w:t>
      </w:r>
      <w:r>
        <w:t>.</w:t>
      </w:r>
      <w:r>
        <w:tab/>
        <w:t>Regulation 5AB amended</w:t>
      </w:r>
      <w:bookmarkEnd w:id="78"/>
      <w:bookmarkEnd w:id="79"/>
    </w:p>
    <w:p>
      <w:pPr>
        <w:pStyle w:val="Subsection"/>
      </w:pPr>
      <w:r>
        <w:tab/>
      </w:r>
      <w:r>
        <w:tab/>
        <w:t>After regulation 5AB(b) insert:</w:t>
      </w:r>
    </w:p>
    <w:p>
      <w:pPr>
        <w:pStyle w:val="BlankOpen"/>
      </w:pPr>
    </w:p>
    <w:p>
      <w:pPr>
        <w:pStyle w:val="zIndenta"/>
      </w:pPr>
      <w:r>
        <w:tab/>
        <w:t>(ba)</w:t>
      </w:r>
      <w:r>
        <w:tab/>
        <w:t xml:space="preserve">a residential tenancy agreement if — </w:t>
      </w:r>
    </w:p>
    <w:p>
      <w:pPr>
        <w:pStyle w:val="zIndenti"/>
      </w:pPr>
      <w:r>
        <w:tab/>
        <w:t>(i)</w:t>
      </w:r>
      <w:r>
        <w:tab/>
        <w:t>the WA Country Health Service is the tenant under the agreement; and</w:t>
      </w:r>
    </w:p>
    <w:p>
      <w:pPr>
        <w:pStyle w:val="zIndenti"/>
      </w:pPr>
      <w:r>
        <w:tab/>
        <w:t>(ii)</w:t>
      </w:r>
      <w:r>
        <w:tab/>
        <w:t>the agreement provides that, or is deemed to contain a provision to the effect that, the tenant may sub</w:t>
      </w:r>
      <w:r>
        <w:noBreakHyphen/>
        <w:t>let the premises; and</w:t>
      </w:r>
    </w:p>
    <w:p>
      <w:pPr>
        <w:pStyle w:val="zIndenti"/>
      </w:pPr>
      <w:r>
        <w:tab/>
        <w:t>(iii)</w:t>
      </w:r>
      <w:r>
        <w:tab/>
        <w:t>the WA Country Health Service entered into the agreement on the basis that the premises will be sub</w:t>
      </w:r>
      <w:r>
        <w:noBreakHyphen/>
        <w:t>let to a person employed or engaged by the WA Country Health Service;</w:t>
      </w:r>
    </w:p>
    <w:p>
      <w:pPr>
        <w:pStyle w:val="BlankClose"/>
      </w:pPr>
    </w:p>
    <w:p>
      <w:pPr>
        <w:pStyle w:val="Heading5"/>
      </w:pPr>
      <w:bookmarkStart w:id="80" w:name="_Toc218521044"/>
      <w:bookmarkStart w:id="81" w:name="_Toc218521606"/>
      <w:r>
        <w:rPr>
          <w:rStyle w:val="CharSectno"/>
        </w:rPr>
        <w:t>15</w:t>
      </w:r>
      <w:r>
        <w:t>.</w:t>
      </w:r>
      <w:r>
        <w:tab/>
        <w:t>Regulation 5ACA inserted</w:t>
      </w:r>
      <w:bookmarkEnd w:id="80"/>
      <w:bookmarkEnd w:id="81"/>
    </w:p>
    <w:p>
      <w:pPr>
        <w:pStyle w:val="Subsection"/>
      </w:pPr>
      <w:r>
        <w:tab/>
      </w:r>
      <w:r>
        <w:tab/>
        <w:t>After regulation 5AC insert:</w:t>
      </w:r>
    </w:p>
    <w:p>
      <w:pPr>
        <w:pStyle w:val="BlankOpen"/>
      </w:pPr>
    </w:p>
    <w:p>
      <w:pPr>
        <w:pStyle w:val="zHeading5"/>
      </w:pPr>
      <w:bookmarkStart w:id="82" w:name="_Toc218521045"/>
      <w:bookmarkStart w:id="83" w:name="_Toc218521607"/>
      <w:r>
        <w:t>5ACA.</w:t>
      </w:r>
      <w:r>
        <w:tab/>
        <w:t>Modified application of Act s. 27C(1) for Housing Authority</w:t>
      </w:r>
      <w:bookmarkEnd w:id="82"/>
      <w:bookmarkEnd w:id="83"/>
    </w:p>
    <w:p>
      <w:pPr>
        <w:pStyle w:val="zSubsection"/>
      </w:pPr>
      <w:r>
        <w:tab/>
        <w:t>(1)</w:t>
      </w:r>
      <w:r>
        <w:tab/>
        <w:t>This regulation applies if —</w:t>
      </w:r>
    </w:p>
    <w:p>
      <w:pPr>
        <w:pStyle w:val="zIndenta"/>
      </w:pPr>
      <w:r>
        <w:tab/>
        <w:t>(a)</w:t>
      </w:r>
      <w:r>
        <w:tab/>
        <w:t xml:space="preserve">a residential tenancy agreement (the </w:t>
      </w:r>
      <w:r>
        <w:rPr>
          <w:rStyle w:val="CharDefText"/>
        </w:rPr>
        <w:t>previous agreement</w:t>
      </w:r>
      <w:r>
        <w:t xml:space="preserve">) for residential premises (the </w:t>
      </w:r>
      <w:r>
        <w:rPr>
          <w:rStyle w:val="CharDefText"/>
        </w:rPr>
        <w:t>premises</w:t>
      </w:r>
      <w:r>
        <w:t>) has terminated under section 60(1)(i) of the Act; and</w:t>
      </w:r>
    </w:p>
    <w:p>
      <w:pPr>
        <w:pStyle w:val="zIndenta"/>
      </w:pPr>
      <w:r>
        <w:tab/>
        <w:t>(b)</w:t>
      </w:r>
      <w:r>
        <w:tab/>
        <w:t xml:space="preserve">a person who was occupying the premises immediately before the previous agreement terminated is the tenant under a residential tenancy agreement (the </w:t>
      </w:r>
      <w:r>
        <w:rPr>
          <w:rStyle w:val="CharDefText"/>
        </w:rPr>
        <w:t>current agreement</w:t>
      </w:r>
      <w:r>
        <w:t>) for the premises; and</w:t>
      </w:r>
    </w:p>
    <w:p>
      <w:pPr>
        <w:pStyle w:val="zIndenta"/>
      </w:pPr>
      <w:r>
        <w:lastRenderedPageBreak/>
        <w:tab/>
        <w:t>(c)</w:t>
      </w:r>
      <w:r>
        <w:tab/>
        <w:t>the Housing Authority was the lessor under the previous agreement and is the lessor under the current agreement.</w:t>
      </w:r>
    </w:p>
    <w:p>
      <w:pPr>
        <w:pStyle w:val="zSubsection"/>
      </w:pPr>
      <w:r>
        <w:tab/>
        <w:t>(2)</w:t>
      </w:r>
      <w:r>
        <w:tab/>
        <w:t>Under section 6(b) of the Act it is provided that section 27C(1) of the Act applies to the premises and, under section 6(c) of the Act, to the Housing Authority and a property manager acting on behalf of the Housing Authority as if it were modified by deleting “7 days after a tenant has entered into occupation of residential premises under” and inserting:</w:t>
      </w:r>
    </w:p>
    <w:p>
      <w:pPr>
        <w:pStyle w:val="BlankOpen"/>
      </w:pPr>
    </w:p>
    <w:p>
      <w:pPr>
        <w:pStyle w:val="zMiscellaneousBody"/>
        <w:tabs>
          <w:tab w:val="right" w:pos="2127"/>
        </w:tabs>
        <w:ind w:left="2282" w:hanging="851"/>
      </w:pPr>
      <w:r>
        <w:t>14 days after a tenant has signed</w:t>
      </w:r>
    </w:p>
    <w:p>
      <w:pPr>
        <w:pStyle w:val="BlankClose"/>
      </w:pPr>
    </w:p>
    <w:p>
      <w:pPr>
        <w:pStyle w:val="Heading5"/>
      </w:pPr>
      <w:bookmarkStart w:id="84" w:name="_Toc218521046"/>
      <w:bookmarkStart w:id="85" w:name="_Toc218521608"/>
      <w:r>
        <w:rPr>
          <w:rStyle w:val="CharSectno"/>
        </w:rPr>
        <w:t>16</w:t>
      </w:r>
      <w:r>
        <w:t>.</w:t>
      </w:r>
      <w:r>
        <w:tab/>
        <w:t>Regulation 5AD amended</w:t>
      </w:r>
      <w:bookmarkEnd w:id="84"/>
      <w:bookmarkEnd w:id="85"/>
    </w:p>
    <w:p>
      <w:pPr>
        <w:pStyle w:val="Subsection"/>
      </w:pPr>
      <w:r>
        <w:tab/>
      </w:r>
      <w:r>
        <w:tab/>
        <w:t>In regulation 5AD(3):</w:t>
      </w:r>
    </w:p>
    <w:p>
      <w:pPr>
        <w:pStyle w:val="Indenta"/>
      </w:pPr>
      <w:r>
        <w:tab/>
        <w:t>(a)</w:t>
      </w:r>
      <w:r>
        <w:tab/>
        <w:t>delete “Housing Authority,” and insert:</w:t>
      </w:r>
    </w:p>
    <w:p>
      <w:pPr>
        <w:pStyle w:val="BlankOpen"/>
      </w:pPr>
    </w:p>
    <w:p>
      <w:pPr>
        <w:pStyle w:val="Indenta"/>
      </w:pPr>
      <w:r>
        <w:tab/>
      </w:r>
      <w:r>
        <w:tab/>
        <w:t>Housing Authority and a property manager acting on behalf of the Housing Authority,</w:t>
      </w:r>
    </w:p>
    <w:p>
      <w:pPr>
        <w:pStyle w:val="BlankClose"/>
      </w:pPr>
    </w:p>
    <w:p>
      <w:pPr>
        <w:pStyle w:val="Indenta"/>
      </w:pPr>
      <w:r>
        <w:tab/>
        <w:t>(b)</w:t>
      </w:r>
      <w:r>
        <w:tab/>
        <w:t>in paragraph (b) in the inserted text delete “(5A)” and insert:</w:t>
      </w:r>
    </w:p>
    <w:p>
      <w:pPr>
        <w:pStyle w:val="BlankOpen"/>
      </w:pPr>
    </w:p>
    <w:p>
      <w:pPr>
        <w:pStyle w:val="zMiscellaneousBody"/>
        <w:tabs>
          <w:tab w:val="left" w:pos="851"/>
          <w:tab w:val="left" w:pos="1560"/>
        </w:tabs>
        <w:ind w:left="1560" w:hanging="993"/>
      </w:pPr>
      <w:r>
        <w:tab/>
      </w:r>
      <w:r>
        <w:tab/>
        <w:t>(4AA)</w:t>
      </w:r>
    </w:p>
    <w:p>
      <w:pPr>
        <w:pStyle w:val="BlankClose"/>
      </w:pPr>
    </w:p>
    <w:p>
      <w:pPr>
        <w:pStyle w:val="Indenta"/>
      </w:pPr>
      <w:r>
        <w:tab/>
        <w:t>(c)</w:t>
      </w:r>
      <w:r>
        <w:tab/>
        <w:t>in paragraph (b) in the inserted text delete “The Housing Authority is not required to comply with subsection (4) within 28 days after the termination of a tenancy if, in that period, it” and insert:</w:t>
      </w:r>
    </w:p>
    <w:p>
      <w:pPr>
        <w:pStyle w:val="BlankOpen"/>
      </w:pPr>
    </w:p>
    <w:p>
      <w:pPr>
        <w:pStyle w:val="zMiscellaneousBody"/>
        <w:tabs>
          <w:tab w:val="left" w:pos="851"/>
          <w:tab w:val="left" w:pos="1560"/>
        </w:tabs>
        <w:ind w:left="1560" w:hanging="993"/>
      </w:pPr>
      <w:r>
        <w:tab/>
      </w:r>
      <w:r>
        <w:tab/>
        <w:t xml:space="preserve">The Housing Authority or a property manager acting on behalf of the Housing Authority is not required to </w:t>
      </w:r>
      <w:r>
        <w:lastRenderedPageBreak/>
        <w:t xml:space="preserve">comply with subsection (4) within 28 days after the termination of a tenancy if, in that period, the Housing Authority or property manager </w:t>
      </w:r>
    </w:p>
    <w:p>
      <w:pPr>
        <w:pStyle w:val="BlankClose"/>
      </w:pPr>
    </w:p>
    <w:p>
      <w:pPr>
        <w:pStyle w:val="Indenta"/>
      </w:pPr>
      <w:r>
        <w:tab/>
        <w:t>(d)</w:t>
      </w:r>
      <w:r>
        <w:tab/>
        <w:t>in paragraph (b) in the inserted text paragraph (b) after “Housing Authority” insert:</w:t>
      </w:r>
    </w:p>
    <w:p>
      <w:pPr>
        <w:pStyle w:val="BlankOpen"/>
      </w:pPr>
    </w:p>
    <w:p>
      <w:pPr>
        <w:pStyle w:val="zMiscellaneousBody"/>
        <w:tabs>
          <w:tab w:val="left" w:pos="851"/>
          <w:tab w:val="left" w:pos="1560"/>
        </w:tabs>
        <w:ind w:left="1560" w:hanging="993"/>
      </w:pPr>
      <w:r>
        <w:tab/>
      </w:r>
      <w:r>
        <w:tab/>
        <w:t>or property manager</w:t>
      </w:r>
    </w:p>
    <w:p>
      <w:pPr>
        <w:pStyle w:val="BlankClose"/>
      </w:pPr>
    </w:p>
    <w:p>
      <w:pPr>
        <w:pStyle w:val="Heading5"/>
      </w:pPr>
      <w:bookmarkStart w:id="86" w:name="_Toc218521047"/>
      <w:bookmarkStart w:id="87" w:name="_Toc218521609"/>
      <w:r>
        <w:rPr>
          <w:rStyle w:val="CharSectno"/>
        </w:rPr>
        <w:t>17</w:t>
      </w:r>
      <w:r>
        <w:t>.</w:t>
      </w:r>
      <w:r>
        <w:tab/>
        <w:t>Regulations 5AE to 5AH inserted</w:t>
      </w:r>
      <w:bookmarkEnd w:id="86"/>
      <w:bookmarkEnd w:id="87"/>
    </w:p>
    <w:p>
      <w:pPr>
        <w:pStyle w:val="Subsection"/>
      </w:pPr>
      <w:r>
        <w:tab/>
      </w:r>
      <w:r>
        <w:tab/>
        <w:t>After regulation 5AD insert:</w:t>
      </w:r>
    </w:p>
    <w:p>
      <w:pPr>
        <w:pStyle w:val="BlankOpen"/>
      </w:pPr>
    </w:p>
    <w:p>
      <w:pPr>
        <w:pStyle w:val="zHeading5"/>
      </w:pPr>
      <w:bookmarkStart w:id="88" w:name="_Toc218521048"/>
      <w:bookmarkStart w:id="89" w:name="_Toc218521610"/>
      <w:r>
        <w:t>5AE.</w:t>
      </w:r>
      <w:r>
        <w:tab/>
        <w:t>Exemption of Housing Authority from Act s. 27C(4) if agreement terminated under Act s. 60(1)(i)</w:t>
      </w:r>
      <w:bookmarkEnd w:id="88"/>
      <w:bookmarkEnd w:id="89"/>
    </w:p>
    <w:p>
      <w:pPr>
        <w:pStyle w:val="zSubsection"/>
      </w:pPr>
      <w:r>
        <w:tab/>
        <w:t>(1)</w:t>
      </w:r>
      <w:r>
        <w:tab/>
        <w:t>This regulation applies if —</w:t>
      </w:r>
    </w:p>
    <w:p>
      <w:pPr>
        <w:pStyle w:val="zIndenta"/>
      </w:pPr>
      <w:r>
        <w:tab/>
        <w:t>(a)</w:t>
      </w:r>
      <w:r>
        <w:tab/>
        <w:t xml:space="preserve">a residential tenancy agreement (the </w:t>
      </w:r>
      <w:r>
        <w:rPr>
          <w:rStyle w:val="CharDefText"/>
        </w:rPr>
        <w:t>previous agreement</w:t>
      </w:r>
      <w:r>
        <w:t xml:space="preserve">) for residential premises (the </w:t>
      </w:r>
      <w:r>
        <w:rPr>
          <w:rStyle w:val="CharDefText"/>
        </w:rPr>
        <w:t>premises</w:t>
      </w:r>
      <w:r>
        <w:t>) has terminated under section 60(1)(i) of the Act; and</w:t>
      </w:r>
    </w:p>
    <w:p>
      <w:pPr>
        <w:pStyle w:val="zIndenta"/>
      </w:pPr>
      <w:r>
        <w:tab/>
        <w:t>(b)</w:t>
      </w:r>
      <w:r>
        <w:tab/>
        <w:t>the Housing Authority was the lessor under the previous agreement; and</w:t>
      </w:r>
    </w:p>
    <w:p>
      <w:pPr>
        <w:pStyle w:val="zIndenta"/>
      </w:pPr>
      <w:r>
        <w:tab/>
        <w:t>(c)</w:t>
      </w:r>
      <w:r>
        <w:tab/>
        <w:t>the Housing Authority intends to enter into as lessor, or is the lessor under, a new residential tenancy agreement for the premises with a person who occupied the premises immediately before the previous agreement terminated.</w:t>
      </w:r>
    </w:p>
    <w:p>
      <w:pPr>
        <w:pStyle w:val="zSubsection"/>
      </w:pPr>
      <w:r>
        <w:tab/>
        <w:t>(2)</w:t>
      </w:r>
      <w:r>
        <w:tab/>
        <w:t>Under section 6(b) of the Act it is provided that section 27C(4) of the Act does not apply to the premises or, under section 6(c) of the Act, to the Housing Authority or a property manager acting on behalf of the Housing Authority.</w:t>
      </w:r>
    </w:p>
    <w:p>
      <w:pPr>
        <w:pStyle w:val="zHeading5"/>
      </w:pPr>
      <w:bookmarkStart w:id="90" w:name="_Toc218521049"/>
      <w:bookmarkStart w:id="91" w:name="_Toc218521611"/>
      <w:r>
        <w:lastRenderedPageBreak/>
        <w:t>5AF.</w:t>
      </w:r>
      <w:r>
        <w:tab/>
        <w:t>Modified application of Act s. 27C(4) for WA Country Health Service: tenancy longer than 3 months</w:t>
      </w:r>
      <w:bookmarkEnd w:id="90"/>
      <w:bookmarkEnd w:id="91"/>
    </w:p>
    <w:p>
      <w:pPr>
        <w:pStyle w:val="zSubsection"/>
      </w:pPr>
      <w:r>
        <w:tab/>
        <w:t>(1)</w:t>
      </w:r>
      <w:r>
        <w:tab/>
        <w:t>This regulation applies if —</w:t>
      </w:r>
    </w:p>
    <w:p>
      <w:pPr>
        <w:pStyle w:val="zIndenta"/>
      </w:pPr>
      <w:r>
        <w:tab/>
        <w:t>(a)</w:t>
      </w:r>
      <w:r>
        <w:tab/>
        <w:t xml:space="preserve">the WA Country Health Service is the lessor under a residential tenancy agreement for residential premises (the </w:t>
      </w:r>
      <w:r>
        <w:rPr>
          <w:rStyle w:val="CharDefText"/>
        </w:rPr>
        <w:t>premises</w:t>
      </w:r>
      <w:r>
        <w:t>) that are located more than 100 km from the nearest office of the WA Country Health Service; and</w:t>
      </w:r>
    </w:p>
    <w:p>
      <w:pPr>
        <w:pStyle w:val="zIndenta"/>
      </w:pPr>
      <w:r>
        <w:tab/>
        <w:t>(b)</w:t>
      </w:r>
      <w:r>
        <w:tab/>
        <w:t>the agreement is for a fixed term of more than 3 months; and</w:t>
      </w:r>
    </w:p>
    <w:p>
      <w:pPr>
        <w:pStyle w:val="zIndenta"/>
      </w:pPr>
      <w:r>
        <w:tab/>
        <w:t>(c)</w:t>
      </w:r>
      <w:r>
        <w:tab/>
        <w:t>a tenant under the agreement is employed or engaged by the WA Country Health Service.</w:t>
      </w:r>
    </w:p>
    <w:p>
      <w:pPr>
        <w:pStyle w:val="zSubsection"/>
      </w:pPr>
      <w:r>
        <w:tab/>
        <w:t>(2)</w:t>
      </w:r>
      <w:r>
        <w:tab/>
        <w:t>Under section 6(b) of the Act it is provided that section 27C of the Act applies to the premises and, under section 6(c) of the Act, to the WA Country Health Service and a property manager acting on behalf of the WA Country Health Service as if it were modified as follows:</w:t>
      </w:r>
    </w:p>
    <w:p>
      <w:pPr>
        <w:pStyle w:val="zIndenta"/>
      </w:pPr>
      <w:r>
        <w:tab/>
        <w:t>(a)</w:t>
      </w:r>
      <w:r>
        <w:tab/>
        <w:t>in subsection (4) delete “14 days,” and insert:</w:t>
      </w:r>
    </w:p>
    <w:p>
      <w:pPr>
        <w:pStyle w:val="BlankOpen"/>
      </w:pPr>
    </w:p>
    <w:p>
      <w:pPr>
        <w:pStyle w:val="zMiscellaneousBody"/>
        <w:tabs>
          <w:tab w:val="left" w:pos="851"/>
          <w:tab w:val="left" w:pos="2127"/>
        </w:tabs>
      </w:pPr>
      <w:r>
        <w:tab/>
      </w:r>
      <w:r>
        <w:tab/>
        <w:t>28 days,</w:t>
      </w:r>
    </w:p>
    <w:p>
      <w:pPr>
        <w:pStyle w:val="BlankClose"/>
      </w:pPr>
    </w:p>
    <w:p>
      <w:pPr>
        <w:pStyle w:val="zIndenta"/>
      </w:pPr>
      <w:r>
        <w:tab/>
        <w:t>(b)</w:t>
      </w:r>
      <w:r>
        <w:tab/>
        <w:t>before subsection (4A) insert:</w:t>
      </w:r>
    </w:p>
    <w:p>
      <w:pPr>
        <w:pStyle w:val="BlankOpen"/>
      </w:pPr>
    </w:p>
    <w:p>
      <w:pPr>
        <w:pStyle w:val="zMiscellaneousBody"/>
        <w:tabs>
          <w:tab w:val="right" w:pos="2127"/>
        </w:tabs>
        <w:ind w:left="2282" w:hanging="851"/>
      </w:pPr>
      <w:r>
        <w:tab/>
        <w:t>(4AB)</w:t>
      </w:r>
      <w:r>
        <w:tab/>
        <w:t xml:space="preserve">The WA Country Health Service or a property manager acting on behalf of the WA Country Health Service is not required to comply with subsection (4) within 28 days after the termination of a tenancy if, in that period, the WA Country Health Service or property manager is unable to inspect the residential </w:t>
      </w:r>
      <w:r>
        <w:lastRenderedPageBreak/>
        <w:t>premises because of weather conditions or road closure.</w:t>
      </w:r>
    </w:p>
    <w:p>
      <w:pPr>
        <w:pStyle w:val="zMiscellaneousBody"/>
        <w:tabs>
          <w:tab w:val="right" w:pos="2127"/>
        </w:tabs>
        <w:ind w:left="2282" w:hanging="851"/>
      </w:pPr>
      <w:r>
        <w:tab/>
        <w:t>(4AC)</w:t>
      </w:r>
      <w:r>
        <w:tab/>
        <w:t>In subsection (4AB) —</w:t>
      </w:r>
    </w:p>
    <w:p>
      <w:pPr>
        <w:pStyle w:val="zMiscellaneousBody"/>
        <w:tabs>
          <w:tab w:val="right" w:pos="2127"/>
        </w:tabs>
        <w:ind w:left="2282" w:hanging="851"/>
      </w:pPr>
      <w:r>
        <w:tab/>
      </w:r>
      <w:r>
        <w:tab/>
      </w:r>
      <w:r>
        <w:rPr>
          <w:rStyle w:val="CharDefText"/>
        </w:rPr>
        <w:t>WA Country Health Service</w:t>
      </w:r>
      <w:r>
        <w:t xml:space="preserve"> means the health service provider with the corporate name “WA Country Health Service” established under the </w:t>
      </w:r>
      <w:r>
        <w:rPr>
          <w:i/>
        </w:rPr>
        <w:t>Health Services (Health Service Providers) Order 2016</w:t>
      </w:r>
      <w:r>
        <w:t xml:space="preserve"> clause 14(1).</w:t>
      </w:r>
    </w:p>
    <w:p>
      <w:pPr>
        <w:pStyle w:val="BlankClose"/>
      </w:pPr>
    </w:p>
    <w:p>
      <w:pPr>
        <w:pStyle w:val="zHeading5"/>
      </w:pPr>
      <w:bookmarkStart w:id="92" w:name="_Toc218521050"/>
      <w:bookmarkStart w:id="93" w:name="_Toc218521612"/>
      <w:r>
        <w:t>5AG.</w:t>
      </w:r>
      <w:r>
        <w:tab/>
        <w:t>Modified application of Act s. 27C(4) for WA Country Health Service: tenancy 3 months or less and no shared accommodation</w:t>
      </w:r>
      <w:bookmarkEnd w:id="92"/>
      <w:bookmarkEnd w:id="93"/>
    </w:p>
    <w:p>
      <w:pPr>
        <w:pStyle w:val="zSubsection"/>
      </w:pPr>
      <w:r>
        <w:tab/>
        <w:t>(1)</w:t>
      </w:r>
      <w:r>
        <w:tab/>
        <w:t>This regulation applies if —</w:t>
      </w:r>
    </w:p>
    <w:p>
      <w:pPr>
        <w:pStyle w:val="zIndenta"/>
      </w:pPr>
      <w:r>
        <w:tab/>
        <w:t>(a)</w:t>
      </w:r>
      <w:r>
        <w:tab/>
        <w:t xml:space="preserve">the WA Country Health Service is the lessor under a residential tenancy agreement for residential premises (the </w:t>
      </w:r>
      <w:r>
        <w:rPr>
          <w:rStyle w:val="CharDefText"/>
        </w:rPr>
        <w:t>premises</w:t>
      </w:r>
      <w:r>
        <w:t>) that are located more than 100 km from the nearest office of the WA Country Health Service; and</w:t>
      </w:r>
    </w:p>
    <w:p>
      <w:pPr>
        <w:pStyle w:val="zIndenta"/>
      </w:pPr>
      <w:r>
        <w:tab/>
        <w:t>(b)</w:t>
      </w:r>
      <w:r>
        <w:tab/>
        <w:t>the agreement is for a fixed term of 3 months or less; and</w:t>
      </w:r>
    </w:p>
    <w:p>
      <w:pPr>
        <w:pStyle w:val="zIndenta"/>
      </w:pPr>
      <w:r>
        <w:tab/>
        <w:t>(c)</w:t>
      </w:r>
      <w:r>
        <w:tab/>
        <w:t>a tenant under the agreement is employed or engaged by the WA Country Health Service; and</w:t>
      </w:r>
    </w:p>
    <w:p>
      <w:pPr>
        <w:pStyle w:val="zIndenta"/>
      </w:pPr>
      <w:r>
        <w:tab/>
        <w:t>(d)</w:t>
      </w:r>
      <w:r>
        <w:tab/>
        <w:t>the WA Country Health Service does not provide shared accommodation to its employees or contractors at the premises.</w:t>
      </w:r>
    </w:p>
    <w:p>
      <w:pPr>
        <w:pStyle w:val="zSubsection"/>
        <w:keepNext/>
        <w:keepLines/>
      </w:pPr>
      <w:r>
        <w:lastRenderedPageBreak/>
        <w:tab/>
        <w:t>(2)</w:t>
      </w:r>
      <w:r>
        <w:tab/>
        <w:t>Under section 6(b) of the Act it is provided that section 27C of the Act applies to the premises and, under section 6(c) of the Act, to the WA Country Health Service and a property manager acting on behalf of the WA Country Health Service as if it were modified as follows:</w:t>
      </w:r>
    </w:p>
    <w:p>
      <w:pPr>
        <w:pStyle w:val="zIndenta"/>
      </w:pPr>
      <w:r>
        <w:tab/>
        <w:t>(a)</w:t>
      </w:r>
      <w:r>
        <w:tab/>
        <w:t>in subsection (4) delete “14 days,” and insert:</w:t>
      </w:r>
    </w:p>
    <w:p>
      <w:pPr>
        <w:pStyle w:val="BlankOpen"/>
        <w:rPr>
          <w:sz w:val="22"/>
        </w:rPr>
      </w:pPr>
    </w:p>
    <w:p>
      <w:pPr>
        <w:pStyle w:val="zMiscellaneousBody"/>
        <w:tabs>
          <w:tab w:val="left" w:pos="851"/>
          <w:tab w:val="left" w:pos="2127"/>
        </w:tabs>
      </w:pPr>
      <w:r>
        <w:tab/>
      </w:r>
      <w:r>
        <w:tab/>
        <w:t>28 days,</w:t>
      </w:r>
    </w:p>
    <w:p>
      <w:pPr>
        <w:pStyle w:val="BlankClose"/>
      </w:pPr>
    </w:p>
    <w:p>
      <w:pPr>
        <w:pStyle w:val="zIndenta"/>
      </w:pPr>
      <w:r>
        <w:tab/>
        <w:t>(b)</w:t>
      </w:r>
      <w:r>
        <w:tab/>
        <w:t>before subsection (4A) insert:</w:t>
      </w:r>
    </w:p>
    <w:p>
      <w:pPr>
        <w:pStyle w:val="BlankOpen"/>
      </w:pPr>
    </w:p>
    <w:p>
      <w:pPr>
        <w:pStyle w:val="zMiscellaneousBody"/>
        <w:tabs>
          <w:tab w:val="right" w:pos="2127"/>
        </w:tabs>
        <w:ind w:left="2282" w:hanging="851"/>
      </w:pPr>
      <w:r>
        <w:tab/>
        <w:t>(4AB)</w:t>
      </w:r>
      <w:r>
        <w:tab/>
        <w:t>The WA Country Health Service or a property manager acting on behalf of the WA Country Health Service is not required to comply with subsection (4) within 28 days after the termination of a tenancy if, in that period, the WA Country Health Service or property manager is unable to inspect the residential premises because of weather conditions or road closure.</w:t>
      </w:r>
    </w:p>
    <w:p>
      <w:pPr>
        <w:pStyle w:val="zMiscellaneousBody"/>
        <w:tabs>
          <w:tab w:val="right" w:pos="2127"/>
        </w:tabs>
        <w:ind w:left="2282" w:hanging="851"/>
      </w:pPr>
      <w:r>
        <w:tab/>
        <w:t>(4AC)</w:t>
      </w:r>
      <w:r>
        <w:tab/>
        <w:t>In subsection (4AB) —</w:t>
      </w:r>
    </w:p>
    <w:p>
      <w:pPr>
        <w:pStyle w:val="zMiscellaneousBody"/>
        <w:tabs>
          <w:tab w:val="right" w:pos="2127"/>
        </w:tabs>
        <w:ind w:left="2282" w:hanging="851"/>
      </w:pPr>
      <w:r>
        <w:tab/>
      </w:r>
      <w:r>
        <w:tab/>
      </w:r>
      <w:r>
        <w:rPr>
          <w:rStyle w:val="CharDefText"/>
        </w:rPr>
        <w:t>WA Country Health Service</w:t>
      </w:r>
      <w:r>
        <w:t xml:space="preserve"> means the health service provider with the corporate name “WA Country Health Service” established under the </w:t>
      </w:r>
      <w:r>
        <w:rPr>
          <w:i/>
        </w:rPr>
        <w:t>Health Services (Health Service Providers) Order 2016</w:t>
      </w:r>
      <w:r>
        <w:t xml:space="preserve"> clause 14(1).</w:t>
      </w:r>
    </w:p>
    <w:p>
      <w:pPr>
        <w:pStyle w:val="BlankClose"/>
      </w:pPr>
    </w:p>
    <w:p>
      <w:pPr>
        <w:pStyle w:val="zHeading5"/>
      </w:pPr>
      <w:bookmarkStart w:id="94" w:name="_Toc218521051"/>
      <w:bookmarkStart w:id="95" w:name="_Toc218521613"/>
      <w:r>
        <w:lastRenderedPageBreak/>
        <w:t>5AH.</w:t>
      </w:r>
      <w:r>
        <w:tab/>
        <w:t>Exemption of WA Country Health Service from Act s. 27C(1) and (4): tenancy 3 months or less and shared accommodation</w:t>
      </w:r>
      <w:bookmarkEnd w:id="94"/>
      <w:bookmarkEnd w:id="95"/>
    </w:p>
    <w:p>
      <w:pPr>
        <w:pStyle w:val="zSubsection"/>
        <w:keepNext/>
      </w:pPr>
      <w:r>
        <w:tab/>
        <w:t>(1)</w:t>
      </w:r>
      <w:r>
        <w:tab/>
        <w:t>This regulation applies if —</w:t>
      </w:r>
    </w:p>
    <w:p>
      <w:pPr>
        <w:pStyle w:val="zIndenta"/>
      </w:pPr>
      <w:r>
        <w:tab/>
        <w:t>(a)</w:t>
      </w:r>
      <w:r>
        <w:tab/>
        <w:t xml:space="preserve">the WA Country Health Service is the lessor under a residential tenancy agreement for residential premises (the </w:t>
      </w:r>
      <w:r>
        <w:rPr>
          <w:rStyle w:val="CharDefText"/>
        </w:rPr>
        <w:t>premises</w:t>
      </w:r>
      <w:r>
        <w:t>) that are located more than 100 km from the nearest office of the WA Country Health Service; and</w:t>
      </w:r>
    </w:p>
    <w:p>
      <w:pPr>
        <w:pStyle w:val="zIndenta"/>
      </w:pPr>
      <w:r>
        <w:tab/>
        <w:t>(b)</w:t>
      </w:r>
      <w:r>
        <w:tab/>
        <w:t>the agreement is for a fixed term of 3 months or less; and</w:t>
      </w:r>
    </w:p>
    <w:p>
      <w:pPr>
        <w:pStyle w:val="zIndenta"/>
      </w:pPr>
      <w:r>
        <w:tab/>
        <w:t>(c)</w:t>
      </w:r>
      <w:r>
        <w:tab/>
        <w:t>a tenant under the agreement is employed or engaged by the WA Country Health Service; and</w:t>
      </w:r>
    </w:p>
    <w:p>
      <w:pPr>
        <w:pStyle w:val="zIndenta"/>
      </w:pPr>
      <w:r>
        <w:tab/>
        <w:t>(d)</w:t>
      </w:r>
      <w:r>
        <w:tab/>
        <w:t>the WA Country Health Service provides shared accommodation to its employees or contractors at the premises.</w:t>
      </w:r>
    </w:p>
    <w:p>
      <w:pPr>
        <w:pStyle w:val="zSubsection"/>
      </w:pPr>
      <w:r>
        <w:tab/>
        <w:t>(2)</w:t>
      </w:r>
      <w:r>
        <w:tab/>
        <w:t>Under section 6(b) of the Act it is provided that section 27C(1) and (4) of the Act do not apply to the premises or, under section 6(c) of the Act, to the WA Country Health Service or a property manager acting on behalf of the WA Country Health Service.</w:t>
      </w:r>
    </w:p>
    <w:p>
      <w:pPr>
        <w:pStyle w:val="BlankClose"/>
      </w:pPr>
    </w:p>
    <w:p>
      <w:pPr>
        <w:pStyle w:val="Heading5"/>
      </w:pPr>
      <w:bookmarkStart w:id="96" w:name="_Toc218521052"/>
      <w:bookmarkStart w:id="97" w:name="_Toc218521614"/>
      <w:r>
        <w:rPr>
          <w:rStyle w:val="CharSectno"/>
        </w:rPr>
        <w:t>18</w:t>
      </w:r>
      <w:r>
        <w:t>.</w:t>
      </w:r>
      <w:r>
        <w:tab/>
        <w:t>Regulation 5BA deleted</w:t>
      </w:r>
      <w:bookmarkEnd w:id="96"/>
      <w:bookmarkEnd w:id="97"/>
    </w:p>
    <w:p>
      <w:pPr>
        <w:pStyle w:val="Subsection"/>
      </w:pPr>
      <w:r>
        <w:tab/>
      </w:r>
      <w:r>
        <w:tab/>
        <w:t>Delete regulation 5BA.</w:t>
      </w:r>
    </w:p>
    <w:p>
      <w:pPr>
        <w:pStyle w:val="Heading5"/>
      </w:pPr>
      <w:bookmarkStart w:id="98" w:name="_Toc218521053"/>
      <w:bookmarkStart w:id="99" w:name="_Toc218521615"/>
      <w:r>
        <w:rPr>
          <w:rStyle w:val="CharSectno"/>
        </w:rPr>
        <w:t>19</w:t>
      </w:r>
      <w:r>
        <w:t>.</w:t>
      </w:r>
      <w:r>
        <w:tab/>
        <w:t>Regulation 5B amended</w:t>
      </w:r>
      <w:bookmarkEnd w:id="98"/>
      <w:bookmarkEnd w:id="99"/>
    </w:p>
    <w:p>
      <w:pPr>
        <w:pStyle w:val="Subsection"/>
      </w:pPr>
      <w:r>
        <w:tab/>
      </w:r>
      <w:r>
        <w:tab/>
        <w:t>In regulation 5B(2A):</w:t>
      </w:r>
    </w:p>
    <w:p>
      <w:pPr>
        <w:pStyle w:val="Indenta"/>
      </w:pPr>
      <w:r>
        <w:tab/>
        <w:t>(a)</w:t>
      </w:r>
      <w:r>
        <w:tab/>
        <w:t>in paragraph (b)(ii) delete “</w:t>
      </w:r>
      <w:r>
        <w:rPr>
          <w:i/>
          <w:iCs/>
        </w:rPr>
        <w:t>1964</w:t>
      </w:r>
      <w:r>
        <w:t>.” and insert:</w:t>
      </w:r>
    </w:p>
    <w:p>
      <w:pPr>
        <w:pStyle w:val="BlankOpen"/>
      </w:pPr>
    </w:p>
    <w:p>
      <w:pPr>
        <w:pStyle w:val="Indenta"/>
      </w:pPr>
      <w:r>
        <w:tab/>
      </w:r>
      <w:r>
        <w:tab/>
      </w:r>
      <w:r>
        <w:rPr>
          <w:i/>
          <w:iCs/>
        </w:rPr>
        <w:t>1964</w:t>
      </w:r>
      <w:r>
        <w:t>;</w:t>
      </w:r>
    </w:p>
    <w:p>
      <w:pPr>
        <w:pStyle w:val="BlankClose"/>
      </w:pPr>
    </w:p>
    <w:p>
      <w:pPr>
        <w:pStyle w:val="Indenta"/>
      </w:pPr>
      <w:r>
        <w:lastRenderedPageBreak/>
        <w:tab/>
        <w:t>(b)</w:t>
      </w:r>
      <w:r>
        <w:tab/>
        <w:t>after paragraph (b) insert:</w:t>
      </w:r>
    </w:p>
    <w:p>
      <w:pPr>
        <w:pStyle w:val="BlankOpen"/>
      </w:pPr>
    </w:p>
    <w:p>
      <w:pPr>
        <w:pStyle w:val="zIndenta"/>
      </w:pPr>
      <w:r>
        <w:tab/>
        <w:t>(c)</w:t>
      </w:r>
      <w:r>
        <w:tab/>
        <w:t xml:space="preserve">a residential tenancy agreement if — </w:t>
      </w:r>
    </w:p>
    <w:p>
      <w:pPr>
        <w:pStyle w:val="zIndenti"/>
      </w:pPr>
      <w:r>
        <w:tab/>
        <w:t>(i)</w:t>
      </w:r>
      <w:r>
        <w:tab/>
        <w:t>the lessor is the WA Country Health Service; and</w:t>
      </w:r>
    </w:p>
    <w:p>
      <w:pPr>
        <w:pStyle w:val="zIndenti"/>
      </w:pPr>
      <w:r>
        <w:tab/>
        <w:t>(ii)</w:t>
      </w:r>
      <w:r>
        <w:tab/>
        <w:t>a tenant under the agreement is employed or engaged by the WA Country Health Service.</w:t>
      </w:r>
    </w:p>
    <w:p>
      <w:pPr>
        <w:pStyle w:val="BlankClose"/>
      </w:pPr>
    </w:p>
    <w:p>
      <w:pPr>
        <w:pStyle w:val="Heading5"/>
      </w:pPr>
      <w:bookmarkStart w:id="100" w:name="_Toc218521054"/>
      <w:bookmarkStart w:id="101" w:name="_Toc218521616"/>
      <w:r>
        <w:rPr>
          <w:rStyle w:val="CharSectno"/>
        </w:rPr>
        <w:t>20</w:t>
      </w:r>
      <w:r>
        <w:t>.</w:t>
      </w:r>
      <w:r>
        <w:tab/>
        <w:t>Regulation 5CB inserted</w:t>
      </w:r>
      <w:bookmarkEnd w:id="100"/>
      <w:bookmarkEnd w:id="101"/>
    </w:p>
    <w:p>
      <w:pPr>
        <w:pStyle w:val="Subsection"/>
      </w:pPr>
      <w:r>
        <w:tab/>
      </w:r>
      <w:r>
        <w:tab/>
        <w:t>After regulation 5CA insert:</w:t>
      </w:r>
    </w:p>
    <w:p>
      <w:pPr>
        <w:pStyle w:val="BlankOpen"/>
      </w:pPr>
    </w:p>
    <w:p>
      <w:pPr>
        <w:pStyle w:val="zHeading5"/>
      </w:pPr>
      <w:bookmarkStart w:id="102" w:name="_Toc218521055"/>
      <w:bookmarkStart w:id="103" w:name="_Toc218521617"/>
      <w:r>
        <w:t>5CB.</w:t>
      </w:r>
      <w:r>
        <w:tab/>
        <w:t>Modified application of Act s. 31</w:t>
      </w:r>
      <w:bookmarkEnd w:id="102"/>
      <w:bookmarkEnd w:id="103"/>
    </w:p>
    <w:p>
      <w:pPr>
        <w:pStyle w:val="zSubsection"/>
      </w:pPr>
      <w:r>
        <w:tab/>
      </w:r>
      <w:r>
        <w:tab/>
        <w:t>Under section 6(b) of the Act it is provided that section 31 of the Act applies to premises as if it were modified as follows:</w:t>
      </w:r>
    </w:p>
    <w:p>
      <w:pPr>
        <w:pStyle w:val="zIndenta"/>
      </w:pPr>
      <w:r>
        <w:tab/>
        <w:t>(a)</w:t>
      </w:r>
      <w:r>
        <w:tab/>
        <w:t>in subsection (1A) delete “notice of increase in rent is given under section 30 or 31A” and insert:</w:t>
      </w:r>
    </w:p>
    <w:p>
      <w:pPr>
        <w:pStyle w:val="BlankOpen"/>
      </w:pPr>
    </w:p>
    <w:p>
      <w:pPr>
        <w:pStyle w:val="zMiscellaneousBody"/>
        <w:tabs>
          <w:tab w:val="left" w:pos="851"/>
          <w:tab w:val="left" w:pos="2127"/>
        </w:tabs>
      </w:pPr>
      <w:r>
        <w:tab/>
      </w:r>
      <w:r>
        <w:tab/>
        <w:t>relevant event occurs</w:t>
      </w:r>
    </w:p>
    <w:p>
      <w:pPr>
        <w:pStyle w:val="BlankClose"/>
      </w:pPr>
    </w:p>
    <w:p>
      <w:pPr>
        <w:pStyle w:val="zIndenta"/>
      </w:pPr>
      <w:r>
        <w:tab/>
        <w:t>(b)</w:t>
      </w:r>
      <w:r>
        <w:tab/>
        <w:t>after subsection (1A) insert:</w:t>
      </w:r>
    </w:p>
    <w:p>
      <w:pPr>
        <w:pStyle w:val="BlankOpen"/>
      </w:pPr>
    </w:p>
    <w:p>
      <w:pPr>
        <w:pStyle w:val="zMiscellaneousBody"/>
        <w:keepNext/>
        <w:tabs>
          <w:tab w:val="right" w:pos="2127"/>
        </w:tabs>
        <w:ind w:left="2282" w:hanging="851"/>
      </w:pPr>
      <w:r>
        <w:tab/>
        <w:t>(1AA)</w:t>
      </w:r>
      <w:r>
        <w:tab/>
        <w:t xml:space="preserve">For the purposes of subsection (1A), each of the following is a </w:t>
      </w:r>
      <w:r>
        <w:rPr>
          <w:rStyle w:val="CharDefText"/>
        </w:rPr>
        <w:t>relevant event</w:t>
      </w:r>
      <w:r>
        <w:t> —</w:t>
      </w:r>
    </w:p>
    <w:p>
      <w:pPr>
        <w:pStyle w:val="zMiscellaneousBody"/>
        <w:tabs>
          <w:tab w:val="left" w:pos="1246"/>
          <w:tab w:val="left" w:pos="2410"/>
        </w:tabs>
        <w:ind w:left="2977" w:hanging="1087"/>
      </w:pPr>
      <w:r>
        <w:tab/>
        <w:t>(a)</w:t>
      </w:r>
      <w:r>
        <w:tab/>
        <w:t>the lessor gives the tenant a notice of increase of rent under section 30 or 31A;</w:t>
      </w:r>
    </w:p>
    <w:p>
      <w:pPr>
        <w:pStyle w:val="zMiscellaneousBody"/>
        <w:tabs>
          <w:tab w:val="left" w:pos="1246"/>
          <w:tab w:val="left" w:pos="2410"/>
        </w:tabs>
        <w:ind w:left="2977" w:hanging="1087"/>
      </w:pPr>
      <w:r>
        <w:lastRenderedPageBreak/>
        <w:tab/>
        <w:t>(b)</w:t>
      </w:r>
      <w:r>
        <w:tab/>
        <w:t>the lessor gives the tenant notice that the lessor approves the tenant’s request to keep a pet at the premises under section 50B(4);</w:t>
      </w:r>
    </w:p>
    <w:p>
      <w:pPr>
        <w:pStyle w:val="zMiscellaneousBody"/>
        <w:tabs>
          <w:tab w:val="left" w:pos="1246"/>
          <w:tab w:val="left" w:pos="2410"/>
        </w:tabs>
        <w:ind w:left="2977" w:hanging="1087"/>
      </w:pPr>
      <w:r>
        <w:tab/>
        <w:t>(c)</w:t>
      </w:r>
      <w:r>
        <w:tab/>
        <w:t>the lessor is taken to approve the tenant’s request to keep a pet at the premises under section 50B(5);</w:t>
      </w:r>
    </w:p>
    <w:p>
      <w:pPr>
        <w:pStyle w:val="zMiscellaneousBody"/>
        <w:keepNext/>
        <w:keepLines/>
        <w:tabs>
          <w:tab w:val="left" w:pos="1246"/>
          <w:tab w:val="left" w:pos="2410"/>
        </w:tabs>
        <w:ind w:left="2977" w:hanging="1087"/>
      </w:pPr>
      <w:r>
        <w:tab/>
        <w:t>(d)</w:t>
      </w:r>
      <w:r>
        <w:tab/>
        <w:t>the Commissioner gives the lessor and the tenant notice of an order to consent to the tenant’s request to keep a pet at the premises under section 50E(2)(b) or 50G(2)(a).</w:t>
      </w:r>
    </w:p>
    <w:p>
      <w:pPr>
        <w:pStyle w:val="BlankClose"/>
      </w:pPr>
    </w:p>
    <w:p>
      <w:pPr>
        <w:pStyle w:val="zIndenta"/>
      </w:pPr>
      <w:r>
        <w:tab/>
        <w:t>(c)</w:t>
      </w:r>
      <w:r>
        <w:tab/>
        <w:t>in subsection (1B)(b) delete “before the rent increase the subject of the notice given under section 30 or 31A” and insert:</w:t>
      </w:r>
    </w:p>
    <w:p>
      <w:pPr>
        <w:pStyle w:val="BlankOpen"/>
      </w:pPr>
    </w:p>
    <w:p>
      <w:pPr>
        <w:pStyle w:val="zMiscellaneousBody"/>
        <w:tabs>
          <w:tab w:val="left" w:pos="851"/>
          <w:tab w:val="left" w:pos="2127"/>
        </w:tabs>
        <w:ind w:left="2127" w:hanging="1560"/>
      </w:pPr>
      <w:r>
        <w:tab/>
      </w:r>
      <w:r>
        <w:tab/>
        <w:t>if a notice of increase of rent is given to the tenant under section 30 or 31A — before the rent increase the subject of the notice</w:t>
      </w:r>
    </w:p>
    <w:p>
      <w:pPr>
        <w:pStyle w:val="BlankClose"/>
      </w:pPr>
    </w:p>
    <w:p>
      <w:pPr>
        <w:pStyle w:val="Heading5"/>
      </w:pPr>
      <w:bookmarkStart w:id="104" w:name="_Toc218521056"/>
      <w:bookmarkStart w:id="105" w:name="_Toc218521618"/>
      <w:r>
        <w:rPr>
          <w:rStyle w:val="CharSectno"/>
        </w:rPr>
        <w:t>21</w:t>
      </w:r>
      <w:r>
        <w:t>.</w:t>
      </w:r>
      <w:r>
        <w:tab/>
        <w:t>Regulations 5E and 5F inserted</w:t>
      </w:r>
      <w:bookmarkEnd w:id="104"/>
      <w:bookmarkEnd w:id="105"/>
    </w:p>
    <w:p>
      <w:pPr>
        <w:pStyle w:val="Subsection"/>
      </w:pPr>
      <w:r>
        <w:tab/>
      </w:r>
      <w:r>
        <w:tab/>
        <w:t>After regulation 5D insert:</w:t>
      </w:r>
    </w:p>
    <w:p>
      <w:pPr>
        <w:pStyle w:val="BlankOpen"/>
      </w:pPr>
    </w:p>
    <w:p>
      <w:pPr>
        <w:pStyle w:val="zHeading5"/>
      </w:pPr>
      <w:bookmarkStart w:id="106" w:name="_Toc218521057"/>
      <w:bookmarkStart w:id="107" w:name="_Toc218521619"/>
      <w:r>
        <w:t>5E.</w:t>
      </w:r>
      <w:r>
        <w:tab/>
        <w:t>Modified application of Act s. 40(2) for Housing Authority if previous agreement terminated under Act s. 60(1)(i)</w:t>
      </w:r>
      <w:bookmarkEnd w:id="106"/>
      <w:bookmarkEnd w:id="107"/>
    </w:p>
    <w:p>
      <w:pPr>
        <w:pStyle w:val="zSubsection"/>
      </w:pPr>
      <w:r>
        <w:tab/>
        <w:t>(1)</w:t>
      </w:r>
      <w:r>
        <w:tab/>
        <w:t xml:space="preserve">This regulation applies to a residential tenancy agreement (the </w:t>
      </w:r>
      <w:r>
        <w:rPr>
          <w:rStyle w:val="CharDefText"/>
        </w:rPr>
        <w:t>current agreement</w:t>
      </w:r>
      <w:r>
        <w:t>) for residential premises if —</w:t>
      </w:r>
    </w:p>
    <w:p>
      <w:pPr>
        <w:pStyle w:val="zIndenta"/>
      </w:pPr>
      <w:r>
        <w:tab/>
        <w:t>(a)</w:t>
      </w:r>
      <w:r>
        <w:tab/>
        <w:t xml:space="preserve">another residential tenancy agreement (the </w:t>
      </w:r>
      <w:r>
        <w:rPr>
          <w:rStyle w:val="CharDefText"/>
        </w:rPr>
        <w:t>previous agreement</w:t>
      </w:r>
      <w:r>
        <w:t xml:space="preserve">) for the premises has </w:t>
      </w:r>
      <w:r>
        <w:lastRenderedPageBreak/>
        <w:t>terminated under section 60(1)(i) of the Act; and</w:t>
      </w:r>
    </w:p>
    <w:p>
      <w:pPr>
        <w:pStyle w:val="zIndenta"/>
      </w:pPr>
      <w:r>
        <w:tab/>
        <w:t>(b)</w:t>
      </w:r>
      <w:r>
        <w:tab/>
        <w:t>the Housing Authority was the lessor under the previous agreement and is the lessor under the current agreement; and</w:t>
      </w:r>
    </w:p>
    <w:p>
      <w:pPr>
        <w:pStyle w:val="zIndenta"/>
      </w:pPr>
      <w:r>
        <w:tab/>
        <w:t>(c)</w:t>
      </w:r>
      <w:r>
        <w:tab/>
        <w:t>a tenant under the current agreement was occupying the premises immediately before the previous agreement terminated.</w:t>
      </w:r>
    </w:p>
    <w:p>
      <w:pPr>
        <w:pStyle w:val="zSubsection"/>
      </w:pPr>
      <w:r>
        <w:tab/>
        <w:t>(2)</w:t>
      </w:r>
      <w:r>
        <w:tab/>
        <w:t>Under section 6(a) of the Act it is provided that section 40(2) of the Act applies to a residential tenancy agreement as if it were modified by deleting “vacant”.</w:t>
      </w:r>
    </w:p>
    <w:p>
      <w:pPr>
        <w:pStyle w:val="zHeading5"/>
      </w:pPr>
      <w:bookmarkStart w:id="108" w:name="_Toc218521058"/>
      <w:bookmarkStart w:id="109" w:name="_Toc218521620"/>
      <w:r>
        <w:t>5F.</w:t>
      </w:r>
      <w:r>
        <w:tab/>
        <w:t>Modified application of Act s. 42(2)(a) for Housing Authority if previous agreement terminated under Act s. 60(1)(i)</w:t>
      </w:r>
      <w:bookmarkEnd w:id="108"/>
      <w:bookmarkEnd w:id="109"/>
    </w:p>
    <w:p>
      <w:pPr>
        <w:pStyle w:val="zSubsection"/>
      </w:pPr>
      <w:r>
        <w:tab/>
        <w:t>(1)</w:t>
      </w:r>
      <w:r>
        <w:tab/>
        <w:t xml:space="preserve">This regulation applies to a residential tenancy agreement (the </w:t>
      </w:r>
      <w:r>
        <w:rPr>
          <w:rStyle w:val="CharDefText"/>
        </w:rPr>
        <w:t>current agreement</w:t>
      </w:r>
      <w:r>
        <w:t>) for residential premises if —</w:t>
      </w:r>
    </w:p>
    <w:p>
      <w:pPr>
        <w:pStyle w:val="zIndenta"/>
      </w:pPr>
      <w:r>
        <w:tab/>
        <w:t>(a)</w:t>
      </w:r>
      <w:r>
        <w:tab/>
        <w:t xml:space="preserve">another residential tenancy agreement (the </w:t>
      </w:r>
      <w:r>
        <w:rPr>
          <w:rStyle w:val="CharDefText"/>
        </w:rPr>
        <w:t>previous agreement</w:t>
      </w:r>
      <w:r>
        <w:t>) for the premises has terminated under section 60(1)(i) of the Act; and</w:t>
      </w:r>
    </w:p>
    <w:p>
      <w:pPr>
        <w:pStyle w:val="zIndenta"/>
      </w:pPr>
      <w:r>
        <w:tab/>
        <w:t>(b)</w:t>
      </w:r>
      <w:r>
        <w:tab/>
        <w:t>the Housing Authority was the lessor under the previous agreement and is the lessor under the current agreement; and</w:t>
      </w:r>
    </w:p>
    <w:p>
      <w:pPr>
        <w:pStyle w:val="zIndenta"/>
      </w:pPr>
      <w:r>
        <w:tab/>
        <w:t>(c)</w:t>
      </w:r>
      <w:r>
        <w:tab/>
        <w:t>a tenant under the current agreement was occupying the premises immediately before the previous agreement terminated.</w:t>
      </w:r>
    </w:p>
    <w:p>
      <w:pPr>
        <w:pStyle w:val="zSubsection"/>
        <w:keepNext/>
      </w:pPr>
      <w:r>
        <w:tab/>
        <w:t>(2)</w:t>
      </w:r>
      <w:r>
        <w:tab/>
        <w:t xml:space="preserve">Under section 6(a) of the Act it is provided that section 42(2)(a) of the Act applies to a residential tenancy agreement as if it were modified by deleting “vacant possession of the premises in a reasonable state </w:t>
      </w:r>
      <w:r>
        <w:lastRenderedPageBreak/>
        <w:t>of cleanliness and a reasonable state of repair having regard to its age and character; and” and inserting:</w:t>
      </w:r>
    </w:p>
    <w:p>
      <w:pPr>
        <w:pStyle w:val="BlankOpen"/>
      </w:pPr>
    </w:p>
    <w:p>
      <w:pPr>
        <w:pStyle w:val="zMiscellaneousBody"/>
        <w:tabs>
          <w:tab w:val="right" w:pos="2127"/>
        </w:tabs>
        <w:ind w:left="2282" w:hanging="851"/>
      </w:pPr>
      <w:r>
        <w:tab/>
        <w:t>possession of the premises; and</w:t>
      </w:r>
    </w:p>
    <w:p>
      <w:pPr>
        <w:pStyle w:val="BlankClose"/>
      </w:pPr>
    </w:p>
    <w:p>
      <w:pPr>
        <w:pStyle w:val="Heading5"/>
      </w:pPr>
      <w:bookmarkStart w:id="110" w:name="_Toc218521059"/>
      <w:bookmarkStart w:id="111" w:name="_Toc218521621"/>
      <w:r>
        <w:rPr>
          <w:rStyle w:val="CharSectno"/>
        </w:rPr>
        <w:t>22</w:t>
      </w:r>
      <w:r>
        <w:t>.</w:t>
      </w:r>
      <w:r>
        <w:tab/>
        <w:t>Regulation 7AA to 7AF inserted</w:t>
      </w:r>
      <w:bookmarkEnd w:id="110"/>
      <w:bookmarkEnd w:id="111"/>
    </w:p>
    <w:p>
      <w:pPr>
        <w:pStyle w:val="Subsection"/>
        <w:keepNext/>
      </w:pPr>
      <w:r>
        <w:tab/>
      </w:r>
      <w:r>
        <w:tab/>
        <w:t>After regulation 7A insert:</w:t>
      </w:r>
    </w:p>
    <w:p>
      <w:pPr>
        <w:pStyle w:val="BlankOpen"/>
      </w:pPr>
    </w:p>
    <w:p>
      <w:pPr>
        <w:pStyle w:val="zHeading5"/>
      </w:pPr>
      <w:bookmarkStart w:id="112" w:name="_Toc218521060"/>
      <w:bookmarkStart w:id="113" w:name="_Toc218521622"/>
      <w:r>
        <w:t>7AA.</w:t>
      </w:r>
      <w:r>
        <w:tab/>
        <w:t>Modified application of Act s. 50B</w:t>
      </w:r>
      <w:bookmarkEnd w:id="112"/>
      <w:bookmarkEnd w:id="113"/>
    </w:p>
    <w:p>
      <w:pPr>
        <w:pStyle w:val="zSubsection"/>
      </w:pPr>
      <w:r>
        <w:tab/>
      </w:r>
      <w:r>
        <w:tab/>
        <w:t>Under section 6(b) of the Act it is provided that section 50B of the Act applies to premises as if it were modified by inserting the following after section 50B(5):</w:t>
      </w:r>
    </w:p>
    <w:p>
      <w:pPr>
        <w:pStyle w:val="BlankOpen"/>
      </w:pPr>
    </w:p>
    <w:p>
      <w:pPr>
        <w:pStyle w:val="zMiscellaneousBody"/>
        <w:keepNext/>
        <w:tabs>
          <w:tab w:val="right" w:pos="2127"/>
        </w:tabs>
        <w:ind w:left="2282" w:hanging="851"/>
      </w:pPr>
      <w:r>
        <w:tab/>
        <w:t>(6)</w:t>
      </w:r>
      <w:r>
        <w:tab/>
        <w:t>Subsection (5)(b) does not apply if, within 14 days after the day on which the lessor receives the request, the lessor —</w:t>
      </w:r>
    </w:p>
    <w:p>
      <w:pPr>
        <w:pStyle w:val="zMiscellaneousBody"/>
        <w:tabs>
          <w:tab w:val="left" w:pos="1246"/>
          <w:tab w:val="left" w:pos="2410"/>
        </w:tabs>
        <w:ind w:left="2977" w:hanging="1087"/>
      </w:pPr>
      <w:r>
        <w:tab/>
        <w:t>(a)</w:t>
      </w:r>
      <w:r>
        <w:tab/>
        <w:t>approves the tenant’s request under subsection (4); or</w:t>
      </w:r>
    </w:p>
    <w:p>
      <w:pPr>
        <w:pStyle w:val="zMiscellaneousBody"/>
        <w:tabs>
          <w:tab w:val="left" w:pos="1246"/>
          <w:tab w:val="left" w:pos="2410"/>
        </w:tabs>
        <w:ind w:left="2977" w:hanging="1087"/>
      </w:pPr>
      <w:r>
        <w:tab/>
        <w:t>(b)</w:t>
      </w:r>
      <w:r>
        <w:tab/>
        <w:t>refuses the tenant’s request on grounds permitted under section 50D(a) or (c) and complies with subsection (4)(d).</w:t>
      </w:r>
    </w:p>
    <w:p>
      <w:pPr>
        <w:pStyle w:val="zMiscellaneousBody"/>
        <w:keepNext/>
        <w:tabs>
          <w:tab w:val="right" w:pos="2127"/>
        </w:tabs>
        <w:ind w:left="2282" w:hanging="851"/>
      </w:pPr>
      <w:r>
        <w:tab/>
        <w:t>(7)</w:t>
      </w:r>
      <w:r>
        <w:tab/>
        <w:t>The lessor’s approval of the tenant’s request under subsection (4) or (5) is taken to be without conditions (other than the conditions permitted under section 50C(a)) if the lessor does not apply to the Commissioner for approval to impose conditions within 14 days after the day on which the lessor receives the request.</w:t>
      </w:r>
    </w:p>
    <w:p>
      <w:pPr>
        <w:pStyle w:val="BlankClose"/>
      </w:pPr>
    </w:p>
    <w:p>
      <w:pPr>
        <w:pStyle w:val="zHeading5"/>
      </w:pPr>
      <w:bookmarkStart w:id="114" w:name="_Toc218521061"/>
      <w:bookmarkStart w:id="115" w:name="_Toc218521623"/>
      <w:r>
        <w:lastRenderedPageBreak/>
        <w:t>7AB.</w:t>
      </w:r>
      <w:r>
        <w:tab/>
        <w:t>Modified application of Act s. 50F</w:t>
      </w:r>
      <w:bookmarkEnd w:id="114"/>
      <w:bookmarkEnd w:id="115"/>
    </w:p>
    <w:p>
      <w:pPr>
        <w:pStyle w:val="zSubsection"/>
        <w:keepNext/>
        <w:keepLines/>
      </w:pPr>
      <w:r>
        <w:tab/>
      </w:r>
      <w:r>
        <w:tab/>
        <w:t>Under section 6(b) of the Act it is provided that section 50F of the Act applies to premises as if it were modified by inserting the following after section 50F(2):</w:t>
      </w:r>
    </w:p>
    <w:p>
      <w:pPr>
        <w:pStyle w:val="BlankOpen"/>
      </w:pPr>
    </w:p>
    <w:p>
      <w:pPr>
        <w:pStyle w:val="zMiscellaneousBody"/>
        <w:keepNext/>
        <w:tabs>
          <w:tab w:val="right" w:pos="2127"/>
        </w:tabs>
        <w:ind w:left="2282" w:hanging="851"/>
      </w:pPr>
      <w:r>
        <w:tab/>
        <w:t>(2A)</w:t>
      </w:r>
      <w:r>
        <w:tab/>
        <w:t>The application must be made within 14 days after the day on which the lessor receives the tenant’s request for consent.</w:t>
      </w:r>
    </w:p>
    <w:p>
      <w:pPr>
        <w:pStyle w:val="BlankClose"/>
      </w:pPr>
    </w:p>
    <w:p>
      <w:pPr>
        <w:pStyle w:val="zHeading5"/>
      </w:pPr>
      <w:bookmarkStart w:id="116" w:name="_Toc218521062"/>
      <w:bookmarkStart w:id="117" w:name="_Toc218521624"/>
      <w:r>
        <w:t>7AC.</w:t>
      </w:r>
      <w:r>
        <w:tab/>
        <w:t>Modified application of Act s. 50G</w:t>
      </w:r>
      <w:bookmarkEnd w:id="116"/>
      <w:bookmarkEnd w:id="117"/>
    </w:p>
    <w:p>
      <w:pPr>
        <w:pStyle w:val="zSubsection"/>
      </w:pPr>
      <w:r>
        <w:tab/>
      </w:r>
      <w:r>
        <w:tab/>
        <w:t>Under section 6(b) of the Act it is provided that section 50G of the Act applies to premises as if it were modified by inserting the following after section 50G(1):</w:t>
      </w:r>
    </w:p>
    <w:p>
      <w:pPr>
        <w:pStyle w:val="BlankOpen"/>
      </w:pPr>
    </w:p>
    <w:p>
      <w:pPr>
        <w:pStyle w:val="zMiscellaneousBody"/>
        <w:keepNext/>
        <w:tabs>
          <w:tab w:val="right" w:pos="2127"/>
        </w:tabs>
        <w:ind w:left="2282" w:hanging="851"/>
      </w:pPr>
      <w:r>
        <w:tab/>
        <w:t>(1A)</w:t>
      </w:r>
      <w:r>
        <w:tab/>
        <w:t>An application cannot be made under subsection (1) unless the lessor has refused the tenant’s request on grounds permitted under section 50D(a) or (c).</w:t>
      </w:r>
    </w:p>
    <w:p>
      <w:pPr>
        <w:pStyle w:val="BlankClose"/>
      </w:pPr>
    </w:p>
    <w:p>
      <w:pPr>
        <w:pStyle w:val="zHeading5"/>
      </w:pPr>
      <w:bookmarkStart w:id="118" w:name="_Toc218521063"/>
      <w:bookmarkStart w:id="119" w:name="_Toc218521625"/>
      <w:r>
        <w:t>7AD.</w:t>
      </w:r>
      <w:r>
        <w:tab/>
        <w:t>Modified application of Act s. 50O</w:t>
      </w:r>
      <w:bookmarkEnd w:id="118"/>
      <w:bookmarkEnd w:id="119"/>
    </w:p>
    <w:p>
      <w:pPr>
        <w:pStyle w:val="zSubsection"/>
      </w:pPr>
      <w:r>
        <w:tab/>
      </w:r>
      <w:r>
        <w:tab/>
        <w:t>Under section 6(b) of the Act it is provided that section 50O of the Act applies to premises as if it were modified as follows:</w:t>
      </w:r>
    </w:p>
    <w:p>
      <w:pPr>
        <w:pStyle w:val="zIndenta"/>
      </w:pPr>
      <w:r>
        <w:tab/>
        <w:t>(a)</w:t>
      </w:r>
      <w:r>
        <w:tab/>
        <w:t>in section 50O(5)(a) delete “and” and insert:</w:t>
      </w:r>
    </w:p>
    <w:p>
      <w:pPr>
        <w:pStyle w:val="BlankOpen"/>
      </w:pPr>
    </w:p>
    <w:p>
      <w:pPr>
        <w:pStyle w:val="zMiscellaneousBody"/>
        <w:tabs>
          <w:tab w:val="right" w:pos="2127"/>
        </w:tabs>
        <w:ind w:left="2282" w:hanging="851"/>
      </w:pPr>
      <w:r>
        <w:tab/>
      </w:r>
      <w:r>
        <w:tab/>
        <w:t>or</w:t>
      </w:r>
    </w:p>
    <w:p>
      <w:pPr>
        <w:pStyle w:val="BlankClose"/>
      </w:pPr>
    </w:p>
    <w:p>
      <w:pPr>
        <w:pStyle w:val="zIndenta"/>
        <w:keepNext/>
      </w:pPr>
      <w:r>
        <w:lastRenderedPageBreak/>
        <w:tab/>
        <w:t>(b)</w:t>
      </w:r>
      <w:r>
        <w:tab/>
        <w:t>after section 50O(5) insert:</w:t>
      </w:r>
    </w:p>
    <w:p>
      <w:pPr>
        <w:pStyle w:val="BlankOpen"/>
      </w:pPr>
    </w:p>
    <w:p>
      <w:pPr>
        <w:pStyle w:val="zMiscellaneousBody"/>
        <w:keepNext/>
        <w:tabs>
          <w:tab w:val="right" w:pos="2127"/>
        </w:tabs>
        <w:ind w:left="2282" w:hanging="851"/>
      </w:pPr>
      <w:r>
        <w:tab/>
        <w:t>(6)</w:t>
      </w:r>
      <w:r>
        <w:tab/>
        <w:t>Subsection (5)(b) does not apply if, within 14 days after the day on which the lessor receives the request, the lessor —</w:t>
      </w:r>
    </w:p>
    <w:p>
      <w:pPr>
        <w:pStyle w:val="zMiscellaneousBody"/>
        <w:tabs>
          <w:tab w:val="left" w:pos="1246"/>
          <w:tab w:val="left" w:pos="2410"/>
        </w:tabs>
        <w:ind w:left="2977" w:hanging="1087"/>
      </w:pPr>
      <w:r>
        <w:tab/>
        <w:t>(a)</w:t>
      </w:r>
      <w:r>
        <w:tab/>
        <w:t>approves the tenant’s request under subsection (4); or</w:t>
      </w:r>
    </w:p>
    <w:p>
      <w:pPr>
        <w:pStyle w:val="zMiscellaneousBody"/>
        <w:tabs>
          <w:tab w:val="left" w:pos="1246"/>
          <w:tab w:val="left" w:pos="2410"/>
        </w:tabs>
        <w:ind w:left="2977" w:hanging="1087"/>
      </w:pPr>
      <w:r>
        <w:tab/>
        <w:t>(b)</w:t>
      </w:r>
      <w:r>
        <w:tab/>
        <w:t>refuses the tenant’s request on grounds permitted under section 50Q(a), (b), (c), (d) or (f) and complies with subsection (4)(d).</w:t>
      </w:r>
    </w:p>
    <w:p>
      <w:pPr>
        <w:pStyle w:val="zMiscellaneousBody"/>
        <w:keepNext/>
        <w:tabs>
          <w:tab w:val="right" w:pos="2127"/>
        </w:tabs>
        <w:ind w:left="2282" w:hanging="851"/>
      </w:pPr>
      <w:r>
        <w:tab/>
        <w:t>(7)</w:t>
      </w:r>
      <w:r>
        <w:tab/>
        <w:t>The lessor’s approval of the tenant’s request under subsection (4) or (5) is taken to be without conditions (other than the conditions permitted under section 50P(a) or (b)) if the lessor does not apply to the Commissioner for approval to impose conditions within 14 days after the day on which the lessor receives the request.</w:t>
      </w:r>
    </w:p>
    <w:p>
      <w:pPr>
        <w:pStyle w:val="BlankClose"/>
      </w:pPr>
    </w:p>
    <w:p>
      <w:pPr>
        <w:pStyle w:val="zHeading5"/>
      </w:pPr>
      <w:bookmarkStart w:id="120" w:name="_Toc218521064"/>
      <w:bookmarkStart w:id="121" w:name="_Toc218521626"/>
      <w:r>
        <w:t>7AE.</w:t>
      </w:r>
      <w:r>
        <w:tab/>
        <w:t>Modified application of Act s. 50T</w:t>
      </w:r>
      <w:bookmarkEnd w:id="120"/>
      <w:bookmarkEnd w:id="121"/>
    </w:p>
    <w:p>
      <w:pPr>
        <w:pStyle w:val="zSubsection"/>
      </w:pPr>
      <w:r>
        <w:tab/>
      </w:r>
      <w:r>
        <w:tab/>
        <w:t>Under section 6(b) of the Act it is provided that section 50T of the Act applies to premises as if it were modified by inserting the following after section 50T(2):</w:t>
      </w:r>
    </w:p>
    <w:p>
      <w:pPr>
        <w:pStyle w:val="BlankOpen"/>
      </w:pPr>
    </w:p>
    <w:p>
      <w:pPr>
        <w:pStyle w:val="zMiscellaneousBody"/>
        <w:keepNext/>
        <w:tabs>
          <w:tab w:val="right" w:pos="2127"/>
        </w:tabs>
        <w:ind w:left="2282" w:hanging="851"/>
      </w:pPr>
      <w:r>
        <w:tab/>
        <w:t>(2A)</w:t>
      </w:r>
      <w:r>
        <w:tab/>
        <w:t>The application must be made within 14 days after the day on which the lessor receives the tenant’s request for consent.</w:t>
      </w:r>
    </w:p>
    <w:p>
      <w:pPr>
        <w:pStyle w:val="BlankClose"/>
      </w:pPr>
    </w:p>
    <w:p>
      <w:pPr>
        <w:pStyle w:val="zHeading5"/>
      </w:pPr>
      <w:bookmarkStart w:id="122" w:name="_Toc218521065"/>
      <w:bookmarkStart w:id="123" w:name="_Toc218521627"/>
      <w:r>
        <w:lastRenderedPageBreak/>
        <w:t>7AF.</w:t>
      </w:r>
      <w:r>
        <w:tab/>
        <w:t>Modified application of Act s. 50U</w:t>
      </w:r>
      <w:bookmarkEnd w:id="122"/>
      <w:bookmarkEnd w:id="123"/>
    </w:p>
    <w:p>
      <w:pPr>
        <w:pStyle w:val="zSubsection"/>
      </w:pPr>
      <w:r>
        <w:tab/>
      </w:r>
      <w:r>
        <w:tab/>
        <w:t>Under section 6(b) of the Act it is provided that section 50U of the Act applies to premises as if it were modified by inserting the following after section 50U(1):</w:t>
      </w:r>
    </w:p>
    <w:p>
      <w:pPr>
        <w:pStyle w:val="BlankOpen"/>
      </w:pPr>
    </w:p>
    <w:p>
      <w:pPr>
        <w:pStyle w:val="zMiscellaneousBody"/>
        <w:keepNext/>
        <w:tabs>
          <w:tab w:val="right" w:pos="2127"/>
        </w:tabs>
        <w:ind w:left="2282" w:hanging="851"/>
      </w:pPr>
      <w:r>
        <w:tab/>
        <w:t>(1A)</w:t>
      </w:r>
      <w:r>
        <w:tab/>
        <w:t>An application cannot be made under subsection (1) unless the lessor has refused the tenant’s request on grounds permitted under section 50Q(a), (b), (c), (d) or (f).</w:t>
      </w:r>
    </w:p>
    <w:p>
      <w:pPr>
        <w:pStyle w:val="BlankClose"/>
      </w:pPr>
    </w:p>
    <w:p>
      <w:pPr>
        <w:pStyle w:val="Heading5"/>
      </w:pPr>
      <w:bookmarkStart w:id="124" w:name="_Toc218521066"/>
      <w:bookmarkStart w:id="125" w:name="_Toc218521628"/>
      <w:r>
        <w:rPr>
          <w:rStyle w:val="CharSectno"/>
        </w:rPr>
        <w:t>23</w:t>
      </w:r>
      <w:r>
        <w:t>.</w:t>
      </w:r>
      <w:r>
        <w:tab/>
        <w:t>Regulation 7F replaced</w:t>
      </w:r>
      <w:bookmarkEnd w:id="124"/>
      <w:bookmarkEnd w:id="125"/>
    </w:p>
    <w:p>
      <w:pPr>
        <w:pStyle w:val="Subsection"/>
      </w:pPr>
      <w:r>
        <w:tab/>
      </w:r>
      <w:r>
        <w:tab/>
        <w:t>Delete regulation 7F and insert:</w:t>
      </w:r>
    </w:p>
    <w:p>
      <w:pPr>
        <w:pStyle w:val="BlankOpen"/>
      </w:pPr>
    </w:p>
    <w:p>
      <w:pPr>
        <w:pStyle w:val="zHeading5"/>
      </w:pPr>
      <w:bookmarkStart w:id="126" w:name="_Toc218521067"/>
      <w:bookmarkStart w:id="127" w:name="_Toc218521629"/>
      <w:r>
        <w:t>7EA.</w:t>
      </w:r>
      <w:r>
        <w:tab/>
        <w:t>Exemption from Act s. 79 for Housing Authority if agreement terminated under Act s. 60(1)(i)</w:t>
      </w:r>
      <w:bookmarkEnd w:id="126"/>
      <w:bookmarkEnd w:id="127"/>
    </w:p>
    <w:p>
      <w:pPr>
        <w:pStyle w:val="zSubsection"/>
      </w:pPr>
      <w:r>
        <w:tab/>
      </w:r>
      <w:r>
        <w:tab/>
        <w:t>Under section 6(a) of the Act it is provided that section 79 of the Act does not apply in relation to a residential agreement for residential premises if —</w:t>
      </w:r>
    </w:p>
    <w:p>
      <w:pPr>
        <w:pStyle w:val="zIndenta"/>
      </w:pPr>
      <w:r>
        <w:tab/>
        <w:t>(a)</w:t>
      </w:r>
      <w:r>
        <w:tab/>
        <w:t>the agreement has terminated under section 60(1)(i) of the Act; and</w:t>
      </w:r>
    </w:p>
    <w:p>
      <w:pPr>
        <w:pStyle w:val="zIndenta"/>
      </w:pPr>
      <w:r>
        <w:tab/>
        <w:t>(b)</w:t>
      </w:r>
      <w:r>
        <w:tab/>
        <w:t>the Housing Authority was the lessor under the agreement; and</w:t>
      </w:r>
    </w:p>
    <w:p>
      <w:pPr>
        <w:pStyle w:val="zIndenta"/>
      </w:pPr>
      <w:r>
        <w:tab/>
        <w:t>(c)</w:t>
      </w:r>
      <w:r>
        <w:tab/>
        <w:t>the premises are occupied by a person who occupied the premises immediately before the agreement terminated; and</w:t>
      </w:r>
    </w:p>
    <w:p>
      <w:pPr>
        <w:pStyle w:val="zIndenta"/>
      </w:pPr>
      <w:r>
        <w:tab/>
        <w:t>(d)</w:t>
      </w:r>
      <w:r>
        <w:tab/>
        <w:t>the Housing Authority has not given the person written notice that the Housing Authority intends to recover possession of the premises.</w:t>
      </w:r>
    </w:p>
    <w:p>
      <w:pPr>
        <w:pStyle w:val="zHeading5"/>
      </w:pPr>
      <w:bookmarkStart w:id="128" w:name="_Toc218521068"/>
      <w:bookmarkStart w:id="129" w:name="_Toc218521630"/>
      <w:r>
        <w:lastRenderedPageBreak/>
        <w:t>7EB.</w:t>
      </w:r>
      <w:r>
        <w:tab/>
        <w:t>Exemption from Act s. 80A for Housing Authority if agreement terminated under Act s. 60(1)(i)</w:t>
      </w:r>
      <w:bookmarkEnd w:id="128"/>
      <w:bookmarkEnd w:id="129"/>
    </w:p>
    <w:p>
      <w:pPr>
        <w:pStyle w:val="zSubsection"/>
      </w:pPr>
      <w:r>
        <w:tab/>
      </w:r>
      <w:r>
        <w:tab/>
        <w:t>Under section 6(a) of the Act it is provided that section 80A of the Act does not apply in relation to a residential tenancy agreement for residential premises if —</w:t>
      </w:r>
    </w:p>
    <w:p>
      <w:pPr>
        <w:pStyle w:val="zIndenta"/>
      </w:pPr>
      <w:r>
        <w:tab/>
        <w:t>(a)</w:t>
      </w:r>
      <w:r>
        <w:tab/>
        <w:t>the agreement has terminated under section 60(1)(i) of the Act; and</w:t>
      </w:r>
    </w:p>
    <w:p>
      <w:pPr>
        <w:pStyle w:val="zIndenta"/>
      </w:pPr>
      <w:r>
        <w:tab/>
        <w:t>(b)</w:t>
      </w:r>
      <w:r>
        <w:tab/>
        <w:t>the Housing Authority was the lessor under the agreement; and</w:t>
      </w:r>
    </w:p>
    <w:p>
      <w:pPr>
        <w:pStyle w:val="zIndenta"/>
      </w:pPr>
      <w:r>
        <w:tab/>
        <w:t>(c)</w:t>
      </w:r>
      <w:r>
        <w:tab/>
        <w:t>the premises are occupied by a person who occupied the premises immediately before the agreement terminated; and</w:t>
      </w:r>
    </w:p>
    <w:p>
      <w:pPr>
        <w:pStyle w:val="zIndenta"/>
      </w:pPr>
      <w:r>
        <w:tab/>
        <w:t>(d)</w:t>
      </w:r>
      <w:r>
        <w:tab/>
        <w:t>the Housing Authority has not given the person written notice that the Housing Authority intends to recover possession of the premises.</w:t>
      </w:r>
    </w:p>
    <w:p>
      <w:pPr>
        <w:pStyle w:val="zHeading5"/>
      </w:pPr>
      <w:bookmarkStart w:id="130" w:name="_Toc218521069"/>
      <w:bookmarkStart w:id="131" w:name="_Toc218521631"/>
      <w:r>
        <w:t>7F.</w:t>
      </w:r>
      <w:r>
        <w:tab/>
        <w:t>Exemptions from Act s. 82</w:t>
      </w:r>
      <w:bookmarkEnd w:id="130"/>
      <w:bookmarkEnd w:id="131"/>
    </w:p>
    <w:p>
      <w:pPr>
        <w:pStyle w:val="zSubsection"/>
      </w:pPr>
      <w:r>
        <w:tab/>
      </w:r>
      <w:r>
        <w:tab/>
        <w:t>Under section 6(a) of the Act it is provided that section 82 of the Act does not apply to the following —</w:t>
      </w:r>
    </w:p>
    <w:p>
      <w:pPr>
        <w:pStyle w:val="zIndenta"/>
      </w:pPr>
      <w:r>
        <w:tab/>
        <w:t>(a)</w:t>
      </w:r>
      <w:r>
        <w:tab/>
        <w:t>a residential tenancy agreement if —</w:t>
      </w:r>
    </w:p>
    <w:p>
      <w:pPr>
        <w:pStyle w:val="zIndenti"/>
      </w:pPr>
      <w:r>
        <w:tab/>
        <w:t>(i)</w:t>
      </w:r>
      <w:r>
        <w:tab/>
        <w:t>the Housing Authority is a party to the agreement; and</w:t>
      </w:r>
    </w:p>
    <w:p>
      <w:pPr>
        <w:pStyle w:val="zIndenti"/>
      </w:pPr>
      <w:r>
        <w:tab/>
        <w:t>(ii)</w:t>
      </w:r>
      <w:r>
        <w:tab/>
        <w:t>the agreement provides that, or is deemed to contain a provision to the effect that, the tenant may sub</w:t>
      </w:r>
      <w:r>
        <w:noBreakHyphen/>
        <w:t>let the premises; and</w:t>
      </w:r>
    </w:p>
    <w:p>
      <w:pPr>
        <w:pStyle w:val="zIndenti"/>
      </w:pPr>
      <w:r>
        <w:tab/>
        <w:t>(iii)</w:t>
      </w:r>
      <w:r>
        <w:tab/>
        <w:t>the Housing Authority entered into the agreement on the basis that the premises will be sub</w:t>
      </w:r>
      <w:r>
        <w:noBreakHyphen/>
        <w:t>let;</w:t>
      </w:r>
    </w:p>
    <w:p>
      <w:pPr>
        <w:pStyle w:val="zIndenta"/>
      </w:pPr>
      <w:r>
        <w:tab/>
        <w:t>(b)</w:t>
      </w:r>
      <w:r>
        <w:tab/>
        <w:t>a residential tenancy agreement if —</w:t>
      </w:r>
    </w:p>
    <w:p>
      <w:pPr>
        <w:pStyle w:val="zIndenti"/>
      </w:pPr>
      <w:r>
        <w:tab/>
        <w:t>(i)</w:t>
      </w:r>
      <w:r>
        <w:tab/>
        <w:t>the WA Country Health Service is the tenant under the agreement; and</w:t>
      </w:r>
    </w:p>
    <w:p>
      <w:pPr>
        <w:pStyle w:val="zIndenti"/>
      </w:pPr>
      <w:r>
        <w:lastRenderedPageBreak/>
        <w:tab/>
        <w:t>(ii)</w:t>
      </w:r>
      <w:r>
        <w:tab/>
        <w:t>the agreement provides that, or is deemed to contain a provision to the effect that, the tenant may sub</w:t>
      </w:r>
      <w:r>
        <w:noBreakHyphen/>
        <w:t>let the premises; and</w:t>
      </w:r>
    </w:p>
    <w:p>
      <w:pPr>
        <w:pStyle w:val="zIndenti"/>
      </w:pPr>
      <w:r>
        <w:tab/>
        <w:t>(iii)</w:t>
      </w:r>
      <w:r>
        <w:tab/>
        <w:t>the WA Country Health Service entered into the agreement on the basis that the premises will be sub</w:t>
      </w:r>
      <w:r>
        <w:noBreakHyphen/>
        <w:t>let to a person employed or engaged by the WA Country Health Service.</w:t>
      </w:r>
    </w:p>
    <w:p>
      <w:pPr>
        <w:pStyle w:val="BlankClose"/>
      </w:pPr>
    </w:p>
    <w:p>
      <w:pPr>
        <w:pStyle w:val="Heading5"/>
      </w:pPr>
      <w:bookmarkStart w:id="132" w:name="_Toc218521070"/>
      <w:bookmarkStart w:id="133" w:name="_Toc218521632"/>
      <w:r>
        <w:rPr>
          <w:rStyle w:val="CharSectno"/>
        </w:rPr>
        <w:t>24</w:t>
      </w:r>
      <w:r>
        <w:t>.</w:t>
      </w:r>
      <w:r>
        <w:tab/>
        <w:t>Regulation 7H deleted</w:t>
      </w:r>
      <w:bookmarkEnd w:id="132"/>
      <w:bookmarkEnd w:id="133"/>
    </w:p>
    <w:p>
      <w:pPr>
        <w:pStyle w:val="Subsection"/>
      </w:pPr>
      <w:r>
        <w:tab/>
      </w:r>
      <w:r>
        <w:tab/>
        <w:t>Delete regulation 7H.</w:t>
      </w:r>
    </w:p>
    <w:p>
      <w:pPr>
        <w:pStyle w:val="Heading5"/>
      </w:pPr>
      <w:bookmarkStart w:id="134" w:name="_Toc218521071"/>
      <w:bookmarkStart w:id="135" w:name="_Toc218521633"/>
      <w:r>
        <w:rPr>
          <w:rStyle w:val="CharSectno"/>
        </w:rPr>
        <w:t>25</w:t>
      </w:r>
      <w:r>
        <w:t>.</w:t>
      </w:r>
      <w:r>
        <w:tab/>
        <w:t>Regulation 7IA inserted</w:t>
      </w:r>
      <w:bookmarkEnd w:id="134"/>
      <w:bookmarkEnd w:id="135"/>
    </w:p>
    <w:p>
      <w:pPr>
        <w:pStyle w:val="Subsection"/>
      </w:pPr>
      <w:r>
        <w:tab/>
      </w:r>
      <w:r>
        <w:tab/>
        <w:t>At the beginning of Part 3 insert:</w:t>
      </w:r>
    </w:p>
    <w:p>
      <w:pPr>
        <w:pStyle w:val="BlankOpen"/>
      </w:pPr>
    </w:p>
    <w:p>
      <w:pPr>
        <w:pStyle w:val="zHeading5"/>
      </w:pPr>
      <w:bookmarkStart w:id="136" w:name="_Toc218521072"/>
      <w:bookmarkStart w:id="137" w:name="_Toc218521634"/>
      <w:r>
        <w:t>7IA.</w:t>
      </w:r>
      <w:r>
        <w:tab/>
        <w:t>Use of BondsOnline eTransactions subject to terms and conditions</w:t>
      </w:r>
      <w:bookmarkEnd w:id="136"/>
      <w:bookmarkEnd w:id="137"/>
    </w:p>
    <w:p>
      <w:pPr>
        <w:pStyle w:val="zSubsection"/>
      </w:pPr>
      <w:r>
        <w:tab/>
      </w:r>
      <w:r>
        <w:tab/>
        <w:t>Use of BondsOnline eTransactions is subject to any terms and conditions determined from time to time by the bond administrator and published on the Department’s website.</w:t>
      </w:r>
    </w:p>
    <w:p>
      <w:pPr>
        <w:pStyle w:val="BlankClose"/>
      </w:pPr>
    </w:p>
    <w:p>
      <w:pPr>
        <w:pStyle w:val="Heading5"/>
      </w:pPr>
      <w:bookmarkStart w:id="138" w:name="_Toc218521073"/>
      <w:bookmarkStart w:id="139" w:name="_Toc218521635"/>
      <w:r>
        <w:rPr>
          <w:rStyle w:val="CharSectno"/>
        </w:rPr>
        <w:t>26</w:t>
      </w:r>
      <w:r>
        <w:t>.</w:t>
      </w:r>
      <w:r>
        <w:tab/>
        <w:t>Regulation 7 amended</w:t>
      </w:r>
      <w:bookmarkEnd w:id="138"/>
      <w:bookmarkEnd w:id="139"/>
    </w:p>
    <w:p>
      <w:pPr>
        <w:pStyle w:val="Subsection"/>
      </w:pPr>
      <w:r>
        <w:tab/>
        <w:t>(1)</w:t>
      </w:r>
      <w:r>
        <w:tab/>
        <w:t>Before regulation 7(1)(aa) insert:</w:t>
      </w:r>
    </w:p>
    <w:p>
      <w:pPr>
        <w:pStyle w:val="BlankOpen"/>
      </w:pPr>
    </w:p>
    <w:p>
      <w:pPr>
        <w:pStyle w:val="zIndenta"/>
      </w:pPr>
      <w:r>
        <w:tab/>
        <w:t>(aaa)</w:t>
      </w:r>
      <w:r>
        <w:tab/>
        <w:t>an application under section 15(1A) of the Act;</w:t>
      </w:r>
    </w:p>
    <w:p>
      <w:pPr>
        <w:pStyle w:val="BlankClose"/>
      </w:pPr>
    </w:p>
    <w:p>
      <w:pPr>
        <w:pStyle w:val="Subsection"/>
      </w:pPr>
      <w:r>
        <w:tab/>
        <w:t>(2)</w:t>
      </w:r>
      <w:r>
        <w:tab/>
        <w:t>Delete regulation 7(1)(e).</w:t>
      </w:r>
    </w:p>
    <w:p>
      <w:pPr>
        <w:pStyle w:val="Heading5"/>
      </w:pPr>
      <w:bookmarkStart w:id="140" w:name="_Toc218521074"/>
      <w:bookmarkStart w:id="141" w:name="_Toc218521636"/>
      <w:r>
        <w:rPr>
          <w:rStyle w:val="CharSectno"/>
        </w:rPr>
        <w:lastRenderedPageBreak/>
        <w:t>27</w:t>
      </w:r>
      <w:r>
        <w:t>.</w:t>
      </w:r>
      <w:r>
        <w:tab/>
        <w:t>Regulation 10A amended</w:t>
      </w:r>
      <w:bookmarkEnd w:id="140"/>
      <w:bookmarkEnd w:id="141"/>
    </w:p>
    <w:p>
      <w:pPr>
        <w:pStyle w:val="Subsection"/>
      </w:pPr>
      <w:r>
        <w:tab/>
      </w:r>
      <w:r>
        <w:tab/>
        <w:t>In regulation 10A delete “$260” and insert:</w:t>
      </w:r>
    </w:p>
    <w:p>
      <w:pPr>
        <w:pStyle w:val="BlankOpen"/>
      </w:pPr>
    </w:p>
    <w:p>
      <w:pPr>
        <w:pStyle w:val="Subsection"/>
      </w:pPr>
      <w:r>
        <w:tab/>
      </w:r>
      <w:r>
        <w:tab/>
        <w:t>$350</w:t>
      </w:r>
    </w:p>
    <w:p>
      <w:pPr>
        <w:pStyle w:val="BlankClose"/>
      </w:pPr>
    </w:p>
    <w:p>
      <w:pPr>
        <w:pStyle w:val="Heading5"/>
      </w:pPr>
      <w:bookmarkStart w:id="142" w:name="_Toc218521075"/>
      <w:bookmarkStart w:id="143" w:name="_Toc218521637"/>
      <w:r>
        <w:rPr>
          <w:rStyle w:val="CharSectno"/>
        </w:rPr>
        <w:t>28</w:t>
      </w:r>
      <w:r>
        <w:t>.</w:t>
      </w:r>
      <w:r>
        <w:tab/>
        <w:t>Regulation 11A inserted</w:t>
      </w:r>
      <w:bookmarkEnd w:id="142"/>
      <w:bookmarkEnd w:id="143"/>
    </w:p>
    <w:p>
      <w:pPr>
        <w:pStyle w:val="Subsection"/>
      </w:pPr>
      <w:r>
        <w:tab/>
      </w:r>
      <w:r>
        <w:tab/>
        <w:t>After regulation 11 insert:</w:t>
      </w:r>
    </w:p>
    <w:p>
      <w:pPr>
        <w:pStyle w:val="BlankOpen"/>
      </w:pPr>
    </w:p>
    <w:p>
      <w:pPr>
        <w:pStyle w:val="zHeading5"/>
      </w:pPr>
      <w:bookmarkStart w:id="144" w:name="_Toc218521076"/>
      <w:bookmarkStart w:id="145" w:name="_Toc218521638"/>
      <w:r>
        <w:t>11A.</w:t>
      </w:r>
      <w:r>
        <w:tab/>
        <w:t>Way in which security bond must be paid for Act s. 29(5)</w:t>
      </w:r>
      <w:bookmarkEnd w:id="144"/>
      <w:bookmarkEnd w:id="145"/>
    </w:p>
    <w:p>
      <w:pPr>
        <w:pStyle w:val="zSubsection"/>
      </w:pPr>
      <w:r>
        <w:tab/>
        <w:t>(1)</w:t>
      </w:r>
      <w:r>
        <w:tab/>
        <w:t>For the purposes of section 29(5) of the Act, this regulation sets out the way in which a security bond must be paid to the bond administrator.</w:t>
      </w:r>
    </w:p>
    <w:p>
      <w:pPr>
        <w:pStyle w:val="zSubsection"/>
      </w:pPr>
      <w:r>
        <w:tab/>
        <w:t>(2)</w:t>
      </w:r>
      <w:r>
        <w:tab/>
        <w:t>If the premises are not managed by a property manager, the security bond must be paid to the bond administrator in an approved way.</w:t>
      </w:r>
    </w:p>
    <w:p>
      <w:pPr>
        <w:pStyle w:val="zSubsection"/>
      </w:pPr>
      <w:r>
        <w:tab/>
        <w:t>(3)</w:t>
      </w:r>
      <w:r>
        <w:tab/>
        <w:t>If the premises are managed by a property manager, the security bond must be paid to the bond administrator —</w:t>
      </w:r>
    </w:p>
    <w:p>
      <w:pPr>
        <w:pStyle w:val="zIndenta"/>
      </w:pPr>
      <w:r>
        <w:tab/>
        <w:t>(a)</w:t>
      </w:r>
      <w:r>
        <w:tab/>
        <w:t>if subregulation (4) applies — in an approved way but not by using BondsOnline eTransactions; or</w:t>
      </w:r>
    </w:p>
    <w:p>
      <w:pPr>
        <w:pStyle w:val="zIndenta"/>
      </w:pPr>
      <w:r>
        <w:tab/>
        <w:t>(b)</w:t>
      </w:r>
      <w:r>
        <w:tab/>
        <w:t>otherwise — using BondsOnline eTransactions.</w:t>
      </w:r>
    </w:p>
    <w:p>
      <w:pPr>
        <w:pStyle w:val="zSubsection"/>
      </w:pPr>
      <w:r>
        <w:tab/>
        <w:t>(4)</w:t>
      </w:r>
      <w:r>
        <w:tab/>
        <w:t>This subregulation applies if —</w:t>
      </w:r>
    </w:p>
    <w:p>
      <w:pPr>
        <w:pStyle w:val="zIndenta"/>
      </w:pPr>
      <w:r>
        <w:tab/>
        <w:t>(a)</w:t>
      </w:r>
      <w:r>
        <w:tab/>
        <w:t xml:space="preserve">the tenant does not have 1 or more of the following — </w:t>
      </w:r>
    </w:p>
    <w:p>
      <w:pPr>
        <w:pStyle w:val="zIndenti"/>
      </w:pPr>
      <w:r>
        <w:tab/>
        <w:t>(i)</w:t>
      </w:r>
      <w:r>
        <w:tab/>
        <w:t>a mobile telephone number used exclusively by the tenant;</w:t>
      </w:r>
    </w:p>
    <w:p>
      <w:pPr>
        <w:pStyle w:val="zIndenti"/>
        <w:keepNext/>
      </w:pPr>
      <w:r>
        <w:lastRenderedPageBreak/>
        <w:tab/>
        <w:t>(ii)</w:t>
      </w:r>
      <w:r>
        <w:tab/>
        <w:t>an email address used exclusively by the tenant;</w:t>
      </w:r>
    </w:p>
    <w:p>
      <w:pPr>
        <w:pStyle w:val="zIndenti"/>
      </w:pPr>
      <w:r>
        <w:tab/>
        <w:t>(iii)</w:t>
      </w:r>
      <w:r>
        <w:tab/>
        <w:t>internet access to check their email account;</w:t>
      </w:r>
    </w:p>
    <w:p>
      <w:pPr>
        <w:pStyle w:val="zIndenti"/>
      </w:pPr>
      <w:r>
        <w:tab/>
        <w:t>(iv)</w:t>
      </w:r>
      <w:r>
        <w:tab/>
        <w:t>competence in the use of a mobile telephone or email;</w:t>
      </w:r>
    </w:p>
    <w:p>
      <w:pPr>
        <w:pStyle w:val="zIndenti"/>
      </w:pPr>
      <w:r>
        <w:tab/>
        <w:t>(v)</w:t>
      </w:r>
      <w:r>
        <w:tab/>
        <w:t>a sound understanding of the English language;</w:t>
      </w:r>
    </w:p>
    <w:p>
      <w:pPr>
        <w:pStyle w:val="zIndenta"/>
      </w:pPr>
      <w:r>
        <w:tab/>
      </w:r>
      <w:r>
        <w:tab/>
        <w:t>or</w:t>
      </w:r>
    </w:p>
    <w:p>
      <w:pPr>
        <w:pStyle w:val="zIndenta"/>
      </w:pPr>
      <w:r>
        <w:tab/>
        <w:t>(b)</w:t>
      </w:r>
      <w:r>
        <w:tab/>
        <w:t>the bond administrator has agreed to the payment being made in accordance with subregulation (3)(a).</w:t>
      </w:r>
    </w:p>
    <w:p>
      <w:pPr>
        <w:pStyle w:val="zSubsection"/>
      </w:pPr>
      <w:r>
        <w:tab/>
        <w:t>(5)</w:t>
      </w:r>
      <w:r>
        <w:tab/>
        <w:t xml:space="preserve">For the purposes of this regulation, a security bond is paid in an </w:t>
      </w:r>
      <w:r>
        <w:rPr>
          <w:rStyle w:val="CharDefText"/>
        </w:rPr>
        <w:t>approved way</w:t>
      </w:r>
      <w:r>
        <w:t xml:space="preserve"> if it is paid in a way that is —</w:t>
      </w:r>
    </w:p>
    <w:p>
      <w:pPr>
        <w:pStyle w:val="zIndenta"/>
      </w:pPr>
      <w:r>
        <w:tab/>
        <w:t>(a)</w:t>
      </w:r>
      <w:r>
        <w:tab/>
        <w:t>approved under subregulation (6); and</w:t>
      </w:r>
    </w:p>
    <w:p>
      <w:pPr>
        <w:pStyle w:val="zIndenta"/>
      </w:pPr>
      <w:r>
        <w:tab/>
        <w:t>(b)</w:t>
      </w:r>
      <w:r>
        <w:tab/>
        <w:t>published under subregulation (7).</w:t>
      </w:r>
    </w:p>
    <w:p>
      <w:pPr>
        <w:pStyle w:val="zSubsection"/>
      </w:pPr>
      <w:r>
        <w:tab/>
        <w:t>(6)</w:t>
      </w:r>
      <w:r>
        <w:tab/>
        <w:t>The bond administrator may approve ways (including electronic ways) of making payment for the purposes of this regulation.</w:t>
      </w:r>
    </w:p>
    <w:p>
      <w:pPr>
        <w:pStyle w:val="zSubsection"/>
      </w:pPr>
      <w:r>
        <w:tab/>
        <w:t>(7)</w:t>
      </w:r>
      <w:r>
        <w:tab/>
        <w:t>The bond administrator must ensure that a list of the ways of making payment approved under subregulation (6) is published on the Department’s website.</w:t>
      </w:r>
    </w:p>
    <w:p>
      <w:pPr>
        <w:pStyle w:val="BlankClose"/>
      </w:pPr>
    </w:p>
    <w:p>
      <w:pPr>
        <w:pStyle w:val="Heading5"/>
      </w:pPr>
      <w:bookmarkStart w:id="146" w:name="_Toc218521077"/>
      <w:bookmarkStart w:id="147" w:name="_Toc218521639"/>
      <w:r>
        <w:rPr>
          <w:rStyle w:val="CharSectno"/>
        </w:rPr>
        <w:t>29</w:t>
      </w:r>
      <w:r>
        <w:t>.</w:t>
      </w:r>
      <w:r>
        <w:tab/>
        <w:t>Regulation 12BB amended</w:t>
      </w:r>
      <w:bookmarkEnd w:id="146"/>
      <w:bookmarkEnd w:id="147"/>
    </w:p>
    <w:p>
      <w:pPr>
        <w:pStyle w:val="Subsection"/>
      </w:pPr>
      <w:r>
        <w:tab/>
      </w:r>
      <w:r>
        <w:tab/>
        <w:t>Delete regulation 12BB(2) and insert:</w:t>
      </w:r>
    </w:p>
    <w:p>
      <w:pPr>
        <w:pStyle w:val="BlankOpen"/>
      </w:pPr>
    </w:p>
    <w:p>
      <w:pPr>
        <w:pStyle w:val="zSubsection"/>
      </w:pPr>
      <w:r>
        <w:tab/>
        <w:t>(2)</w:t>
      </w:r>
      <w:r>
        <w:tab/>
        <w:t>For the purposes of section 50E(3)(f) of the Act, each of the following is a prescribed ground —</w:t>
      </w:r>
    </w:p>
    <w:p>
      <w:pPr>
        <w:pStyle w:val="zIndenta"/>
      </w:pPr>
      <w:r>
        <w:tab/>
        <w:t>(a)</w:t>
      </w:r>
      <w:r>
        <w:tab/>
        <w:t>the pet is a dangerous dog;</w:t>
      </w:r>
    </w:p>
    <w:p>
      <w:pPr>
        <w:pStyle w:val="zIndenta"/>
        <w:keepNext/>
        <w:keepLines/>
      </w:pPr>
      <w:r>
        <w:lastRenderedPageBreak/>
        <w:tab/>
        <w:t>(b)</w:t>
      </w:r>
      <w:r>
        <w:tab/>
        <w:t>keeping the pet at the premises is likely to cause a tenant under a residential tenancy agreement in respect of the premises (other than the tenant who made the request for consent) undue hardship.</w:t>
      </w:r>
    </w:p>
    <w:p>
      <w:pPr>
        <w:pStyle w:val="BlankClose"/>
      </w:pPr>
    </w:p>
    <w:p>
      <w:pPr>
        <w:pStyle w:val="Heading5"/>
      </w:pPr>
      <w:bookmarkStart w:id="148" w:name="_Toc218521078"/>
      <w:bookmarkStart w:id="149" w:name="_Toc218521640"/>
      <w:r>
        <w:rPr>
          <w:rStyle w:val="CharSectno"/>
        </w:rPr>
        <w:t>30</w:t>
      </w:r>
      <w:r>
        <w:t>.</w:t>
      </w:r>
      <w:r>
        <w:tab/>
        <w:t>Regulations 12F to 12I inserted</w:t>
      </w:r>
      <w:bookmarkEnd w:id="148"/>
      <w:bookmarkEnd w:id="149"/>
    </w:p>
    <w:p>
      <w:pPr>
        <w:pStyle w:val="Subsection"/>
      </w:pPr>
      <w:r>
        <w:tab/>
      </w:r>
      <w:r>
        <w:tab/>
        <w:t>After regulation 12E insert:</w:t>
      </w:r>
    </w:p>
    <w:p>
      <w:pPr>
        <w:pStyle w:val="BlankOpen"/>
      </w:pPr>
    </w:p>
    <w:p>
      <w:pPr>
        <w:pStyle w:val="zHeading5"/>
      </w:pPr>
      <w:bookmarkStart w:id="150" w:name="_Toc218521079"/>
      <w:bookmarkStart w:id="151" w:name="_Toc218521641"/>
      <w:r>
        <w:t>12F.</w:t>
      </w:r>
      <w:r>
        <w:tab/>
        <w:t>Property manager must make security bond release application using BondsOnline eTransactions</w:t>
      </w:r>
      <w:bookmarkEnd w:id="150"/>
      <w:bookmarkEnd w:id="151"/>
    </w:p>
    <w:p>
      <w:pPr>
        <w:pStyle w:val="zSubsection"/>
      </w:pPr>
      <w:r>
        <w:tab/>
        <w:t>(1)</w:t>
      </w:r>
      <w:r>
        <w:tab/>
        <w:t>If a security bond release application is made by a property manager, the application must be made using BondsOnline eTransactions.</w:t>
      </w:r>
    </w:p>
    <w:p>
      <w:pPr>
        <w:pStyle w:val="zSubsection"/>
      </w:pPr>
      <w:r>
        <w:tab/>
        <w:t>(2)</w:t>
      </w:r>
      <w:r>
        <w:tab/>
        <w:t>Subregulation (1) does not apply if —</w:t>
      </w:r>
    </w:p>
    <w:p>
      <w:pPr>
        <w:pStyle w:val="zIndenta"/>
      </w:pPr>
      <w:r>
        <w:tab/>
        <w:t>(a)</w:t>
      </w:r>
      <w:r>
        <w:tab/>
        <w:t xml:space="preserve">the tenant does not have 1 or more of the following — </w:t>
      </w:r>
    </w:p>
    <w:p>
      <w:pPr>
        <w:pStyle w:val="zIndenti"/>
      </w:pPr>
      <w:r>
        <w:tab/>
        <w:t>(i)</w:t>
      </w:r>
      <w:r>
        <w:tab/>
        <w:t>a mobile telephone number used exclusively by the tenant;</w:t>
      </w:r>
    </w:p>
    <w:p>
      <w:pPr>
        <w:pStyle w:val="zIndenti"/>
      </w:pPr>
      <w:r>
        <w:tab/>
        <w:t>(ii)</w:t>
      </w:r>
      <w:r>
        <w:tab/>
        <w:t>an email address used exclusively by the tenant;</w:t>
      </w:r>
    </w:p>
    <w:p>
      <w:pPr>
        <w:pStyle w:val="zIndenti"/>
      </w:pPr>
      <w:r>
        <w:tab/>
        <w:t>(iii)</w:t>
      </w:r>
      <w:r>
        <w:tab/>
        <w:t>internet access to check their email account;</w:t>
      </w:r>
    </w:p>
    <w:p>
      <w:pPr>
        <w:pStyle w:val="zIndenti"/>
      </w:pPr>
      <w:r>
        <w:tab/>
        <w:t>(iv)</w:t>
      </w:r>
      <w:r>
        <w:tab/>
        <w:t>competence in the use of a mobile telephone or email;</w:t>
      </w:r>
    </w:p>
    <w:p>
      <w:pPr>
        <w:pStyle w:val="zIndenti"/>
      </w:pPr>
      <w:r>
        <w:tab/>
        <w:t>(v)</w:t>
      </w:r>
      <w:r>
        <w:tab/>
        <w:t>a sound understanding of the English language;</w:t>
      </w:r>
    </w:p>
    <w:p>
      <w:pPr>
        <w:pStyle w:val="zIndenta"/>
      </w:pPr>
      <w:r>
        <w:tab/>
      </w:r>
      <w:r>
        <w:tab/>
        <w:t>or</w:t>
      </w:r>
    </w:p>
    <w:p>
      <w:pPr>
        <w:pStyle w:val="zIndenta"/>
        <w:keepNext/>
      </w:pPr>
      <w:r>
        <w:lastRenderedPageBreak/>
        <w:tab/>
        <w:t>(b)</w:t>
      </w:r>
      <w:r>
        <w:tab/>
        <w:t>the application relates to the disposal of a security bond to an overseas bank account; or</w:t>
      </w:r>
    </w:p>
    <w:p>
      <w:pPr>
        <w:pStyle w:val="zIndenta"/>
      </w:pPr>
      <w:r>
        <w:tab/>
        <w:t>(c)</w:t>
      </w:r>
      <w:r>
        <w:tab/>
        <w:t>the application relates to the transfer of a security bond from 1 property to another; or</w:t>
      </w:r>
    </w:p>
    <w:p>
      <w:pPr>
        <w:pStyle w:val="zIndenta"/>
      </w:pPr>
      <w:r>
        <w:tab/>
        <w:t>(d)</w:t>
      </w:r>
      <w:r>
        <w:tab/>
        <w:t>the bond administrator has approved the application being made otherwise than by using BondsOnline eTransactions.</w:t>
      </w:r>
    </w:p>
    <w:p>
      <w:pPr>
        <w:pStyle w:val="zHeading5"/>
      </w:pPr>
      <w:bookmarkStart w:id="152" w:name="_Toc218521080"/>
      <w:bookmarkStart w:id="153" w:name="_Toc218521642"/>
      <w:r>
        <w:t>12G.</w:t>
      </w:r>
      <w:r>
        <w:tab/>
        <w:t>Way of giving bond administrator notice prescribed for Act s. 81G(2) and 81H(2)</w:t>
      </w:r>
      <w:bookmarkEnd w:id="152"/>
      <w:bookmarkEnd w:id="153"/>
    </w:p>
    <w:p>
      <w:pPr>
        <w:pStyle w:val="zSubsection"/>
      </w:pPr>
      <w:r>
        <w:tab/>
      </w:r>
      <w:r>
        <w:tab/>
        <w:t>For the purposes of sections 81G(2) and 81H(2) of the Act, a party must give the bond administrator written notice that the party agrees to or disputes a security bond release application in 1 of the following ways —</w:t>
      </w:r>
    </w:p>
    <w:p>
      <w:pPr>
        <w:pStyle w:val="zIndenta"/>
      </w:pPr>
      <w:r>
        <w:tab/>
        <w:t>(a)</w:t>
      </w:r>
      <w:r>
        <w:tab/>
        <w:t>using BondsOnline eTransactions;</w:t>
      </w:r>
    </w:p>
    <w:p>
      <w:pPr>
        <w:pStyle w:val="zIndenta"/>
      </w:pPr>
      <w:r>
        <w:tab/>
        <w:t>(b)</w:t>
      </w:r>
      <w:r>
        <w:tab/>
        <w:t>using any other electronic system, administered by the bond administrator and accessible through the Department’s website, that facilitates applications and other processes under the Act in relation to security bonds;</w:t>
      </w:r>
    </w:p>
    <w:p>
      <w:pPr>
        <w:pStyle w:val="zIndenta"/>
      </w:pPr>
      <w:r>
        <w:tab/>
        <w:t>(c)</w:t>
      </w:r>
      <w:r>
        <w:tab/>
        <w:t>in accordance with section 85(1)(a) or (b) of the Act;</w:t>
      </w:r>
    </w:p>
    <w:p>
      <w:pPr>
        <w:pStyle w:val="zIndenta"/>
      </w:pPr>
      <w:r>
        <w:tab/>
        <w:t>(d)</w:t>
      </w:r>
      <w:r>
        <w:tab/>
        <w:t>if the bond administrator consents, by sending the notice by email to the email address provided by the bond administrator.</w:t>
      </w:r>
    </w:p>
    <w:p>
      <w:pPr>
        <w:pStyle w:val="zHeading5"/>
      </w:pPr>
      <w:bookmarkStart w:id="154" w:name="_Toc218521081"/>
      <w:bookmarkStart w:id="155" w:name="_Toc218521643"/>
      <w:r>
        <w:t>12H.</w:t>
      </w:r>
      <w:r>
        <w:tab/>
        <w:t>Way bond administrator must deal with unclaimed security bond prescribed for Act s. 81T(2)</w:t>
      </w:r>
      <w:bookmarkEnd w:id="154"/>
      <w:bookmarkEnd w:id="155"/>
    </w:p>
    <w:p>
      <w:pPr>
        <w:pStyle w:val="zSubsection"/>
      </w:pPr>
      <w:r>
        <w:tab/>
      </w:r>
      <w:r>
        <w:tab/>
        <w:t>For the purposes of section 81T(2) of the Act, the bond administrator must deal with the security bond, or part of the security bond, in accordance with regulations 15 and 16.</w:t>
      </w:r>
    </w:p>
    <w:p>
      <w:pPr>
        <w:pStyle w:val="zHeading5"/>
      </w:pPr>
      <w:bookmarkStart w:id="156" w:name="_Toc218521082"/>
      <w:bookmarkStart w:id="157" w:name="_Toc218521644"/>
      <w:r>
        <w:lastRenderedPageBreak/>
        <w:t>12I.</w:t>
      </w:r>
      <w:r>
        <w:tab/>
        <w:t>Prescribed circumstances and prescribed electronic means for purposes of Act s. 85(1)(c)</w:t>
      </w:r>
      <w:bookmarkEnd w:id="156"/>
      <w:bookmarkEnd w:id="157"/>
    </w:p>
    <w:p>
      <w:pPr>
        <w:pStyle w:val="zSubsection"/>
        <w:keepNext/>
        <w:keepLines/>
      </w:pPr>
      <w:r>
        <w:tab/>
        <w:t>(1)</w:t>
      </w:r>
      <w:r>
        <w:tab/>
        <w:t>In this regulation —</w:t>
      </w:r>
    </w:p>
    <w:p>
      <w:pPr>
        <w:pStyle w:val="zDefstart"/>
        <w:keepNext/>
        <w:keepLines/>
      </w:pPr>
      <w:r>
        <w:tab/>
      </w:r>
      <w:r>
        <w:rPr>
          <w:rStyle w:val="CharDefText"/>
        </w:rPr>
        <w:t>authorised notice</w:t>
      </w:r>
      <w:r>
        <w:t xml:space="preserve"> means a notice required or authorised to be given under section 11F(2), 11G(1), 11J(1), 11L(2), 81F(2) or 81Q(1) of the Act or regulation 15(2).</w:t>
      </w:r>
    </w:p>
    <w:p>
      <w:pPr>
        <w:pStyle w:val="zSubsection"/>
      </w:pPr>
      <w:r>
        <w:tab/>
        <w:t>(2)</w:t>
      </w:r>
      <w:r>
        <w:tab/>
        <w:t>For the purposes of section 85(1)(c) of the Act —</w:t>
      </w:r>
    </w:p>
    <w:p>
      <w:pPr>
        <w:pStyle w:val="zIndenta"/>
      </w:pPr>
      <w:r>
        <w:tab/>
        <w:t>(a)</w:t>
      </w:r>
      <w:r>
        <w:tab/>
        <w:t>the other prescribed circumstances in which an authorised notice may be given to or served on a person by prescribed electronic means are that the email address of the person has been provided to the bond administrator together with —</w:t>
      </w:r>
    </w:p>
    <w:p>
      <w:pPr>
        <w:pStyle w:val="zIndenti"/>
      </w:pPr>
      <w:r>
        <w:tab/>
        <w:t>(i)</w:t>
      </w:r>
      <w:r>
        <w:tab/>
        <w:t>a record of the payment by the person of a bond lodged under section 29(4)(c) of the Act; or</w:t>
      </w:r>
    </w:p>
    <w:p>
      <w:pPr>
        <w:pStyle w:val="zIndenti"/>
      </w:pPr>
      <w:r>
        <w:tab/>
        <w:t>(ii)</w:t>
      </w:r>
      <w:r>
        <w:tab/>
        <w:t>a security bond release application made under section 81C of the Act;</w:t>
      </w:r>
    </w:p>
    <w:p>
      <w:pPr>
        <w:pStyle w:val="zIndenta"/>
      </w:pPr>
      <w:r>
        <w:tab/>
      </w:r>
      <w:r>
        <w:tab/>
        <w:t>and</w:t>
      </w:r>
    </w:p>
    <w:p>
      <w:pPr>
        <w:pStyle w:val="zIndenta"/>
      </w:pPr>
      <w:r>
        <w:tab/>
        <w:t>(b)</w:t>
      </w:r>
      <w:r>
        <w:tab/>
        <w:t>the prescribed electronic means by which an authorised notice may be given to or served on a person is by sending the notice by email to the email address of the person.</w:t>
      </w:r>
    </w:p>
    <w:p>
      <w:pPr>
        <w:pStyle w:val="BlankClose"/>
      </w:pPr>
    </w:p>
    <w:p>
      <w:pPr>
        <w:pStyle w:val="Heading5"/>
      </w:pPr>
      <w:bookmarkStart w:id="158" w:name="_Toc218521083"/>
      <w:bookmarkStart w:id="159" w:name="_Toc218521645"/>
      <w:r>
        <w:rPr>
          <w:rStyle w:val="CharSectno"/>
        </w:rPr>
        <w:lastRenderedPageBreak/>
        <w:t>31</w:t>
      </w:r>
      <w:r>
        <w:t>.</w:t>
      </w:r>
      <w:r>
        <w:tab/>
        <w:t>Regulation 15 replaced</w:t>
      </w:r>
      <w:bookmarkEnd w:id="158"/>
      <w:bookmarkEnd w:id="159"/>
    </w:p>
    <w:p>
      <w:pPr>
        <w:pStyle w:val="Subsection"/>
        <w:keepNext/>
      </w:pPr>
      <w:r>
        <w:tab/>
      </w:r>
      <w:r>
        <w:tab/>
        <w:t>Delete regulation 15 and insert:</w:t>
      </w:r>
    </w:p>
    <w:p>
      <w:pPr>
        <w:pStyle w:val="BlankOpen"/>
      </w:pPr>
    </w:p>
    <w:p>
      <w:pPr>
        <w:pStyle w:val="zHeading5"/>
      </w:pPr>
      <w:bookmarkStart w:id="160" w:name="_Toc218521084"/>
      <w:bookmarkStart w:id="161" w:name="_Toc218521646"/>
      <w:r>
        <w:t>15.</w:t>
      </w:r>
      <w:r>
        <w:tab/>
        <w:t>Dealing with unclaimed security bonds generally</w:t>
      </w:r>
      <w:bookmarkEnd w:id="160"/>
      <w:bookmarkEnd w:id="161"/>
    </w:p>
    <w:p>
      <w:pPr>
        <w:pStyle w:val="zSubsection"/>
      </w:pPr>
      <w:r>
        <w:tab/>
        <w:t>(1)</w:t>
      </w:r>
      <w:r>
        <w:tab/>
        <w:t>This regulation applies if an amount of a security bond for a residential tenancy agreement is unclaimed as referred to in section 81T(1) of the Act.</w:t>
      </w:r>
    </w:p>
    <w:p>
      <w:pPr>
        <w:pStyle w:val="zSubsection"/>
        <w:keepNext/>
      </w:pPr>
      <w:r>
        <w:tab/>
        <w:t>(2)</w:t>
      </w:r>
      <w:r>
        <w:tab/>
        <w:t xml:space="preserve">The bond administrator must give notice in writing to the lessor and the tenant in whose names the security bond is held — </w:t>
      </w:r>
    </w:p>
    <w:p>
      <w:pPr>
        <w:pStyle w:val="zIndenta"/>
      </w:pPr>
      <w:r>
        <w:tab/>
        <w:t>(a)</w:t>
      </w:r>
      <w:r>
        <w:tab/>
        <w:t>informing them that the bond administrator has reason to believe that 6 months have elapsed since the termination of the residential tenancy agreement and that the security bond for the agreement, or part of the security bond, has not been paid to any of the parties to the agreement under Part 5A Division 2 of the Act; and</w:t>
      </w:r>
    </w:p>
    <w:p>
      <w:pPr>
        <w:pStyle w:val="zIndenta"/>
      </w:pPr>
      <w:r>
        <w:tab/>
        <w:t>(b)</w:t>
      </w:r>
      <w:r>
        <w:tab/>
        <w:t>inviting them to apply under the Act for disposal of the security bond; and</w:t>
      </w:r>
    </w:p>
    <w:p>
      <w:pPr>
        <w:pStyle w:val="zIndenta"/>
      </w:pPr>
      <w:r>
        <w:tab/>
        <w:t>(c)</w:t>
      </w:r>
      <w:r>
        <w:tab/>
        <w:t>notifying them that if the security bond is still in the bond administrator’s possession after 60 days from the date of the notice the amount will be paid to the Unclaimed Security Bond Account.</w:t>
      </w:r>
    </w:p>
    <w:p>
      <w:pPr>
        <w:pStyle w:val="zSubsection"/>
      </w:pPr>
      <w:r>
        <w:tab/>
        <w:t>(3)</w:t>
      </w:r>
      <w:r>
        <w:tab/>
        <w:t>The bond administrator is not required to give notice under subregulation (2) to a person if —</w:t>
      </w:r>
    </w:p>
    <w:p>
      <w:pPr>
        <w:pStyle w:val="zIndenta"/>
      </w:pPr>
      <w:r>
        <w:tab/>
        <w:t>(a)</w:t>
      </w:r>
      <w:r>
        <w:tab/>
        <w:t>under section 81K(3), 81L(3) or 81N(2) of the Act, the bond administrator must pay an amount of the security bond to the person; and</w:t>
      </w:r>
    </w:p>
    <w:p>
      <w:pPr>
        <w:pStyle w:val="zIndenta"/>
      </w:pPr>
      <w:r>
        <w:tab/>
        <w:t>(b)</w:t>
      </w:r>
      <w:r>
        <w:tab/>
        <w:t>the bond administrator has paid the amount to the person.</w:t>
      </w:r>
    </w:p>
    <w:p>
      <w:pPr>
        <w:pStyle w:val="zSubsection"/>
      </w:pPr>
      <w:r>
        <w:lastRenderedPageBreak/>
        <w:tab/>
        <w:t>(4)</w:t>
      </w:r>
      <w:r>
        <w:tab/>
        <w:t>The bond administrator is not required to give notice under subregulation (2) to a person if the bond administrator —</w:t>
      </w:r>
    </w:p>
    <w:p>
      <w:pPr>
        <w:pStyle w:val="zIndenta"/>
      </w:pPr>
      <w:r>
        <w:tab/>
        <w:t>(a)</w:t>
      </w:r>
      <w:r>
        <w:tab/>
        <w:t xml:space="preserve">is satisfied that the person (the </w:t>
      </w:r>
      <w:r>
        <w:rPr>
          <w:rStyle w:val="CharDefText"/>
        </w:rPr>
        <w:t>deceased person</w:t>
      </w:r>
      <w:r>
        <w:t>) has died; and</w:t>
      </w:r>
    </w:p>
    <w:p>
      <w:pPr>
        <w:pStyle w:val="zIndenta"/>
      </w:pPr>
      <w:r>
        <w:tab/>
        <w:t>(b)</w:t>
      </w:r>
      <w:r>
        <w:tab/>
        <w:t>has not been given any of the following —</w:t>
      </w:r>
    </w:p>
    <w:p>
      <w:pPr>
        <w:pStyle w:val="zIndenti"/>
      </w:pPr>
      <w:r>
        <w:tab/>
        <w:t>(i)</w:t>
      </w:r>
      <w:r>
        <w:tab/>
        <w:t>evidence of probate of the will of the deceased person;</w:t>
      </w:r>
    </w:p>
    <w:p>
      <w:pPr>
        <w:pStyle w:val="zIndenti"/>
      </w:pPr>
      <w:r>
        <w:tab/>
        <w:t>(ii)</w:t>
      </w:r>
      <w:r>
        <w:tab/>
        <w:t>evidence of administration of the estate of the deceased person;</w:t>
      </w:r>
    </w:p>
    <w:p>
      <w:pPr>
        <w:pStyle w:val="zIndenti"/>
      </w:pPr>
      <w:r>
        <w:tab/>
        <w:t>(iii)</w:t>
      </w:r>
      <w:r>
        <w:tab/>
        <w:t>notice in writing of any will of the deceased person and of intention to prove it;</w:t>
      </w:r>
    </w:p>
    <w:p>
      <w:pPr>
        <w:pStyle w:val="zIndenti"/>
      </w:pPr>
      <w:r>
        <w:tab/>
        <w:t>(iv)</w:t>
      </w:r>
      <w:r>
        <w:tab/>
        <w:t>notice in writing of an intention to apply for administration of the estate of the deceased person.</w:t>
      </w:r>
    </w:p>
    <w:p>
      <w:pPr>
        <w:pStyle w:val="zSubsection"/>
      </w:pPr>
      <w:r>
        <w:tab/>
        <w:t>(5)</w:t>
      </w:r>
      <w:r>
        <w:tab/>
        <w:t>If after 60 days from the date of a notice under subregulation (2) the security bond is still in the bond administrator’s possession, the bond administrator must pay the amount to the Unclaimed Security Bond Account.</w:t>
      </w:r>
    </w:p>
    <w:p>
      <w:pPr>
        <w:pStyle w:val="zSubsection"/>
      </w:pPr>
      <w:r>
        <w:tab/>
        <w:t>(6)</w:t>
      </w:r>
      <w:r>
        <w:tab/>
        <w:t>If, because of subregulation (4), the bond administrator is not required to give any notice under subregulation (2) in relation to the security bond, the bond administrator must pay the amount to the Unclaimed Security Bond Account.</w:t>
      </w:r>
    </w:p>
    <w:p>
      <w:pPr>
        <w:pStyle w:val="zSubsection"/>
      </w:pPr>
      <w:r>
        <w:tab/>
        <w:t>(7)</w:t>
      </w:r>
      <w:r>
        <w:tab/>
        <w:t>A security bond that remains in the Unclaimed Security Bond Account at the expiration of 6 years from the day on which it is paid into that account must be paid into the Consolidated Account.</w:t>
      </w:r>
    </w:p>
    <w:p>
      <w:pPr>
        <w:pStyle w:val="zSubsection"/>
        <w:keepNext/>
      </w:pPr>
      <w:r>
        <w:lastRenderedPageBreak/>
        <w:tab/>
        <w:t>(8)</w:t>
      </w:r>
      <w:r>
        <w:tab/>
        <w:t>Part III Divisions 1 and 2 and Part 5A of the Act and regulation 16 apply to a security bond while it is in the Unclaimed Security Bond Account.</w:t>
      </w:r>
    </w:p>
    <w:p>
      <w:pPr>
        <w:pStyle w:val="zSubsection"/>
      </w:pPr>
      <w:r>
        <w:tab/>
        <w:t>(9)</w:t>
      </w:r>
      <w:r>
        <w:tab/>
        <w:t>For the purposes of this regulation, the bond administrator must establish in the Rental Accommodation Account referred to in Schedule 1 clause 3 of the Act an account called the Unclaimed Security Bond Account.</w:t>
      </w:r>
    </w:p>
    <w:p>
      <w:pPr>
        <w:pStyle w:val="zSubsection"/>
      </w:pPr>
      <w:r>
        <w:tab/>
        <w:t>(10)</w:t>
      </w:r>
      <w:r>
        <w:tab/>
        <w:t>In this regulation — </w:t>
      </w:r>
    </w:p>
    <w:p>
      <w:pPr>
        <w:pStyle w:val="zDefstart"/>
      </w:pPr>
      <w:r>
        <w:rPr>
          <w:b/>
        </w:rPr>
        <w:tab/>
      </w:r>
      <w:r>
        <w:rPr>
          <w:rStyle w:val="CharDefText"/>
        </w:rPr>
        <w:t>security bond</w:t>
      </w:r>
      <w:r>
        <w:t xml:space="preserve"> includes part of a security bond;</w:t>
      </w:r>
    </w:p>
    <w:p>
      <w:pPr>
        <w:pStyle w:val="zDefstart"/>
      </w:pPr>
      <w:r>
        <w:rPr>
          <w:b/>
        </w:rPr>
        <w:tab/>
      </w:r>
      <w:r>
        <w:rPr>
          <w:rStyle w:val="CharDefText"/>
        </w:rPr>
        <w:t>Unclaimed Security Bond Account</w:t>
      </w:r>
      <w:r>
        <w:t xml:space="preserve"> means the account established under subregulation (9).</w:t>
      </w:r>
    </w:p>
    <w:p>
      <w:pPr>
        <w:pStyle w:val="zHeading5"/>
      </w:pPr>
      <w:bookmarkStart w:id="162" w:name="_Toc218521085"/>
      <w:bookmarkStart w:id="163" w:name="_Toc218521647"/>
      <w:r>
        <w:t>16.</w:t>
      </w:r>
      <w:r>
        <w:tab/>
        <w:t>Dealing with unclaimed security bonds if tenant has died</w:t>
      </w:r>
      <w:bookmarkEnd w:id="162"/>
      <w:bookmarkEnd w:id="163"/>
    </w:p>
    <w:p>
      <w:pPr>
        <w:pStyle w:val="zSubsection"/>
      </w:pPr>
      <w:r>
        <w:tab/>
        <w:t>(1)</w:t>
      </w:r>
      <w:r>
        <w:tab/>
        <w:t>This regulation applies if —</w:t>
      </w:r>
    </w:p>
    <w:p>
      <w:pPr>
        <w:pStyle w:val="zIndenta"/>
      </w:pPr>
      <w:r>
        <w:tab/>
        <w:t>(a)</w:t>
      </w:r>
      <w:r>
        <w:tab/>
        <w:t>an amount of a security bond for a residential tenancy agreement is unclaimed as referred to in section 81T(1) of the Act; and</w:t>
      </w:r>
    </w:p>
    <w:p>
      <w:pPr>
        <w:pStyle w:val="zIndenta"/>
      </w:pPr>
      <w:r>
        <w:tab/>
        <w:t>(b)</w:t>
      </w:r>
      <w:r>
        <w:tab/>
        <w:t>the amount is less than $50 000; and</w:t>
      </w:r>
    </w:p>
    <w:p>
      <w:pPr>
        <w:pStyle w:val="zIndenta"/>
      </w:pPr>
      <w:r>
        <w:tab/>
        <w:t>(c)</w:t>
      </w:r>
      <w:r>
        <w:tab/>
        <w:t>the bond administrator is satisfied that the tenant, or if there are co</w:t>
      </w:r>
      <w:r>
        <w:noBreakHyphen/>
        <w:t>tenants, a co</w:t>
      </w:r>
      <w:r>
        <w:noBreakHyphen/>
        <w:t xml:space="preserve">tenant (the </w:t>
      </w:r>
      <w:r>
        <w:rPr>
          <w:rStyle w:val="CharDefText"/>
        </w:rPr>
        <w:t>deceased tenant</w:t>
      </w:r>
      <w:r>
        <w:t>) has died; and</w:t>
      </w:r>
    </w:p>
    <w:p>
      <w:pPr>
        <w:pStyle w:val="zIndenta"/>
      </w:pPr>
      <w:r>
        <w:tab/>
        <w:t>(d)</w:t>
      </w:r>
      <w:r>
        <w:tab/>
        <w:t>both of the following periods have ended —</w:t>
      </w:r>
    </w:p>
    <w:p>
      <w:pPr>
        <w:pStyle w:val="zIndenti"/>
      </w:pPr>
      <w:r>
        <w:tab/>
        <w:t>(i)</w:t>
      </w:r>
      <w:r>
        <w:tab/>
        <w:t>the period of 6 months beginning on the day on which the agreement was terminated;</w:t>
      </w:r>
    </w:p>
    <w:p>
      <w:pPr>
        <w:pStyle w:val="zIndenti"/>
      </w:pPr>
      <w:r>
        <w:tab/>
        <w:t>(ii)</w:t>
      </w:r>
      <w:r>
        <w:tab/>
        <w:t>the period of 6 months beginning on the day on which the deceased tenant died;</w:t>
      </w:r>
    </w:p>
    <w:p>
      <w:pPr>
        <w:pStyle w:val="zIndenta"/>
      </w:pPr>
      <w:r>
        <w:tab/>
      </w:r>
      <w:r>
        <w:tab/>
        <w:t>and</w:t>
      </w:r>
    </w:p>
    <w:p>
      <w:pPr>
        <w:pStyle w:val="zIndenta"/>
        <w:keepNext/>
      </w:pPr>
      <w:r>
        <w:lastRenderedPageBreak/>
        <w:tab/>
        <w:t>(e)</w:t>
      </w:r>
      <w:r>
        <w:tab/>
        <w:t>the bond administrator has not been given any of the following —</w:t>
      </w:r>
    </w:p>
    <w:p>
      <w:pPr>
        <w:pStyle w:val="zIndenti"/>
      </w:pPr>
      <w:r>
        <w:tab/>
        <w:t>(i)</w:t>
      </w:r>
      <w:r>
        <w:tab/>
        <w:t>evidence of probate of the will of the deceased tenant;</w:t>
      </w:r>
    </w:p>
    <w:p>
      <w:pPr>
        <w:pStyle w:val="zIndenti"/>
      </w:pPr>
      <w:r>
        <w:tab/>
        <w:t>(ii)</w:t>
      </w:r>
      <w:r>
        <w:tab/>
        <w:t>evidence of administration of the estate of the deceased tenant;</w:t>
      </w:r>
    </w:p>
    <w:p>
      <w:pPr>
        <w:pStyle w:val="zIndenti"/>
      </w:pPr>
      <w:r>
        <w:tab/>
        <w:t>(iii)</w:t>
      </w:r>
      <w:r>
        <w:tab/>
        <w:t>notice in writing of any will of the deceased tenant and of intention to prove it;</w:t>
      </w:r>
    </w:p>
    <w:p>
      <w:pPr>
        <w:pStyle w:val="zIndenti"/>
      </w:pPr>
      <w:r>
        <w:tab/>
        <w:t>(iv)</w:t>
      </w:r>
      <w:r>
        <w:tab/>
        <w:t>notice in writing of an intention to apply for administration of the estate of the deceased tenant.</w:t>
      </w:r>
    </w:p>
    <w:p>
      <w:pPr>
        <w:pStyle w:val="zSubsection"/>
      </w:pPr>
      <w:r>
        <w:tab/>
        <w:t>(2)</w:t>
      </w:r>
      <w:r>
        <w:tab/>
        <w:t>The bond administrator may dispose of all or part of the deceased tenant’s portion of the security bond by doing either or both of the following —</w:t>
      </w:r>
    </w:p>
    <w:p>
      <w:pPr>
        <w:pStyle w:val="zIndenta"/>
      </w:pPr>
      <w:r>
        <w:tab/>
        <w:t>(a)</w:t>
      </w:r>
      <w:r>
        <w:tab/>
        <w:t>reimbursing a person who has incurred or paid all or part of the deceased tenant’s funeral expenses;</w:t>
      </w:r>
    </w:p>
    <w:p>
      <w:pPr>
        <w:pStyle w:val="zIndenta"/>
      </w:pPr>
      <w:r>
        <w:tab/>
        <w:t>(b)</w:t>
      </w:r>
      <w:r>
        <w:tab/>
        <w:t>paying all or part of the deceased tenant’s portion of the security bond to 1 or more eligible persons.</w:t>
      </w:r>
    </w:p>
    <w:p>
      <w:pPr>
        <w:pStyle w:val="zSubsection"/>
      </w:pPr>
      <w:r>
        <w:tab/>
        <w:t>(3)</w:t>
      </w:r>
      <w:r>
        <w:tab/>
        <w:t xml:space="preserve">For the purposes of subregulation (2)(b), a person is an </w:t>
      </w:r>
      <w:r>
        <w:rPr>
          <w:rStyle w:val="CharDefText"/>
        </w:rPr>
        <w:t>eligible person</w:t>
      </w:r>
      <w:r>
        <w:t xml:space="preserve"> in relation to the deceased tenant if the bond administrator is satisfied that the person —</w:t>
      </w:r>
    </w:p>
    <w:p>
      <w:pPr>
        <w:pStyle w:val="zIndenta"/>
      </w:pPr>
      <w:r>
        <w:tab/>
        <w:t>(a)</w:t>
      </w:r>
      <w:r>
        <w:tab/>
        <w:t>was, immediately before the deceased tenant’s death, the spouse or de facto partner of the deceased tenant; or</w:t>
      </w:r>
    </w:p>
    <w:p>
      <w:pPr>
        <w:pStyle w:val="zIndenta"/>
      </w:pPr>
      <w:r>
        <w:tab/>
        <w:t>(b)</w:t>
      </w:r>
      <w:r>
        <w:tab/>
        <w:t>is a parent or child of the deceased tenant.</w:t>
      </w:r>
    </w:p>
    <w:p>
      <w:pPr>
        <w:pStyle w:val="BlankClose"/>
      </w:pPr>
    </w:p>
    <w:p>
      <w:pPr>
        <w:pStyle w:val="Heading5"/>
      </w:pPr>
      <w:bookmarkStart w:id="164" w:name="_Toc218521086"/>
      <w:bookmarkStart w:id="165" w:name="_Toc218521648"/>
      <w:r>
        <w:rPr>
          <w:rStyle w:val="CharSectno"/>
        </w:rPr>
        <w:lastRenderedPageBreak/>
        <w:t>32</w:t>
      </w:r>
      <w:r>
        <w:t>.</w:t>
      </w:r>
      <w:r>
        <w:tab/>
        <w:t>Regulation 20 inserted</w:t>
      </w:r>
      <w:bookmarkEnd w:id="164"/>
      <w:bookmarkEnd w:id="165"/>
    </w:p>
    <w:p>
      <w:pPr>
        <w:pStyle w:val="Subsection"/>
        <w:keepNext/>
      </w:pPr>
      <w:r>
        <w:tab/>
      </w:r>
      <w:r>
        <w:tab/>
        <w:t>At the end of Part 4 insert:</w:t>
      </w:r>
    </w:p>
    <w:p>
      <w:pPr>
        <w:pStyle w:val="BlankOpen"/>
      </w:pPr>
    </w:p>
    <w:p>
      <w:pPr>
        <w:pStyle w:val="zHeading5"/>
      </w:pPr>
      <w:bookmarkStart w:id="166" w:name="_Toc218521087"/>
      <w:bookmarkStart w:id="167" w:name="_Toc218521649"/>
      <w:r>
        <w:t>20.</w:t>
      </w:r>
      <w:r>
        <w:tab/>
        <w:t xml:space="preserve">Transitional provision — </w:t>
      </w:r>
      <w:r>
        <w:rPr>
          <w:i/>
        </w:rPr>
        <w:t>Commerce Regulations Amendment (Residential Tenancies and Residential Parks) Regulations 2026</w:t>
      </w:r>
      <w:bookmarkEnd w:id="166"/>
      <w:bookmarkEnd w:id="167"/>
    </w:p>
    <w:p>
      <w:pPr>
        <w:pStyle w:val="zSubsection"/>
      </w:pPr>
      <w:r>
        <w:tab/>
        <w:t>(1)</w:t>
      </w:r>
      <w:r>
        <w:tab/>
        <w:t>In this regulation —</w:t>
      </w:r>
    </w:p>
    <w:p>
      <w:pPr>
        <w:pStyle w:val="zDefstart"/>
      </w:pPr>
      <w:r>
        <w:tab/>
      </w:r>
      <w:r>
        <w:rPr>
          <w:rStyle w:val="CharDefText"/>
        </w:rPr>
        <w:t>commencement day</w:t>
      </w:r>
      <w:r>
        <w:t xml:space="preserve"> means the day on which the </w:t>
      </w:r>
      <w:r>
        <w:rPr>
          <w:i/>
        </w:rPr>
        <w:t>Commerce Regulations Amendment (Residential Tenancies and Residential Parks) Regulations 2026</w:t>
      </w:r>
      <w:r>
        <w:t xml:space="preserve"> Part 3 comes into operation;</w:t>
      </w:r>
    </w:p>
    <w:p>
      <w:pPr>
        <w:pStyle w:val="zDefstart"/>
      </w:pPr>
      <w:r>
        <w:tab/>
      </w:r>
      <w:r>
        <w:rPr>
          <w:rStyle w:val="CharDefText"/>
        </w:rPr>
        <w:t>former regulation 15(2)</w:t>
      </w:r>
      <w:r>
        <w:t xml:space="preserve"> means regulation 15(2) as in force from time to time before commencement day.</w:t>
      </w:r>
    </w:p>
    <w:p>
      <w:pPr>
        <w:pStyle w:val="zSubsection"/>
      </w:pPr>
      <w:r>
        <w:tab/>
        <w:t>(2)</w:t>
      </w:r>
      <w:r>
        <w:tab/>
        <w:t>The bond administrator is not required to give notice under regulation 15(2) to a person in relation to a security bond if the bond administrator has given the person a notice under former regulation 15(2) in relation to the security bond.</w:t>
      </w:r>
    </w:p>
    <w:p>
      <w:pPr>
        <w:pStyle w:val="BlankClose"/>
      </w:pPr>
    </w:p>
    <w:p>
      <w:pPr>
        <w:pStyle w:val="Heading5"/>
      </w:pPr>
      <w:bookmarkStart w:id="168" w:name="_Toc218521088"/>
      <w:bookmarkStart w:id="169" w:name="_Toc218521650"/>
      <w:r>
        <w:rPr>
          <w:rStyle w:val="CharSectno"/>
        </w:rPr>
        <w:t>33</w:t>
      </w:r>
      <w:r>
        <w:t>.</w:t>
      </w:r>
      <w:r>
        <w:tab/>
        <w:t>Schedule 3 amended</w:t>
      </w:r>
      <w:bookmarkEnd w:id="168"/>
      <w:bookmarkEnd w:id="169"/>
    </w:p>
    <w:p>
      <w:pPr>
        <w:pStyle w:val="Subsection"/>
      </w:pPr>
      <w:r>
        <w:tab/>
      </w:r>
      <w:r>
        <w:tab/>
        <w:t>In Schedule 3 item 2 delete “</w:t>
      </w:r>
      <w:r>
        <w:rPr>
          <w:sz w:val="22"/>
        </w:rPr>
        <w:t>clause 8(3) of Schedule 1 to</w:t>
      </w:r>
      <w:r>
        <w:t>” and insert:</w:t>
      </w:r>
    </w:p>
    <w:p>
      <w:pPr>
        <w:pStyle w:val="BlankOpen"/>
      </w:pPr>
    </w:p>
    <w:p>
      <w:pPr>
        <w:pStyle w:val="Subsection"/>
        <w:rPr>
          <w:sz w:val="22"/>
        </w:rPr>
      </w:pPr>
      <w:r>
        <w:tab/>
      </w:r>
      <w:r>
        <w:tab/>
      </w:r>
      <w:r>
        <w:rPr>
          <w:sz w:val="22"/>
        </w:rPr>
        <w:t>section 18A(3) of</w:t>
      </w:r>
    </w:p>
    <w:p>
      <w:pPr>
        <w:pStyle w:val="BlankClose"/>
      </w:pPr>
    </w:p>
    <w:p>
      <w:pPr>
        <w:pStyle w:val="Heading5"/>
      </w:pPr>
      <w:bookmarkStart w:id="170" w:name="_Toc218521089"/>
      <w:bookmarkStart w:id="171" w:name="_Toc218521651"/>
      <w:r>
        <w:rPr>
          <w:rStyle w:val="CharSectno"/>
        </w:rPr>
        <w:lastRenderedPageBreak/>
        <w:t>34</w:t>
      </w:r>
      <w:r>
        <w:t>.</w:t>
      </w:r>
      <w:r>
        <w:tab/>
        <w:t>Schedule 5 amended</w:t>
      </w:r>
      <w:bookmarkEnd w:id="170"/>
      <w:bookmarkEnd w:id="171"/>
    </w:p>
    <w:p>
      <w:pPr>
        <w:pStyle w:val="Subsection"/>
        <w:keepNext/>
      </w:pPr>
      <w:r>
        <w:tab/>
      </w:r>
      <w:r>
        <w:tab/>
        <w:t>In Schedule 5 under the heading “</w:t>
      </w:r>
      <w:r>
        <w:rPr>
          <w:b/>
          <w:sz w:val="22"/>
          <w:szCs w:val="18"/>
        </w:rPr>
        <w:t xml:space="preserve">Offences under </w:t>
      </w:r>
      <w:r>
        <w:rPr>
          <w:b/>
          <w:i/>
          <w:sz w:val="22"/>
          <w:szCs w:val="18"/>
        </w:rPr>
        <w:t>Residential Tenancies Act 1987</w:t>
      </w:r>
      <w:r>
        <w:rPr>
          <w:bCs/>
          <w:iCs/>
        </w:rPr>
        <w:t xml:space="preserve">” </w:t>
      </w:r>
      <w:r>
        <w:t>after the item for section 80 insert:</w:t>
      </w:r>
    </w:p>
    <w:p>
      <w:pPr>
        <w:pStyle w:val="BlankOpen"/>
      </w:pPr>
    </w:p>
    <w:tbl>
      <w:tblPr>
        <w:tblW w:w="7088" w:type="dxa"/>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1"/>
        </w:trPr>
        <w:tc>
          <w:tcPr>
            <w:tcW w:w="1276" w:type="dxa"/>
          </w:tcPr>
          <w:p>
            <w:pPr>
              <w:pStyle w:val="zyTableNAm"/>
            </w:pPr>
            <w:r>
              <w:t>s. 81C(5)</w:t>
            </w:r>
          </w:p>
        </w:tc>
        <w:tc>
          <w:tcPr>
            <w:tcW w:w="4820" w:type="dxa"/>
          </w:tcPr>
          <w:p>
            <w:pPr>
              <w:pStyle w:val="zyTableNAm"/>
            </w:pPr>
            <w:r>
              <w:t>Unlawfully asking or requiring tenant to sign security bond release application</w:t>
            </w:r>
          </w:p>
        </w:tc>
        <w:tc>
          <w:tcPr>
            <w:tcW w:w="992" w:type="dxa"/>
            <w:vAlign w:val="bottom"/>
          </w:tcPr>
          <w:p>
            <w:pPr>
              <w:pStyle w:val="zyTableNAm"/>
            </w:pPr>
            <w:r>
              <w:t>$1 000</w:t>
            </w:r>
          </w:p>
        </w:tc>
      </w:tr>
    </w:tbl>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A. O’SULLIVAN,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right</wp:align>
                </wp:positionH>
                <wp:positionV relativeFrom="page">
                  <wp:posOffset>7400260</wp:posOffset>
                </wp:positionV>
                <wp:extent cx="127000" cy="691117"/>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91117"/>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41.2pt;margin-top:582.7pt;width:10pt;height:54.4pt;z-index:251660288;visibility:visible;mso-wrap-style:square;mso-width-percent:1000;mso-height-percent:0;mso-wrap-distance-left:9pt;mso-wrap-distance-top:0;mso-wrap-distance-right:9pt;mso-wrap-distance-bottom:0;mso-position-horizontal:righ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ixoPQIAAHgEAAAOAAAAZHJzL2Uyb0RvYy54bWysVN+P2jAMfp+0/yHK+2jLuF8V5cQ4MU1C&#10;dydx0z2HNIFIaZwlgZb99XPSwrHbnqbxEOzYsf35szu97xpNDsJ5BaaixSinRBgOtTLbin5/WX66&#10;pcQHZmqmwYiKHoWn97OPH6atLcUYdqBr4QgGMb5sbUV3IdgyyzzfiYb5EVhh0CjBNSyg6rZZ7ViL&#10;0RudjfP8OmvB1dYBF97j7UNvpLMUX0rBw5OUXgSiK4q1hXS6dG7imc2mrNw6ZneKD2Wwf6iiYcpg&#10;0nOoBxYY2Tv1R6hGcQceZBhxaDKQUnGRMCCaIn+HZr1jViQs2Bxvz23y/y8sfzw8O6Jq5I4Swxqk&#10;aL4PO3AqHGNzWutL9Flb9ArdF+ii43Dv8TJi7qRr4j+iIWjHNh/PrRVdIDw+Gt/kOVo4mq7viqK4&#10;iVGyt8fW+fBVQEOiUFGHzKWGssPKh9715BJzedCqXiqtk+K2m4V25MCQ5WX6DdF/c9OGtJj981We&#10;IhuI7/vQ2mAxEWuPKUqh23QD0A3UR8TvoB8fb/lSYZUr5sMzczgvCAx3IDzhITVgEhgkSrCVP/92&#10;H/2RRrRS0uL8VdT/2DMnKNHfDBJ8V0wmcWCTMrm6GaPiLi2bS4vZNwtA8EgiVpfE6B/0SZQOmldc&#10;lXnMiiZmOOauaDiJi9BvBa4aF/N5csIRtSyszNryGDq2OnLw0r0yZweiAjL8CKdJZeU7vnrf+NIA&#10;DhZIlciMDe67OvQdxzuNw7CKcX8u9eT19sGY/QIAAP//AwBQSwMEFAAGAAgAAAAhABM1GD7fAAAA&#10;CQEAAA8AAABkcnMvZG93bnJldi54bWxMj8FOwzAQRO9I/IO1SNyo09CWKsSpKiROVQ+k0PboxksS&#10;NV4H22nD37Oc4Lgzq5k3+Wq0nbigD60jBdNJAgKpcqalWsH77vVhCSJETUZ3jlDBNwZYFbc3uc6M&#10;u9IbXspYCw6hkGkFTYx9JmWoGrQ6TFyPxN6n81ZHPn0tjddXDredTJNkIa1uiRsa3eNLg9W5HKyC&#10;47adb/eb9WFZJkP58TVuzo97r9T93bh+BhFxjH/P8IvP6FAw08kNZILoFPCQyOp0MZ+BYJ/bQJxY&#10;SZ9mKcgil/8XFD8AAAD//wMAUEsBAi0AFAAGAAgAAAAhALaDOJL+AAAA4QEAABMAAAAAAAAAAAAA&#10;AAAAAAAAAFtDb250ZW50X1R5cGVzXS54bWxQSwECLQAUAAYACAAAACEAOP0h/9YAAACUAQAACwAA&#10;AAAAAAAAAAAAAAAvAQAAX3JlbHMvLnJlbHNQSwECLQAUAAYACAAAACEAVu4saD0CAAB4BAAADgAA&#10;AAAAAAAAAAAAAAAuAgAAZHJzL2Uyb0RvYy54bWxQSwECLQAUAAYACAAAACEAEzUYPt8AAAAJAQAA&#10;DwAAAAAAAAAAAAAAAACXBAAAZHJzL2Rvd25yZXYueG1sUEsFBgAAAAAEAAQA8wAAAKM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2026/4</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Jan 2026</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2026/4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Jan 2026</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2026/4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Jan 2026</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2026/4</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Jan 2026</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2026/4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Jan 2026</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2026/4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Jan 2026</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Commerce Regulations Amendment (Residential Tenancies and Residential Parks) Regulations 2026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Commerce Regulations Amendment (Residential Tenancies and Residential Parks) Regulations 2026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Commerce Regulations Amendment (Residential Tenancies and Residential Parks) Regulations 2026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Commerce Regulations Amendment (Residential Tenancies and Residential Parks) Regulations 2026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2" w:name="Coversheet"/>
    <w:bookmarkEnd w:id="1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8"/>
  </w:num>
  <w:num w:numId="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324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105155424"/>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512031141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1203114125_GUID" w:val="9baeefe4-61ac-42e9-9bd0-22b2c700f1c9"/>
    <w:docVar w:name="WAFER_202601051554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105155424_GUID" w:val="10dc37ae-10ee-414d-bee7-e50749c59e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5:docId w15:val="{8B214E9C-9B67-41C2-94FD-772E927D3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7759</Words>
  <Characters>39264</Characters>
  <Application>Microsoft Office Word</Application>
  <DocSecurity>0</DocSecurity>
  <Lines>1353</Lines>
  <Paragraphs>644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Commerce Regulations Amendment (Residential Tenancies and Residential Parks) Regulations 2026 - 00-00-00</dc:title>
  <dc:subject/>
  <dc:creator/>
  <cp:keywords/>
  <dc:description/>
  <cp:lastModifiedBy>Master Repository Process</cp:lastModifiedBy>
  <cp:revision>4</cp:revision>
  <cp:lastPrinted>2025-11-26T03:22:00Z</cp:lastPrinted>
  <dcterms:created xsi:type="dcterms:W3CDTF">2026-01-20T02:51:00Z</dcterms:created>
  <dcterms:modified xsi:type="dcterms:W3CDTF">2026-01-20T02:51:00Z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55251</vt:lpwstr>
  </property>
  <property fmtid="{D5CDD505-2E9C-101B-9397-08002B2CF9AE}" pid="3" name="DocumentType">
    <vt:lpwstr>Reg</vt:lpwstr>
  </property>
  <property fmtid="{D5CDD505-2E9C-101B-9397-08002B2CF9AE}" pid="4" name="AsAtDate">
    <vt:lpwstr>21 Jan 2026</vt:lpwstr>
  </property>
  <property fmtid="{D5CDD505-2E9C-101B-9397-08002B2CF9AE}" pid="5" name="Suffix">
    <vt:lpwstr>00-00-00</vt:lpwstr>
  </property>
  <property fmtid="{D5CDD505-2E9C-101B-9397-08002B2CF9AE}" pid="6" name="Official">
    <vt:lpwstr/>
  </property>
  <property fmtid="{D5CDD505-2E9C-101B-9397-08002B2CF9AE}" pid="7" name="CommencementAsAt">
    <vt:filetime>2026-01-20T16:00:00Z</vt:filetime>
  </property>
  <property fmtid="{D5CDD505-2E9C-101B-9397-08002B2CF9AE}" pid="8" name="CommencementYear">
    <vt:lpwstr>2026</vt:lpwstr>
  </property>
  <property fmtid="{D5CDD505-2E9C-101B-9397-08002B2CF9AE}" pid="9" name="SLAPId">
    <vt:lpwstr>2026/4</vt:lpwstr>
  </property>
  <property fmtid="{D5CDD505-2E9C-101B-9397-08002B2CF9AE}" pid="10" name="PublishDate">
    <vt:lpwstr>21 Jan 2026</vt:lpwstr>
  </property>
  <property fmtid="{D5CDD505-2E9C-101B-9397-08002B2CF9AE}" pid="11" name="CommencementDate">
    <vt:lpwstr>20260121</vt:lpwstr>
  </property>
</Properties>
</file>