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440"/>
        <w:ind w:left="284" w:right="295"/>
        <w:outlineLvl w:val="0"/>
      </w:pPr>
      <w:r>
        <w:fldChar w:fldCharType="begin"/>
      </w:r>
      <w:r>
        <w:instrText xml:space="preserve"> STYLEREF "Name Of Act/Reg"</w:instrText>
      </w:r>
      <w:r>
        <w:fldChar w:fldCharType="separate"/>
      </w:r>
      <w:r>
        <w:rPr>
          <w:noProof/>
        </w:rPr>
        <w:t>National Gas Access (Western Australia) Law</w:t>
      </w:r>
      <w:r>
        <w:fldChar w:fldCharType="end"/>
      </w:r>
    </w:p>
    <w:p>
      <w:pPr>
        <w:pStyle w:val="nStatement"/>
        <w:rPr>
          <w:sz w:val="16"/>
          <w:szCs w:val="16"/>
        </w:rPr>
      </w:pPr>
      <w:r>
        <w:rPr>
          <w:sz w:val="16"/>
          <w:szCs w:val="16"/>
        </w:rPr>
        <w:t xml:space="preserve">The </w:t>
      </w:r>
      <w:r>
        <w:rPr>
          <w:i/>
          <w:iCs/>
          <w:sz w:val="16"/>
          <w:szCs w:val="16"/>
        </w:rPr>
        <w:t>National Gas Access (Western Australia) Law</w:t>
      </w:r>
      <w:r>
        <w:rPr>
          <w:sz w:val="16"/>
          <w:szCs w:val="16"/>
        </w:rPr>
        <w:t xml:space="preserve"> applies as a law of Western Australia under the </w:t>
      </w:r>
      <w:r>
        <w:rPr>
          <w:i/>
          <w:iCs/>
          <w:sz w:val="16"/>
          <w:szCs w:val="16"/>
        </w:rPr>
        <w:t>National Gas Access (WA) Act 2009</w:t>
      </w:r>
      <w:r>
        <w:rPr>
          <w:sz w:val="16"/>
          <w:szCs w:val="16"/>
        </w:rPr>
        <w:t xml:space="preserve"> section 7(1).</w:t>
      </w:r>
    </w:p>
    <w:p>
      <w:pPr>
        <w:pStyle w:val="nStatement"/>
        <w:rPr>
          <w:iCs/>
          <w:sz w:val="16"/>
          <w:szCs w:val="16"/>
        </w:rPr>
      </w:pPr>
      <w:r>
        <w:rPr>
          <w:sz w:val="16"/>
          <w:szCs w:val="16"/>
        </w:rPr>
        <w:t xml:space="preserve">The </w:t>
      </w:r>
      <w:r>
        <w:rPr>
          <w:i/>
          <w:iCs/>
          <w:sz w:val="16"/>
          <w:szCs w:val="16"/>
        </w:rPr>
        <w:t>National Gas Access (Western Australia) Law</w:t>
      </w:r>
      <w:r>
        <w:rPr>
          <w:sz w:val="16"/>
          <w:szCs w:val="16"/>
        </w:rPr>
        <w:t xml:space="preserve"> is the National Gas Law (as set out in the Schedule to the </w:t>
      </w:r>
      <w:r>
        <w:rPr>
          <w:i/>
          <w:iCs/>
          <w:sz w:val="16"/>
          <w:szCs w:val="16"/>
        </w:rPr>
        <w:t>National Gas (South Australia) Act 2008</w:t>
      </w:r>
      <w:r>
        <w:rPr>
          <w:sz w:val="16"/>
          <w:szCs w:val="16"/>
        </w:rPr>
        <w:t xml:space="preserve"> (SA) for the time being in force) as modified to give effect to the following provisions of the </w:t>
      </w:r>
      <w:r>
        <w:rPr>
          <w:i/>
          <w:sz w:val="16"/>
          <w:szCs w:val="16"/>
        </w:rPr>
        <w:t>National Gas Access (WA) Act 2009</w:t>
      </w:r>
      <w:r>
        <w:rPr>
          <w:iCs/>
          <w:sz w:val="16"/>
          <w:szCs w:val="16"/>
        </w:rPr>
        <w:t>:</w:t>
      </w:r>
    </w:p>
    <w:p>
      <w:pPr>
        <w:pStyle w:val="nStatement"/>
        <w:tabs>
          <w:tab w:val="left" w:pos="709"/>
        </w:tabs>
        <w:ind w:left="709" w:hanging="349"/>
        <w:rPr>
          <w:sz w:val="16"/>
          <w:szCs w:val="16"/>
        </w:rPr>
      </w:pPr>
      <w:r>
        <w:rPr>
          <w:sz w:val="16"/>
          <w:szCs w:val="16"/>
        </w:rPr>
        <w:t>(a)</w:t>
      </w:r>
      <w:r>
        <w:rPr>
          <w:sz w:val="16"/>
          <w:szCs w:val="16"/>
        </w:rPr>
        <w:tab/>
        <w:t xml:space="preserve">section 7A(3), which provides that an amendment by the Parliament of South Australia to the National Gas Law does not change the </w:t>
      </w:r>
      <w:r>
        <w:rPr>
          <w:i/>
          <w:iCs/>
          <w:sz w:val="16"/>
          <w:szCs w:val="16"/>
        </w:rPr>
        <w:t>National Gas Access (Western Australia) Law</w:t>
      </w:r>
      <w:r>
        <w:rPr>
          <w:sz w:val="16"/>
          <w:szCs w:val="16"/>
        </w:rPr>
        <w:t xml:space="preserve"> unless the Minister declares the amendment relevant;</w:t>
      </w:r>
    </w:p>
    <w:p>
      <w:pPr>
        <w:pStyle w:val="nStatement"/>
        <w:tabs>
          <w:tab w:val="left" w:pos="709"/>
        </w:tabs>
        <w:ind w:left="709" w:hanging="349"/>
        <w:rPr>
          <w:sz w:val="16"/>
          <w:szCs w:val="16"/>
        </w:rPr>
      </w:pPr>
      <w:r>
        <w:rPr>
          <w:sz w:val="16"/>
          <w:szCs w:val="16"/>
        </w:rPr>
        <w:t>(b)</w:t>
      </w:r>
      <w:r>
        <w:rPr>
          <w:sz w:val="16"/>
          <w:szCs w:val="16"/>
        </w:rPr>
        <w:tab/>
        <w:t xml:space="preserve">section 7A(4), which provides that if the Minister declares an amendment relevant, the </w:t>
      </w:r>
      <w:r>
        <w:rPr>
          <w:i/>
          <w:iCs/>
          <w:sz w:val="16"/>
          <w:szCs w:val="16"/>
        </w:rPr>
        <w:t>National Gas Access (Western Australia) Law</w:t>
      </w:r>
      <w:r>
        <w:rPr>
          <w:sz w:val="16"/>
          <w:szCs w:val="16"/>
        </w:rPr>
        <w:t xml:space="preserve"> changes on the day fixed under section 7A(5);</w:t>
      </w:r>
    </w:p>
    <w:p>
      <w:pPr>
        <w:pStyle w:val="nStatement"/>
        <w:tabs>
          <w:tab w:val="left" w:pos="709"/>
        </w:tabs>
        <w:ind w:left="709" w:hanging="349"/>
        <w:rPr>
          <w:sz w:val="16"/>
          <w:szCs w:val="16"/>
        </w:rPr>
      </w:pPr>
      <w:r>
        <w:rPr>
          <w:sz w:val="16"/>
          <w:szCs w:val="16"/>
        </w:rPr>
        <w:t>(c)</w:t>
      </w:r>
      <w:r>
        <w:rPr>
          <w:sz w:val="16"/>
          <w:szCs w:val="16"/>
        </w:rP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Statement"/>
        <w:rPr>
          <w:b/>
          <w:bCs/>
          <w:i/>
          <w:sz w:val="16"/>
          <w:szCs w:val="16"/>
        </w:rPr>
      </w:pPr>
      <w:r>
        <w:rPr>
          <w:iCs/>
          <w:sz w:val="16"/>
          <w:szCs w:val="16"/>
        </w:rPr>
        <w:t xml:space="preserve">This </w:t>
      </w:r>
      <w:r>
        <w:rPr>
          <w:sz w:val="16"/>
          <w:szCs w:val="16"/>
        </w:rPr>
        <w:t>version</w:t>
      </w:r>
      <w:r>
        <w:rPr>
          <w:iCs/>
          <w:sz w:val="16"/>
          <w:szCs w:val="16"/>
        </w:rPr>
        <w:t xml:space="preserve"> is the </w:t>
      </w:r>
      <w:r>
        <w:rPr>
          <w:i/>
          <w:sz w:val="16"/>
          <w:szCs w:val="16"/>
        </w:rPr>
        <w:t xml:space="preserve">National Gas Access (Western Australia) Law </w:t>
      </w:r>
      <w:r>
        <w:rPr>
          <w:iCs/>
          <w:sz w:val="16"/>
          <w:szCs w:val="16"/>
        </w:rPr>
        <w:t>as at the date specified in the footer below.</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National Gas Access (Western Australia) Law</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Chapter 1 —</w:t>
      </w:r>
      <w:r>
        <w:rPr>
          <w:color w:val="000000"/>
        </w:rPr>
        <w:t xml:space="preserve"> </w:t>
      </w:r>
      <w:r>
        <w:t>Preliminary</w:t>
      </w:r>
    </w:p>
    <w:p>
      <w:pPr>
        <w:pStyle w:val="TOC4"/>
        <w:tabs>
          <w:tab w:val="right" w:leader="dot" w:pos="7077"/>
        </w:tabs>
        <w:rPr>
          <w:rFonts w:asciiTheme="minorHAnsi" w:eastAsiaTheme="minorEastAsia" w:hAnsiTheme="minorHAnsi" w:cstheme="minorBidi"/>
          <w:b w:val="0"/>
          <w:szCs w:val="22"/>
        </w:rPr>
      </w:pPr>
      <w:r>
        <w:t>Part 1 —</w:t>
      </w:r>
      <w:r>
        <w:rPr>
          <w:color w:val="000000"/>
        </w:rPr>
        <w:t xml:space="preserve"> </w:t>
      </w:r>
      <w:r>
        <w:t>Citation and interpretation</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_Toc221109671 \h </w:instrText>
      </w:r>
      <w:r>
        <w:fldChar w:fldCharType="separate"/>
      </w:r>
      <w:r>
        <w:t>2</w:t>
      </w:r>
      <w:r>
        <w:fldChar w:fldCharType="end"/>
      </w:r>
    </w:p>
    <w:p>
      <w:pPr>
        <w:pStyle w:val="TOC8"/>
        <w:rPr>
          <w:rFonts w:asciiTheme="minorHAnsi" w:eastAsiaTheme="minorEastAsia" w:hAnsiTheme="minorHAnsi" w:cstheme="minorBidi"/>
          <w:szCs w:val="22"/>
        </w:rPr>
      </w:pPr>
      <w:r>
        <w:t>2.</w:t>
      </w:r>
      <w:r>
        <w:tab/>
        <w:t>Definitions</w:t>
      </w:r>
      <w:r>
        <w:tab/>
      </w:r>
      <w:r>
        <w:fldChar w:fldCharType="begin"/>
      </w:r>
      <w:r>
        <w:instrText xml:space="preserve"> PAGEREF _Toc221109672 \h </w:instrText>
      </w:r>
      <w:r>
        <w:fldChar w:fldCharType="separate"/>
      </w:r>
      <w:r>
        <w:t>2</w:t>
      </w:r>
      <w:r>
        <w:fldChar w:fldCharType="end"/>
      </w:r>
    </w:p>
    <w:p>
      <w:pPr>
        <w:pStyle w:val="TOC8"/>
        <w:rPr>
          <w:rFonts w:asciiTheme="minorHAnsi" w:eastAsiaTheme="minorEastAsia" w:hAnsiTheme="minorHAnsi" w:cstheme="minorBidi"/>
          <w:szCs w:val="22"/>
        </w:rPr>
      </w:pPr>
      <w:r>
        <w:t>2A.</w:t>
      </w:r>
      <w:r>
        <w:tab/>
        <w:t>Meaning of AER modified</w:t>
      </w:r>
      <w:r>
        <w:tab/>
      </w:r>
      <w:r>
        <w:fldChar w:fldCharType="begin"/>
      </w:r>
      <w:r>
        <w:instrText xml:space="preserve"> PAGEREF _Toc221109673 \h </w:instrText>
      </w:r>
      <w:r>
        <w:fldChar w:fldCharType="separate"/>
      </w:r>
      <w:r>
        <w:t>23</w:t>
      </w:r>
      <w:r>
        <w:fldChar w:fldCharType="end"/>
      </w:r>
    </w:p>
    <w:p>
      <w:pPr>
        <w:pStyle w:val="TOC8"/>
        <w:rPr>
          <w:rFonts w:asciiTheme="minorHAnsi" w:eastAsiaTheme="minorEastAsia" w:hAnsiTheme="minorHAnsi" w:cstheme="minorBidi"/>
          <w:szCs w:val="22"/>
        </w:rPr>
      </w:pPr>
      <w:r>
        <w:t>2B.</w:t>
      </w:r>
      <w:r>
        <w:tab/>
        <w:t>References to WA application Act</w:t>
      </w:r>
      <w:r>
        <w:tab/>
      </w:r>
      <w:r>
        <w:fldChar w:fldCharType="begin"/>
      </w:r>
      <w:r>
        <w:instrText xml:space="preserve"> PAGEREF _Toc221109674 \h </w:instrText>
      </w:r>
      <w:r>
        <w:fldChar w:fldCharType="separate"/>
      </w:r>
      <w:r>
        <w:t>23</w:t>
      </w:r>
      <w:r>
        <w:fldChar w:fldCharType="end"/>
      </w:r>
    </w:p>
    <w:p>
      <w:pPr>
        <w:pStyle w:val="TOC8"/>
        <w:rPr>
          <w:rFonts w:asciiTheme="minorHAnsi" w:eastAsiaTheme="minorEastAsia" w:hAnsiTheme="minorHAnsi" w:cstheme="minorBidi"/>
          <w:szCs w:val="22"/>
        </w:rPr>
      </w:pPr>
      <w:r>
        <w:t>3.</w:t>
      </w:r>
      <w:r>
        <w:tab/>
        <w:t>Meaning of civil penalty provision</w:t>
      </w:r>
      <w:r>
        <w:tab/>
      </w:r>
      <w:r>
        <w:fldChar w:fldCharType="begin"/>
      </w:r>
      <w:r>
        <w:instrText xml:space="preserve"> PAGEREF _Toc221109675 \h </w:instrText>
      </w:r>
      <w:r>
        <w:fldChar w:fldCharType="separate"/>
      </w:r>
      <w:r>
        <w:t>24</w:t>
      </w:r>
      <w:r>
        <w:fldChar w:fldCharType="end"/>
      </w:r>
    </w:p>
    <w:p>
      <w:pPr>
        <w:pStyle w:val="TOC8"/>
        <w:rPr>
          <w:rFonts w:asciiTheme="minorHAnsi" w:eastAsiaTheme="minorEastAsia" w:hAnsiTheme="minorHAnsi" w:cstheme="minorBidi"/>
          <w:szCs w:val="22"/>
        </w:rPr>
      </w:pPr>
      <w:r>
        <w:t>4.</w:t>
      </w:r>
      <w:r>
        <w:tab/>
        <w:t>Meaning of conduct provision</w:t>
      </w:r>
      <w:r>
        <w:tab/>
      </w:r>
      <w:r>
        <w:fldChar w:fldCharType="begin"/>
      </w:r>
      <w:r>
        <w:instrText xml:space="preserve"> PAGEREF _Toc221109676 \h </w:instrText>
      </w:r>
      <w:r>
        <w:fldChar w:fldCharType="separate"/>
      </w:r>
      <w:r>
        <w:t>25</w:t>
      </w:r>
      <w:r>
        <w:fldChar w:fldCharType="end"/>
      </w:r>
    </w:p>
    <w:p>
      <w:pPr>
        <w:pStyle w:val="TOC8"/>
        <w:rPr>
          <w:rFonts w:asciiTheme="minorHAnsi" w:eastAsiaTheme="minorEastAsia" w:hAnsiTheme="minorHAnsi" w:cstheme="minorBidi"/>
          <w:szCs w:val="22"/>
        </w:rPr>
      </w:pPr>
      <w:r>
        <w:t>5.</w:t>
      </w:r>
      <w:r>
        <w:tab/>
        <w:t>Meaning of prospective user</w:t>
      </w:r>
      <w:r>
        <w:tab/>
      </w:r>
      <w:r>
        <w:fldChar w:fldCharType="begin"/>
      </w:r>
      <w:r>
        <w:instrText xml:space="preserve"> PAGEREF _Toc221109677 \h </w:instrText>
      </w:r>
      <w:r>
        <w:fldChar w:fldCharType="separate"/>
      </w:r>
      <w:r>
        <w:t>25</w:t>
      </w:r>
      <w:r>
        <w:fldChar w:fldCharType="end"/>
      </w:r>
    </w:p>
    <w:p>
      <w:pPr>
        <w:pStyle w:val="TOC8"/>
        <w:rPr>
          <w:rFonts w:asciiTheme="minorHAnsi" w:eastAsiaTheme="minorEastAsia" w:hAnsiTheme="minorHAnsi" w:cstheme="minorBidi"/>
          <w:szCs w:val="22"/>
        </w:rPr>
      </w:pPr>
      <w:r>
        <w:t>6.</w:t>
      </w:r>
      <w:r>
        <w:tab/>
        <w:t>Meaning of regulatory obligation or requirement</w:t>
      </w:r>
      <w:r>
        <w:tab/>
      </w:r>
      <w:r>
        <w:fldChar w:fldCharType="begin"/>
      </w:r>
      <w:r>
        <w:instrText xml:space="preserve"> PAGEREF _Toc221109678 \h </w:instrText>
      </w:r>
      <w:r>
        <w:fldChar w:fldCharType="separate"/>
      </w:r>
      <w:r>
        <w:t>26</w:t>
      </w:r>
      <w:r>
        <w:fldChar w:fldCharType="end"/>
      </w:r>
    </w:p>
    <w:p>
      <w:pPr>
        <w:pStyle w:val="TOC8"/>
        <w:rPr>
          <w:rFonts w:asciiTheme="minorHAnsi" w:eastAsiaTheme="minorEastAsia" w:hAnsiTheme="minorHAnsi" w:cstheme="minorBidi"/>
          <w:szCs w:val="22"/>
        </w:rPr>
      </w:pPr>
      <w:r>
        <w:t>7.</w:t>
      </w:r>
      <w:r>
        <w:tab/>
        <w:t>Meaning of regulatory payment</w:t>
      </w:r>
      <w:r>
        <w:tab/>
      </w:r>
      <w:r>
        <w:fldChar w:fldCharType="begin"/>
      </w:r>
      <w:r>
        <w:instrText xml:space="preserve"> PAGEREF _Toc221109679 \h </w:instrText>
      </w:r>
      <w:r>
        <w:fldChar w:fldCharType="separate"/>
      </w:r>
      <w:r>
        <w:t>27</w:t>
      </w:r>
      <w:r>
        <w:fldChar w:fldCharType="end"/>
      </w:r>
    </w:p>
    <w:p>
      <w:pPr>
        <w:pStyle w:val="TOC8"/>
        <w:rPr>
          <w:rFonts w:asciiTheme="minorHAnsi" w:eastAsiaTheme="minorEastAsia" w:hAnsiTheme="minorHAnsi" w:cstheme="minorBidi"/>
          <w:szCs w:val="22"/>
        </w:rPr>
      </w:pPr>
      <w:r>
        <w:t>8.</w:t>
      </w:r>
      <w:r>
        <w:tab/>
        <w:t>Meaning of service provider</w:t>
      </w:r>
      <w:r>
        <w:tab/>
      </w:r>
      <w:r>
        <w:fldChar w:fldCharType="begin"/>
      </w:r>
      <w:r>
        <w:instrText xml:space="preserve"> PAGEREF _Toc221109680 \h </w:instrText>
      </w:r>
      <w:r>
        <w:fldChar w:fldCharType="separate"/>
      </w:r>
      <w:r>
        <w:t>27</w:t>
      </w:r>
      <w:r>
        <w:fldChar w:fldCharType="end"/>
      </w:r>
    </w:p>
    <w:p>
      <w:pPr>
        <w:pStyle w:val="TOC8"/>
        <w:rPr>
          <w:rFonts w:asciiTheme="minorHAnsi" w:eastAsiaTheme="minorEastAsia" w:hAnsiTheme="minorHAnsi" w:cstheme="minorBidi"/>
          <w:szCs w:val="22"/>
        </w:rPr>
      </w:pPr>
      <w:r>
        <w:t>9.</w:t>
      </w:r>
      <w:r>
        <w:tab/>
        <w:t>Passive owners of scheme pipelines deemed to provide or intend to provide pipeline services</w:t>
      </w:r>
      <w:r>
        <w:tab/>
      </w:r>
      <w:r>
        <w:fldChar w:fldCharType="begin"/>
      </w:r>
      <w:r>
        <w:instrText xml:space="preserve"> PAGEREF _Toc221109681 \h </w:instrText>
      </w:r>
      <w:r>
        <w:fldChar w:fldCharType="separate"/>
      </w:r>
      <w:r>
        <w:t>28</w:t>
      </w:r>
      <w:r>
        <w:fldChar w:fldCharType="end"/>
      </w:r>
    </w:p>
    <w:p>
      <w:pPr>
        <w:pStyle w:val="TOC8"/>
        <w:rPr>
          <w:rFonts w:asciiTheme="minorHAnsi" w:eastAsiaTheme="minorEastAsia" w:hAnsiTheme="minorHAnsi" w:cstheme="minorBidi"/>
          <w:szCs w:val="22"/>
        </w:rPr>
      </w:pPr>
      <w:r>
        <w:t>10.</w:t>
      </w:r>
      <w:r>
        <w:tab/>
        <w:t>Things done by 1 service provider to be treated as being done by all of service provider group</w:t>
      </w:r>
      <w:r>
        <w:tab/>
      </w:r>
      <w:r>
        <w:fldChar w:fldCharType="begin"/>
      </w:r>
      <w:r>
        <w:instrText xml:space="preserve"> PAGEREF _Toc221109682 \h </w:instrText>
      </w:r>
      <w:r>
        <w:fldChar w:fldCharType="separate"/>
      </w:r>
      <w:r>
        <w:t>28</w:t>
      </w:r>
      <w:r>
        <w:fldChar w:fldCharType="end"/>
      </w:r>
    </w:p>
    <w:p>
      <w:pPr>
        <w:pStyle w:val="TOC8"/>
        <w:rPr>
          <w:rFonts w:asciiTheme="minorHAnsi" w:eastAsiaTheme="minorEastAsia" w:hAnsiTheme="minorHAnsi" w:cstheme="minorBidi"/>
          <w:szCs w:val="22"/>
        </w:rPr>
      </w:pPr>
      <w:r>
        <w:t>11.</w:t>
      </w:r>
      <w:r>
        <w:tab/>
        <w:t>Local agents of foreign service providers</w:t>
      </w:r>
      <w:r>
        <w:tab/>
      </w:r>
      <w:r>
        <w:fldChar w:fldCharType="begin"/>
      </w:r>
      <w:r>
        <w:instrText xml:space="preserve"> PAGEREF _Toc221109683 \h </w:instrText>
      </w:r>
      <w:r>
        <w:fldChar w:fldCharType="separate"/>
      </w:r>
      <w:r>
        <w:t>29</w:t>
      </w:r>
      <w:r>
        <w:fldChar w:fldCharType="end"/>
      </w:r>
    </w:p>
    <w:p>
      <w:pPr>
        <w:pStyle w:val="TOC8"/>
        <w:rPr>
          <w:rFonts w:asciiTheme="minorHAnsi" w:eastAsiaTheme="minorEastAsia" w:hAnsiTheme="minorHAnsi" w:cstheme="minorBidi"/>
          <w:szCs w:val="22"/>
        </w:rPr>
      </w:pPr>
      <w:r>
        <w:t>12</w:t>
      </w:r>
      <w:r>
        <w:rPr>
          <w:bCs/>
        </w:rPr>
        <w:t>.</w:t>
      </w:r>
      <w:r>
        <w:rPr>
          <w:bCs/>
        </w:rPr>
        <w:tab/>
      </w:r>
      <w:r>
        <w:t>Commissioning of a pipeline</w:t>
      </w:r>
      <w:r>
        <w:tab/>
      </w:r>
      <w:r>
        <w:fldChar w:fldCharType="begin"/>
      </w:r>
      <w:r>
        <w:instrText xml:space="preserve"> PAGEREF _Toc221109684 \h </w:instrText>
      </w:r>
      <w:r>
        <w:fldChar w:fldCharType="separate"/>
      </w:r>
      <w:r>
        <w:t>30</w:t>
      </w:r>
      <w:r>
        <w:fldChar w:fldCharType="end"/>
      </w:r>
    </w:p>
    <w:p>
      <w:pPr>
        <w:pStyle w:val="TOC8"/>
        <w:rPr>
          <w:rFonts w:asciiTheme="minorHAnsi" w:eastAsiaTheme="minorEastAsia" w:hAnsiTheme="minorHAnsi" w:cstheme="minorBidi"/>
          <w:szCs w:val="22"/>
        </w:rPr>
      </w:pPr>
      <w:r>
        <w:t>13</w:t>
      </w:r>
      <w:r>
        <w:rPr>
          <w:bCs/>
        </w:rPr>
        <w:t>.</w:t>
      </w:r>
      <w:r>
        <w:rPr>
          <w:bCs/>
        </w:rPr>
        <w:tab/>
      </w:r>
      <w:r>
        <w:t>Pipeline classification criterion</w:t>
      </w:r>
      <w:r>
        <w:tab/>
      </w:r>
      <w:r>
        <w:fldChar w:fldCharType="begin"/>
      </w:r>
      <w:r>
        <w:instrText xml:space="preserve"> PAGEREF _Toc221109685 \h </w:instrText>
      </w:r>
      <w:r>
        <w:fldChar w:fldCharType="separate"/>
      </w:r>
      <w:r>
        <w:t>30</w:t>
      </w:r>
      <w:r>
        <w:fldChar w:fldCharType="end"/>
      </w:r>
    </w:p>
    <w:p>
      <w:pPr>
        <w:pStyle w:val="TOC8"/>
        <w:rPr>
          <w:rFonts w:asciiTheme="minorHAnsi" w:eastAsiaTheme="minorEastAsia" w:hAnsiTheme="minorHAnsi" w:cstheme="minorBidi"/>
          <w:szCs w:val="22"/>
        </w:rPr>
      </w:pPr>
      <w:r>
        <w:t>14.</w:t>
      </w:r>
      <w:r>
        <w:rPr>
          <w:bCs/>
        </w:rPr>
        <w:tab/>
      </w:r>
      <w:r>
        <w:t>Jurisdictional determination criteria—cross boundary distribution pipelines</w:t>
      </w:r>
      <w:r>
        <w:tab/>
      </w:r>
      <w:r>
        <w:fldChar w:fldCharType="begin"/>
      </w:r>
      <w:r>
        <w:instrText xml:space="preserve"> PAGEREF _Toc221109686 \h </w:instrText>
      </w:r>
      <w:r>
        <w:fldChar w:fldCharType="separate"/>
      </w:r>
      <w:r>
        <w:t>31</w:t>
      </w:r>
      <w:r>
        <w:fldChar w:fldCharType="end"/>
      </w:r>
    </w:p>
    <w:p>
      <w:pPr>
        <w:pStyle w:val="TOC8"/>
        <w:rPr>
          <w:rFonts w:asciiTheme="minorHAnsi" w:eastAsiaTheme="minorEastAsia" w:hAnsiTheme="minorHAnsi" w:cstheme="minorBidi"/>
          <w:szCs w:val="22"/>
        </w:rPr>
      </w:pPr>
      <w:r>
        <w:t>15.</w:t>
      </w:r>
      <w:r>
        <w:tab/>
        <w:t>Pipeline coverage criteria</w:t>
      </w:r>
      <w:r>
        <w:tab/>
      </w:r>
      <w:r>
        <w:fldChar w:fldCharType="begin"/>
      </w:r>
      <w:r>
        <w:instrText xml:space="preserve"> PAGEREF _Toc221109687 \h </w:instrText>
      </w:r>
      <w:r>
        <w:fldChar w:fldCharType="separate"/>
      </w:r>
      <w:r>
        <w:t>31</w:t>
      </w:r>
      <w:r>
        <w:fldChar w:fldCharType="end"/>
      </w:r>
    </w:p>
    <w:p>
      <w:pPr>
        <w:pStyle w:val="TOC8"/>
        <w:rPr>
          <w:rFonts w:asciiTheme="minorHAnsi" w:eastAsiaTheme="minorEastAsia" w:hAnsiTheme="minorHAnsi" w:cstheme="minorBidi"/>
          <w:szCs w:val="22"/>
        </w:rPr>
      </w:pPr>
      <w:r>
        <w:t>16.</w:t>
      </w:r>
      <w:r>
        <w:tab/>
        <w:t>Form of regulation factors</w:t>
      </w:r>
      <w:r>
        <w:tab/>
      </w:r>
      <w:r>
        <w:fldChar w:fldCharType="begin"/>
      </w:r>
      <w:r>
        <w:instrText xml:space="preserve"> PAGEREF _Toc221109688 \h </w:instrText>
      </w:r>
      <w:r>
        <w:fldChar w:fldCharType="separate"/>
      </w:r>
      <w:r>
        <w:t>32</w:t>
      </w:r>
      <w:r>
        <w:fldChar w:fldCharType="end"/>
      </w:r>
    </w:p>
    <w:p>
      <w:pPr>
        <w:pStyle w:val="TOC8"/>
        <w:rPr>
          <w:rFonts w:asciiTheme="minorHAnsi" w:eastAsiaTheme="minorEastAsia" w:hAnsiTheme="minorHAnsi" w:cstheme="minorBidi"/>
          <w:szCs w:val="22"/>
        </w:rPr>
      </w:pPr>
      <w:r>
        <w:t>17</w:t>
      </w:r>
      <w:r>
        <w:rPr>
          <w:bCs/>
        </w:rPr>
        <w:t>.</w:t>
      </w:r>
      <w:r>
        <w:rPr>
          <w:bCs/>
        </w:rPr>
        <w:tab/>
      </w:r>
      <w:r>
        <w:t>Effect of separate and consolidated access arrangements in certain cases</w:t>
      </w:r>
      <w:r>
        <w:tab/>
      </w:r>
      <w:r>
        <w:fldChar w:fldCharType="begin"/>
      </w:r>
      <w:r>
        <w:instrText xml:space="preserve"> PAGEREF _Toc221109689 \h </w:instrText>
      </w:r>
      <w:r>
        <w:fldChar w:fldCharType="separate"/>
      </w:r>
      <w:r>
        <w:t>33</w:t>
      </w:r>
      <w:r>
        <w:fldChar w:fldCharType="end"/>
      </w:r>
    </w:p>
    <w:p>
      <w:pPr>
        <w:pStyle w:val="TOC8"/>
        <w:rPr>
          <w:rFonts w:asciiTheme="minorHAnsi" w:eastAsiaTheme="minorEastAsia" w:hAnsiTheme="minorHAnsi" w:cstheme="minorBidi"/>
          <w:szCs w:val="22"/>
        </w:rPr>
      </w:pPr>
      <w:r>
        <w:t>18.</w:t>
      </w:r>
      <w:r>
        <w:tab/>
        <w:t>Certain extensions to, or expansion of the capacity of, pipelines to be taken to be part of a covered pipeline</w:t>
      </w:r>
      <w:r>
        <w:tab/>
      </w:r>
      <w:r>
        <w:fldChar w:fldCharType="begin"/>
      </w:r>
      <w:r>
        <w:instrText xml:space="preserve"> PAGEREF _Toc221109690 \h </w:instrText>
      </w:r>
      <w:r>
        <w:fldChar w:fldCharType="separate"/>
      </w:r>
      <w:r>
        <w:t>34</w:t>
      </w:r>
      <w:r>
        <w:fldChar w:fldCharType="end"/>
      </w:r>
    </w:p>
    <w:p>
      <w:pPr>
        <w:pStyle w:val="TOC8"/>
        <w:rPr>
          <w:rFonts w:asciiTheme="minorHAnsi" w:eastAsiaTheme="minorEastAsia" w:hAnsiTheme="minorHAnsi" w:cstheme="minorBidi"/>
          <w:szCs w:val="22"/>
        </w:rPr>
      </w:pPr>
      <w:r>
        <w:lastRenderedPageBreak/>
        <w:t>19</w:t>
      </w:r>
      <w:r>
        <w:rPr>
          <w:bCs/>
        </w:rPr>
        <w:t>.</w:t>
      </w:r>
      <w:r>
        <w:rPr>
          <w:bCs/>
        </w:rPr>
        <w:tab/>
      </w:r>
      <w:r>
        <w:t>Expansions of and extensions to covered pipeline by which light regulation services are provided</w:t>
      </w:r>
      <w:r>
        <w:tab/>
      </w:r>
      <w:r>
        <w:fldChar w:fldCharType="begin"/>
      </w:r>
      <w:r>
        <w:instrText xml:space="preserve"> PAGEREF _Toc221109691 \h </w:instrText>
      </w:r>
      <w:r>
        <w:fldChar w:fldCharType="separate"/>
      </w:r>
      <w:r>
        <w:t>34</w:t>
      </w:r>
      <w:r>
        <w:fldChar w:fldCharType="end"/>
      </w:r>
    </w:p>
    <w:p>
      <w:pPr>
        <w:pStyle w:val="TOC8"/>
        <w:rPr>
          <w:rFonts w:asciiTheme="minorHAnsi" w:eastAsiaTheme="minorEastAsia" w:hAnsiTheme="minorHAnsi" w:cstheme="minorBidi"/>
          <w:szCs w:val="22"/>
        </w:rPr>
      </w:pPr>
      <w:r>
        <w:t>20.</w:t>
      </w:r>
      <w:r>
        <w:tab/>
        <w:t>Interpretation generally</w:t>
      </w:r>
      <w:r>
        <w:tab/>
      </w:r>
      <w:r>
        <w:fldChar w:fldCharType="begin"/>
      </w:r>
      <w:r>
        <w:instrText xml:space="preserve"> PAGEREF _Toc221109692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Part 1A</w:t>
      </w:r>
      <w:r>
        <w:rPr>
          <w:color w:val="000000"/>
        </w:rPr>
        <w:t xml:space="preserve"> </w:t>
      </w:r>
      <w:r>
        <w:t>—</w:t>
      </w:r>
      <w:r>
        <w:rPr>
          <w:color w:val="000000"/>
        </w:rPr>
        <w:t xml:space="preserve"> </w:t>
      </w:r>
      <w:r>
        <w:t>Postponement of Natural Gas Services Bulletin Board provisions</w:t>
      </w:r>
    </w:p>
    <w:p>
      <w:pPr>
        <w:pStyle w:val="TOC8"/>
        <w:rPr>
          <w:rFonts w:asciiTheme="minorHAnsi" w:eastAsiaTheme="minorEastAsia" w:hAnsiTheme="minorHAnsi" w:cstheme="minorBidi"/>
          <w:szCs w:val="22"/>
        </w:rPr>
      </w:pPr>
      <w:r>
        <w:t>20A</w:t>
      </w:r>
      <w:r>
        <w:rPr>
          <w:bCs/>
        </w:rPr>
        <w:t>.</w:t>
      </w:r>
      <w:r>
        <w:rPr>
          <w:bCs/>
        </w:rPr>
        <w:tab/>
      </w:r>
      <w:r>
        <w:t>Minister may fix day on which provisions apply</w:t>
      </w:r>
      <w:r>
        <w:tab/>
      </w:r>
      <w:r>
        <w:fldChar w:fldCharType="begin"/>
      </w:r>
      <w:r>
        <w:instrText xml:space="preserve"> PAGEREF _Toc221109694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Part 2</w:t>
      </w:r>
      <w:r>
        <w:rPr>
          <w:color w:val="000000"/>
        </w:rPr>
        <w:t xml:space="preserve"> — </w:t>
      </w:r>
      <w:r>
        <w:t>Participating jurisdictions</w:t>
      </w:r>
    </w:p>
    <w:p>
      <w:pPr>
        <w:pStyle w:val="TOC8"/>
        <w:rPr>
          <w:rFonts w:asciiTheme="minorHAnsi" w:eastAsiaTheme="minorEastAsia" w:hAnsiTheme="minorHAnsi" w:cstheme="minorBidi"/>
          <w:szCs w:val="22"/>
        </w:rPr>
      </w:pPr>
      <w:r>
        <w:t>21.</w:t>
      </w:r>
      <w:r>
        <w:tab/>
        <w:t>Participating jurisdictions</w:t>
      </w:r>
      <w:r>
        <w:tab/>
      </w:r>
      <w:r>
        <w:fldChar w:fldCharType="begin"/>
      </w:r>
      <w:r>
        <w:instrText xml:space="preserve"> PAGEREF _Toc221109696 \h </w:instrText>
      </w:r>
      <w:r>
        <w:fldChar w:fldCharType="separate"/>
      </w:r>
      <w:r>
        <w:t>35</w:t>
      </w:r>
      <w:r>
        <w:fldChar w:fldCharType="end"/>
      </w:r>
    </w:p>
    <w:p>
      <w:pPr>
        <w:pStyle w:val="TOC8"/>
        <w:rPr>
          <w:rFonts w:asciiTheme="minorHAnsi" w:eastAsiaTheme="minorEastAsia" w:hAnsiTheme="minorHAnsi" w:cstheme="minorBidi"/>
          <w:szCs w:val="22"/>
        </w:rPr>
      </w:pPr>
      <w:r>
        <w:t>22</w:t>
      </w:r>
      <w:r>
        <w:rPr>
          <w:bCs/>
        </w:rPr>
        <w:t>.</w:t>
      </w:r>
      <w:r>
        <w:rPr>
          <w:bCs/>
        </w:rPr>
        <w:tab/>
      </w:r>
      <w:r>
        <w:t>Ministers of participating jurisdictions</w:t>
      </w:r>
      <w:r>
        <w:tab/>
      </w:r>
      <w:r>
        <w:fldChar w:fldCharType="begin"/>
      </w:r>
      <w:r>
        <w:instrText xml:space="preserve"> PAGEREF _Toc221109697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Part 3</w:t>
      </w:r>
      <w:r>
        <w:rPr>
          <w:color w:val="000000"/>
        </w:rPr>
        <w:t xml:space="preserve"> — </w:t>
      </w:r>
      <w:r>
        <w:t>National gas objective and principles</w:t>
      </w:r>
    </w:p>
    <w:p>
      <w:pPr>
        <w:pStyle w:val="TOC6"/>
        <w:tabs>
          <w:tab w:val="right" w:leader="dot" w:pos="7077"/>
        </w:tabs>
        <w:rPr>
          <w:rFonts w:asciiTheme="minorHAnsi" w:eastAsiaTheme="minorEastAsia" w:hAnsiTheme="minorHAnsi" w:cstheme="minorBidi"/>
          <w:b w:val="0"/>
          <w:sz w:val="22"/>
          <w:szCs w:val="22"/>
        </w:rPr>
      </w:pPr>
      <w:r>
        <w:t>Division 1 — National gas objective</w:t>
      </w:r>
    </w:p>
    <w:p>
      <w:pPr>
        <w:pStyle w:val="TOC8"/>
        <w:rPr>
          <w:rFonts w:asciiTheme="minorHAnsi" w:eastAsiaTheme="minorEastAsia" w:hAnsiTheme="minorHAnsi" w:cstheme="minorBidi"/>
          <w:szCs w:val="22"/>
        </w:rPr>
      </w:pPr>
      <w:r>
        <w:t>23.</w:t>
      </w:r>
      <w:r>
        <w:tab/>
        <w:t>National gas objective</w:t>
      </w:r>
      <w:r>
        <w:tab/>
      </w:r>
      <w:r>
        <w:fldChar w:fldCharType="begin"/>
      </w:r>
      <w:r>
        <w:instrText xml:space="preserve"> PAGEREF _Toc221109700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Division 2 — Revenue and pricing principles</w:t>
      </w:r>
    </w:p>
    <w:p>
      <w:pPr>
        <w:pStyle w:val="TOC8"/>
        <w:rPr>
          <w:rFonts w:asciiTheme="minorHAnsi" w:eastAsiaTheme="minorEastAsia" w:hAnsiTheme="minorHAnsi" w:cstheme="minorBidi"/>
          <w:szCs w:val="22"/>
        </w:rPr>
      </w:pPr>
      <w:r>
        <w:t>24</w:t>
      </w:r>
      <w:r>
        <w:rPr>
          <w:bCs/>
        </w:rPr>
        <w:t>.</w:t>
      </w:r>
      <w:r>
        <w:rPr>
          <w:bCs/>
        </w:rPr>
        <w:tab/>
      </w:r>
      <w:r>
        <w:t>Revenue and pricing principles</w:t>
      </w:r>
      <w:r>
        <w:tab/>
      </w:r>
      <w:r>
        <w:fldChar w:fldCharType="begin"/>
      </w:r>
      <w:r>
        <w:instrText xml:space="preserve"> PAGEREF _Toc221109702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Division 3 — MCE policy principles</w:t>
      </w:r>
    </w:p>
    <w:p>
      <w:pPr>
        <w:pStyle w:val="TOC8"/>
        <w:rPr>
          <w:rFonts w:asciiTheme="minorHAnsi" w:eastAsiaTheme="minorEastAsia" w:hAnsiTheme="minorHAnsi" w:cstheme="minorBidi"/>
          <w:szCs w:val="22"/>
        </w:rPr>
      </w:pPr>
      <w:r>
        <w:t>25</w:t>
      </w:r>
      <w:r>
        <w:rPr>
          <w:bCs/>
        </w:rPr>
        <w:t>.</w:t>
      </w:r>
      <w:r>
        <w:rPr>
          <w:bCs/>
        </w:rPr>
        <w:tab/>
      </w:r>
      <w:r>
        <w:t>MCE statements of policy principles</w:t>
      </w:r>
      <w:r>
        <w:tab/>
      </w:r>
      <w:r>
        <w:fldChar w:fldCharType="begin"/>
      </w:r>
      <w:r>
        <w:instrText xml:space="preserve"> PAGEREF _Toc221109704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Part 4 — Operation and effect of National Gas Rules</w:t>
      </w:r>
    </w:p>
    <w:p>
      <w:pPr>
        <w:pStyle w:val="TOC8"/>
        <w:rPr>
          <w:rFonts w:asciiTheme="minorHAnsi" w:eastAsiaTheme="minorEastAsia" w:hAnsiTheme="minorHAnsi" w:cstheme="minorBidi"/>
          <w:szCs w:val="22"/>
        </w:rPr>
      </w:pPr>
      <w:r>
        <w:t>26.</w:t>
      </w:r>
      <w:r>
        <w:tab/>
        <w:t>National Gas Rules to have force of law</w:t>
      </w:r>
      <w:r>
        <w:tab/>
      </w:r>
      <w:r>
        <w:fldChar w:fldCharType="begin"/>
      </w:r>
      <w:r>
        <w:instrText xml:space="preserve"> PAGEREF _Toc221109706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Chapter 2 — Functions and powers of gas market regulatory entities</w:t>
      </w:r>
    </w:p>
    <w:p>
      <w:pPr>
        <w:pStyle w:val="TOC4"/>
        <w:tabs>
          <w:tab w:val="right" w:leader="dot" w:pos="7077"/>
        </w:tabs>
        <w:rPr>
          <w:rFonts w:asciiTheme="minorHAnsi" w:eastAsiaTheme="minorEastAsia" w:hAnsiTheme="minorHAnsi" w:cstheme="minorBidi"/>
          <w:b w:val="0"/>
          <w:szCs w:val="22"/>
        </w:rPr>
      </w:pPr>
      <w:r>
        <w:t>Part 1 — Functions and powers of the Australian Energy Regulator</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27.</w:t>
      </w:r>
      <w:r>
        <w:rPr>
          <w:bCs/>
        </w:rPr>
        <w:tab/>
      </w:r>
      <w:r>
        <w:t>Functions and powers of the AER</w:t>
      </w:r>
      <w:r>
        <w:tab/>
      </w:r>
      <w:r>
        <w:fldChar w:fldCharType="begin"/>
      </w:r>
      <w:r>
        <w:instrText xml:space="preserve"> PAGEREF _Toc221109710 \h </w:instrText>
      </w:r>
      <w:r>
        <w:fldChar w:fldCharType="separate"/>
      </w:r>
      <w:r>
        <w:t>39</w:t>
      </w:r>
      <w:r>
        <w:fldChar w:fldCharType="end"/>
      </w:r>
    </w:p>
    <w:p>
      <w:pPr>
        <w:pStyle w:val="TOC8"/>
        <w:rPr>
          <w:rFonts w:asciiTheme="minorHAnsi" w:eastAsiaTheme="minorEastAsia" w:hAnsiTheme="minorHAnsi" w:cstheme="minorBidi"/>
          <w:szCs w:val="22"/>
        </w:rPr>
      </w:pPr>
      <w:r>
        <w:t>28.</w:t>
      </w:r>
      <w:r>
        <w:tab/>
        <w:t>Manner in which AER must perform or exercise AER economic regulatory functions or powers</w:t>
      </w:r>
      <w:r>
        <w:tab/>
      </w:r>
      <w:r>
        <w:fldChar w:fldCharType="begin"/>
      </w:r>
      <w:r>
        <w:instrText xml:space="preserve"> PAGEREF _Toc221109711 \h </w:instrText>
      </w:r>
      <w:r>
        <w:fldChar w:fldCharType="separate"/>
      </w:r>
      <w:r>
        <w:t>40</w:t>
      </w:r>
      <w:r>
        <w:fldChar w:fldCharType="end"/>
      </w:r>
    </w:p>
    <w:p>
      <w:pPr>
        <w:pStyle w:val="TOC8"/>
        <w:rPr>
          <w:rFonts w:asciiTheme="minorHAnsi" w:eastAsiaTheme="minorEastAsia" w:hAnsiTheme="minorHAnsi" w:cstheme="minorBidi"/>
          <w:szCs w:val="22"/>
        </w:rPr>
      </w:pPr>
      <w:r>
        <w:t>29.</w:t>
      </w:r>
      <w:r>
        <w:tab/>
        <w:t>Delegations</w:t>
      </w:r>
      <w:r>
        <w:tab/>
      </w:r>
      <w:r>
        <w:fldChar w:fldCharType="begin"/>
      </w:r>
      <w:r>
        <w:instrText xml:space="preserve"> PAGEREF _Toc221109712 \h </w:instrText>
      </w:r>
      <w:r>
        <w:fldChar w:fldCharType="separate"/>
      </w:r>
      <w:r>
        <w:t>42</w:t>
      </w:r>
      <w:r>
        <w:fldChar w:fldCharType="end"/>
      </w:r>
    </w:p>
    <w:p>
      <w:pPr>
        <w:pStyle w:val="TOC8"/>
        <w:rPr>
          <w:rFonts w:asciiTheme="minorHAnsi" w:eastAsiaTheme="minorEastAsia" w:hAnsiTheme="minorHAnsi" w:cstheme="minorBidi"/>
          <w:szCs w:val="22"/>
        </w:rPr>
      </w:pPr>
      <w:r>
        <w:t>30.</w:t>
      </w:r>
      <w:r>
        <w:tab/>
        <w:t>Confidentiality</w:t>
      </w:r>
      <w:r>
        <w:tab/>
      </w:r>
      <w:r>
        <w:fldChar w:fldCharType="begin"/>
      </w:r>
      <w:r>
        <w:instrText xml:space="preserve"> PAGEREF _Toc221109713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Division 2 — Search warrants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_Toc221109715 \h </w:instrText>
      </w:r>
      <w:r>
        <w:fldChar w:fldCharType="separate"/>
      </w:r>
      <w:r>
        <w:t>43</w:t>
      </w:r>
      <w:r>
        <w:fldChar w:fldCharType="end"/>
      </w:r>
    </w:p>
    <w:p>
      <w:pPr>
        <w:pStyle w:val="TOC8"/>
        <w:rPr>
          <w:rFonts w:asciiTheme="minorHAnsi" w:eastAsiaTheme="minorEastAsia" w:hAnsiTheme="minorHAnsi" w:cstheme="minorBidi"/>
          <w:szCs w:val="22"/>
        </w:rPr>
      </w:pPr>
      <w:r>
        <w:t>32.</w:t>
      </w:r>
      <w:r>
        <w:tab/>
        <w:t>Authorised person</w:t>
      </w:r>
      <w:r>
        <w:tab/>
      </w:r>
      <w:r>
        <w:fldChar w:fldCharType="begin"/>
      </w:r>
      <w:r>
        <w:instrText xml:space="preserve"> PAGEREF _Toc221109716 \h </w:instrText>
      </w:r>
      <w:r>
        <w:fldChar w:fldCharType="separate"/>
      </w:r>
      <w:r>
        <w:t>43</w:t>
      </w:r>
      <w:r>
        <w:fldChar w:fldCharType="end"/>
      </w:r>
    </w:p>
    <w:p>
      <w:pPr>
        <w:pStyle w:val="TOC8"/>
        <w:rPr>
          <w:rFonts w:asciiTheme="minorHAnsi" w:eastAsiaTheme="minorEastAsia" w:hAnsiTheme="minorHAnsi" w:cstheme="minorBidi"/>
          <w:szCs w:val="22"/>
        </w:rPr>
      </w:pPr>
      <w:r>
        <w:t>33.</w:t>
      </w:r>
      <w:r>
        <w:tab/>
        <w:t>Identity cards</w:t>
      </w:r>
      <w:r>
        <w:tab/>
      </w:r>
      <w:r>
        <w:fldChar w:fldCharType="begin"/>
      </w:r>
      <w:r>
        <w:instrText xml:space="preserve"> PAGEREF _Toc221109717 \h </w:instrText>
      </w:r>
      <w:r>
        <w:fldChar w:fldCharType="separate"/>
      </w:r>
      <w:r>
        <w:t>44</w:t>
      </w:r>
      <w:r>
        <w:fldChar w:fldCharType="end"/>
      </w:r>
    </w:p>
    <w:p>
      <w:pPr>
        <w:pStyle w:val="TOC8"/>
        <w:rPr>
          <w:rFonts w:asciiTheme="minorHAnsi" w:eastAsiaTheme="minorEastAsia" w:hAnsiTheme="minorHAnsi" w:cstheme="minorBidi"/>
          <w:szCs w:val="22"/>
        </w:rPr>
      </w:pPr>
      <w:r>
        <w:t>34.</w:t>
      </w:r>
      <w:r>
        <w:tab/>
        <w:t>Return of identity cards</w:t>
      </w:r>
      <w:r>
        <w:tab/>
      </w:r>
      <w:r>
        <w:fldChar w:fldCharType="begin"/>
      </w:r>
      <w:r>
        <w:instrText xml:space="preserve"> PAGEREF _Toc221109718 \h </w:instrText>
      </w:r>
      <w:r>
        <w:fldChar w:fldCharType="separate"/>
      </w:r>
      <w:r>
        <w:t>44</w:t>
      </w:r>
      <w:r>
        <w:fldChar w:fldCharType="end"/>
      </w:r>
    </w:p>
    <w:p>
      <w:pPr>
        <w:pStyle w:val="TOC8"/>
        <w:rPr>
          <w:rFonts w:asciiTheme="minorHAnsi" w:eastAsiaTheme="minorEastAsia" w:hAnsiTheme="minorHAnsi" w:cstheme="minorBidi"/>
          <w:szCs w:val="22"/>
        </w:rPr>
      </w:pPr>
      <w:r>
        <w:t>35.</w:t>
      </w:r>
      <w:r>
        <w:tab/>
        <w:t>Search warrant</w:t>
      </w:r>
      <w:r>
        <w:tab/>
      </w:r>
      <w:r>
        <w:fldChar w:fldCharType="begin"/>
      </w:r>
      <w:r>
        <w:instrText xml:space="preserve"> PAGEREF _Toc221109719 \h </w:instrText>
      </w:r>
      <w:r>
        <w:fldChar w:fldCharType="separate"/>
      </w:r>
      <w:r>
        <w:t>44</w:t>
      </w:r>
      <w:r>
        <w:fldChar w:fldCharType="end"/>
      </w:r>
    </w:p>
    <w:p>
      <w:pPr>
        <w:pStyle w:val="TOC8"/>
        <w:rPr>
          <w:rFonts w:asciiTheme="minorHAnsi" w:eastAsiaTheme="minorEastAsia" w:hAnsiTheme="minorHAnsi" w:cstheme="minorBidi"/>
          <w:szCs w:val="22"/>
        </w:rPr>
      </w:pPr>
      <w:r>
        <w:lastRenderedPageBreak/>
        <w:t>36.</w:t>
      </w:r>
      <w:r>
        <w:tab/>
        <w:t>Announcement of entry and details of warrant to be given to occupier or other person at premises</w:t>
      </w:r>
      <w:r>
        <w:tab/>
      </w:r>
      <w:r>
        <w:fldChar w:fldCharType="begin"/>
      </w:r>
      <w:r>
        <w:instrText xml:space="preserve"> PAGEREF _Toc221109720 \h </w:instrText>
      </w:r>
      <w:r>
        <w:fldChar w:fldCharType="separate"/>
      </w:r>
      <w:r>
        <w:t>46</w:t>
      </w:r>
      <w:r>
        <w:fldChar w:fldCharType="end"/>
      </w:r>
    </w:p>
    <w:p>
      <w:pPr>
        <w:pStyle w:val="TOC8"/>
        <w:rPr>
          <w:rFonts w:asciiTheme="minorHAnsi" w:eastAsiaTheme="minorEastAsia" w:hAnsiTheme="minorHAnsi" w:cstheme="minorBidi"/>
          <w:szCs w:val="22"/>
        </w:rPr>
      </w:pPr>
      <w:r>
        <w:t>37.</w:t>
      </w:r>
      <w:r>
        <w:tab/>
        <w:t>Immediate entry permitted in certain cases</w:t>
      </w:r>
      <w:r>
        <w:tab/>
      </w:r>
      <w:r>
        <w:fldChar w:fldCharType="begin"/>
      </w:r>
      <w:r>
        <w:instrText xml:space="preserve"> PAGEREF _Toc221109721 \h </w:instrText>
      </w:r>
      <w:r>
        <w:fldChar w:fldCharType="separate"/>
      </w:r>
      <w:r>
        <w:t>46</w:t>
      </w:r>
      <w:r>
        <w:fldChar w:fldCharType="end"/>
      </w:r>
    </w:p>
    <w:p>
      <w:pPr>
        <w:pStyle w:val="TOC8"/>
        <w:rPr>
          <w:rFonts w:asciiTheme="minorHAnsi" w:eastAsiaTheme="minorEastAsia" w:hAnsiTheme="minorHAnsi" w:cstheme="minorBidi"/>
          <w:szCs w:val="22"/>
        </w:rPr>
      </w:pPr>
      <w:r>
        <w:t>38.</w:t>
      </w:r>
      <w:r>
        <w:tab/>
        <w:t>Copies of seized documents</w:t>
      </w:r>
      <w:r>
        <w:tab/>
      </w:r>
      <w:r>
        <w:fldChar w:fldCharType="begin"/>
      </w:r>
      <w:r>
        <w:instrText xml:space="preserve"> PAGEREF _Toc221109722 \h </w:instrText>
      </w:r>
      <w:r>
        <w:fldChar w:fldCharType="separate"/>
      </w:r>
      <w:r>
        <w:t>47</w:t>
      </w:r>
      <w:r>
        <w:fldChar w:fldCharType="end"/>
      </w:r>
    </w:p>
    <w:p>
      <w:pPr>
        <w:pStyle w:val="TOC8"/>
        <w:rPr>
          <w:rFonts w:asciiTheme="minorHAnsi" w:eastAsiaTheme="minorEastAsia" w:hAnsiTheme="minorHAnsi" w:cstheme="minorBidi"/>
          <w:szCs w:val="22"/>
        </w:rPr>
      </w:pPr>
      <w:r>
        <w:t>39.</w:t>
      </w:r>
      <w:r>
        <w:tab/>
        <w:t>Retention and return of seized documents or things</w:t>
      </w:r>
      <w:r>
        <w:tab/>
      </w:r>
      <w:r>
        <w:fldChar w:fldCharType="begin"/>
      </w:r>
      <w:r>
        <w:instrText xml:space="preserve"> PAGEREF _Toc221109723 \h </w:instrText>
      </w:r>
      <w:r>
        <w:fldChar w:fldCharType="separate"/>
      </w:r>
      <w:r>
        <w:t>47</w:t>
      </w:r>
      <w:r>
        <w:fldChar w:fldCharType="end"/>
      </w:r>
    </w:p>
    <w:p>
      <w:pPr>
        <w:pStyle w:val="TOC8"/>
        <w:rPr>
          <w:rFonts w:asciiTheme="minorHAnsi" w:eastAsiaTheme="minorEastAsia" w:hAnsiTheme="minorHAnsi" w:cstheme="minorBidi"/>
          <w:szCs w:val="22"/>
        </w:rPr>
      </w:pPr>
      <w:r>
        <w:t>40.</w:t>
      </w:r>
      <w:r>
        <w:tab/>
        <w:t>Extension of period of retention of documents or things seized</w:t>
      </w:r>
      <w:r>
        <w:tab/>
      </w:r>
      <w:r>
        <w:fldChar w:fldCharType="begin"/>
      </w:r>
      <w:r>
        <w:instrText xml:space="preserve"> PAGEREF _Toc221109724 \h </w:instrText>
      </w:r>
      <w:r>
        <w:fldChar w:fldCharType="separate"/>
      </w:r>
      <w:r>
        <w:t>48</w:t>
      </w:r>
      <w:r>
        <w:fldChar w:fldCharType="end"/>
      </w:r>
    </w:p>
    <w:p>
      <w:pPr>
        <w:pStyle w:val="TOC8"/>
        <w:rPr>
          <w:rFonts w:asciiTheme="minorHAnsi" w:eastAsiaTheme="minorEastAsia" w:hAnsiTheme="minorHAnsi" w:cstheme="minorBidi"/>
          <w:szCs w:val="22"/>
        </w:rPr>
      </w:pPr>
      <w:r>
        <w:t>41.</w:t>
      </w:r>
      <w:r>
        <w:tab/>
        <w:t>Obstruction of persons authorised to enter</w:t>
      </w:r>
      <w:r>
        <w:tab/>
      </w:r>
      <w:r>
        <w:fldChar w:fldCharType="begin"/>
      </w:r>
      <w:r>
        <w:instrText xml:space="preserve"> PAGEREF _Toc221109725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Division 3 — General information gathering powers</w:t>
      </w:r>
    </w:p>
    <w:p>
      <w:pPr>
        <w:pStyle w:val="TOC8"/>
        <w:rPr>
          <w:rFonts w:asciiTheme="minorHAnsi" w:eastAsiaTheme="minorEastAsia" w:hAnsiTheme="minorHAnsi" w:cstheme="minorBidi"/>
          <w:szCs w:val="22"/>
        </w:rPr>
      </w:pPr>
      <w:r>
        <w:t>42.</w:t>
      </w:r>
      <w:r>
        <w:tab/>
        <w:t>Power to obtain information and documents in relation to performance and exercise of functions and powers</w:t>
      </w:r>
      <w:r>
        <w:tab/>
      </w:r>
      <w:r>
        <w:fldChar w:fldCharType="begin"/>
      </w:r>
      <w:r>
        <w:instrText xml:space="preserve"> PAGEREF _Toc221109727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Division 4 — Regulatory information notices and general regulatory information orders</w:t>
      </w:r>
    </w:p>
    <w:p>
      <w:pPr>
        <w:pStyle w:val="TOC6"/>
        <w:tabs>
          <w:tab w:val="right" w:leader="dot" w:pos="7077"/>
        </w:tabs>
        <w:rPr>
          <w:rFonts w:asciiTheme="minorHAnsi" w:eastAsiaTheme="minorEastAsia" w:hAnsiTheme="minorHAnsi" w:cstheme="minorBidi"/>
          <w:b w:val="0"/>
          <w:sz w:val="22"/>
          <w:szCs w:val="22"/>
        </w:rPr>
      </w:pPr>
      <w:r>
        <w:t>Subdivision 1 — Interpretation</w:t>
      </w:r>
    </w:p>
    <w:p>
      <w:pPr>
        <w:pStyle w:val="TOC8"/>
        <w:rPr>
          <w:rFonts w:asciiTheme="minorHAnsi" w:eastAsiaTheme="minorEastAsia" w:hAnsiTheme="minorHAnsi" w:cstheme="minorBidi"/>
          <w:szCs w:val="22"/>
        </w:rPr>
      </w:pPr>
      <w:r>
        <w:t>43.</w:t>
      </w:r>
      <w:r>
        <w:tab/>
        <w:t>Definitions</w:t>
      </w:r>
      <w:r>
        <w:tab/>
      </w:r>
      <w:r>
        <w:fldChar w:fldCharType="begin"/>
      </w:r>
      <w:r>
        <w:instrText xml:space="preserve"> PAGEREF _Toc221109730 \h </w:instrText>
      </w:r>
      <w:r>
        <w:fldChar w:fldCharType="separate"/>
      </w:r>
      <w:r>
        <w:t>51</w:t>
      </w:r>
      <w:r>
        <w:fldChar w:fldCharType="end"/>
      </w:r>
    </w:p>
    <w:p>
      <w:pPr>
        <w:pStyle w:val="TOC8"/>
        <w:rPr>
          <w:rFonts w:asciiTheme="minorHAnsi" w:eastAsiaTheme="minorEastAsia" w:hAnsiTheme="minorHAnsi" w:cstheme="minorBidi"/>
          <w:szCs w:val="22"/>
        </w:rPr>
      </w:pPr>
      <w:r>
        <w:t>44.</w:t>
      </w:r>
      <w:r>
        <w:tab/>
        <w:t>Meaning of contributing service</w:t>
      </w:r>
      <w:r>
        <w:tab/>
      </w:r>
      <w:r>
        <w:fldChar w:fldCharType="begin"/>
      </w:r>
      <w:r>
        <w:instrText xml:space="preserve"> PAGEREF _Toc221109731 \h </w:instrText>
      </w:r>
      <w:r>
        <w:fldChar w:fldCharType="separate"/>
      </w:r>
      <w:r>
        <w:t>52</w:t>
      </w:r>
      <w:r>
        <w:fldChar w:fldCharType="end"/>
      </w:r>
    </w:p>
    <w:p>
      <w:pPr>
        <w:pStyle w:val="TOC8"/>
        <w:rPr>
          <w:rFonts w:asciiTheme="minorHAnsi" w:eastAsiaTheme="minorEastAsia" w:hAnsiTheme="minorHAnsi" w:cstheme="minorBidi"/>
          <w:szCs w:val="22"/>
        </w:rPr>
      </w:pPr>
      <w:r>
        <w:t>45.</w:t>
      </w:r>
      <w:r>
        <w:tab/>
        <w:t>Meaning of general regulatory information order</w:t>
      </w:r>
      <w:r>
        <w:tab/>
      </w:r>
      <w:r>
        <w:fldChar w:fldCharType="begin"/>
      </w:r>
      <w:r>
        <w:instrText xml:space="preserve"> PAGEREF _Toc221109732 \h </w:instrText>
      </w:r>
      <w:r>
        <w:fldChar w:fldCharType="separate"/>
      </w:r>
      <w:r>
        <w:t>53</w:t>
      </w:r>
      <w:r>
        <w:fldChar w:fldCharType="end"/>
      </w:r>
    </w:p>
    <w:p>
      <w:pPr>
        <w:pStyle w:val="TOC8"/>
        <w:rPr>
          <w:rFonts w:asciiTheme="minorHAnsi" w:eastAsiaTheme="minorEastAsia" w:hAnsiTheme="minorHAnsi" w:cstheme="minorBidi"/>
          <w:szCs w:val="22"/>
        </w:rPr>
      </w:pPr>
      <w:r>
        <w:t>46.</w:t>
      </w:r>
      <w:r>
        <w:tab/>
        <w:t>Meaning of regulatory information notice</w:t>
      </w:r>
      <w:r>
        <w:tab/>
      </w:r>
      <w:r>
        <w:fldChar w:fldCharType="begin"/>
      </w:r>
      <w:r>
        <w:instrText xml:space="preserve"> PAGEREF _Toc221109733 \h </w:instrText>
      </w:r>
      <w:r>
        <w:fldChar w:fldCharType="separate"/>
      </w:r>
      <w:r>
        <w:t>53</w:t>
      </w:r>
      <w:r>
        <w:fldChar w:fldCharType="end"/>
      </w:r>
    </w:p>
    <w:p>
      <w:pPr>
        <w:pStyle w:val="TOC8"/>
        <w:rPr>
          <w:rFonts w:asciiTheme="minorHAnsi" w:eastAsiaTheme="minorEastAsia" w:hAnsiTheme="minorHAnsi" w:cstheme="minorBidi"/>
          <w:szCs w:val="22"/>
        </w:rPr>
      </w:pPr>
      <w:r>
        <w:t>47.</w:t>
      </w:r>
      <w:r>
        <w:tab/>
        <w:t>Division does not limit operation of information gathering powers under Division 3</w:t>
      </w:r>
      <w:r>
        <w:tab/>
      </w:r>
      <w:r>
        <w:fldChar w:fldCharType="begin"/>
      </w:r>
      <w:r>
        <w:instrText xml:space="preserve"> PAGEREF _Toc221109734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Serving and making of regulatory information instruments</w:t>
      </w:r>
    </w:p>
    <w:p>
      <w:pPr>
        <w:pStyle w:val="TOC8"/>
        <w:rPr>
          <w:rFonts w:asciiTheme="minorHAnsi" w:eastAsiaTheme="minorEastAsia" w:hAnsiTheme="minorHAnsi" w:cstheme="minorBidi"/>
          <w:szCs w:val="22"/>
        </w:rPr>
      </w:pPr>
      <w:r>
        <w:t>48.</w:t>
      </w:r>
      <w:r>
        <w:tab/>
        <w:t>Service and making of regulatory information instrument</w:t>
      </w:r>
      <w:r>
        <w:tab/>
      </w:r>
      <w:r>
        <w:fldChar w:fldCharType="begin"/>
      </w:r>
      <w:r>
        <w:instrText xml:space="preserve"> PAGEREF _Toc221109736 \h </w:instrText>
      </w:r>
      <w:r>
        <w:fldChar w:fldCharType="separate"/>
      </w:r>
      <w:r>
        <w:t>54</w:t>
      </w:r>
      <w:r>
        <w:fldChar w:fldCharType="end"/>
      </w:r>
    </w:p>
    <w:p>
      <w:pPr>
        <w:pStyle w:val="TOC8"/>
        <w:rPr>
          <w:rFonts w:asciiTheme="minorHAnsi" w:eastAsiaTheme="minorEastAsia" w:hAnsiTheme="minorHAnsi" w:cstheme="minorBidi"/>
          <w:szCs w:val="22"/>
        </w:rPr>
      </w:pPr>
      <w:r>
        <w:t>49.</w:t>
      </w:r>
      <w:r>
        <w:tab/>
        <w:t>Additional matters to be considered for related provider regulatory information instruments</w:t>
      </w:r>
      <w:r>
        <w:tab/>
      </w:r>
      <w:r>
        <w:fldChar w:fldCharType="begin"/>
      </w:r>
      <w:r>
        <w:instrText xml:space="preserve"> PAGEREF _Toc221109737 \h </w:instrText>
      </w:r>
      <w:r>
        <w:fldChar w:fldCharType="separate"/>
      </w:r>
      <w:r>
        <w:t>55</w:t>
      </w:r>
      <w:r>
        <w:fldChar w:fldCharType="end"/>
      </w:r>
    </w:p>
    <w:p>
      <w:pPr>
        <w:pStyle w:val="TOC8"/>
        <w:rPr>
          <w:rFonts w:asciiTheme="minorHAnsi" w:eastAsiaTheme="minorEastAsia" w:hAnsiTheme="minorHAnsi" w:cstheme="minorBidi"/>
          <w:szCs w:val="22"/>
        </w:rPr>
      </w:pPr>
      <w:r>
        <w:t>50.</w:t>
      </w:r>
      <w:r>
        <w:tab/>
        <w:t>AER must consult before publishing a general regulatory information order</w:t>
      </w:r>
      <w:r>
        <w:tab/>
      </w:r>
      <w:r>
        <w:fldChar w:fldCharType="begin"/>
      </w:r>
      <w:r>
        <w:instrText xml:space="preserve"> PAGEREF _Toc221109738 \h </w:instrText>
      </w:r>
      <w:r>
        <w:fldChar w:fldCharType="separate"/>
      </w:r>
      <w:r>
        <w:t>57</w:t>
      </w:r>
      <w:r>
        <w:fldChar w:fldCharType="end"/>
      </w:r>
    </w:p>
    <w:p>
      <w:pPr>
        <w:pStyle w:val="TOC8"/>
        <w:rPr>
          <w:rFonts w:asciiTheme="minorHAnsi" w:eastAsiaTheme="minorEastAsia" w:hAnsiTheme="minorHAnsi" w:cstheme="minorBidi"/>
          <w:szCs w:val="22"/>
        </w:rPr>
      </w:pPr>
      <w:r>
        <w:t>51.</w:t>
      </w:r>
      <w:r>
        <w:tab/>
        <w:t>Publication requirements for general regulatory information orders</w:t>
      </w:r>
      <w:r>
        <w:tab/>
      </w:r>
      <w:r>
        <w:fldChar w:fldCharType="begin"/>
      </w:r>
      <w:r>
        <w:instrText xml:space="preserve"> PAGEREF _Toc221109739 \h </w:instrText>
      </w:r>
      <w:r>
        <w:fldChar w:fldCharType="separate"/>
      </w:r>
      <w:r>
        <w:t>57</w:t>
      </w:r>
      <w:r>
        <w:fldChar w:fldCharType="end"/>
      </w:r>
    </w:p>
    <w:p>
      <w:pPr>
        <w:pStyle w:val="TOC8"/>
        <w:rPr>
          <w:rFonts w:asciiTheme="minorHAnsi" w:eastAsiaTheme="minorEastAsia" w:hAnsiTheme="minorHAnsi" w:cstheme="minorBidi"/>
          <w:szCs w:val="22"/>
        </w:rPr>
      </w:pPr>
      <w:r>
        <w:t>52.</w:t>
      </w:r>
      <w:r>
        <w:tab/>
        <w:t>Opportunity to be heard before regulatory information notice is served</w:t>
      </w:r>
      <w:r>
        <w:tab/>
      </w:r>
      <w:r>
        <w:fldChar w:fldCharType="begin"/>
      </w:r>
      <w:r>
        <w:instrText xml:space="preserve"> PAGEREF _Toc221109740 \h </w:instrText>
      </w:r>
      <w:r>
        <w:fldChar w:fldCharType="separate"/>
      </w:r>
      <w:r>
        <w:t>57</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 and content of regulatory information instruments</w:t>
      </w:r>
    </w:p>
    <w:p>
      <w:pPr>
        <w:pStyle w:val="TOC8"/>
        <w:rPr>
          <w:rFonts w:asciiTheme="minorHAnsi" w:eastAsiaTheme="minorEastAsia" w:hAnsiTheme="minorHAnsi" w:cstheme="minorBidi"/>
          <w:szCs w:val="22"/>
        </w:rPr>
      </w:pPr>
      <w:r>
        <w:t>53.</w:t>
      </w:r>
      <w:r>
        <w:tab/>
        <w:t>Form and content of regulatory information instrument</w:t>
      </w:r>
      <w:r>
        <w:tab/>
      </w:r>
      <w:r>
        <w:fldChar w:fldCharType="begin"/>
      </w:r>
      <w:r>
        <w:instrText xml:space="preserve"> PAGEREF _Toc221109742 \h </w:instrText>
      </w:r>
      <w:r>
        <w:fldChar w:fldCharType="separate"/>
      </w:r>
      <w:r>
        <w:t>59</w:t>
      </w:r>
      <w:r>
        <w:fldChar w:fldCharType="end"/>
      </w:r>
    </w:p>
    <w:p>
      <w:pPr>
        <w:pStyle w:val="TOC8"/>
        <w:rPr>
          <w:rFonts w:asciiTheme="minorHAnsi" w:eastAsiaTheme="minorEastAsia" w:hAnsiTheme="minorHAnsi" w:cstheme="minorBidi"/>
          <w:szCs w:val="22"/>
        </w:rPr>
      </w:pPr>
      <w:r>
        <w:t>54.</w:t>
      </w:r>
      <w:r>
        <w:tab/>
        <w:t>Further provision about the information that may be described in a regulatory information instrument</w:t>
      </w:r>
      <w:r>
        <w:tab/>
      </w:r>
      <w:r>
        <w:fldChar w:fldCharType="begin"/>
      </w:r>
      <w:r>
        <w:instrText xml:space="preserve"> PAGEREF _Toc221109743 \h </w:instrText>
      </w:r>
      <w:r>
        <w:fldChar w:fldCharType="separate"/>
      </w:r>
      <w:r>
        <w:t>60</w:t>
      </w:r>
      <w:r>
        <w:fldChar w:fldCharType="end"/>
      </w:r>
    </w:p>
    <w:p>
      <w:pPr>
        <w:pStyle w:val="TOC8"/>
        <w:rPr>
          <w:rFonts w:asciiTheme="minorHAnsi" w:eastAsiaTheme="minorEastAsia" w:hAnsiTheme="minorHAnsi" w:cstheme="minorBidi"/>
          <w:szCs w:val="22"/>
        </w:rPr>
      </w:pPr>
      <w:r>
        <w:lastRenderedPageBreak/>
        <w:t>55.</w:t>
      </w:r>
      <w:r>
        <w:tab/>
        <w:t>Further provision about manner in which information must be provided to AER or kept</w:t>
      </w:r>
      <w:r>
        <w:tab/>
      </w:r>
      <w:r>
        <w:fldChar w:fldCharType="begin"/>
      </w:r>
      <w:r>
        <w:instrText xml:space="preserve"> PAGEREF _Toc221109744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Compliance with regulatory information instruments</w:t>
      </w:r>
    </w:p>
    <w:p>
      <w:pPr>
        <w:pStyle w:val="TOC8"/>
        <w:rPr>
          <w:rFonts w:asciiTheme="minorHAnsi" w:eastAsiaTheme="minorEastAsia" w:hAnsiTheme="minorHAnsi" w:cstheme="minorBidi"/>
          <w:szCs w:val="22"/>
        </w:rPr>
      </w:pPr>
      <w:r>
        <w:t>56.</w:t>
      </w:r>
      <w:r>
        <w:tab/>
        <w:t>Compliance with regulatory information notice that is served</w:t>
      </w:r>
      <w:r>
        <w:tab/>
      </w:r>
      <w:r>
        <w:fldChar w:fldCharType="begin"/>
      </w:r>
      <w:r>
        <w:instrText xml:space="preserve"> PAGEREF _Toc221109746 \h </w:instrText>
      </w:r>
      <w:r>
        <w:fldChar w:fldCharType="separate"/>
      </w:r>
      <w:r>
        <w:t>62</w:t>
      </w:r>
      <w:r>
        <w:fldChar w:fldCharType="end"/>
      </w:r>
    </w:p>
    <w:p>
      <w:pPr>
        <w:pStyle w:val="TOC8"/>
        <w:rPr>
          <w:rFonts w:asciiTheme="minorHAnsi" w:eastAsiaTheme="minorEastAsia" w:hAnsiTheme="minorHAnsi" w:cstheme="minorBidi"/>
          <w:szCs w:val="22"/>
        </w:rPr>
      </w:pPr>
      <w:r>
        <w:t>57.</w:t>
      </w:r>
      <w:r>
        <w:tab/>
        <w:t>Compliance with general regulatory information order</w:t>
      </w:r>
      <w:r>
        <w:tab/>
      </w:r>
      <w:r>
        <w:fldChar w:fldCharType="begin"/>
      </w:r>
      <w:r>
        <w:instrText xml:space="preserve"> PAGEREF _Toc221109747 \h </w:instrText>
      </w:r>
      <w:r>
        <w:fldChar w:fldCharType="separate"/>
      </w:r>
      <w:r>
        <w:t>62</w:t>
      </w:r>
      <w:r>
        <w:fldChar w:fldCharType="end"/>
      </w:r>
    </w:p>
    <w:p>
      <w:pPr>
        <w:pStyle w:val="TOC8"/>
        <w:rPr>
          <w:rFonts w:asciiTheme="minorHAnsi" w:eastAsiaTheme="minorEastAsia" w:hAnsiTheme="minorHAnsi" w:cstheme="minorBidi"/>
          <w:szCs w:val="22"/>
        </w:rPr>
      </w:pPr>
      <w:r>
        <w:t>58.</w:t>
      </w:r>
      <w:r>
        <w:tab/>
        <w:t>Exemptions from compliance with general regulatory information order</w:t>
      </w:r>
      <w:r>
        <w:tab/>
      </w:r>
      <w:r>
        <w:fldChar w:fldCharType="begin"/>
      </w:r>
      <w:r>
        <w:instrText xml:space="preserve"> PAGEREF _Toc221109748 \h </w:instrText>
      </w:r>
      <w:r>
        <w:fldChar w:fldCharType="separate"/>
      </w:r>
      <w:r>
        <w:t>62</w:t>
      </w:r>
      <w:r>
        <w:fldChar w:fldCharType="end"/>
      </w:r>
    </w:p>
    <w:p>
      <w:pPr>
        <w:pStyle w:val="TOC8"/>
        <w:rPr>
          <w:rFonts w:asciiTheme="minorHAnsi" w:eastAsiaTheme="minorEastAsia" w:hAnsiTheme="minorHAnsi" w:cstheme="minorBidi"/>
          <w:szCs w:val="22"/>
        </w:rPr>
      </w:pPr>
      <w:r>
        <w:t>59.</w:t>
      </w:r>
      <w:r>
        <w:tab/>
        <w:t>Assumptions where there is non</w:t>
      </w:r>
      <w:r>
        <w:noBreakHyphen/>
        <w:t>compliance with regulatory information instrument</w:t>
      </w:r>
      <w:r>
        <w:tab/>
      </w:r>
      <w:r>
        <w:fldChar w:fldCharType="begin"/>
      </w:r>
      <w:r>
        <w:instrText xml:space="preserve"> PAGEREF _Toc221109749 \h </w:instrText>
      </w:r>
      <w:r>
        <w:fldChar w:fldCharType="separate"/>
      </w:r>
      <w:r>
        <w:t>63</w:t>
      </w:r>
      <w:r>
        <w:fldChar w:fldCharType="end"/>
      </w:r>
    </w:p>
    <w:p>
      <w:pPr>
        <w:pStyle w:val="TOC6"/>
        <w:tabs>
          <w:tab w:val="right" w:leader="dot" w:pos="7077"/>
        </w:tabs>
        <w:rPr>
          <w:rFonts w:asciiTheme="minorHAnsi" w:eastAsiaTheme="minorEastAsia" w:hAnsiTheme="minorHAnsi" w:cstheme="minorBidi"/>
          <w:b w:val="0"/>
          <w:sz w:val="22"/>
          <w:szCs w:val="22"/>
        </w:rPr>
      </w:pPr>
      <w:r>
        <w:t>Subdivision 5 — General</w:t>
      </w:r>
    </w:p>
    <w:p>
      <w:pPr>
        <w:pStyle w:val="TOC8"/>
        <w:rPr>
          <w:rFonts w:asciiTheme="minorHAnsi" w:eastAsiaTheme="minorEastAsia" w:hAnsiTheme="minorHAnsi" w:cstheme="minorBidi"/>
          <w:szCs w:val="22"/>
        </w:rPr>
      </w:pPr>
      <w:r>
        <w:t>60.</w:t>
      </w:r>
      <w:r>
        <w:tab/>
        <w:t>Providing to AER false and misleading information</w:t>
      </w:r>
      <w:r>
        <w:tab/>
      </w:r>
      <w:r>
        <w:fldChar w:fldCharType="begin"/>
      </w:r>
      <w:r>
        <w:instrText xml:space="preserve"> PAGEREF _Toc221109751 \h </w:instrText>
      </w:r>
      <w:r>
        <w:fldChar w:fldCharType="separate"/>
      </w:r>
      <w:r>
        <w:t>64</w:t>
      </w:r>
      <w:r>
        <w:fldChar w:fldCharType="end"/>
      </w:r>
    </w:p>
    <w:p>
      <w:pPr>
        <w:pStyle w:val="TOC8"/>
        <w:rPr>
          <w:rFonts w:asciiTheme="minorHAnsi" w:eastAsiaTheme="minorEastAsia" w:hAnsiTheme="minorHAnsi" w:cstheme="minorBidi"/>
          <w:szCs w:val="22"/>
        </w:rPr>
      </w:pPr>
      <w:r>
        <w:t>61.</w:t>
      </w:r>
      <w:r>
        <w:tab/>
        <w:t>Person cannot rely on duty of confidence to avoid compliance with regulatory information instrument</w:t>
      </w:r>
      <w:r>
        <w:tab/>
      </w:r>
      <w:r>
        <w:fldChar w:fldCharType="begin"/>
      </w:r>
      <w:r>
        <w:instrText xml:space="preserve"> PAGEREF _Toc221109752 \h </w:instrText>
      </w:r>
      <w:r>
        <w:fldChar w:fldCharType="separate"/>
      </w:r>
      <w:r>
        <w:t>64</w:t>
      </w:r>
      <w:r>
        <w:fldChar w:fldCharType="end"/>
      </w:r>
    </w:p>
    <w:p>
      <w:pPr>
        <w:pStyle w:val="TOC8"/>
        <w:rPr>
          <w:rFonts w:asciiTheme="minorHAnsi" w:eastAsiaTheme="minorEastAsia" w:hAnsiTheme="minorHAnsi" w:cstheme="minorBidi"/>
          <w:szCs w:val="22"/>
        </w:rPr>
      </w:pPr>
      <w:r>
        <w:t>62.</w:t>
      </w:r>
      <w:r>
        <w:tab/>
        <w:t>Legal professional privilege not affected</w:t>
      </w:r>
      <w:r>
        <w:tab/>
      </w:r>
      <w:r>
        <w:fldChar w:fldCharType="begin"/>
      </w:r>
      <w:r>
        <w:instrText xml:space="preserve"> PAGEREF _Toc221109753 \h </w:instrText>
      </w:r>
      <w:r>
        <w:fldChar w:fldCharType="separate"/>
      </w:r>
      <w:r>
        <w:t>64</w:t>
      </w:r>
      <w:r>
        <w:fldChar w:fldCharType="end"/>
      </w:r>
    </w:p>
    <w:p>
      <w:pPr>
        <w:pStyle w:val="TOC8"/>
        <w:rPr>
          <w:rFonts w:asciiTheme="minorHAnsi" w:eastAsiaTheme="minorEastAsia" w:hAnsiTheme="minorHAnsi" w:cstheme="minorBidi"/>
          <w:szCs w:val="22"/>
        </w:rPr>
      </w:pPr>
      <w:r>
        <w:t>63.</w:t>
      </w:r>
      <w:r>
        <w:tab/>
        <w:t>Protection against self</w:t>
      </w:r>
      <w:r>
        <w:noBreakHyphen/>
        <w:t>incrimination</w:t>
      </w:r>
      <w:r>
        <w:tab/>
      </w:r>
      <w:r>
        <w:fldChar w:fldCharType="begin"/>
      </w:r>
      <w:r>
        <w:instrText xml:space="preserve"> PAGEREF _Toc221109754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Division 5 — Service provider performance reports</w:t>
      </w:r>
    </w:p>
    <w:p>
      <w:pPr>
        <w:pStyle w:val="TOC8"/>
        <w:rPr>
          <w:rFonts w:asciiTheme="minorHAnsi" w:eastAsiaTheme="minorEastAsia" w:hAnsiTheme="minorHAnsi" w:cstheme="minorBidi"/>
          <w:szCs w:val="22"/>
        </w:rPr>
      </w:pPr>
      <w:r>
        <w:t>64.</w:t>
      </w:r>
      <w:r>
        <w:tab/>
        <w:t>Preparation of service provider performance reports</w:t>
      </w:r>
      <w:r>
        <w:tab/>
      </w:r>
      <w:r>
        <w:fldChar w:fldCharType="begin"/>
      </w:r>
      <w:r>
        <w:instrText xml:space="preserve"> PAGEREF _Toc221109756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65.</w:t>
      </w:r>
      <w:r>
        <w:tab/>
        <w:t>Consideration by the AER of submissions or comments made to it under this Law or the Rules</w:t>
      </w:r>
      <w:r>
        <w:tab/>
      </w:r>
      <w:r>
        <w:fldChar w:fldCharType="begin"/>
      </w:r>
      <w:r>
        <w:instrText xml:space="preserve"> PAGEREF _Toc221109758 \h </w:instrText>
      </w:r>
      <w:r>
        <w:fldChar w:fldCharType="separate"/>
      </w:r>
      <w:r>
        <w:t>67</w:t>
      </w:r>
      <w:r>
        <w:fldChar w:fldCharType="end"/>
      </w:r>
    </w:p>
    <w:p>
      <w:pPr>
        <w:pStyle w:val="TOC8"/>
        <w:rPr>
          <w:rFonts w:asciiTheme="minorHAnsi" w:eastAsiaTheme="minorEastAsia" w:hAnsiTheme="minorHAnsi" w:cstheme="minorBidi"/>
          <w:szCs w:val="22"/>
        </w:rPr>
      </w:pPr>
      <w:r>
        <w:t>66.</w:t>
      </w:r>
      <w:r>
        <w:tab/>
        <w:t>Use of information provided under a notice under Division 3 or a regulatory information instrument</w:t>
      </w:r>
      <w:r>
        <w:tab/>
      </w:r>
      <w:r>
        <w:fldChar w:fldCharType="begin"/>
      </w:r>
      <w:r>
        <w:instrText xml:space="preserve"> PAGEREF _Toc221109759 \h </w:instrText>
      </w:r>
      <w:r>
        <w:fldChar w:fldCharType="separate"/>
      </w:r>
      <w:r>
        <w:t>67</w:t>
      </w:r>
      <w:r>
        <w:fldChar w:fldCharType="end"/>
      </w:r>
    </w:p>
    <w:p>
      <w:pPr>
        <w:pStyle w:val="TOC8"/>
        <w:rPr>
          <w:rFonts w:asciiTheme="minorHAnsi" w:eastAsiaTheme="minorEastAsia" w:hAnsiTheme="minorHAnsi" w:cstheme="minorBidi"/>
          <w:szCs w:val="22"/>
        </w:rPr>
      </w:pPr>
      <w:r>
        <w:t>67.</w:t>
      </w:r>
      <w:r>
        <w:tab/>
        <w:t>AER to inform certain persons of decisions not to investigate breaches, institute proceedings or serve infringement notices</w:t>
      </w:r>
      <w:r>
        <w:tab/>
      </w:r>
      <w:r>
        <w:fldChar w:fldCharType="begin"/>
      </w:r>
      <w:r>
        <w:instrText xml:space="preserve"> PAGEREF _Toc221109760 \h </w:instrText>
      </w:r>
      <w:r>
        <w:fldChar w:fldCharType="separate"/>
      </w:r>
      <w:r>
        <w:t>67</w:t>
      </w:r>
      <w:r>
        <w:fldChar w:fldCharType="end"/>
      </w:r>
    </w:p>
    <w:p>
      <w:pPr>
        <w:pStyle w:val="TOC8"/>
        <w:rPr>
          <w:rFonts w:asciiTheme="minorHAnsi" w:eastAsiaTheme="minorEastAsia" w:hAnsiTheme="minorHAnsi" w:cstheme="minorBidi"/>
          <w:szCs w:val="22"/>
        </w:rPr>
      </w:pPr>
      <w:r>
        <w:t>68.</w:t>
      </w:r>
      <w:r>
        <w:tab/>
        <w:t>AER enforcement guidelines</w:t>
      </w:r>
      <w:r>
        <w:tab/>
      </w:r>
      <w:r>
        <w:fldChar w:fldCharType="begin"/>
      </w:r>
      <w:r>
        <w:instrText xml:space="preserve"> PAGEREF _Toc221109761 \h </w:instrText>
      </w:r>
      <w:r>
        <w:fldChar w:fldCharType="separate"/>
      </w:r>
      <w:r>
        <w:t>68</w:t>
      </w:r>
      <w:r>
        <w:fldChar w:fldCharType="end"/>
      </w:r>
    </w:p>
    <w:p>
      <w:pPr>
        <w:pStyle w:val="TOC8"/>
        <w:rPr>
          <w:rFonts w:asciiTheme="minorHAnsi" w:eastAsiaTheme="minorEastAsia" w:hAnsiTheme="minorHAnsi" w:cstheme="minorBidi"/>
          <w:szCs w:val="22"/>
        </w:rPr>
      </w:pPr>
      <w:r>
        <w:t>68C.</w:t>
      </w:r>
      <w:r>
        <w:tab/>
        <w:t>Record of designated reviewable regulatory decisions</w:t>
      </w:r>
      <w:r>
        <w:tab/>
      </w:r>
      <w:r>
        <w:fldChar w:fldCharType="begin"/>
      </w:r>
      <w:r>
        <w:instrText xml:space="preserve"> PAGEREF _Toc221109762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Part 1A — Functions and powers of WA arbitrator</w:t>
      </w:r>
    </w:p>
    <w:p>
      <w:pPr>
        <w:pStyle w:val="TOC8"/>
        <w:rPr>
          <w:rFonts w:asciiTheme="minorHAnsi" w:eastAsiaTheme="minorEastAsia" w:hAnsiTheme="minorHAnsi" w:cstheme="minorBidi"/>
          <w:szCs w:val="22"/>
        </w:rPr>
      </w:pPr>
      <w:r>
        <w:t>68A.</w:t>
      </w:r>
      <w:r>
        <w:tab/>
        <w:t>Manner in which WA arbitrator must perform or exercise certain functions or powers</w:t>
      </w:r>
      <w:r>
        <w:tab/>
      </w:r>
      <w:r>
        <w:fldChar w:fldCharType="begin"/>
      </w:r>
      <w:r>
        <w:instrText xml:space="preserve"> PAGEREF _Toc221109764 \h </w:instrText>
      </w:r>
      <w:r>
        <w:fldChar w:fldCharType="separate"/>
      </w:r>
      <w:r>
        <w:t>70</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2 — Functions and powers of the Australian Energy Market Commission</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69.</w:t>
      </w:r>
      <w:r>
        <w:tab/>
        <w:t>Functions and powers of the AEMC</w:t>
      </w:r>
      <w:r>
        <w:tab/>
      </w:r>
      <w:r>
        <w:fldChar w:fldCharType="begin"/>
      </w:r>
      <w:r>
        <w:instrText xml:space="preserve"> PAGEREF _Toc221109767 \h </w:instrText>
      </w:r>
      <w:r>
        <w:fldChar w:fldCharType="separate"/>
      </w:r>
      <w:r>
        <w:t>70</w:t>
      </w:r>
      <w:r>
        <w:fldChar w:fldCharType="end"/>
      </w:r>
    </w:p>
    <w:p>
      <w:pPr>
        <w:pStyle w:val="TOC8"/>
        <w:rPr>
          <w:rFonts w:asciiTheme="minorHAnsi" w:eastAsiaTheme="minorEastAsia" w:hAnsiTheme="minorHAnsi" w:cstheme="minorBidi"/>
          <w:szCs w:val="22"/>
        </w:rPr>
      </w:pPr>
      <w:r>
        <w:t>70.</w:t>
      </w:r>
      <w:r>
        <w:tab/>
        <w:t>Delegations</w:t>
      </w:r>
      <w:r>
        <w:tab/>
      </w:r>
      <w:r>
        <w:fldChar w:fldCharType="begin"/>
      </w:r>
      <w:r>
        <w:instrText xml:space="preserve"> PAGEREF _Toc221109768 \h </w:instrText>
      </w:r>
      <w:r>
        <w:fldChar w:fldCharType="separate"/>
      </w:r>
      <w:r>
        <w:t>71</w:t>
      </w:r>
      <w:r>
        <w:fldChar w:fldCharType="end"/>
      </w:r>
    </w:p>
    <w:p>
      <w:pPr>
        <w:pStyle w:val="TOC8"/>
        <w:rPr>
          <w:rFonts w:asciiTheme="minorHAnsi" w:eastAsiaTheme="minorEastAsia" w:hAnsiTheme="minorHAnsi" w:cstheme="minorBidi"/>
          <w:szCs w:val="22"/>
        </w:rPr>
      </w:pPr>
      <w:r>
        <w:t>71.</w:t>
      </w:r>
      <w:r>
        <w:tab/>
        <w:t>Confidentiality</w:t>
      </w:r>
      <w:r>
        <w:tab/>
      </w:r>
      <w:r>
        <w:fldChar w:fldCharType="begin"/>
      </w:r>
      <w:r>
        <w:instrText xml:space="preserve"> PAGEREF _Toc221109769 \h </w:instrText>
      </w:r>
      <w:r>
        <w:fldChar w:fldCharType="separate"/>
      </w:r>
      <w:r>
        <w:t>71</w:t>
      </w:r>
      <w:r>
        <w:fldChar w:fldCharType="end"/>
      </w:r>
    </w:p>
    <w:p>
      <w:pPr>
        <w:pStyle w:val="TOC8"/>
        <w:rPr>
          <w:rFonts w:asciiTheme="minorHAnsi" w:eastAsiaTheme="minorEastAsia" w:hAnsiTheme="minorHAnsi" w:cstheme="minorBidi"/>
          <w:szCs w:val="22"/>
        </w:rPr>
      </w:pPr>
      <w:r>
        <w:t>72.</w:t>
      </w:r>
      <w:r>
        <w:tab/>
        <w:t>AEMC must have regard to national gas objective</w:t>
      </w:r>
      <w:r>
        <w:tab/>
      </w:r>
      <w:r>
        <w:fldChar w:fldCharType="begin"/>
      </w:r>
      <w:r>
        <w:instrText xml:space="preserve"> PAGEREF _Toc221109770 \h </w:instrText>
      </w:r>
      <w:r>
        <w:fldChar w:fldCharType="separate"/>
      </w:r>
      <w:r>
        <w:t>71</w:t>
      </w:r>
      <w:r>
        <w:fldChar w:fldCharType="end"/>
      </w:r>
    </w:p>
    <w:p>
      <w:pPr>
        <w:pStyle w:val="TOC8"/>
        <w:rPr>
          <w:rFonts w:asciiTheme="minorHAnsi" w:eastAsiaTheme="minorEastAsia" w:hAnsiTheme="minorHAnsi" w:cstheme="minorBidi"/>
          <w:szCs w:val="22"/>
        </w:rPr>
      </w:pPr>
      <w:r>
        <w:t>73.</w:t>
      </w:r>
      <w:r>
        <w:tab/>
        <w:t>AEMC must have regard to MCE statements of policy principles in relation to Rule making and reviews</w:t>
      </w:r>
      <w:r>
        <w:tab/>
      </w:r>
      <w:r>
        <w:fldChar w:fldCharType="begin"/>
      </w:r>
      <w:r>
        <w:instrText xml:space="preserve"> PAGEREF _Toc221109771 \h </w:instrText>
      </w:r>
      <w:r>
        <w:fldChar w:fldCharType="separate"/>
      </w:r>
      <w:r>
        <w:t>71</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functions and powers of the AEMC</w:t>
      </w:r>
    </w:p>
    <w:p>
      <w:pPr>
        <w:pStyle w:val="TOC8"/>
        <w:rPr>
          <w:rFonts w:asciiTheme="minorHAnsi" w:eastAsiaTheme="minorEastAsia" w:hAnsiTheme="minorHAnsi" w:cstheme="minorBidi"/>
          <w:szCs w:val="22"/>
        </w:rPr>
      </w:pPr>
      <w:r>
        <w:t>74.</w:t>
      </w:r>
      <w:r>
        <w:tab/>
        <w:t>Subject matter for National Gas Rules</w:t>
      </w:r>
      <w:r>
        <w:tab/>
      </w:r>
      <w:r>
        <w:fldChar w:fldCharType="begin"/>
      </w:r>
      <w:r>
        <w:instrText xml:space="preserve"> PAGEREF _Toc221109773 \h </w:instrText>
      </w:r>
      <w:r>
        <w:fldChar w:fldCharType="separate"/>
      </w:r>
      <w:r>
        <w:t>72</w:t>
      </w:r>
      <w:r>
        <w:fldChar w:fldCharType="end"/>
      </w:r>
    </w:p>
    <w:p>
      <w:pPr>
        <w:pStyle w:val="TOC8"/>
        <w:rPr>
          <w:rFonts w:asciiTheme="minorHAnsi" w:eastAsiaTheme="minorEastAsia" w:hAnsiTheme="minorHAnsi" w:cstheme="minorBidi"/>
          <w:szCs w:val="22"/>
        </w:rPr>
      </w:pPr>
      <w:r>
        <w:t>75.</w:t>
      </w:r>
      <w:r>
        <w:tab/>
        <w:t>Rules relating to MCE or Ministers of participating jurisdictions require MCE consent</w:t>
      </w:r>
      <w:r>
        <w:tab/>
      </w:r>
      <w:r>
        <w:fldChar w:fldCharType="begin"/>
      </w:r>
      <w:r>
        <w:instrText xml:space="preserve"> PAGEREF _Toc221109774 \h </w:instrText>
      </w:r>
      <w:r>
        <w:fldChar w:fldCharType="separate"/>
      </w:r>
      <w:r>
        <w:t>75</w:t>
      </w:r>
      <w:r>
        <w:fldChar w:fldCharType="end"/>
      </w:r>
    </w:p>
    <w:p>
      <w:pPr>
        <w:pStyle w:val="TOC8"/>
        <w:rPr>
          <w:rFonts w:asciiTheme="minorHAnsi" w:eastAsiaTheme="minorEastAsia" w:hAnsiTheme="minorHAnsi" w:cstheme="minorBidi"/>
          <w:szCs w:val="22"/>
        </w:rPr>
      </w:pPr>
      <w:r>
        <w:t>76.</w:t>
      </w:r>
      <w:r>
        <w:tab/>
        <w:t>AEMC must not make Rules that create criminal offences or impose civil penalties for breaches</w:t>
      </w:r>
      <w:r>
        <w:tab/>
      </w:r>
      <w:r>
        <w:fldChar w:fldCharType="begin"/>
      </w:r>
      <w:r>
        <w:instrText xml:space="preserve"> PAGEREF _Toc221109775 \h </w:instrText>
      </w:r>
      <w:r>
        <w:fldChar w:fldCharType="separate"/>
      </w:r>
      <w:r>
        <w:t>75</w:t>
      </w:r>
      <w:r>
        <w:fldChar w:fldCharType="end"/>
      </w:r>
    </w:p>
    <w:p>
      <w:pPr>
        <w:pStyle w:val="TOC8"/>
        <w:rPr>
          <w:rFonts w:asciiTheme="minorHAnsi" w:eastAsiaTheme="minorEastAsia" w:hAnsiTheme="minorHAnsi" w:cstheme="minorBidi"/>
          <w:szCs w:val="22"/>
        </w:rPr>
      </w:pPr>
      <w:r>
        <w:t>77.</w:t>
      </w:r>
      <w:r>
        <w:tab/>
        <w:t>Documents etc applied, adopted and incorporated by Rules to be publicly available</w:t>
      </w:r>
      <w:r>
        <w:tab/>
      </w:r>
      <w:r>
        <w:fldChar w:fldCharType="begin"/>
      </w:r>
      <w:r>
        <w:instrText xml:space="preserve"> PAGEREF _Toc221109776 \h </w:instrText>
      </w:r>
      <w:r>
        <w:fldChar w:fldCharType="separate"/>
      </w:r>
      <w:r>
        <w:t>76</w:t>
      </w:r>
      <w:r>
        <w:fldChar w:fldCharType="end"/>
      </w:r>
    </w:p>
    <w:p>
      <w:pPr>
        <w:pStyle w:val="TOC6"/>
        <w:tabs>
          <w:tab w:val="right" w:leader="dot" w:pos="7077"/>
        </w:tabs>
        <w:rPr>
          <w:rFonts w:asciiTheme="minorHAnsi" w:eastAsiaTheme="minorEastAsia" w:hAnsiTheme="minorHAnsi" w:cstheme="minorBidi"/>
          <w:b w:val="0"/>
          <w:sz w:val="22"/>
          <w:szCs w:val="22"/>
        </w:rPr>
      </w:pPr>
      <w:r>
        <w:t>Division 3 — Committees, panels and working groups of the AEMC</w:t>
      </w:r>
    </w:p>
    <w:p>
      <w:pPr>
        <w:pStyle w:val="TOC8"/>
        <w:rPr>
          <w:rFonts w:asciiTheme="minorHAnsi" w:eastAsiaTheme="minorEastAsia" w:hAnsiTheme="minorHAnsi" w:cstheme="minorBidi"/>
          <w:szCs w:val="22"/>
        </w:rPr>
      </w:pPr>
      <w:r>
        <w:t>78.</w:t>
      </w:r>
      <w:r>
        <w:tab/>
        <w:t>Establishment of committees, panels and working groups</w:t>
      </w:r>
      <w:r>
        <w:tab/>
      </w:r>
      <w:r>
        <w:fldChar w:fldCharType="begin"/>
      </w:r>
      <w:r>
        <w:instrText xml:space="preserve"> PAGEREF _Toc221109778 \h </w:instrText>
      </w:r>
      <w:r>
        <w:fldChar w:fldCharType="separate"/>
      </w:r>
      <w:r>
        <w:t>76</w:t>
      </w:r>
      <w:r>
        <w:fldChar w:fldCharType="end"/>
      </w:r>
    </w:p>
    <w:p>
      <w:pPr>
        <w:pStyle w:val="TOC6"/>
        <w:tabs>
          <w:tab w:val="right" w:leader="dot" w:pos="7077"/>
        </w:tabs>
        <w:rPr>
          <w:rFonts w:asciiTheme="minorHAnsi" w:eastAsiaTheme="minorEastAsia" w:hAnsiTheme="minorHAnsi" w:cstheme="minorBidi"/>
          <w:b w:val="0"/>
          <w:sz w:val="22"/>
          <w:szCs w:val="22"/>
        </w:rPr>
      </w:pPr>
      <w:r>
        <w:t>Division 4 — MCE directed reviews</w:t>
      </w:r>
    </w:p>
    <w:p>
      <w:pPr>
        <w:pStyle w:val="TOC8"/>
        <w:rPr>
          <w:rFonts w:asciiTheme="minorHAnsi" w:eastAsiaTheme="minorEastAsia" w:hAnsiTheme="minorHAnsi" w:cstheme="minorBidi"/>
          <w:szCs w:val="22"/>
        </w:rPr>
      </w:pPr>
      <w:r>
        <w:t>79.</w:t>
      </w:r>
      <w:r>
        <w:tab/>
        <w:t>MCE directions</w:t>
      </w:r>
      <w:r>
        <w:tab/>
      </w:r>
      <w:r>
        <w:fldChar w:fldCharType="begin"/>
      </w:r>
      <w:r>
        <w:instrText xml:space="preserve"> PAGEREF _Toc221109780 \h </w:instrText>
      </w:r>
      <w:r>
        <w:fldChar w:fldCharType="separate"/>
      </w:r>
      <w:r>
        <w:t>77</w:t>
      </w:r>
      <w:r>
        <w:fldChar w:fldCharType="end"/>
      </w:r>
    </w:p>
    <w:p>
      <w:pPr>
        <w:pStyle w:val="TOC8"/>
        <w:rPr>
          <w:rFonts w:asciiTheme="minorHAnsi" w:eastAsiaTheme="minorEastAsia" w:hAnsiTheme="minorHAnsi" w:cstheme="minorBidi"/>
          <w:szCs w:val="22"/>
        </w:rPr>
      </w:pPr>
      <w:r>
        <w:t>80.</w:t>
      </w:r>
      <w:r>
        <w:tab/>
        <w:t>Terms of reference</w:t>
      </w:r>
      <w:r>
        <w:tab/>
      </w:r>
      <w:r>
        <w:fldChar w:fldCharType="begin"/>
      </w:r>
      <w:r>
        <w:instrText xml:space="preserve"> PAGEREF _Toc221109781 \h </w:instrText>
      </w:r>
      <w:r>
        <w:fldChar w:fldCharType="separate"/>
      </w:r>
      <w:r>
        <w:t>77</w:t>
      </w:r>
      <w:r>
        <w:fldChar w:fldCharType="end"/>
      </w:r>
    </w:p>
    <w:p>
      <w:pPr>
        <w:pStyle w:val="TOC8"/>
        <w:rPr>
          <w:rFonts w:asciiTheme="minorHAnsi" w:eastAsiaTheme="minorEastAsia" w:hAnsiTheme="minorHAnsi" w:cstheme="minorBidi"/>
          <w:szCs w:val="22"/>
        </w:rPr>
      </w:pPr>
      <w:r>
        <w:t>81.</w:t>
      </w:r>
      <w:r>
        <w:tab/>
        <w:t>Notice of MCE directed review</w:t>
      </w:r>
      <w:r>
        <w:tab/>
      </w:r>
      <w:r>
        <w:fldChar w:fldCharType="begin"/>
      </w:r>
      <w:r>
        <w:instrText xml:space="preserve"> PAGEREF _Toc221109782 \h </w:instrText>
      </w:r>
      <w:r>
        <w:fldChar w:fldCharType="separate"/>
      </w:r>
      <w:r>
        <w:t>79</w:t>
      </w:r>
      <w:r>
        <w:fldChar w:fldCharType="end"/>
      </w:r>
    </w:p>
    <w:p>
      <w:pPr>
        <w:pStyle w:val="TOC8"/>
        <w:rPr>
          <w:rFonts w:asciiTheme="minorHAnsi" w:eastAsiaTheme="minorEastAsia" w:hAnsiTheme="minorHAnsi" w:cstheme="minorBidi"/>
          <w:szCs w:val="22"/>
        </w:rPr>
      </w:pPr>
      <w:r>
        <w:t>82.</w:t>
      </w:r>
      <w:r>
        <w:tab/>
        <w:t>Conduct of MCE directed review</w:t>
      </w:r>
      <w:r>
        <w:tab/>
      </w:r>
      <w:r>
        <w:fldChar w:fldCharType="begin"/>
      </w:r>
      <w:r>
        <w:instrText xml:space="preserve"> PAGEREF _Toc221109783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reviews</w:t>
      </w:r>
    </w:p>
    <w:p>
      <w:pPr>
        <w:pStyle w:val="TOC8"/>
        <w:rPr>
          <w:rFonts w:asciiTheme="minorHAnsi" w:eastAsiaTheme="minorEastAsia" w:hAnsiTheme="minorHAnsi" w:cstheme="minorBidi"/>
          <w:szCs w:val="22"/>
        </w:rPr>
      </w:pPr>
      <w:r>
        <w:t>83.</w:t>
      </w:r>
      <w:r>
        <w:tab/>
        <w:t>Rule reviews by the AEMC</w:t>
      </w:r>
      <w:r>
        <w:tab/>
      </w:r>
      <w:r>
        <w:fldChar w:fldCharType="begin"/>
      </w:r>
      <w:r>
        <w:instrText xml:space="preserve"> PAGEREF _Toc221109785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83A.</w:t>
      </w:r>
      <w:r>
        <w:tab/>
        <w:t>Special information and transparency requirements relating to non</w:t>
      </w:r>
      <w:r>
        <w:noBreakHyphen/>
        <w:t>scheme pipelines</w:t>
      </w:r>
      <w:r>
        <w:tab/>
      </w:r>
      <w:r>
        <w:fldChar w:fldCharType="begin"/>
      </w:r>
      <w:r>
        <w:instrText xml:space="preserve"> PAGEREF _Toc221109787 \h </w:instrText>
      </w:r>
      <w:r>
        <w:fldChar w:fldCharType="separate"/>
      </w:r>
      <w:r>
        <w:t>80</w:t>
      </w:r>
      <w:r>
        <w:fldChar w:fldCharType="end"/>
      </w:r>
    </w:p>
    <w:p>
      <w:pPr>
        <w:pStyle w:val="TOC8"/>
        <w:rPr>
          <w:rFonts w:asciiTheme="minorHAnsi" w:eastAsiaTheme="minorEastAsia" w:hAnsiTheme="minorHAnsi" w:cstheme="minorBidi"/>
          <w:szCs w:val="22"/>
        </w:rPr>
      </w:pPr>
      <w:r>
        <w:t>84.</w:t>
      </w:r>
      <w:r>
        <w:tab/>
        <w:t>AEMC must publish and make available up to date versions of Rules</w:t>
      </w:r>
      <w:r>
        <w:tab/>
      </w:r>
      <w:r>
        <w:fldChar w:fldCharType="begin"/>
      </w:r>
      <w:r>
        <w:instrText xml:space="preserve"> PAGEREF _Toc221109788 \h </w:instrText>
      </w:r>
      <w:r>
        <w:fldChar w:fldCharType="separate"/>
      </w:r>
      <w:r>
        <w:t>82</w:t>
      </w:r>
      <w:r>
        <w:fldChar w:fldCharType="end"/>
      </w:r>
    </w:p>
    <w:p>
      <w:pPr>
        <w:pStyle w:val="TOC8"/>
        <w:rPr>
          <w:rFonts w:asciiTheme="minorHAnsi" w:eastAsiaTheme="minorEastAsia" w:hAnsiTheme="minorHAnsi" w:cstheme="minorBidi"/>
          <w:szCs w:val="22"/>
        </w:rPr>
      </w:pPr>
      <w:r>
        <w:t>85.</w:t>
      </w:r>
      <w:r>
        <w:tab/>
        <w:t>Fees</w:t>
      </w:r>
      <w:r>
        <w:tab/>
      </w:r>
      <w:r>
        <w:fldChar w:fldCharType="begin"/>
      </w:r>
      <w:r>
        <w:instrText xml:space="preserve"> PAGEREF _Toc221109789 \h </w:instrText>
      </w:r>
      <w:r>
        <w:fldChar w:fldCharType="separate"/>
      </w:r>
      <w:r>
        <w:t>82</w:t>
      </w:r>
      <w:r>
        <w:fldChar w:fldCharType="end"/>
      </w:r>
    </w:p>
    <w:p>
      <w:pPr>
        <w:pStyle w:val="TOC8"/>
        <w:rPr>
          <w:rFonts w:asciiTheme="minorHAnsi" w:eastAsiaTheme="minorEastAsia" w:hAnsiTheme="minorHAnsi" w:cstheme="minorBidi"/>
          <w:szCs w:val="22"/>
        </w:rPr>
      </w:pPr>
      <w:r>
        <w:t>86.</w:t>
      </w:r>
      <w:r>
        <w:tab/>
        <w:t>Immunity from personal liability of AEMC officials</w:t>
      </w:r>
      <w:r>
        <w:tab/>
      </w:r>
      <w:r>
        <w:fldChar w:fldCharType="begin"/>
      </w:r>
      <w:r>
        <w:instrText xml:space="preserve"> PAGEREF _Toc221109790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3 — Functions and powers of Ministers of participating jurisdictions</w:t>
      </w:r>
    </w:p>
    <w:p>
      <w:pPr>
        <w:pStyle w:val="TOC8"/>
        <w:rPr>
          <w:rFonts w:asciiTheme="minorHAnsi" w:eastAsiaTheme="minorEastAsia" w:hAnsiTheme="minorHAnsi" w:cstheme="minorBidi"/>
          <w:szCs w:val="22"/>
        </w:rPr>
      </w:pPr>
      <w:r>
        <w:t>87.</w:t>
      </w:r>
      <w:r>
        <w:tab/>
        <w:t>Functions and powers of Minister of this participating jurisdiction under this Law</w:t>
      </w:r>
      <w:r>
        <w:tab/>
      </w:r>
      <w:r>
        <w:fldChar w:fldCharType="begin"/>
      </w:r>
      <w:r>
        <w:instrText xml:space="preserve"> PAGEREF _Toc221109792 \h </w:instrText>
      </w:r>
      <w:r>
        <w:fldChar w:fldCharType="separate"/>
      </w:r>
      <w:r>
        <w:t>83</w:t>
      </w:r>
      <w:r>
        <w:fldChar w:fldCharType="end"/>
      </w:r>
    </w:p>
    <w:p>
      <w:pPr>
        <w:pStyle w:val="TOC8"/>
        <w:rPr>
          <w:rFonts w:asciiTheme="minorHAnsi" w:eastAsiaTheme="minorEastAsia" w:hAnsiTheme="minorHAnsi" w:cstheme="minorBidi"/>
          <w:szCs w:val="22"/>
        </w:rPr>
      </w:pPr>
      <w:r>
        <w:t>88.</w:t>
      </w:r>
      <w:r>
        <w:tab/>
        <w:t>Functions and powers of Commonwealth Minister under this Law</w:t>
      </w:r>
      <w:r>
        <w:tab/>
      </w:r>
      <w:r>
        <w:fldChar w:fldCharType="begin"/>
      </w:r>
      <w:r>
        <w:instrText xml:space="preserve"> PAGEREF _Toc221109793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 of the NCC</w:t>
      </w:r>
    </w:p>
    <w:p>
      <w:pPr>
        <w:pStyle w:val="TOC8"/>
        <w:rPr>
          <w:rFonts w:asciiTheme="minorHAnsi" w:eastAsiaTheme="minorEastAsia" w:hAnsiTheme="minorHAnsi" w:cstheme="minorBidi"/>
          <w:szCs w:val="22"/>
        </w:rPr>
      </w:pPr>
      <w:r>
        <w:t>89.</w:t>
      </w:r>
      <w:r>
        <w:tab/>
        <w:t>Functions and powers of NCC under this Law</w:t>
      </w:r>
      <w:r>
        <w:tab/>
      </w:r>
      <w:r>
        <w:fldChar w:fldCharType="begin"/>
      </w:r>
      <w:r>
        <w:instrText xml:space="preserve"> PAGEREF _Toc221109795 \h </w:instrText>
      </w:r>
      <w:r>
        <w:fldChar w:fldCharType="separate"/>
      </w:r>
      <w:r>
        <w:t>84</w:t>
      </w:r>
      <w:r>
        <w:fldChar w:fldCharType="end"/>
      </w:r>
    </w:p>
    <w:p>
      <w:pPr>
        <w:pStyle w:val="TOC8"/>
        <w:rPr>
          <w:rFonts w:asciiTheme="minorHAnsi" w:eastAsiaTheme="minorEastAsia" w:hAnsiTheme="minorHAnsi" w:cstheme="minorBidi"/>
          <w:szCs w:val="22"/>
        </w:rPr>
      </w:pPr>
      <w:r>
        <w:t>90.</w:t>
      </w:r>
      <w:r>
        <w:tab/>
        <w:t>Confidentiality</w:t>
      </w:r>
      <w:r>
        <w:tab/>
      </w:r>
      <w:r>
        <w:fldChar w:fldCharType="begin"/>
      </w:r>
      <w:r>
        <w:instrText xml:space="preserve"> PAGEREF _Toc221109796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Part 5 — Functions and powers of Tribunal</w:t>
      </w:r>
    </w:p>
    <w:p>
      <w:pPr>
        <w:pStyle w:val="TOC8"/>
        <w:rPr>
          <w:rFonts w:asciiTheme="minorHAnsi" w:eastAsiaTheme="minorEastAsia" w:hAnsiTheme="minorHAnsi" w:cstheme="minorBidi"/>
          <w:szCs w:val="22"/>
        </w:rPr>
      </w:pPr>
      <w:r>
        <w:t>91.</w:t>
      </w:r>
      <w:r>
        <w:tab/>
        <w:t>Functions and powers of Tribunal under this Law</w:t>
      </w:r>
      <w:r>
        <w:tab/>
      </w:r>
      <w:r>
        <w:fldChar w:fldCharType="begin"/>
      </w:r>
      <w:r>
        <w:instrText xml:space="preserve"> PAGEREF _Toc221109798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Chapter 3 — Coverage and classification of pipelines</w:t>
      </w:r>
    </w:p>
    <w:p>
      <w:pPr>
        <w:pStyle w:val="TOC4"/>
        <w:tabs>
          <w:tab w:val="right" w:leader="dot" w:pos="7077"/>
        </w:tabs>
        <w:rPr>
          <w:rFonts w:asciiTheme="minorHAnsi" w:eastAsiaTheme="minorEastAsia" w:hAnsiTheme="minorHAnsi" w:cstheme="minorBidi"/>
          <w:b w:val="0"/>
          <w:szCs w:val="22"/>
        </w:rPr>
      </w:pPr>
      <w:r>
        <w:t>Part 1 — Coverage of pipelines</w:t>
      </w:r>
    </w:p>
    <w:p>
      <w:pPr>
        <w:pStyle w:val="TOC6"/>
        <w:tabs>
          <w:tab w:val="right" w:leader="dot" w:pos="7077"/>
        </w:tabs>
        <w:rPr>
          <w:rFonts w:asciiTheme="minorHAnsi" w:eastAsiaTheme="minorEastAsia" w:hAnsiTheme="minorHAnsi" w:cstheme="minorBidi"/>
          <w:b w:val="0"/>
          <w:sz w:val="22"/>
          <w:szCs w:val="22"/>
        </w:rPr>
      </w:pPr>
      <w:r>
        <w:t>Division 1 — Coverage determinations</w:t>
      </w:r>
    </w:p>
    <w:p>
      <w:pPr>
        <w:pStyle w:val="TOC8"/>
        <w:rPr>
          <w:rFonts w:asciiTheme="minorHAnsi" w:eastAsiaTheme="minorEastAsia" w:hAnsiTheme="minorHAnsi" w:cstheme="minorBidi"/>
          <w:szCs w:val="22"/>
        </w:rPr>
      </w:pPr>
      <w:r>
        <w:t>92.</w:t>
      </w:r>
      <w:r>
        <w:tab/>
        <w:t>Application for recommendation that a pipeline be a covered pipeline</w:t>
      </w:r>
      <w:r>
        <w:tab/>
      </w:r>
      <w:r>
        <w:fldChar w:fldCharType="begin"/>
      </w:r>
      <w:r>
        <w:instrText xml:space="preserve"> PAGEREF _Toc221109802 \h </w:instrText>
      </w:r>
      <w:r>
        <w:fldChar w:fldCharType="separate"/>
      </w:r>
      <w:r>
        <w:t>87</w:t>
      </w:r>
      <w:r>
        <w:fldChar w:fldCharType="end"/>
      </w:r>
    </w:p>
    <w:p>
      <w:pPr>
        <w:pStyle w:val="TOC8"/>
        <w:rPr>
          <w:rFonts w:asciiTheme="minorHAnsi" w:eastAsiaTheme="minorEastAsia" w:hAnsiTheme="minorHAnsi" w:cstheme="minorBidi"/>
          <w:szCs w:val="22"/>
        </w:rPr>
      </w:pPr>
      <w:r>
        <w:t>93.</w:t>
      </w:r>
      <w:r>
        <w:tab/>
        <w:t>Application to be dealt with in accordance with the Rules</w:t>
      </w:r>
      <w:r>
        <w:tab/>
      </w:r>
      <w:r>
        <w:fldChar w:fldCharType="begin"/>
      </w:r>
      <w:r>
        <w:instrText xml:space="preserve"> PAGEREF _Toc221109803 \h </w:instrText>
      </w:r>
      <w:r>
        <w:fldChar w:fldCharType="separate"/>
      </w:r>
      <w:r>
        <w:t>87</w:t>
      </w:r>
      <w:r>
        <w:fldChar w:fldCharType="end"/>
      </w:r>
    </w:p>
    <w:p>
      <w:pPr>
        <w:pStyle w:val="TOC8"/>
        <w:rPr>
          <w:rFonts w:asciiTheme="minorHAnsi" w:eastAsiaTheme="minorEastAsia" w:hAnsiTheme="minorHAnsi" w:cstheme="minorBidi"/>
          <w:szCs w:val="22"/>
        </w:rPr>
      </w:pPr>
      <w:r>
        <w:t>94.</w:t>
      </w:r>
      <w:r>
        <w:tab/>
        <w:t>NCC may defer consideration of application in</w:t>
      </w:r>
      <w:r>
        <w:rPr>
          <w:bCs/>
          <w:color w:val="000000"/>
        </w:rPr>
        <w:t xml:space="preserve"> certain cases</w:t>
      </w:r>
      <w:r>
        <w:tab/>
      </w:r>
      <w:r>
        <w:fldChar w:fldCharType="begin"/>
      </w:r>
      <w:r>
        <w:instrText xml:space="preserve"> PAGEREF _Toc221109804 \h </w:instrText>
      </w:r>
      <w:r>
        <w:fldChar w:fldCharType="separate"/>
      </w:r>
      <w:r>
        <w:t>87</w:t>
      </w:r>
      <w:r>
        <w:fldChar w:fldCharType="end"/>
      </w:r>
    </w:p>
    <w:p>
      <w:pPr>
        <w:pStyle w:val="TOC8"/>
        <w:rPr>
          <w:rFonts w:asciiTheme="minorHAnsi" w:eastAsiaTheme="minorEastAsia" w:hAnsiTheme="minorHAnsi" w:cstheme="minorBidi"/>
          <w:szCs w:val="22"/>
        </w:rPr>
      </w:pPr>
      <w:r>
        <w:t>95.</w:t>
      </w:r>
      <w:r>
        <w:tab/>
        <w:t>NCC coverage recommendation</w:t>
      </w:r>
      <w:r>
        <w:tab/>
      </w:r>
      <w:r>
        <w:fldChar w:fldCharType="begin"/>
      </w:r>
      <w:r>
        <w:instrText xml:space="preserve"> PAGEREF _Toc221109805 \h </w:instrText>
      </w:r>
      <w:r>
        <w:fldChar w:fldCharType="separate"/>
      </w:r>
      <w:r>
        <w:t>88</w:t>
      </w:r>
      <w:r>
        <w:fldChar w:fldCharType="end"/>
      </w:r>
    </w:p>
    <w:p>
      <w:pPr>
        <w:pStyle w:val="TOC8"/>
        <w:rPr>
          <w:rFonts w:asciiTheme="minorHAnsi" w:eastAsiaTheme="minorEastAsia" w:hAnsiTheme="minorHAnsi" w:cstheme="minorBidi"/>
          <w:szCs w:val="22"/>
        </w:rPr>
      </w:pPr>
      <w:r>
        <w:t>96.</w:t>
      </w:r>
      <w:r>
        <w:tab/>
        <w:t>NCC must not make coverage recommendation if tender approval decision becomes irrevocable</w:t>
      </w:r>
      <w:r>
        <w:tab/>
      </w:r>
      <w:r>
        <w:fldChar w:fldCharType="begin"/>
      </w:r>
      <w:r>
        <w:instrText xml:space="preserve"> PAGEREF _Toc221109806 \h </w:instrText>
      </w:r>
      <w:r>
        <w:fldChar w:fldCharType="separate"/>
      </w:r>
      <w:r>
        <w:t>89</w:t>
      </w:r>
      <w:r>
        <w:fldChar w:fldCharType="end"/>
      </w:r>
    </w:p>
    <w:p>
      <w:pPr>
        <w:pStyle w:val="TOC8"/>
        <w:rPr>
          <w:rFonts w:asciiTheme="minorHAnsi" w:eastAsiaTheme="minorEastAsia" w:hAnsiTheme="minorHAnsi" w:cstheme="minorBidi"/>
          <w:szCs w:val="22"/>
        </w:rPr>
      </w:pPr>
      <w:r>
        <w:t>97.</w:t>
      </w:r>
      <w:r>
        <w:tab/>
        <w:t>Principles governing the making of a coverage recommendation</w:t>
      </w:r>
      <w:r>
        <w:tab/>
      </w:r>
      <w:r>
        <w:fldChar w:fldCharType="begin"/>
      </w:r>
      <w:r>
        <w:instrText xml:space="preserve"> PAGEREF _Toc221109807 \h </w:instrText>
      </w:r>
      <w:r>
        <w:fldChar w:fldCharType="separate"/>
      </w:r>
      <w:r>
        <w:t>89</w:t>
      </w:r>
      <w:r>
        <w:fldChar w:fldCharType="end"/>
      </w:r>
    </w:p>
    <w:p>
      <w:pPr>
        <w:pStyle w:val="TOC8"/>
        <w:rPr>
          <w:rFonts w:asciiTheme="minorHAnsi" w:eastAsiaTheme="minorEastAsia" w:hAnsiTheme="minorHAnsi" w:cstheme="minorBidi"/>
          <w:szCs w:val="22"/>
        </w:rPr>
      </w:pPr>
      <w:r>
        <w:t>98.</w:t>
      </w:r>
      <w:r>
        <w:tab/>
        <w:t>Initial classification decision to be made as part of recommendation</w:t>
      </w:r>
      <w:r>
        <w:tab/>
      </w:r>
      <w:r>
        <w:fldChar w:fldCharType="begin"/>
      </w:r>
      <w:r>
        <w:instrText xml:space="preserve"> PAGEREF _Toc221109808 \h </w:instrText>
      </w:r>
      <w:r>
        <w:fldChar w:fldCharType="separate"/>
      </w:r>
      <w:r>
        <w:t>90</w:t>
      </w:r>
      <w:r>
        <w:fldChar w:fldCharType="end"/>
      </w:r>
    </w:p>
    <w:p>
      <w:pPr>
        <w:pStyle w:val="TOC8"/>
        <w:rPr>
          <w:rFonts w:asciiTheme="minorHAnsi" w:eastAsiaTheme="minorEastAsia" w:hAnsiTheme="minorHAnsi" w:cstheme="minorBidi"/>
          <w:szCs w:val="22"/>
        </w:rPr>
      </w:pPr>
      <w:r>
        <w:t>99.</w:t>
      </w:r>
      <w:r>
        <w:tab/>
        <w:t>Relevant Minister’s determination on application</w:t>
      </w:r>
      <w:r>
        <w:tab/>
      </w:r>
      <w:r>
        <w:fldChar w:fldCharType="begin"/>
      </w:r>
      <w:r>
        <w:instrText xml:space="preserve"> PAGEREF _Toc221109809 \h </w:instrText>
      </w:r>
      <w:r>
        <w:fldChar w:fldCharType="separate"/>
      </w:r>
      <w:r>
        <w:t>91</w:t>
      </w:r>
      <w:r>
        <w:fldChar w:fldCharType="end"/>
      </w:r>
    </w:p>
    <w:p>
      <w:pPr>
        <w:pStyle w:val="TOC8"/>
        <w:rPr>
          <w:rFonts w:asciiTheme="minorHAnsi" w:eastAsiaTheme="minorEastAsia" w:hAnsiTheme="minorHAnsi" w:cstheme="minorBidi"/>
          <w:szCs w:val="22"/>
        </w:rPr>
      </w:pPr>
      <w:r>
        <w:t>100.</w:t>
      </w:r>
      <w:r>
        <w:tab/>
        <w:t>Principles governing the making of a coverage determination or decision not to do so</w:t>
      </w:r>
      <w:r>
        <w:tab/>
      </w:r>
      <w:r>
        <w:fldChar w:fldCharType="begin"/>
      </w:r>
      <w:r>
        <w:instrText xml:space="preserve"> PAGEREF _Toc221109810 \h </w:instrText>
      </w:r>
      <w:r>
        <w:fldChar w:fldCharType="separate"/>
      </w:r>
      <w:r>
        <w:t>92</w:t>
      </w:r>
      <w:r>
        <w:fldChar w:fldCharType="end"/>
      </w:r>
    </w:p>
    <w:p>
      <w:pPr>
        <w:pStyle w:val="TOC8"/>
        <w:rPr>
          <w:rFonts w:asciiTheme="minorHAnsi" w:eastAsiaTheme="minorEastAsia" w:hAnsiTheme="minorHAnsi" w:cstheme="minorBidi"/>
          <w:szCs w:val="22"/>
        </w:rPr>
      </w:pPr>
      <w:r>
        <w:t>101.</w:t>
      </w:r>
      <w:r>
        <w:tab/>
        <w:t>Operation and effect of coverage determination</w:t>
      </w:r>
      <w:r>
        <w:tab/>
      </w:r>
      <w:r>
        <w:fldChar w:fldCharType="begin"/>
      </w:r>
      <w:r>
        <w:instrText xml:space="preserve"> PAGEREF _Toc221109811 \h </w:instrText>
      </w:r>
      <w:r>
        <w:fldChar w:fldCharType="separate"/>
      </w:r>
      <w:r>
        <w:t>93</w:t>
      </w:r>
      <w:r>
        <w:fldChar w:fldCharType="end"/>
      </w:r>
    </w:p>
    <w:p>
      <w:pPr>
        <w:pStyle w:val="TOC6"/>
        <w:tabs>
          <w:tab w:val="right" w:leader="dot" w:pos="7077"/>
        </w:tabs>
        <w:rPr>
          <w:rFonts w:asciiTheme="minorHAnsi" w:eastAsiaTheme="minorEastAsia" w:hAnsiTheme="minorHAnsi" w:cstheme="minorBidi"/>
          <w:b w:val="0"/>
          <w:sz w:val="22"/>
          <w:szCs w:val="22"/>
        </w:rPr>
      </w:pPr>
      <w:r>
        <w:t>Division 2 — Coverage revocation determinations</w:t>
      </w:r>
    </w:p>
    <w:p>
      <w:pPr>
        <w:pStyle w:val="TOC8"/>
        <w:rPr>
          <w:rFonts w:asciiTheme="minorHAnsi" w:eastAsiaTheme="minorEastAsia" w:hAnsiTheme="minorHAnsi" w:cstheme="minorBidi"/>
          <w:szCs w:val="22"/>
        </w:rPr>
      </w:pPr>
      <w:r>
        <w:t>102.</w:t>
      </w:r>
      <w:r>
        <w:tab/>
        <w:t>Application for a determination that a pipeline no longer be a covered pipeline</w:t>
      </w:r>
      <w:r>
        <w:tab/>
      </w:r>
      <w:r>
        <w:fldChar w:fldCharType="begin"/>
      </w:r>
      <w:r>
        <w:instrText xml:space="preserve"> PAGEREF _Toc221109813 \h </w:instrText>
      </w:r>
      <w:r>
        <w:fldChar w:fldCharType="separate"/>
      </w:r>
      <w:r>
        <w:t>93</w:t>
      </w:r>
      <w:r>
        <w:fldChar w:fldCharType="end"/>
      </w:r>
    </w:p>
    <w:p>
      <w:pPr>
        <w:pStyle w:val="TOC8"/>
        <w:rPr>
          <w:rFonts w:asciiTheme="minorHAnsi" w:eastAsiaTheme="minorEastAsia" w:hAnsiTheme="minorHAnsi" w:cstheme="minorBidi"/>
          <w:szCs w:val="22"/>
        </w:rPr>
      </w:pPr>
      <w:r>
        <w:t>103.</w:t>
      </w:r>
      <w:r>
        <w:tab/>
        <w:t>Application to be dealt with in accordance with the Rules</w:t>
      </w:r>
      <w:r>
        <w:tab/>
      </w:r>
      <w:r>
        <w:fldChar w:fldCharType="begin"/>
      </w:r>
      <w:r>
        <w:instrText xml:space="preserve"> PAGEREF _Toc221109814 \h </w:instrText>
      </w:r>
      <w:r>
        <w:fldChar w:fldCharType="separate"/>
      </w:r>
      <w:r>
        <w:t>93</w:t>
      </w:r>
      <w:r>
        <w:fldChar w:fldCharType="end"/>
      </w:r>
    </w:p>
    <w:p>
      <w:pPr>
        <w:pStyle w:val="TOC8"/>
        <w:rPr>
          <w:rFonts w:asciiTheme="minorHAnsi" w:eastAsiaTheme="minorEastAsia" w:hAnsiTheme="minorHAnsi" w:cstheme="minorBidi"/>
          <w:szCs w:val="22"/>
        </w:rPr>
      </w:pPr>
      <w:r>
        <w:t>104.</w:t>
      </w:r>
      <w:r>
        <w:tab/>
        <w:t>NCC coverage revocation recommendation</w:t>
      </w:r>
      <w:r>
        <w:tab/>
      </w:r>
      <w:r>
        <w:fldChar w:fldCharType="begin"/>
      </w:r>
      <w:r>
        <w:instrText xml:space="preserve"> PAGEREF _Toc221109815 \h </w:instrText>
      </w:r>
      <w:r>
        <w:fldChar w:fldCharType="separate"/>
      </w:r>
      <w:r>
        <w:t>94</w:t>
      </w:r>
      <w:r>
        <w:fldChar w:fldCharType="end"/>
      </w:r>
    </w:p>
    <w:p>
      <w:pPr>
        <w:pStyle w:val="TOC8"/>
        <w:rPr>
          <w:rFonts w:asciiTheme="minorHAnsi" w:eastAsiaTheme="minorEastAsia" w:hAnsiTheme="minorHAnsi" w:cstheme="minorBidi"/>
          <w:szCs w:val="22"/>
        </w:rPr>
      </w:pPr>
      <w:r>
        <w:lastRenderedPageBreak/>
        <w:t>105.</w:t>
      </w:r>
      <w:r>
        <w:tab/>
        <w:t>Principles governing the making of a coverage revocation recommendation</w:t>
      </w:r>
      <w:r>
        <w:tab/>
      </w:r>
      <w:r>
        <w:fldChar w:fldCharType="begin"/>
      </w:r>
      <w:r>
        <w:instrText xml:space="preserve"> PAGEREF _Toc221109816 \h </w:instrText>
      </w:r>
      <w:r>
        <w:fldChar w:fldCharType="separate"/>
      </w:r>
      <w:r>
        <w:t>95</w:t>
      </w:r>
      <w:r>
        <w:fldChar w:fldCharType="end"/>
      </w:r>
    </w:p>
    <w:p>
      <w:pPr>
        <w:pStyle w:val="TOC8"/>
        <w:rPr>
          <w:rFonts w:asciiTheme="minorHAnsi" w:eastAsiaTheme="minorEastAsia" w:hAnsiTheme="minorHAnsi" w:cstheme="minorBidi"/>
          <w:szCs w:val="22"/>
        </w:rPr>
      </w:pPr>
      <w:r>
        <w:t>106.</w:t>
      </w:r>
      <w:r>
        <w:tab/>
        <w:t>Relevant Minister’s determination on application</w:t>
      </w:r>
      <w:r>
        <w:tab/>
      </w:r>
      <w:r>
        <w:fldChar w:fldCharType="begin"/>
      </w:r>
      <w:r>
        <w:instrText xml:space="preserve"> PAGEREF _Toc221109817 \h </w:instrText>
      </w:r>
      <w:r>
        <w:fldChar w:fldCharType="separate"/>
      </w:r>
      <w:r>
        <w:t>95</w:t>
      </w:r>
      <w:r>
        <w:fldChar w:fldCharType="end"/>
      </w:r>
    </w:p>
    <w:p>
      <w:pPr>
        <w:pStyle w:val="TOC8"/>
        <w:rPr>
          <w:rFonts w:asciiTheme="minorHAnsi" w:eastAsiaTheme="minorEastAsia" w:hAnsiTheme="minorHAnsi" w:cstheme="minorBidi"/>
          <w:szCs w:val="22"/>
        </w:rPr>
      </w:pPr>
      <w:r>
        <w:t>107.</w:t>
      </w:r>
      <w:r>
        <w:tab/>
        <w:t>Principles governing the making of a coverage revocation determination or decision not to do so</w:t>
      </w:r>
      <w:r>
        <w:tab/>
      </w:r>
      <w:r>
        <w:fldChar w:fldCharType="begin"/>
      </w:r>
      <w:r>
        <w:instrText xml:space="preserve"> PAGEREF _Toc221109818 \h </w:instrText>
      </w:r>
      <w:r>
        <w:fldChar w:fldCharType="separate"/>
      </w:r>
      <w:r>
        <w:t>96</w:t>
      </w:r>
      <w:r>
        <w:fldChar w:fldCharType="end"/>
      </w:r>
    </w:p>
    <w:p>
      <w:pPr>
        <w:pStyle w:val="TOC8"/>
        <w:rPr>
          <w:rFonts w:asciiTheme="minorHAnsi" w:eastAsiaTheme="minorEastAsia" w:hAnsiTheme="minorHAnsi" w:cstheme="minorBidi"/>
          <w:szCs w:val="22"/>
        </w:rPr>
      </w:pPr>
      <w:r>
        <w:t>108.</w:t>
      </w:r>
      <w:r>
        <w:tab/>
        <w:t>Operation and effect of coverage revocation determination</w:t>
      </w:r>
      <w:r>
        <w:tab/>
      </w:r>
      <w:r>
        <w:fldChar w:fldCharType="begin"/>
      </w:r>
      <w:r>
        <w:instrText xml:space="preserve"> PAGEREF _Toc221109819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Part 2 — Light regulation of covered pipeline services</w:t>
      </w:r>
    </w:p>
    <w:p>
      <w:pPr>
        <w:pStyle w:val="TOC6"/>
        <w:tabs>
          <w:tab w:val="right" w:leader="dot" w:pos="7077"/>
        </w:tabs>
        <w:rPr>
          <w:rFonts w:asciiTheme="minorHAnsi" w:eastAsiaTheme="minorEastAsia" w:hAnsiTheme="minorHAnsi" w:cstheme="minorBidi"/>
          <w:b w:val="0"/>
          <w:sz w:val="22"/>
          <w:szCs w:val="22"/>
        </w:rPr>
      </w:pPr>
      <w:r>
        <w:t>Division 1 — Making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Decisions when pipeline is not a covered pipeline</w:t>
      </w:r>
    </w:p>
    <w:p>
      <w:pPr>
        <w:pStyle w:val="TOC8"/>
        <w:rPr>
          <w:rFonts w:asciiTheme="minorHAnsi" w:eastAsiaTheme="minorEastAsia" w:hAnsiTheme="minorHAnsi" w:cstheme="minorBidi"/>
          <w:szCs w:val="22"/>
        </w:rPr>
      </w:pPr>
      <w:r>
        <w:t>109.</w:t>
      </w:r>
      <w:r>
        <w:tab/>
        <w:t>Application of Subdivision</w:t>
      </w:r>
      <w:r>
        <w:tab/>
      </w:r>
      <w:r>
        <w:fldChar w:fldCharType="begin"/>
      </w:r>
      <w:r>
        <w:instrText xml:space="preserve"> PAGEREF _Toc221109823 \h </w:instrText>
      </w:r>
      <w:r>
        <w:fldChar w:fldCharType="separate"/>
      </w:r>
      <w:r>
        <w:t>98</w:t>
      </w:r>
      <w:r>
        <w:fldChar w:fldCharType="end"/>
      </w:r>
    </w:p>
    <w:p>
      <w:pPr>
        <w:pStyle w:val="TOC8"/>
        <w:rPr>
          <w:rFonts w:asciiTheme="minorHAnsi" w:eastAsiaTheme="minorEastAsia" w:hAnsiTheme="minorHAnsi" w:cstheme="minorBidi"/>
          <w:szCs w:val="22"/>
        </w:rPr>
      </w:pPr>
      <w:r>
        <w:t>110.</w:t>
      </w:r>
      <w:r>
        <w:tab/>
        <w:t>NCC’s decision on light regulation of pipeline services</w:t>
      </w:r>
      <w:r>
        <w:tab/>
      </w:r>
      <w:r>
        <w:fldChar w:fldCharType="begin"/>
      </w:r>
      <w:r>
        <w:instrText xml:space="preserve"> PAGEREF _Toc221109824 \h </w:instrText>
      </w:r>
      <w:r>
        <w:fldChar w:fldCharType="separate"/>
      </w:r>
      <w:r>
        <w:t>98</w:t>
      </w:r>
      <w:r>
        <w:fldChar w:fldCharType="end"/>
      </w:r>
    </w:p>
    <w:p>
      <w:pPr>
        <w:pStyle w:val="TOC6"/>
        <w:tabs>
          <w:tab w:val="right" w:leader="dot" w:pos="7077"/>
        </w:tabs>
        <w:rPr>
          <w:rFonts w:asciiTheme="minorHAnsi" w:eastAsiaTheme="minorEastAsia" w:hAnsiTheme="minorHAnsi" w:cstheme="minorBidi"/>
          <w:b w:val="0"/>
          <w:sz w:val="22"/>
          <w:szCs w:val="22"/>
        </w:rPr>
      </w:pPr>
      <w:r>
        <w:t>Subdivision 2 — Decisions when pipeline is a covered pipeline</w:t>
      </w:r>
    </w:p>
    <w:p>
      <w:pPr>
        <w:pStyle w:val="TOC8"/>
        <w:rPr>
          <w:rFonts w:asciiTheme="minorHAnsi" w:eastAsiaTheme="minorEastAsia" w:hAnsiTheme="minorHAnsi" w:cstheme="minorBidi"/>
          <w:szCs w:val="22"/>
        </w:rPr>
      </w:pPr>
      <w:r>
        <w:t>111.</w:t>
      </w:r>
      <w:r>
        <w:tab/>
        <w:t>Application of Subdivision</w:t>
      </w:r>
      <w:r>
        <w:tab/>
      </w:r>
      <w:r>
        <w:fldChar w:fldCharType="begin"/>
      </w:r>
      <w:r>
        <w:instrText xml:space="preserve"> PAGEREF _Toc221109826 \h </w:instrText>
      </w:r>
      <w:r>
        <w:fldChar w:fldCharType="separate"/>
      </w:r>
      <w:r>
        <w:t>99</w:t>
      </w:r>
      <w:r>
        <w:fldChar w:fldCharType="end"/>
      </w:r>
    </w:p>
    <w:p>
      <w:pPr>
        <w:pStyle w:val="TOC8"/>
        <w:rPr>
          <w:rFonts w:asciiTheme="minorHAnsi" w:eastAsiaTheme="minorEastAsia" w:hAnsiTheme="minorHAnsi" w:cstheme="minorBidi"/>
          <w:szCs w:val="22"/>
        </w:rPr>
      </w:pPr>
      <w:r>
        <w:t>112.</w:t>
      </w:r>
      <w:r>
        <w:tab/>
        <w:t>Application</w:t>
      </w:r>
      <w:r>
        <w:tab/>
      </w:r>
      <w:r>
        <w:fldChar w:fldCharType="begin"/>
      </w:r>
      <w:r>
        <w:instrText xml:space="preserve"> PAGEREF _Toc221109827 \h </w:instrText>
      </w:r>
      <w:r>
        <w:fldChar w:fldCharType="separate"/>
      </w:r>
      <w:r>
        <w:t>99</w:t>
      </w:r>
      <w:r>
        <w:fldChar w:fldCharType="end"/>
      </w:r>
    </w:p>
    <w:p>
      <w:pPr>
        <w:pStyle w:val="TOC8"/>
        <w:rPr>
          <w:rFonts w:asciiTheme="minorHAnsi" w:eastAsiaTheme="minorEastAsia" w:hAnsiTheme="minorHAnsi" w:cstheme="minorBidi"/>
          <w:szCs w:val="22"/>
        </w:rPr>
      </w:pPr>
      <w:r>
        <w:t>113.</w:t>
      </w:r>
      <w:r>
        <w:tab/>
        <w:t>Application to be dealt with in accordance with the Rules</w:t>
      </w:r>
      <w:r>
        <w:tab/>
      </w:r>
      <w:r>
        <w:fldChar w:fldCharType="begin"/>
      </w:r>
      <w:r>
        <w:instrText xml:space="preserve"> PAGEREF _Toc221109828 \h </w:instrText>
      </w:r>
      <w:r>
        <w:fldChar w:fldCharType="separate"/>
      </w:r>
      <w:r>
        <w:t>99</w:t>
      </w:r>
      <w:r>
        <w:fldChar w:fldCharType="end"/>
      </w:r>
    </w:p>
    <w:p>
      <w:pPr>
        <w:pStyle w:val="TOC8"/>
        <w:rPr>
          <w:rFonts w:asciiTheme="minorHAnsi" w:eastAsiaTheme="minorEastAsia" w:hAnsiTheme="minorHAnsi" w:cstheme="minorBidi"/>
          <w:szCs w:val="22"/>
        </w:rPr>
      </w:pPr>
      <w:r>
        <w:t>114.</w:t>
      </w:r>
      <w:r>
        <w:tab/>
        <w:t>NCC’s decision on light regulation of pipeline services</w:t>
      </w:r>
      <w:r>
        <w:tab/>
      </w:r>
      <w:r>
        <w:fldChar w:fldCharType="begin"/>
      </w:r>
      <w:r>
        <w:instrText xml:space="preserve"> PAGEREF _Toc221109829 \h </w:instrText>
      </w:r>
      <w:r>
        <w:fldChar w:fldCharType="separate"/>
      </w:r>
      <w:r>
        <w:t>100</w:t>
      </w:r>
      <w:r>
        <w:fldChar w:fldCharType="end"/>
      </w:r>
    </w:p>
    <w:p>
      <w:pPr>
        <w:pStyle w:val="TOC6"/>
        <w:tabs>
          <w:tab w:val="right" w:leader="dot" w:pos="7077"/>
        </w:tabs>
        <w:rPr>
          <w:rFonts w:asciiTheme="minorHAnsi" w:eastAsiaTheme="minorEastAsia" w:hAnsiTheme="minorHAnsi" w:cstheme="minorBidi"/>
          <w:b w:val="0"/>
          <w:sz w:val="22"/>
          <w:szCs w:val="22"/>
        </w:rPr>
      </w:pPr>
      <w:r>
        <w:t>Subdivision 3 — Operation and effect of light regulation determinations</w:t>
      </w:r>
    </w:p>
    <w:p>
      <w:pPr>
        <w:pStyle w:val="TOC8"/>
        <w:rPr>
          <w:rFonts w:asciiTheme="minorHAnsi" w:eastAsiaTheme="minorEastAsia" w:hAnsiTheme="minorHAnsi" w:cstheme="minorBidi"/>
          <w:szCs w:val="22"/>
        </w:rPr>
      </w:pPr>
      <w:r>
        <w:t>115.</w:t>
      </w:r>
      <w:r>
        <w:tab/>
        <w:t>When light regulation determinations take effect</w:t>
      </w:r>
      <w:r>
        <w:tab/>
      </w:r>
      <w:r>
        <w:fldChar w:fldCharType="begin"/>
      </w:r>
      <w:r>
        <w:instrText xml:space="preserve"> PAGEREF _Toc221109831 \h </w:instrText>
      </w:r>
      <w:r>
        <w:fldChar w:fldCharType="separate"/>
      </w:r>
      <w:r>
        <w:t>100</w:t>
      </w:r>
      <w:r>
        <w:fldChar w:fldCharType="end"/>
      </w:r>
    </w:p>
    <w:p>
      <w:pPr>
        <w:pStyle w:val="TOC8"/>
        <w:rPr>
          <w:rFonts w:asciiTheme="minorHAnsi" w:eastAsiaTheme="minorEastAsia" w:hAnsiTheme="minorHAnsi" w:cstheme="minorBidi"/>
          <w:szCs w:val="22"/>
        </w:rPr>
      </w:pPr>
      <w:r>
        <w:t>116.</w:t>
      </w:r>
      <w:r>
        <w:tab/>
        <w:t>Submission of limited access arrangement for light regulation services</w:t>
      </w:r>
      <w:r>
        <w:tab/>
      </w:r>
      <w:r>
        <w:fldChar w:fldCharType="begin"/>
      </w:r>
      <w:r>
        <w:instrText xml:space="preserve"> PAGEREF _Toc221109832 \h </w:instrText>
      </w:r>
      <w:r>
        <w:fldChar w:fldCharType="separate"/>
      </w:r>
      <w:r>
        <w:t>101</w:t>
      </w:r>
      <w:r>
        <w:fldChar w:fldCharType="end"/>
      </w:r>
    </w:p>
    <w:p>
      <w:pPr>
        <w:pStyle w:val="TOC6"/>
        <w:tabs>
          <w:tab w:val="right" w:leader="dot" w:pos="7077"/>
        </w:tabs>
        <w:rPr>
          <w:rFonts w:asciiTheme="minorHAnsi" w:eastAsiaTheme="minorEastAsia" w:hAnsiTheme="minorHAnsi" w:cstheme="minorBidi"/>
          <w:b w:val="0"/>
          <w:sz w:val="22"/>
          <w:szCs w:val="22"/>
        </w:rPr>
      </w:pPr>
      <w:r>
        <w:t>Division 2 — Revocation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On advice from service providers</w:t>
      </w:r>
    </w:p>
    <w:p>
      <w:pPr>
        <w:pStyle w:val="TOC8"/>
        <w:rPr>
          <w:rFonts w:asciiTheme="minorHAnsi" w:eastAsiaTheme="minorEastAsia" w:hAnsiTheme="minorHAnsi" w:cstheme="minorBidi"/>
          <w:szCs w:val="22"/>
        </w:rPr>
      </w:pPr>
      <w:r>
        <w:t>117.</w:t>
      </w:r>
      <w:r>
        <w:tab/>
        <w:t>Advice by service provider that light regulation services should cease to be light regulation services</w:t>
      </w:r>
      <w:r>
        <w:tab/>
      </w:r>
      <w:r>
        <w:fldChar w:fldCharType="begin"/>
      </w:r>
      <w:r>
        <w:instrText xml:space="preserve"> PAGEREF _Toc221109835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On application by persons other than service providers</w:t>
      </w:r>
    </w:p>
    <w:p>
      <w:pPr>
        <w:pStyle w:val="TOC8"/>
        <w:rPr>
          <w:rFonts w:asciiTheme="minorHAnsi" w:eastAsiaTheme="minorEastAsia" w:hAnsiTheme="minorHAnsi" w:cstheme="minorBidi"/>
          <w:szCs w:val="22"/>
        </w:rPr>
      </w:pPr>
      <w:r>
        <w:t>118.</w:t>
      </w:r>
      <w:r>
        <w:tab/>
        <w:t>Application (other than by service provider) for revocation of light regulation determinations</w:t>
      </w:r>
      <w:r>
        <w:tab/>
      </w:r>
      <w:r>
        <w:fldChar w:fldCharType="begin"/>
      </w:r>
      <w:r>
        <w:instrText xml:space="preserve"> PAGEREF _Toc221109837 \h </w:instrText>
      </w:r>
      <w:r>
        <w:fldChar w:fldCharType="separate"/>
      </w:r>
      <w:r>
        <w:t>103</w:t>
      </w:r>
      <w:r>
        <w:fldChar w:fldCharType="end"/>
      </w:r>
    </w:p>
    <w:p>
      <w:pPr>
        <w:pStyle w:val="TOC8"/>
        <w:rPr>
          <w:rFonts w:asciiTheme="minorHAnsi" w:eastAsiaTheme="minorEastAsia" w:hAnsiTheme="minorHAnsi" w:cstheme="minorBidi"/>
          <w:szCs w:val="22"/>
        </w:rPr>
      </w:pPr>
      <w:r>
        <w:lastRenderedPageBreak/>
        <w:t>119.</w:t>
      </w:r>
      <w:r>
        <w:tab/>
        <w:t>Decisions on applications made around time of applications for coverage revocation determinations</w:t>
      </w:r>
      <w:r>
        <w:tab/>
      </w:r>
      <w:r>
        <w:fldChar w:fldCharType="begin"/>
      </w:r>
      <w:r>
        <w:instrText xml:space="preserve"> PAGEREF _Toc221109838 \h </w:instrText>
      </w:r>
      <w:r>
        <w:fldChar w:fldCharType="separate"/>
      </w:r>
      <w:r>
        <w:t>103</w:t>
      </w:r>
      <w:r>
        <w:fldChar w:fldCharType="end"/>
      </w:r>
    </w:p>
    <w:p>
      <w:pPr>
        <w:pStyle w:val="TOC8"/>
        <w:rPr>
          <w:rFonts w:asciiTheme="minorHAnsi" w:eastAsiaTheme="minorEastAsia" w:hAnsiTheme="minorHAnsi" w:cstheme="minorBidi"/>
          <w:szCs w:val="22"/>
        </w:rPr>
      </w:pPr>
      <w:r>
        <w:t>120.</w:t>
      </w:r>
      <w:r>
        <w:tab/>
        <w:t>NCC decision on application where no application for a coverage revocation recommendation</w:t>
      </w:r>
      <w:r>
        <w:tab/>
      </w:r>
      <w:r>
        <w:fldChar w:fldCharType="begin"/>
      </w:r>
      <w:r>
        <w:instrText xml:space="preserve"> PAGEREF _Toc221109839 \h </w:instrText>
      </w:r>
      <w:r>
        <w:fldChar w:fldCharType="separate"/>
      </w:r>
      <w:r>
        <w:t>104</w:t>
      </w:r>
      <w:r>
        <w:fldChar w:fldCharType="end"/>
      </w:r>
    </w:p>
    <w:p>
      <w:pPr>
        <w:pStyle w:val="TOC8"/>
        <w:rPr>
          <w:rFonts w:asciiTheme="minorHAnsi" w:eastAsiaTheme="minorEastAsia" w:hAnsiTheme="minorHAnsi" w:cstheme="minorBidi"/>
          <w:szCs w:val="22"/>
        </w:rPr>
      </w:pPr>
      <w:r>
        <w:t>121.</w:t>
      </w:r>
      <w:r>
        <w:tab/>
        <w:t>Operation and effect of decision of NCC under this Division</w:t>
      </w:r>
      <w:r>
        <w:tab/>
      </w:r>
      <w:r>
        <w:fldChar w:fldCharType="begin"/>
      </w:r>
      <w:r>
        <w:instrText xml:space="preserve"> PAGEREF _Toc221109840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Division 3 — Principles governing light regulation determinations</w:t>
      </w:r>
    </w:p>
    <w:p>
      <w:pPr>
        <w:pStyle w:val="TOC8"/>
        <w:rPr>
          <w:rFonts w:asciiTheme="minorHAnsi" w:eastAsiaTheme="minorEastAsia" w:hAnsiTheme="minorHAnsi" w:cstheme="minorBidi"/>
          <w:szCs w:val="22"/>
        </w:rPr>
      </w:pPr>
      <w:r>
        <w:t>122.</w:t>
      </w:r>
      <w:r>
        <w:tab/>
        <w:t>Principles governing the making or revoking of light regulation determinations</w:t>
      </w:r>
      <w:r>
        <w:tab/>
      </w:r>
      <w:r>
        <w:fldChar w:fldCharType="begin"/>
      </w:r>
      <w:r>
        <w:instrText xml:space="preserve"> PAGEREF _Toc221109842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t>Division 4 — Revocation if coverage determination not made</w:t>
      </w:r>
    </w:p>
    <w:p>
      <w:pPr>
        <w:pStyle w:val="TOC8"/>
        <w:rPr>
          <w:rFonts w:asciiTheme="minorHAnsi" w:eastAsiaTheme="minorEastAsia" w:hAnsiTheme="minorHAnsi" w:cstheme="minorBidi"/>
          <w:szCs w:val="22"/>
        </w:rPr>
      </w:pPr>
      <w:r>
        <w:t>123.</w:t>
      </w:r>
      <w:r>
        <w:tab/>
        <w:t>Light regulation determination revoked if coverage determination not made</w:t>
      </w:r>
      <w:r>
        <w:tab/>
      </w:r>
      <w:r>
        <w:fldChar w:fldCharType="begin"/>
      </w:r>
      <w:r>
        <w:instrText xml:space="preserve"> PAGEREF _Toc221109844 \h </w:instrText>
      </w:r>
      <w:r>
        <w:fldChar w:fldCharType="separate"/>
      </w:r>
      <w:r>
        <w:t>107</w:t>
      </w:r>
      <w:r>
        <w:fldChar w:fldCharType="end"/>
      </w:r>
    </w:p>
    <w:p>
      <w:pPr>
        <w:pStyle w:val="TOC6"/>
        <w:tabs>
          <w:tab w:val="right" w:leader="dot" w:pos="7077"/>
        </w:tabs>
        <w:rPr>
          <w:rFonts w:asciiTheme="minorHAnsi" w:eastAsiaTheme="minorEastAsia" w:hAnsiTheme="minorHAnsi" w:cstheme="minorBidi"/>
          <w:b w:val="0"/>
          <w:sz w:val="22"/>
          <w:szCs w:val="22"/>
        </w:rPr>
      </w:pPr>
      <w:r>
        <w:t>Division 5 — Effect of pipeline ceasing to be covered pipeline</w:t>
      </w:r>
    </w:p>
    <w:p>
      <w:pPr>
        <w:pStyle w:val="TOC8"/>
        <w:rPr>
          <w:rFonts w:asciiTheme="minorHAnsi" w:eastAsiaTheme="minorEastAsia" w:hAnsiTheme="minorHAnsi" w:cstheme="minorBidi"/>
          <w:szCs w:val="22"/>
        </w:rPr>
      </w:pPr>
      <w:r>
        <w:t>124.</w:t>
      </w:r>
      <w:r>
        <w:tab/>
        <w:t>Light regulation services cease to be such services on cessation of coverage of pipeline</w:t>
      </w:r>
      <w:r>
        <w:tab/>
      </w:r>
      <w:r>
        <w:fldChar w:fldCharType="begin"/>
      </w:r>
      <w:r>
        <w:instrText xml:space="preserve"> PAGEREF _Toc221109846 \h </w:instrText>
      </w:r>
      <w:r>
        <w:fldChar w:fldCharType="separate"/>
      </w:r>
      <w:r>
        <w:t>108</w:t>
      </w:r>
      <w:r>
        <w:fldChar w:fldCharType="end"/>
      </w:r>
    </w:p>
    <w:p>
      <w:pPr>
        <w:pStyle w:val="TOC6"/>
        <w:tabs>
          <w:tab w:val="right" w:leader="dot" w:pos="7077"/>
        </w:tabs>
        <w:rPr>
          <w:rFonts w:asciiTheme="minorHAnsi" w:eastAsiaTheme="minorEastAsia" w:hAnsiTheme="minorHAnsi" w:cstheme="minorBidi"/>
          <w:b w:val="0"/>
          <w:sz w:val="22"/>
          <w:szCs w:val="22"/>
        </w:rPr>
      </w:pPr>
      <w:r>
        <w:t>Division 6 — AER reviews into designated pipelines</w:t>
      </w:r>
    </w:p>
    <w:p>
      <w:pPr>
        <w:pStyle w:val="TOC8"/>
        <w:rPr>
          <w:rFonts w:asciiTheme="minorHAnsi" w:eastAsiaTheme="minorEastAsia" w:hAnsiTheme="minorHAnsi" w:cstheme="minorBidi"/>
          <w:szCs w:val="22"/>
        </w:rPr>
      </w:pPr>
      <w:r>
        <w:t>125.</w:t>
      </w:r>
      <w:r>
        <w:tab/>
        <w:t>AER reviews</w:t>
      </w:r>
      <w:r>
        <w:tab/>
      </w:r>
      <w:r>
        <w:fldChar w:fldCharType="begin"/>
      </w:r>
      <w:r>
        <w:instrText xml:space="preserve"> PAGEREF _Toc221109848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Part 3 — Coverage of pipelines the subject of tender process</w:t>
      </w:r>
    </w:p>
    <w:p>
      <w:pPr>
        <w:pStyle w:val="TOC8"/>
        <w:rPr>
          <w:rFonts w:asciiTheme="minorHAnsi" w:eastAsiaTheme="minorEastAsia" w:hAnsiTheme="minorHAnsi" w:cstheme="minorBidi"/>
          <w:szCs w:val="22"/>
        </w:rPr>
      </w:pPr>
      <w:r>
        <w:t>126.</w:t>
      </w:r>
      <w:r>
        <w:tab/>
        <w:t>Tender approval pipelines deemed to be covered pipelines</w:t>
      </w:r>
      <w:r>
        <w:tab/>
      </w:r>
      <w:r>
        <w:fldChar w:fldCharType="begin"/>
      </w:r>
      <w:r>
        <w:instrText xml:space="preserve"> PAGEREF _Toc221109850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Part 4 — Coverage following approval of voluntary access arrangement</w:t>
      </w:r>
    </w:p>
    <w:p>
      <w:pPr>
        <w:pStyle w:val="TOC8"/>
        <w:rPr>
          <w:rFonts w:asciiTheme="minorHAnsi" w:eastAsiaTheme="minorEastAsia" w:hAnsiTheme="minorHAnsi" w:cstheme="minorBidi"/>
          <w:szCs w:val="22"/>
        </w:rPr>
      </w:pPr>
      <w:r>
        <w:t>127.</w:t>
      </w:r>
      <w:r>
        <w:tab/>
        <w:t>Certain pipelines become covered pipelines on approval of voluntary access arrangement</w:t>
      </w:r>
      <w:r>
        <w:tab/>
      </w:r>
      <w:r>
        <w:fldChar w:fldCharType="begin"/>
      </w:r>
      <w:r>
        <w:instrText xml:space="preserve"> PAGEREF _Toc221109852 \h </w:instrText>
      </w:r>
      <w:r>
        <w:fldChar w:fldCharType="separate"/>
      </w:r>
      <w:r>
        <w:t>110</w:t>
      </w:r>
      <w:r>
        <w:fldChar w:fldCharType="end"/>
      </w:r>
    </w:p>
    <w:p>
      <w:pPr>
        <w:pStyle w:val="TOC4"/>
        <w:tabs>
          <w:tab w:val="right" w:leader="dot" w:pos="7077"/>
        </w:tabs>
        <w:rPr>
          <w:rFonts w:asciiTheme="minorHAnsi" w:eastAsiaTheme="minorEastAsia" w:hAnsiTheme="minorHAnsi" w:cstheme="minorBidi"/>
          <w:b w:val="0"/>
          <w:szCs w:val="22"/>
        </w:rPr>
      </w:pPr>
      <w:r>
        <w:t>Part 5 — Reclassification of pipelines</w:t>
      </w:r>
    </w:p>
    <w:p>
      <w:pPr>
        <w:pStyle w:val="TOC8"/>
        <w:rPr>
          <w:rFonts w:asciiTheme="minorHAnsi" w:eastAsiaTheme="minorEastAsia" w:hAnsiTheme="minorHAnsi" w:cstheme="minorBidi"/>
          <w:szCs w:val="22"/>
        </w:rPr>
      </w:pPr>
      <w:r>
        <w:t>128.</w:t>
      </w:r>
      <w:r>
        <w:tab/>
        <w:t>Service provider may apply for reclassification of pipeline</w:t>
      </w:r>
      <w:r>
        <w:tab/>
      </w:r>
      <w:r>
        <w:fldChar w:fldCharType="begin"/>
      </w:r>
      <w:r>
        <w:instrText xml:space="preserve"> PAGEREF _Toc221109854 \h </w:instrText>
      </w:r>
      <w:r>
        <w:fldChar w:fldCharType="separate"/>
      </w:r>
      <w:r>
        <w:t>111</w:t>
      </w:r>
      <w:r>
        <w:fldChar w:fldCharType="end"/>
      </w:r>
    </w:p>
    <w:p>
      <w:pPr>
        <w:pStyle w:val="TOC8"/>
        <w:rPr>
          <w:rFonts w:asciiTheme="minorHAnsi" w:eastAsiaTheme="minorEastAsia" w:hAnsiTheme="minorHAnsi" w:cstheme="minorBidi"/>
          <w:szCs w:val="22"/>
        </w:rPr>
      </w:pPr>
      <w:r>
        <w:t>129.</w:t>
      </w:r>
      <w:r>
        <w:tab/>
        <w:t>Reclassification decision</w:t>
      </w:r>
      <w:r>
        <w:tab/>
      </w:r>
      <w:r>
        <w:fldChar w:fldCharType="begin"/>
      </w:r>
      <w:r>
        <w:instrText xml:space="preserve"> PAGEREF _Toc221109855 \h </w:instrText>
      </w:r>
      <w:r>
        <w:fldChar w:fldCharType="separate"/>
      </w:r>
      <w:r>
        <w:t>111</w:t>
      </w:r>
      <w:r>
        <w:fldChar w:fldCharType="end"/>
      </w:r>
    </w:p>
    <w:p>
      <w:pPr>
        <w:pStyle w:val="TOC8"/>
        <w:rPr>
          <w:rFonts w:asciiTheme="minorHAnsi" w:eastAsiaTheme="minorEastAsia" w:hAnsiTheme="minorHAnsi" w:cstheme="minorBidi"/>
          <w:szCs w:val="22"/>
        </w:rPr>
      </w:pPr>
      <w:r>
        <w:t>130.</w:t>
      </w:r>
      <w:r>
        <w:tab/>
        <w:t>Effect of reclassification decision</w:t>
      </w:r>
      <w:r>
        <w:tab/>
      </w:r>
      <w:r>
        <w:fldChar w:fldCharType="begin"/>
      </w:r>
      <w:r>
        <w:instrText xml:space="preserve"> PAGEREF _Toc221109856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Chapter 4 — General requirements for provision of covered pipeline services</w:t>
      </w:r>
    </w:p>
    <w:p>
      <w:pPr>
        <w:pStyle w:val="TOC4"/>
        <w:tabs>
          <w:tab w:val="right" w:leader="dot" w:pos="7077"/>
        </w:tabs>
        <w:rPr>
          <w:rFonts w:asciiTheme="minorHAnsi" w:eastAsiaTheme="minorEastAsia" w:hAnsiTheme="minorHAnsi" w:cstheme="minorBidi"/>
          <w:b w:val="0"/>
          <w:szCs w:val="22"/>
        </w:rPr>
      </w:pPr>
      <w:r>
        <w:t>Part 1 — General duties for provision of pipeline services by covered pipelines</w:t>
      </w:r>
    </w:p>
    <w:p>
      <w:pPr>
        <w:pStyle w:val="TOC8"/>
        <w:rPr>
          <w:rFonts w:asciiTheme="minorHAnsi" w:eastAsiaTheme="minorEastAsia" w:hAnsiTheme="minorHAnsi" w:cstheme="minorBidi"/>
          <w:szCs w:val="22"/>
        </w:rPr>
      </w:pPr>
      <w:r>
        <w:t>131.</w:t>
      </w:r>
      <w:r>
        <w:tab/>
        <w:t>Service provider must be legal entity of a specified kind to provide pipeline services by covered pipeline</w:t>
      </w:r>
      <w:r>
        <w:tab/>
      </w:r>
      <w:r>
        <w:fldChar w:fldCharType="begin"/>
      </w:r>
      <w:r>
        <w:instrText xml:space="preserve"> PAGEREF _Toc221109859 \h </w:instrText>
      </w:r>
      <w:r>
        <w:fldChar w:fldCharType="separate"/>
      </w:r>
      <w:r>
        <w:t>113</w:t>
      </w:r>
      <w:r>
        <w:fldChar w:fldCharType="end"/>
      </w:r>
    </w:p>
    <w:p>
      <w:pPr>
        <w:pStyle w:val="TOC8"/>
        <w:rPr>
          <w:rFonts w:asciiTheme="minorHAnsi" w:eastAsiaTheme="minorEastAsia" w:hAnsiTheme="minorHAnsi" w:cstheme="minorBidi"/>
          <w:szCs w:val="22"/>
        </w:rPr>
      </w:pPr>
      <w:r>
        <w:t>132.</w:t>
      </w:r>
      <w:r>
        <w:tab/>
        <w:t>Submission of full access arrangement or revisions to applicable full access arrangements</w:t>
      </w:r>
      <w:r>
        <w:tab/>
      </w:r>
      <w:r>
        <w:fldChar w:fldCharType="begin"/>
      </w:r>
      <w:r>
        <w:instrText xml:space="preserve"> PAGEREF _Toc221109860 \h </w:instrText>
      </w:r>
      <w:r>
        <w:fldChar w:fldCharType="separate"/>
      </w:r>
      <w:r>
        <w:t>113</w:t>
      </w:r>
      <w:r>
        <w:fldChar w:fldCharType="end"/>
      </w:r>
    </w:p>
    <w:p>
      <w:pPr>
        <w:pStyle w:val="TOC8"/>
        <w:rPr>
          <w:rFonts w:asciiTheme="minorHAnsi" w:eastAsiaTheme="minorEastAsia" w:hAnsiTheme="minorHAnsi" w:cstheme="minorBidi"/>
          <w:szCs w:val="22"/>
        </w:rPr>
      </w:pPr>
      <w:r>
        <w:t>133.</w:t>
      </w:r>
      <w:r>
        <w:tab/>
        <w:t>Preventing or hindering access</w:t>
      </w:r>
      <w:r>
        <w:tab/>
      </w:r>
      <w:r>
        <w:fldChar w:fldCharType="begin"/>
      </w:r>
      <w:r>
        <w:instrText xml:space="preserve"> PAGEREF _Toc221109861 \h </w:instrText>
      </w:r>
      <w:r>
        <w:fldChar w:fldCharType="separate"/>
      </w:r>
      <w:r>
        <w:t>114</w:t>
      </w:r>
      <w:r>
        <w:fldChar w:fldCharType="end"/>
      </w:r>
    </w:p>
    <w:p>
      <w:pPr>
        <w:pStyle w:val="TOC8"/>
        <w:rPr>
          <w:rFonts w:asciiTheme="minorHAnsi" w:eastAsiaTheme="minorEastAsia" w:hAnsiTheme="minorHAnsi" w:cstheme="minorBidi"/>
          <w:szCs w:val="22"/>
        </w:rPr>
      </w:pPr>
      <w:r>
        <w:t>134.</w:t>
      </w:r>
      <w:r>
        <w:tab/>
        <w:t>Supply and haulage of natural gas</w:t>
      </w:r>
      <w:r>
        <w:tab/>
      </w:r>
      <w:r>
        <w:fldChar w:fldCharType="begin"/>
      </w:r>
      <w:r>
        <w:instrText xml:space="preserve"> PAGEREF _Toc221109862 \h </w:instrText>
      </w:r>
      <w:r>
        <w:fldChar w:fldCharType="separate"/>
      </w:r>
      <w:r>
        <w:t>116</w:t>
      </w:r>
      <w:r>
        <w:fldChar w:fldCharType="end"/>
      </w:r>
    </w:p>
    <w:p>
      <w:pPr>
        <w:pStyle w:val="TOC8"/>
        <w:rPr>
          <w:rFonts w:asciiTheme="minorHAnsi" w:eastAsiaTheme="minorEastAsia" w:hAnsiTheme="minorHAnsi" w:cstheme="minorBidi"/>
          <w:szCs w:val="22"/>
        </w:rPr>
      </w:pPr>
      <w:r>
        <w:t>135.</w:t>
      </w:r>
      <w:r>
        <w:tab/>
        <w:t>Covered pipeline service provider must comply with queuing requirements</w:t>
      </w:r>
      <w:r>
        <w:tab/>
      </w:r>
      <w:r>
        <w:fldChar w:fldCharType="begin"/>
      </w:r>
      <w:r>
        <w:instrText xml:space="preserve"> PAGEREF _Toc221109863 \h </w:instrText>
      </w:r>
      <w:r>
        <w:fldChar w:fldCharType="separate"/>
      </w:r>
      <w:r>
        <w:t>116</w:t>
      </w:r>
      <w:r>
        <w:fldChar w:fldCharType="end"/>
      </w:r>
    </w:p>
    <w:p>
      <w:pPr>
        <w:pStyle w:val="TOC8"/>
        <w:rPr>
          <w:rFonts w:asciiTheme="minorHAnsi" w:eastAsiaTheme="minorEastAsia" w:hAnsiTheme="minorHAnsi" w:cstheme="minorBidi"/>
          <w:szCs w:val="22"/>
        </w:rPr>
      </w:pPr>
      <w:r>
        <w:t>136.</w:t>
      </w:r>
      <w:r>
        <w:tab/>
        <w:t>Covered pipeline service provider providing light regulation services must not price discriminate</w:t>
      </w:r>
      <w:r>
        <w:tab/>
      </w:r>
      <w:r>
        <w:fldChar w:fldCharType="begin"/>
      </w:r>
      <w:r>
        <w:instrText xml:space="preserve"> PAGEREF _Toc221109864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Part 2 — Structural and operational separation requirements (ring fencing)</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137.</w:t>
      </w:r>
      <w:r>
        <w:tab/>
        <w:t>Definitions</w:t>
      </w:r>
      <w:r>
        <w:tab/>
      </w:r>
      <w:r>
        <w:fldChar w:fldCharType="begin"/>
      </w:r>
      <w:r>
        <w:instrText xml:space="preserve"> PAGEREF _Toc221109867 \h </w:instrText>
      </w:r>
      <w:r>
        <w:fldChar w:fldCharType="separate"/>
      </w:r>
      <w:r>
        <w:t>117</w:t>
      </w:r>
      <w:r>
        <w:fldChar w:fldCharType="end"/>
      </w:r>
    </w:p>
    <w:p>
      <w:pPr>
        <w:pStyle w:val="TOC8"/>
        <w:rPr>
          <w:rFonts w:asciiTheme="minorHAnsi" w:eastAsiaTheme="minorEastAsia" w:hAnsiTheme="minorHAnsi" w:cstheme="minorBidi"/>
          <w:szCs w:val="22"/>
        </w:rPr>
      </w:pPr>
      <w:r>
        <w:t>138.</w:t>
      </w:r>
      <w:r>
        <w:tab/>
        <w:t>Meaning of marketing staff</w:t>
      </w:r>
      <w:r>
        <w:tab/>
      </w:r>
      <w:r>
        <w:fldChar w:fldCharType="begin"/>
      </w:r>
      <w:r>
        <w:instrText xml:space="preserve"> PAGEREF _Toc221109868 \h </w:instrText>
      </w:r>
      <w:r>
        <w:fldChar w:fldCharType="separate"/>
      </w:r>
      <w:r>
        <w:t>118</w:t>
      </w:r>
      <w:r>
        <w:fldChar w:fldCharType="end"/>
      </w:r>
    </w:p>
    <w:p>
      <w:pPr>
        <w:pStyle w:val="TOC6"/>
        <w:tabs>
          <w:tab w:val="right" w:leader="dot" w:pos="7077"/>
        </w:tabs>
        <w:rPr>
          <w:rFonts w:asciiTheme="minorHAnsi" w:eastAsiaTheme="minorEastAsia" w:hAnsiTheme="minorHAnsi" w:cstheme="minorBidi"/>
          <w:b w:val="0"/>
          <w:sz w:val="22"/>
          <w:szCs w:val="22"/>
        </w:rPr>
      </w:pPr>
      <w:r>
        <w:t>Division 2 — Minimum ring fencing requirements</w:t>
      </w:r>
    </w:p>
    <w:p>
      <w:pPr>
        <w:pStyle w:val="TOC8"/>
        <w:rPr>
          <w:rFonts w:asciiTheme="minorHAnsi" w:eastAsiaTheme="minorEastAsia" w:hAnsiTheme="minorHAnsi" w:cstheme="minorBidi"/>
          <w:szCs w:val="22"/>
        </w:rPr>
      </w:pPr>
      <w:r>
        <w:t>139.</w:t>
      </w:r>
      <w:r>
        <w:tab/>
        <w:t>Carrying on of related businesses prohibited</w:t>
      </w:r>
      <w:r>
        <w:tab/>
      </w:r>
      <w:r>
        <w:fldChar w:fldCharType="begin"/>
      </w:r>
      <w:r>
        <w:instrText xml:space="preserve"> PAGEREF _Toc221109870 \h </w:instrText>
      </w:r>
      <w:r>
        <w:fldChar w:fldCharType="separate"/>
      </w:r>
      <w:r>
        <w:t>119</w:t>
      </w:r>
      <w:r>
        <w:fldChar w:fldCharType="end"/>
      </w:r>
    </w:p>
    <w:p>
      <w:pPr>
        <w:pStyle w:val="TOC8"/>
        <w:rPr>
          <w:rFonts w:asciiTheme="minorHAnsi" w:eastAsiaTheme="minorEastAsia" w:hAnsiTheme="minorHAnsi" w:cstheme="minorBidi"/>
          <w:szCs w:val="22"/>
        </w:rPr>
      </w:pPr>
      <w:r>
        <w:t>140.</w:t>
      </w:r>
      <w:r>
        <w:tab/>
        <w:t>Marketing staff and the taking part in related businesses</w:t>
      </w:r>
      <w:r>
        <w:tab/>
      </w:r>
      <w:r>
        <w:fldChar w:fldCharType="begin"/>
      </w:r>
      <w:r>
        <w:instrText xml:space="preserve"> PAGEREF _Toc221109871 \h </w:instrText>
      </w:r>
      <w:r>
        <w:fldChar w:fldCharType="separate"/>
      </w:r>
      <w:r>
        <w:t>119</w:t>
      </w:r>
      <w:r>
        <w:fldChar w:fldCharType="end"/>
      </w:r>
    </w:p>
    <w:p>
      <w:pPr>
        <w:pStyle w:val="TOC8"/>
        <w:rPr>
          <w:rFonts w:asciiTheme="minorHAnsi" w:eastAsiaTheme="minorEastAsia" w:hAnsiTheme="minorHAnsi" w:cstheme="minorBidi"/>
          <w:szCs w:val="22"/>
        </w:rPr>
      </w:pPr>
      <w:r>
        <w:t>141.</w:t>
      </w:r>
      <w:r>
        <w:tab/>
        <w:t>Accounts that must be prepared, maintained and kept</w:t>
      </w:r>
      <w:r>
        <w:tab/>
      </w:r>
      <w:r>
        <w:fldChar w:fldCharType="begin"/>
      </w:r>
      <w:r>
        <w:instrText xml:space="preserve"> PAGEREF _Toc221109872 \h </w:instrText>
      </w:r>
      <w:r>
        <w:fldChar w:fldCharType="separate"/>
      </w:r>
      <w:r>
        <w:t>120</w:t>
      </w:r>
      <w:r>
        <w:fldChar w:fldCharType="end"/>
      </w:r>
    </w:p>
    <w:p>
      <w:pPr>
        <w:pStyle w:val="TOC6"/>
        <w:tabs>
          <w:tab w:val="right" w:leader="dot" w:pos="7077"/>
        </w:tabs>
        <w:rPr>
          <w:rFonts w:asciiTheme="minorHAnsi" w:eastAsiaTheme="minorEastAsia" w:hAnsiTheme="minorHAnsi" w:cstheme="minorBidi"/>
          <w:b w:val="0"/>
          <w:sz w:val="22"/>
          <w:szCs w:val="22"/>
        </w:rPr>
      </w:pPr>
      <w:r>
        <w:t>Division 3 — Additional ring fencing requirements</w:t>
      </w:r>
    </w:p>
    <w:p>
      <w:pPr>
        <w:pStyle w:val="TOC8"/>
        <w:rPr>
          <w:rFonts w:asciiTheme="minorHAnsi" w:eastAsiaTheme="minorEastAsia" w:hAnsiTheme="minorHAnsi" w:cstheme="minorBidi"/>
          <w:szCs w:val="22"/>
        </w:rPr>
      </w:pPr>
      <w:r>
        <w:t>142.</w:t>
      </w:r>
      <w:r>
        <w:tab/>
        <w:t>Division does not limit operation of Division 2</w:t>
      </w:r>
      <w:r>
        <w:tab/>
      </w:r>
      <w:r>
        <w:fldChar w:fldCharType="begin"/>
      </w:r>
      <w:r>
        <w:instrText xml:space="preserve"> PAGEREF _Toc221109874 \h </w:instrText>
      </w:r>
      <w:r>
        <w:fldChar w:fldCharType="separate"/>
      </w:r>
      <w:r>
        <w:t>120</w:t>
      </w:r>
      <w:r>
        <w:fldChar w:fldCharType="end"/>
      </w:r>
    </w:p>
    <w:p>
      <w:pPr>
        <w:pStyle w:val="TOC8"/>
        <w:rPr>
          <w:rFonts w:asciiTheme="minorHAnsi" w:eastAsiaTheme="minorEastAsia" w:hAnsiTheme="minorHAnsi" w:cstheme="minorBidi"/>
          <w:szCs w:val="22"/>
        </w:rPr>
      </w:pPr>
      <w:r>
        <w:t>143.</w:t>
      </w:r>
      <w:r>
        <w:tab/>
        <w:t>AER ring fencing determinations</w:t>
      </w:r>
      <w:r>
        <w:tab/>
      </w:r>
      <w:r>
        <w:fldChar w:fldCharType="begin"/>
      </w:r>
      <w:r>
        <w:instrText xml:space="preserve"> PAGEREF _Toc221109875 \h </w:instrText>
      </w:r>
      <w:r>
        <w:fldChar w:fldCharType="separate"/>
      </w:r>
      <w:r>
        <w:t>120</w:t>
      </w:r>
      <w:r>
        <w:fldChar w:fldCharType="end"/>
      </w:r>
    </w:p>
    <w:p>
      <w:pPr>
        <w:pStyle w:val="TOC8"/>
        <w:rPr>
          <w:rFonts w:asciiTheme="minorHAnsi" w:eastAsiaTheme="minorEastAsia" w:hAnsiTheme="minorHAnsi" w:cstheme="minorBidi"/>
          <w:szCs w:val="22"/>
        </w:rPr>
      </w:pPr>
      <w:r>
        <w:t>144.</w:t>
      </w:r>
      <w:r>
        <w:tab/>
        <w:t>AER to have regard to likely compliance costs of additional ring fencing requirements</w:t>
      </w:r>
      <w:r>
        <w:tab/>
      </w:r>
      <w:r>
        <w:fldChar w:fldCharType="begin"/>
      </w:r>
      <w:r>
        <w:instrText xml:space="preserve"> PAGEREF _Toc221109876 \h </w:instrText>
      </w:r>
      <w:r>
        <w:fldChar w:fldCharType="separate"/>
      </w:r>
      <w:r>
        <w:t>122</w:t>
      </w:r>
      <w:r>
        <w:fldChar w:fldCharType="end"/>
      </w:r>
    </w:p>
    <w:p>
      <w:pPr>
        <w:pStyle w:val="TOC8"/>
        <w:rPr>
          <w:rFonts w:asciiTheme="minorHAnsi" w:eastAsiaTheme="minorEastAsia" w:hAnsiTheme="minorHAnsi" w:cstheme="minorBidi"/>
          <w:szCs w:val="22"/>
        </w:rPr>
      </w:pPr>
      <w:r>
        <w:t>145.</w:t>
      </w:r>
      <w:r>
        <w:tab/>
        <w:t>Types of ring fencing requirements that may be specified in an AER ring fencing determination</w:t>
      </w:r>
      <w:r>
        <w:tab/>
      </w:r>
      <w:r>
        <w:fldChar w:fldCharType="begin"/>
      </w:r>
      <w:r>
        <w:instrText xml:space="preserve"> PAGEREF _Toc221109877 \h </w:instrText>
      </w:r>
      <w:r>
        <w:fldChar w:fldCharType="separate"/>
      </w:r>
      <w:r>
        <w:t>122</w:t>
      </w:r>
      <w:r>
        <w:fldChar w:fldCharType="end"/>
      </w:r>
    </w:p>
    <w:p>
      <w:pPr>
        <w:pStyle w:val="TOC6"/>
        <w:tabs>
          <w:tab w:val="right" w:leader="dot" w:pos="7077"/>
        </w:tabs>
        <w:rPr>
          <w:rFonts w:asciiTheme="minorHAnsi" w:eastAsiaTheme="minorEastAsia" w:hAnsiTheme="minorHAnsi" w:cstheme="minorBidi"/>
          <w:b w:val="0"/>
          <w:sz w:val="22"/>
          <w:szCs w:val="22"/>
        </w:rPr>
      </w:pPr>
      <w:r>
        <w:t>Division 4 — AER ring fencing exemptions</w:t>
      </w:r>
    </w:p>
    <w:p>
      <w:pPr>
        <w:pStyle w:val="TOC8"/>
        <w:rPr>
          <w:rFonts w:asciiTheme="minorHAnsi" w:eastAsiaTheme="minorEastAsia" w:hAnsiTheme="minorHAnsi" w:cstheme="minorBidi"/>
          <w:szCs w:val="22"/>
        </w:rPr>
      </w:pPr>
      <w:r>
        <w:t>146.</w:t>
      </w:r>
      <w:r>
        <w:tab/>
        <w:t>Exemptions from minimum ring fencing requirements</w:t>
      </w:r>
      <w:r>
        <w:tab/>
      </w:r>
      <w:r>
        <w:fldChar w:fldCharType="begin"/>
      </w:r>
      <w:r>
        <w:instrText xml:space="preserve"> PAGEREF _Toc221109879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Division 5 — Associate contracts</w:t>
      </w:r>
    </w:p>
    <w:p>
      <w:pPr>
        <w:pStyle w:val="TOC8"/>
        <w:rPr>
          <w:rFonts w:asciiTheme="minorHAnsi" w:eastAsiaTheme="minorEastAsia" w:hAnsiTheme="minorHAnsi" w:cstheme="minorBidi"/>
          <w:szCs w:val="22"/>
        </w:rPr>
      </w:pPr>
      <w:r>
        <w:t>147.</w:t>
      </w:r>
      <w:r>
        <w:tab/>
        <w:t>Service provider must not enter into or give effect to associate contracts that have anti</w:t>
      </w:r>
      <w:r>
        <w:noBreakHyphen/>
        <w:t>competitive effect</w:t>
      </w:r>
      <w:r>
        <w:tab/>
      </w:r>
      <w:r>
        <w:fldChar w:fldCharType="begin"/>
      </w:r>
      <w:r>
        <w:instrText xml:space="preserve"> PAGEREF _Toc221109881 \h </w:instrText>
      </w:r>
      <w:r>
        <w:fldChar w:fldCharType="separate"/>
      </w:r>
      <w:r>
        <w:t>124</w:t>
      </w:r>
      <w:r>
        <w:fldChar w:fldCharType="end"/>
      </w:r>
    </w:p>
    <w:p>
      <w:pPr>
        <w:pStyle w:val="TOC8"/>
        <w:rPr>
          <w:rFonts w:asciiTheme="minorHAnsi" w:eastAsiaTheme="minorEastAsia" w:hAnsiTheme="minorHAnsi" w:cstheme="minorBidi"/>
          <w:szCs w:val="22"/>
        </w:rPr>
      </w:pPr>
      <w:r>
        <w:t>148.</w:t>
      </w:r>
      <w:r>
        <w:tab/>
        <w:t>Service provider must not enter into or give effect to associate contracts inconsistent with competitive parity rule</w:t>
      </w:r>
      <w:r>
        <w:tab/>
      </w:r>
      <w:r>
        <w:fldChar w:fldCharType="begin"/>
      </w:r>
      <w:r>
        <w:instrText xml:space="preserve"> PAGEREF _Toc221109882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Chapter 5 — Greenfields pipeline incentives</w:t>
      </w:r>
    </w:p>
    <w:p>
      <w:pPr>
        <w:pStyle w:val="TOC4"/>
        <w:tabs>
          <w:tab w:val="right" w:leader="dot" w:pos="7077"/>
        </w:tabs>
        <w:rPr>
          <w:rFonts w:asciiTheme="minorHAnsi" w:eastAsiaTheme="minorEastAsia" w:hAnsiTheme="minorHAnsi" w:cstheme="minorBidi"/>
          <w:b w:val="0"/>
          <w:szCs w:val="22"/>
        </w:rPr>
      </w:pPr>
      <w:r>
        <w:t>Part 1 — Interpretation</w:t>
      </w:r>
    </w:p>
    <w:p>
      <w:pPr>
        <w:pStyle w:val="TOC8"/>
        <w:rPr>
          <w:rFonts w:asciiTheme="minorHAnsi" w:eastAsiaTheme="minorEastAsia" w:hAnsiTheme="minorHAnsi" w:cstheme="minorBidi"/>
          <w:szCs w:val="22"/>
        </w:rPr>
      </w:pPr>
      <w:r>
        <w:t>149.</w:t>
      </w:r>
      <w:r>
        <w:tab/>
        <w:t>Definitions</w:t>
      </w:r>
      <w:r>
        <w:tab/>
      </w:r>
      <w:r>
        <w:fldChar w:fldCharType="begin"/>
      </w:r>
      <w:r>
        <w:instrText xml:space="preserve"> PAGEREF _Toc221109885 \h </w:instrText>
      </w:r>
      <w:r>
        <w:fldChar w:fldCharType="separate"/>
      </w:r>
      <w:r>
        <w:t>126</w:t>
      </w:r>
      <w:r>
        <w:fldChar w:fldCharType="end"/>
      </w:r>
    </w:p>
    <w:p>
      <w:pPr>
        <w:pStyle w:val="TOC8"/>
        <w:rPr>
          <w:rFonts w:asciiTheme="minorHAnsi" w:eastAsiaTheme="minorEastAsia" w:hAnsiTheme="minorHAnsi" w:cstheme="minorBidi"/>
          <w:szCs w:val="22"/>
        </w:rPr>
      </w:pPr>
      <w:r>
        <w:t>150.</w:t>
      </w:r>
      <w:r>
        <w:tab/>
        <w:t>International pipeline to be a transmission pipeline for purposes of Chapter</w:t>
      </w:r>
      <w:r>
        <w:tab/>
      </w:r>
      <w:r>
        <w:fldChar w:fldCharType="begin"/>
      </w:r>
      <w:r>
        <w:instrText xml:space="preserve"> PAGEREF _Toc221109886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Part 2 — 15</w:t>
      </w:r>
      <w:r>
        <w:noBreakHyphen/>
        <w:t>year no</w:t>
      </w:r>
      <w:r>
        <w:noBreakHyphen/>
        <w:t>coverage determinations</w:t>
      </w:r>
    </w:p>
    <w:p>
      <w:pPr>
        <w:pStyle w:val="TOC8"/>
        <w:rPr>
          <w:rFonts w:asciiTheme="minorHAnsi" w:eastAsiaTheme="minorEastAsia" w:hAnsiTheme="minorHAnsi" w:cstheme="minorBidi"/>
          <w:szCs w:val="22"/>
        </w:rPr>
      </w:pPr>
      <w:r>
        <w:t>151.</w:t>
      </w:r>
      <w:r>
        <w:tab/>
        <w:t>Application for 15</w:t>
      </w:r>
      <w:r>
        <w:noBreakHyphen/>
        <w:t>year no</w:t>
      </w:r>
      <w:r>
        <w:noBreakHyphen/>
        <w:t>coverage determination for proposed pipeline</w:t>
      </w:r>
      <w:r>
        <w:tab/>
      </w:r>
      <w:r>
        <w:fldChar w:fldCharType="begin"/>
      </w:r>
      <w:r>
        <w:instrText xml:space="preserve"> PAGEREF _Toc221109888 \h </w:instrText>
      </w:r>
      <w:r>
        <w:fldChar w:fldCharType="separate"/>
      </w:r>
      <w:r>
        <w:t>127</w:t>
      </w:r>
      <w:r>
        <w:fldChar w:fldCharType="end"/>
      </w:r>
    </w:p>
    <w:p>
      <w:pPr>
        <w:pStyle w:val="TOC8"/>
        <w:rPr>
          <w:rFonts w:asciiTheme="minorHAnsi" w:eastAsiaTheme="minorEastAsia" w:hAnsiTheme="minorHAnsi" w:cstheme="minorBidi"/>
          <w:szCs w:val="22"/>
        </w:rPr>
      </w:pPr>
      <w:r>
        <w:t>152.</w:t>
      </w:r>
      <w:r>
        <w:tab/>
        <w:t>Application to be dealt with in accordance with the Rules</w:t>
      </w:r>
      <w:r>
        <w:tab/>
      </w:r>
      <w:r>
        <w:fldChar w:fldCharType="begin"/>
      </w:r>
      <w:r>
        <w:instrText xml:space="preserve"> PAGEREF _Toc221109889 \h </w:instrText>
      </w:r>
      <w:r>
        <w:fldChar w:fldCharType="separate"/>
      </w:r>
      <w:r>
        <w:t>128</w:t>
      </w:r>
      <w:r>
        <w:fldChar w:fldCharType="end"/>
      </w:r>
    </w:p>
    <w:p>
      <w:pPr>
        <w:pStyle w:val="TOC8"/>
        <w:rPr>
          <w:rFonts w:asciiTheme="minorHAnsi" w:eastAsiaTheme="minorEastAsia" w:hAnsiTheme="minorHAnsi" w:cstheme="minorBidi"/>
          <w:szCs w:val="22"/>
        </w:rPr>
      </w:pPr>
      <w:r>
        <w:t>153.</w:t>
      </w:r>
      <w:r>
        <w:tab/>
        <w:t>No</w:t>
      </w:r>
      <w:r>
        <w:noBreakHyphen/>
        <w:t>coverage recommendation</w:t>
      </w:r>
      <w:r>
        <w:tab/>
      </w:r>
      <w:r>
        <w:fldChar w:fldCharType="begin"/>
      </w:r>
      <w:r>
        <w:instrText xml:space="preserve"> PAGEREF _Toc221109890 \h </w:instrText>
      </w:r>
      <w:r>
        <w:fldChar w:fldCharType="separate"/>
      </w:r>
      <w:r>
        <w:t>128</w:t>
      </w:r>
      <w:r>
        <w:fldChar w:fldCharType="end"/>
      </w:r>
    </w:p>
    <w:p>
      <w:pPr>
        <w:pStyle w:val="TOC8"/>
        <w:rPr>
          <w:rFonts w:asciiTheme="minorHAnsi" w:eastAsiaTheme="minorEastAsia" w:hAnsiTheme="minorHAnsi" w:cstheme="minorBidi"/>
          <w:szCs w:val="22"/>
        </w:rPr>
      </w:pPr>
      <w:r>
        <w:t>154.</w:t>
      </w:r>
      <w:r>
        <w:tab/>
        <w:t>Principles governing the making of a no</w:t>
      </w:r>
      <w:r>
        <w:noBreakHyphen/>
        <w:t>coverage recommendation</w:t>
      </w:r>
      <w:r>
        <w:tab/>
      </w:r>
      <w:r>
        <w:fldChar w:fldCharType="begin"/>
      </w:r>
      <w:r>
        <w:instrText xml:space="preserve"> PAGEREF _Toc221109891 \h </w:instrText>
      </w:r>
      <w:r>
        <w:fldChar w:fldCharType="separate"/>
      </w:r>
      <w:r>
        <w:t>129</w:t>
      </w:r>
      <w:r>
        <w:fldChar w:fldCharType="end"/>
      </w:r>
    </w:p>
    <w:p>
      <w:pPr>
        <w:pStyle w:val="TOC8"/>
        <w:rPr>
          <w:rFonts w:asciiTheme="minorHAnsi" w:eastAsiaTheme="minorEastAsia" w:hAnsiTheme="minorHAnsi" w:cstheme="minorBidi"/>
          <w:szCs w:val="22"/>
        </w:rPr>
      </w:pPr>
      <w:r>
        <w:t>155.</w:t>
      </w:r>
      <w:r>
        <w:tab/>
        <w:t>Initial classification decision to be made as part of recommendation</w:t>
      </w:r>
      <w:r>
        <w:tab/>
      </w:r>
      <w:r>
        <w:fldChar w:fldCharType="begin"/>
      </w:r>
      <w:r>
        <w:instrText xml:space="preserve"> PAGEREF _Toc221109892 \h </w:instrText>
      </w:r>
      <w:r>
        <w:fldChar w:fldCharType="separate"/>
      </w:r>
      <w:r>
        <w:t>129</w:t>
      </w:r>
      <w:r>
        <w:fldChar w:fldCharType="end"/>
      </w:r>
    </w:p>
    <w:p>
      <w:pPr>
        <w:pStyle w:val="TOC8"/>
        <w:rPr>
          <w:rFonts w:asciiTheme="minorHAnsi" w:eastAsiaTheme="minorEastAsia" w:hAnsiTheme="minorHAnsi" w:cstheme="minorBidi"/>
          <w:szCs w:val="22"/>
        </w:rPr>
      </w:pPr>
      <w:r>
        <w:t>156.</w:t>
      </w:r>
      <w:r>
        <w:tab/>
        <w:t>Relevant Minister’s determination on application</w:t>
      </w:r>
      <w:r>
        <w:tab/>
      </w:r>
      <w:r>
        <w:fldChar w:fldCharType="begin"/>
      </w:r>
      <w:r>
        <w:instrText xml:space="preserve"> PAGEREF _Toc221109893 \h </w:instrText>
      </w:r>
      <w:r>
        <w:fldChar w:fldCharType="separate"/>
      </w:r>
      <w:r>
        <w:t>130</w:t>
      </w:r>
      <w:r>
        <w:fldChar w:fldCharType="end"/>
      </w:r>
    </w:p>
    <w:p>
      <w:pPr>
        <w:pStyle w:val="TOC8"/>
        <w:rPr>
          <w:rFonts w:asciiTheme="minorHAnsi" w:eastAsiaTheme="minorEastAsia" w:hAnsiTheme="minorHAnsi" w:cstheme="minorBidi"/>
          <w:szCs w:val="22"/>
        </w:rPr>
      </w:pPr>
      <w:r>
        <w:t>157.</w:t>
      </w:r>
      <w:r>
        <w:tab/>
        <w:t>Principles governing the making of a 15</w:t>
      </w:r>
      <w:r>
        <w:noBreakHyphen/>
        <w:t>year no</w:t>
      </w:r>
      <w:r>
        <w:noBreakHyphen/>
        <w:t>coverage determination or decision not to do so</w:t>
      </w:r>
      <w:r>
        <w:tab/>
      </w:r>
      <w:r>
        <w:fldChar w:fldCharType="begin"/>
      </w:r>
      <w:r>
        <w:instrText xml:space="preserve"> PAGEREF _Toc221109894 \h </w:instrText>
      </w:r>
      <w:r>
        <w:fldChar w:fldCharType="separate"/>
      </w:r>
      <w:r>
        <w:t>131</w:t>
      </w:r>
      <w:r>
        <w:fldChar w:fldCharType="end"/>
      </w:r>
    </w:p>
    <w:p>
      <w:pPr>
        <w:pStyle w:val="TOC8"/>
        <w:rPr>
          <w:rFonts w:asciiTheme="minorHAnsi" w:eastAsiaTheme="minorEastAsia" w:hAnsiTheme="minorHAnsi" w:cstheme="minorBidi"/>
          <w:szCs w:val="22"/>
        </w:rPr>
      </w:pPr>
      <w:r>
        <w:t>158.</w:t>
      </w:r>
      <w:r>
        <w:tab/>
        <w:t>Effect of 15</w:t>
      </w:r>
      <w:r>
        <w:noBreakHyphen/>
        <w:t>year no</w:t>
      </w:r>
      <w:r>
        <w:noBreakHyphen/>
        <w:t>coverage determination</w:t>
      </w:r>
      <w:r>
        <w:tab/>
      </w:r>
      <w:r>
        <w:fldChar w:fldCharType="begin"/>
      </w:r>
      <w:r>
        <w:instrText xml:space="preserve"> PAGEREF _Toc221109895 \h </w:instrText>
      </w:r>
      <w:r>
        <w:fldChar w:fldCharType="separate"/>
      </w:r>
      <w:r>
        <w:t>132</w:t>
      </w:r>
      <w:r>
        <w:fldChar w:fldCharType="end"/>
      </w:r>
    </w:p>
    <w:p>
      <w:pPr>
        <w:pStyle w:val="TOC8"/>
        <w:rPr>
          <w:rFonts w:asciiTheme="minorHAnsi" w:eastAsiaTheme="minorEastAsia" w:hAnsiTheme="minorHAnsi" w:cstheme="minorBidi"/>
          <w:szCs w:val="22"/>
        </w:rPr>
      </w:pPr>
      <w:r>
        <w:t>159.</w:t>
      </w:r>
      <w:r>
        <w:tab/>
        <w:t>Consequences of Minister deciding against making 15</w:t>
      </w:r>
      <w:r>
        <w:noBreakHyphen/>
        <w:t>year no</w:t>
      </w:r>
      <w:r>
        <w:noBreakHyphen/>
        <w:t>coverage determination for international pipeline</w:t>
      </w:r>
      <w:r>
        <w:tab/>
      </w:r>
      <w:r>
        <w:fldChar w:fldCharType="begin"/>
      </w:r>
      <w:r>
        <w:instrText xml:space="preserve"> PAGEREF _Toc221109896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Part 3 — Price regulation exemptions</w:t>
      </w:r>
    </w:p>
    <w:p>
      <w:pPr>
        <w:pStyle w:val="TOC6"/>
        <w:tabs>
          <w:tab w:val="right" w:leader="dot" w:pos="7077"/>
        </w:tabs>
        <w:rPr>
          <w:rFonts w:asciiTheme="minorHAnsi" w:eastAsiaTheme="minorEastAsia" w:hAnsiTheme="minorHAnsi" w:cstheme="minorBidi"/>
          <w:b w:val="0"/>
          <w:sz w:val="22"/>
          <w:szCs w:val="22"/>
        </w:rPr>
      </w:pPr>
      <w:r>
        <w:t>Division 1 — Application for price regulation exemption</w:t>
      </w:r>
    </w:p>
    <w:p>
      <w:pPr>
        <w:pStyle w:val="TOC8"/>
        <w:rPr>
          <w:rFonts w:asciiTheme="minorHAnsi" w:eastAsiaTheme="minorEastAsia" w:hAnsiTheme="minorHAnsi" w:cstheme="minorBidi"/>
          <w:szCs w:val="22"/>
        </w:rPr>
      </w:pPr>
      <w:r>
        <w:t>160.</w:t>
      </w:r>
      <w:r>
        <w:tab/>
        <w:t>Application for price regulation exemption</w:t>
      </w:r>
      <w:r>
        <w:tab/>
      </w:r>
      <w:r>
        <w:fldChar w:fldCharType="begin"/>
      </w:r>
      <w:r>
        <w:instrText xml:space="preserve"> PAGEREF _Toc221109899 \h </w:instrText>
      </w:r>
      <w:r>
        <w:fldChar w:fldCharType="separate"/>
      </w:r>
      <w:r>
        <w:t>133</w:t>
      </w:r>
      <w:r>
        <w:fldChar w:fldCharType="end"/>
      </w:r>
    </w:p>
    <w:p>
      <w:pPr>
        <w:pStyle w:val="TOC6"/>
        <w:tabs>
          <w:tab w:val="right" w:leader="dot" w:pos="7077"/>
        </w:tabs>
        <w:rPr>
          <w:rFonts w:asciiTheme="minorHAnsi" w:eastAsiaTheme="minorEastAsia" w:hAnsiTheme="minorHAnsi" w:cstheme="minorBidi"/>
          <w:b w:val="0"/>
          <w:sz w:val="22"/>
          <w:szCs w:val="22"/>
        </w:rPr>
      </w:pPr>
      <w:r>
        <w:t>Division 2 — Recommendations by NCC</w:t>
      </w:r>
    </w:p>
    <w:p>
      <w:pPr>
        <w:pStyle w:val="TOC8"/>
        <w:rPr>
          <w:rFonts w:asciiTheme="minorHAnsi" w:eastAsiaTheme="minorEastAsia" w:hAnsiTheme="minorHAnsi" w:cstheme="minorBidi"/>
          <w:szCs w:val="22"/>
        </w:rPr>
      </w:pPr>
      <w:r>
        <w:t>161.</w:t>
      </w:r>
      <w:r>
        <w:tab/>
        <w:t>Application to be dealt with in accordance with the Rules</w:t>
      </w:r>
      <w:r>
        <w:tab/>
      </w:r>
      <w:r>
        <w:fldChar w:fldCharType="begin"/>
      </w:r>
      <w:r>
        <w:instrText xml:space="preserve"> PAGEREF _Toc221109901 \h </w:instrText>
      </w:r>
      <w:r>
        <w:fldChar w:fldCharType="separate"/>
      </w:r>
      <w:r>
        <w:t>134</w:t>
      </w:r>
      <w:r>
        <w:fldChar w:fldCharType="end"/>
      </w:r>
    </w:p>
    <w:p>
      <w:pPr>
        <w:pStyle w:val="TOC8"/>
        <w:rPr>
          <w:rFonts w:asciiTheme="minorHAnsi" w:eastAsiaTheme="minorEastAsia" w:hAnsiTheme="minorHAnsi" w:cstheme="minorBidi"/>
          <w:szCs w:val="22"/>
        </w:rPr>
      </w:pPr>
      <w:r>
        <w:t>162.</w:t>
      </w:r>
      <w:r>
        <w:tab/>
        <w:t>NCC’s recommendation</w:t>
      </w:r>
      <w:r>
        <w:tab/>
      </w:r>
      <w:r>
        <w:fldChar w:fldCharType="begin"/>
      </w:r>
      <w:r>
        <w:instrText xml:space="preserve"> PAGEREF _Toc221109902 \h </w:instrText>
      </w:r>
      <w:r>
        <w:fldChar w:fldCharType="separate"/>
      </w:r>
      <w:r>
        <w:t>134</w:t>
      </w:r>
      <w:r>
        <w:fldChar w:fldCharType="end"/>
      </w:r>
    </w:p>
    <w:p>
      <w:pPr>
        <w:pStyle w:val="TOC8"/>
        <w:rPr>
          <w:rFonts w:asciiTheme="minorHAnsi" w:eastAsiaTheme="minorEastAsia" w:hAnsiTheme="minorHAnsi" w:cstheme="minorBidi"/>
          <w:szCs w:val="22"/>
        </w:rPr>
      </w:pPr>
      <w:r>
        <w:lastRenderedPageBreak/>
        <w:t>163.</w:t>
      </w:r>
      <w:r>
        <w:tab/>
        <w:t>General principle governing NCC’s recommendation</w:t>
      </w:r>
      <w:r>
        <w:tab/>
      </w:r>
      <w:r>
        <w:fldChar w:fldCharType="begin"/>
      </w:r>
      <w:r>
        <w:instrText xml:space="preserve"> PAGEREF _Toc221109903 \h </w:instrText>
      </w:r>
      <w:r>
        <w:fldChar w:fldCharType="separate"/>
      </w:r>
      <w:r>
        <w:t>134</w:t>
      </w:r>
      <w:r>
        <w:fldChar w:fldCharType="end"/>
      </w:r>
    </w:p>
    <w:p>
      <w:pPr>
        <w:pStyle w:val="TOC6"/>
        <w:tabs>
          <w:tab w:val="right" w:leader="dot" w:pos="7077"/>
        </w:tabs>
        <w:rPr>
          <w:rFonts w:asciiTheme="minorHAnsi" w:eastAsiaTheme="minorEastAsia" w:hAnsiTheme="minorHAnsi" w:cstheme="minorBidi"/>
          <w:b w:val="0"/>
          <w:sz w:val="22"/>
          <w:szCs w:val="22"/>
        </w:rPr>
      </w:pPr>
      <w:r>
        <w:t>Division 3 — Making and effect of price regulation exemption</w:t>
      </w:r>
    </w:p>
    <w:p>
      <w:pPr>
        <w:pStyle w:val="TOC8"/>
        <w:rPr>
          <w:rFonts w:asciiTheme="minorHAnsi" w:eastAsiaTheme="minorEastAsia" w:hAnsiTheme="minorHAnsi" w:cstheme="minorBidi"/>
          <w:szCs w:val="22"/>
        </w:rPr>
      </w:pPr>
      <w:r>
        <w:t>164.</w:t>
      </w:r>
      <w:r>
        <w:tab/>
        <w:t>Making of price regulation exemption</w:t>
      </w:r>
      <w:r>
        <w:tab/>
      </w:r>
      <w:r>
        <w:fldChar w:fldCharType="begin"/>
      </w:r>
      <w:r>
        <w:instrText xml:space="preserve"> PAGEREF _Toc221109905 \h </w:instrText>
      </w:r>
      <w:r>
        <w:fldChar w:fldCharType="separate"/>
      </w:r>
      <w:r>
        <w:t>135</w:t>
      </w:r>
      <w:r>
        <w:fldChar w:fldCharType="end"/>
      </w:r>
    </w:p>
    <w:p>
      <w:pPr>
        <w:pStyle w:val="TOC8"/>
        <w:rPr>
          <w:rFonts w:asciiTheme="minorHAnsi" w:eastAsiaTheme="minorEastAsia" w:hAnsiTheme="minorHAnsi" w:cstheme="minorBidi"/>
          <w:szCs w:val="22"/>
        </w:rPr>
      </w:pPr>
      <w:r>
        <w:t>165.</w:t>
      </w:r>
      <w:r>
        <w:tab/>
        <w:t>Principles governing the making of a price regulation exemption</w:t>
      </w:r>
      <w:r>
        <w:tab/>
      </w:r>
      <w:r>
        <w:fldChar w:fldCharType="begin"/>
      </w:r>
      <w:r>
        <w:instrText xml:space="preserve"> PAGEREF _Toc221109906 \h </w:instrText>
      </w:r>
      <w:r>
        <w:fldChar w:fldCharType="separate"/>
      </w:r>
      <w:r>
        <w:t>136</w:t>
      </w:r>
      <w:r>
        <w:fldChar w:fldCharType="end"/>
      </w:r>
    </w:p>
    <w:p>
      <w:pPr>
        <w:pStyle w:val="TOC8"/>
        <w:rPr>
          <w:rFonts w:asciiTheme="minorHAnsi" w:eastAsiaTheme="minorEastAsia" w:hAnsiTheme="minorHAnsi" w:cstheme="minorBidi"/>
          <w:szCs w:val="22"/>
        </w:rPr>
      </w:pPr>
      <w:r>
        <w:t>166.</w:t>
      </w:r>
      <w:r>
        <w:tab/>
        <w:t>Conditions applying to a price regulation exemption</w:t>
      </w:r>
      <w:r>
        <w:tab/>
      </w:r>
      <w:r>
        <w:fldChar w:fldCharType="begin"/>
      </w:r>
      <w:r>
        <w:instrText xml:space="preserve"> PAGEREF _Toc221109907 \h </w:instrText>
      </w:r>
      <w:r>
        <w:fldChar w:fldCharType="separate"/>
      </w:r>
      <w:r>
        <w:t>136</w:t>
      </w:r>
      <w:r>
        <w:fldChar w:fldCharType="end"/>
      </w:r>
    </w:p>
    <w:p>
      <w:pPr>
        <w:pStyle w:val="TOC8"/>
        <w:rPr>
          <w:rFonts w:asciiTheme="minorHAnsi" w:eastAsiaTheme="minorEastAsia" w:hAnsiTheme="minorHAnsi" w:cstheme="minorBidi"/>
          <w:szCs w:val="22"/>
        </w:rPr>
      </w:pPr>
      <w:r>
        <w:t>167.</w:t>
      </w:r>
      <w:r>
        <w:tab/>
        <w:t>Effect of price regulation exemption</w:t>
      </w:r>
      <w:r>
        <w:tab/>
      </w:r>
      <w:r>
        <w:fldChar w:fldCharType="begin"/>
      </w:r>
      <w:r>
        <w:instrText xml:space="preserve"> PAGEREF _Toc221109908 \h </w:instrText>
      </w:r>
      <w:r>
        <w:fldChar w:fldCharType="separate"/>
      </w:r>
      <w:r>
        <w:t>137</w:t>
      </w:r>
      <w:r>
        <w:fldChar w:fldCharType="end"/>
      </w:r>
    </w:p>
    <w:p>
      <w:pPr>
        <w:pStyle w:val="TOC6"/>
        <w:tabs>
          <w:tab w:val="right" w:leader="dot" w:pos="7077"/>
        </w:tabs>
        <w:rPr>
          <w:rFonts w:asciiTheme="minorHAnsi" w:eastAsiaTheme="minorEastAsia" w:hAnsiTheme="minorHAnsi" w:cstheme="minorBidi"/>
          <w:b w:val="0"/>
          <w:sz w:val="22"/>
          <w:szCs w:val="22"/>
        </w:rPr>
      </w:pPr>
      <w:r>
        <w:t>Division 4 — Limited access arrangements</w:t>
      </w:r>
    </w:p>
    <w:p>
      <w:pPr>
        <w:pStyle w:val="TOC8"/>
        <w:rPr>
          <w:rFonts w:asciiTheme="minorHAnsi" w:eastAsiaTheme="minorEastAsia" w:hAnsiTheme="minorHAnsi" w:cstheme="minorBidi"/>
          <w:szCs w:val="22"/>
        </w:rPr>
      </w:pPr>
      <w:r>
        <w:t>168.</w:t>
      </w:r>
      <w:r>
        <w:tab/>
        <w:t>Limited access arrangements for pipeline services provided by international pipeline to which a price regulation exemption applies</w:t>
      </w:r>
      <w:r>
        <w:tab/>
      </w:r>
      <w:r>
        <w:fldChar w:fldCharType="begin"/>
      </w:r>
      <w:r>
        <w:instrText xml:space="preserve"> PAGEREF _Toc221109910 \h </w:instrText>
      </w:r>
      <w:r>
        <w:fldChar w:fldCharType="separate"/>
      </w:r>
      <w:r>
        <w:t>138</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matters</w:t>
      </w:r>
    </w:p>
    <w:p>
      <w:pPr>
        <w:pStyle w:val="TOC8"/>
        <w:rPr>
          <w:rFonts w:asciiTheme="minorHAnsi" w:eastAsiaTheme="minorEastAsia" w:hAnsiTheme="minorHAnsi" w:cstheme="minorBidi"/>
          <w:szCs w:val="22"/>
        </w:rPr>
      </w:pPr>
      <w:r>
        <w:t>169.</w:t>
      </w:r>
      <w:r>
        <w:tab/>
        <w:t>Other obligations to which service provider is subject</w:t>
      </w:r>
      <w:r>
        <w:tab/>
      </w:r>
      <w:r>
        <w:fldChar w:fldCharType="begin"/>
      </w:r>
      <w:r>
        <w:instrText xml:space="preserve"> PAGEREF _Toc221109912 \h </w:instrText>
      </w:r>
      <w:r>
        <w:fldChar w:fldCharType="separate"/>
      </w:r>
      <w:r>
        <w:t>138</w:t>
      </w:r>
      <w:r>
        <w:fldChar w:fldCharType="end"/>
      </w:r>
    </w:p>
    <w:p>
      <w:pPr>
        <w:pStyle w:val="TOC8"/>
        <w:rPr>
          <w:rFonts w:asciiTheme="minorHAnsi" w:eastAsiaTheme="minorEastAsia" w:hAnsiTheme="minorHAnsi" w:cstheme="minorBidi"/>
          <w:szCs w:val="22"/>
        </w:rPr>
      </w:pPr>
      <w:r>
        <w:t>170.</w:t>
      </w:r>
      <w:r>
        <w:tab/>
        <w:t>Service provider must not price discriminate in providing international pipeline services</w:t>
      </w:r>
      <w:r>
        <w:tab/>
      </w:r>
      <w:r>
        <w:fldChar w:fldCharType="begin"/>
      </w:r>
      <w:r>
        <w:instrText xml:space="preserve"> PAGEREF _Toc221109913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Part 4 — Extended or modified application of greenfields pipeline incentive</w:t>
      </w:r>
    </w:p>
    <w:p>
      <w:pPr>
        <w:pStyle w:val="TOC8"/>
        <w:rPr>
          <w:rFonts w:asciiTheme="minorHAnsi" w:eastAsiaTheme="minorEastAsia" w:hAnsiTheme="minorHAnsi" w:cstheme="minorBidi"/>
          <w:szCs w:val="22"/>
        </w:rPr>
      </w:pPr>
      <w:r>
        <w:t>171.</w:t>
      </w:r>
      <w:r>
        <w:tab/>
        <w:t>Requirement for conformity between pipeline description and pipeline as constructed</w:t>
      </w:r>
      <w:r>
        <w:tab/>
      </w:r>
      <w:r>
        <w:fldChar w:fldCharType="begin"/>
      </w:r>
      <w:r>
        <w:instrText xml:space="preserve"> PAGEREF _Toc221109915 \h </w:instrText>
      </w:r>
      <w:r>
        <w:fldChar w:fldCharType="separate"/>
      </w:r>
      <w:r>
        <w:t>140</w:t>
      </w:r>
      <w:r>
        <w:fldChar w:fldCharType="end"/>
      </w:r>
    </w:p>
    <w:p>
      <w:pPr>
        <w:pStyle w:val="TOC8"/>
        <w:rPr>
          <w:rFonts w:asciiTheme="minorHAnsi" w:eastAsiaTheme="minorEastAsia" w:hAnsiTheme="minorHAnsi" w:cstheme="minorBidi"/>
          <w:szCs w:val="22"/>
        </w:rPr>
      </w:pPr>
      <w:r>
        <w:t>172.</w:t>
      </w:r>
      <w:r>
        <w:tab/>
        <w:t>Power of relevant Minister to amend pipeline description</w:t>
      </w:r>
      <w:r>
        <w:tab/>
      </w:r>
      <w:r>
        <w:fldChar w:fldCharType="begin"/>
      </w:r>
      <w:r>
        <w:instrText xml:space="preserve"> PAGEREF _Toc221109916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Part 5 — Early termination of greenfields pipeline incentive</w:t>
      </w:r>
    </w:p>
    <w:p>
      <w:pPr>
        <w:pStyle w:val="TOC8"/>
        <w:rPr>
          <w:rFonts w:asciiTheme="minorHAnsi" w:eastAsiaTheme="minorEastAsia" w:hAnsiTheme="minorHAnsi" w:cstheme="minorBidi"/>
          <w:szCs w:val="22"/>
        </w:rPr>
      </w:pPr>
      <w:r>
        <w:t>173.</w:t>
      </w:r>
      <w:r>
        <w:tab/>
        <w:t>Greenfields pipeline incentive may lapse</w:t>
      </w:r>
      <w:r>
        <w:tab/>
      </w:r>
      <w:r>
        <w:fldChar w:fldCharType="begin"/>
      </w:r>
      <w:r>
        <w:instrText xml:space="preserve"> PAGEREF _Toc221109918 \h </w:instrText>
      </w:r>
      <w:r>
        <w:fldChar w:fldCharType="separate"/>
      </w:r>
      <w:r>
        <w:t>141</w:t>
      </w:r>
      <w:r>
        <w:fldChar w:fldCharType="end"/>
      </w:r>
    </w:p>
    <w:p>
      <w:pPr>
        <w:pStyle w:val="TOC8"/>
        <w:rPr>
          <w:rFonts w:asciiTheme="minorHAnsi" w:eastAsiaTheme="minorEastAsia" w:hAnsiTheme="minorHAnsi" w:cstheme="minorBidi"/>
          <w:szCs w:val="22"/>
        </w:rPr>
      </w:pPr>
      <w:r>
        <w:t>174.</w:t>
      </w:r>
      <w:r>
        <w:tab/>
        <w:t>Revocation by consent</w:t>
      </w:r>
      <w:r>
        <w:tab/>
      </w:r>
      <w:r>
        <w:fldChar w:fldCharType="begin"/>
      </w:r>
      <w:r>
        <w:instrText xml:space="preserve"> PAGEREF _Toc221109919 \h </w:instrText>
      </w:r>
      <w:r>
        <w:fldChar w:fldCharType="separate"/>
      </w:r>
      <w:r>
        <w:t>141</w:t>
      </w:r>
      <w:r>
        <w:fldChar w:fldCharType="end"/>
      </w:r>
    </w:p>
    <w:p>
      <w:pPr>
        <w:pStyle w:val="TOC8"/>
        <w:rPr>
          <w:rFonts w:asciiTheme="minorHAnsi" w:eastAsiaTheme="minorEastAsia" w:hAnsiTheme="minorHAnsi" w:cstheme="minorBidi"/>
          <w:szCs w:val="22"/>
        </w:rPr>
      </w:pPr>
      <w:r>
        <w:t>175.</w:t>
      </w:r>
      <w:r>
        <w:tab/>
        <w:t>Revocation for misrepresentation</w:t>
      </w:r>
      <w:r>
        <w:tab/>
      </w:r>
      <w:r>
        <w:fldChar w:fldCharType="begin"/>
      </w:r>
      <w:r>
        <w:instrText xml:space="preserve"> PAGEREF _Toc221109920 \h </w:instrText>
      </w:r>
      <w:r>
        <w:fldChar w:fldCharType="separate"/>
      </w:r>
      <w:r>
        <w:t>141</w:t>
      </w:r>
      <w:r>
        <w:fldChar w:fldCharType="end"/>
      </w:r>
    </w:p>
    <w:p>
      <w:pPr>
        <w:pStyle w:val="TOC8"/>
        <w:rPr>
          <w:rFonts w:asciiTheme="minorHAnsi" w:eastAsiaTheme="minorEastAsia" w:hAnsiTheme="minorHAnsi" w:cstheme="minorBidi"/>
          <w:szCs w:val="22"/>
        </w:rPr>
      </w:pPr>
      <w:r>
        <w:t>176.</w:t>
      </w:r>
      <w:r>
        <w:tab/>
        <w:t>Revocation for breach of condition to which a price regulation exemption is subject</w:t>
      </w:r>
      <w:r>
        <w:tab/>
      </w:r>
      <w:r>
        <w:fldChar w:fldCharType="begin"/>
      </w:r>
      <w:r>
        <w:instrText xml:space="preserve"> PAGEREF _Toc221109921 \h </w:instrText>
      </w:r>
      <w:r>
        <w:fldChar w:fldCharType="separate"/>
      </w:r>
      <w:r>
        <w:t>142</w:t>
      </w:r>
      <w:r>
        <w:fldChar w:fldCharType="end"/>
      </w:r>
    </w:p>
    <w:p>
      <w:pPr>
        <w:pStyle w:val="TOC8"/>
        <w:rPr>
          <w:rFonts w:asciiTheme="minorHAnsi" w:eastAsiaTheme="minorEastAsia" w:hAnsiTheme="minorHAnsi" w:cstheme="minorBidi"/>
          <w:szCs w:val="22"/>
        </w:rPr>
      </w:pPr>
      <w:r>
        <w:t>177.</w:t>
      </w:r>
      <w:r>
        <w:tab/>
        <w:t>Exhaustive provision for termination of greenfields pipeline incentive</w:t>
      </w:r>
      <w:r>
        <w:tab/>
      </w:r>
      <w:r>
        <w:fldChar w:fldCharType="begin"/>
      </w:r>
      <w:r>
        <w:instrText xml:space="preserve"> PAGEREF _Toc221109922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Chapter 6 — Access disputes—scheme pipelines</w:t>
      </w:r>
    </w:p>
    <w:p>
      <w:pPr>
        <w:pStyle w:val="TOC4"/>
        <w:tabs>
          <w:tab w:val="right" w:leader="dot" w:pos="7077"/>
        </w:tabs>
        <w:rPr>
          <w:rFonts w:asciiTheme="minorHAnsi" w:eastAsiaTheme="minorEastAsia" w:hAnsiTheme="minorHAnsi" w:cstheme="minorBidi"/>
          <w:b w:val="0"/>
          <w:szCs w:val="22"/>
        </w:rPr>
      </w:pPr>
      <w:r>
        <w:t>Part 1 — Interpretation and application</w:t>
      </w:r>
    </w:p>
    <w:p>
      <w:pPr>
        <w:pStyle w:val="TOC8"/>
        <w:rPr>
          <w:rFonts w:asciiTheme="minorHAnsi" w:eastAsiaTheme="minorEastAsia" w:hAnsiTheme="minorHAnsi" w:cstheme="minorBidi"/>
          <w:szCs w:val="22"/>
        </w:rPr>
      </w:pPr>
      <w:r>
        <w:t>178.</w:t>
      </w:r>
      <w:r>
        <w:tab/>
        <w:t>Definitions</w:t>
      </w:r>
      <w:r>
        <w:tab/>
      </w:r>
      <w:r>
        <w:fldChar w:fldCharType="begin"/>
      </w:r>
      <w:r>
        <w:instrText xml:space="preserve"> PAGEREF _Toc221109925 \h </w:instrText>
      </w:r>
      <w:r>
        <w:fldChar w:fldCharType="separate"/>
      </w:r>
      <w:r>
        <w:t>143</w:t>
      </w:r>
      <w:r>
        <w:fldChar w:fldCharType="end"/>
      </w:r>
    </w:p>
    <w:p>
      <w:pPr>
        <w:pStyle w:val="TOC8"/>
        <w:rPr>
          <w:rFonts w:asciiTheme="minorHAnsi" w:eastAsiaTheme="minorEastAsia" w:hAnsiTheme="minorHAnsi" w:cstheme="minorBidi"/>
          <w:szCs w:val="22"/>
        </w:rPr>
      </w:pPr>
      <w:r>
        <w:t>179.</w:t>
      </w:r>
      <w:r>
        <w:tab/>
        <w:t>Chapter does not limit how disputes about access may be raised or dealt with</w:t>
      </w:r>
      <w:r>
        <w:tab/>
      </w:r>
      <w:r>
        <w:fldChar w:fldCharType="begin"/>
      </w:r>
      <w:r>
        <w:instrText xml:space="preserve"> PAGEREF _Toc221109926 \h </w:instrText>
      </w:r>
      <w:r>
        <w:fldChar w:fldCharType="separate"/>
      </w:r>
      <w:r>
        <w:t>143</w:t>
      </w:r>
      <w:r>
        <w:fldChar w:fldCharType="end"/>
      </w:r>
    </w:p>
    <w:p>
      <w:pPr>
        <w:pStyle w:val="TOC8"/>
        <w:rPr>
          <w:rFonts w:asciiTheme="minorHAnsi" w:eastAsiaTheme="minorEastAsia" w:hAnsiTheme="minorHAnsi" w:cstheme="minorBidi"/>
          <w:szCs w:val="22"/>
        </w:rPr>
      </w:pPr>
      <w:r>
        <w:t>180.</w:t>
      </w:r>
      <w:r>
        <w:tab/>
        <w:t>No price or revenue regulation for access disputes relating to international pipeline services</w:t>
      </w:r>
      <w:r>
        <w:tab/>
      </w:r>
      <w:r>
        <w:fldChar w:fldCharType="begin"/>
      </w:r>
      <w:r>
        <w:instrText xml:space="preserve"> PAGEREF _Toc221109927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Part 2 — Notification of access dispute</w:t>
      </w:r>
    </w:p>
    <w:p>
      <w:pPr>
        <w:pStyle w:val="TOC8"/>
        <w:rPr>
          <w:rFonts w:asciiTheme="minorHAnsi" w:eastAsiaTheme="minorEastAsia" w:hAnsiTheme="minorHAnsi" w:cstheme="minorBidi"/>
          <w:szCs w:val="22"/>
        </w:rPr>
      </w:pPr>
      <w:r>
        <w:t>181.</w:t>
      </w:r>
      <w:r>
        <w:tab/>
        <w:t>Notification of access dispute</w:t>
      </w:r>
      <w:r>
        <w:tab/>
      </w:r>
      <w:r>
        <w:fldChar w:fldCharType="begin"/>
      </w:r>
      <w:r>
        <w:instrText xml:space="preserve"> PAGEREF _Toc221109929 \h </w:instrText>
      </w:r>
      <w:r>
        <w:fldChar w:fldCharType="separate"/>
      </w:r>
      <w:r>
        <w:t>144</w:t>
      </w:r>
      <w:r>
        <w:fldChar w:fldCharType="end"/>
      </w:r>
    </w:p>
    <w:p>
      <w:pPr>
        <w:pStyle w:val="TOC8"/>
        <w:rPr>
          <w:rFonts w:asciiTheme="minorHAnsi" w:eastAsiaTheme="minorEastAsia" w:hAnsiTheme="minorHAnsi" w:cstheme="minorBidi"/>
          <w:szCs w:val="22"/>
        </w:rPr>
      </w:pPr>
      <w:r>
        <w:t>181A.</w:t>
      </w:r>
      <w:r>
        <w:tab/>
        <w:t>Providing information for certain disputes</w:t>
      </w:r>
      <w:r>
        <w:tab/>
      </w:r>
      <w:r>
        <w:fldChar w:fldCharType="begin"/>
      </w:r>
      <w:r>
        <w:instrText xml:space="preserve"> PAGEREF _Toc221109930 \h </w:instrText>
      </w:r>
      <w:r>
        <w:fldChar w:fldCharType="separate"/>
      </w:r>
      <w:r>
        <w:t>144</w:t>
      </w:r>
      <w:r>
        <w:fldChar w:fldCharType="end"/>
      </w:r>
    </w:p>
    <w:p>
      <w:pPr>
        <w:pStyle w:val="TOC8"/>
        <w:rPr>
          <w:rFonts w:asciiTheme="minorHAnsi" w:eastAsiaTheme="minorEastAsia" w:hAnsiTheme="minorHAnsi" w:cstheme="minorBidi"/>
          <w:szCs w:val="22"/>
        </w:rPr>
      </w:pPr>
      <w:r>
        <w:t>182.</w:t>
      </w:r>
      <w:r>
        <w:tab/>
        <w:t>Withdrawal of notification</w:t>
      </w:r>
      <w:r>
        <w:tab/>
      </w:r>
      <w:r>
        <w:fldChar w:fldCharType="begin"/>
      </w:r>
      <w:r>
        <w:instrText xml:space="preserve"> PAGEREF _Toc221109931 \h </w:instrText>
      </w:r>
      <w:r>
        <w:fldChar w:fldCharType="separate"/>
      </w:r>
      <w:r>
        <w:t>145</w:t>
      </w:r>
      <w:r>
        <w:fldChar w:fldCharType="end"/>
      </w:r>
    </w:p>
    <w:p>
      <w:pPr>
        <w:pStyle w:val="TOC8"/>
        <w:rPr>
          <w:rFonts w:asciiTheme="minorHAnsi" w:eastAsiaTheme="minorEastAsia" w:hAnsiTheme="minorHAnsi" w:cstheme="minorBidi"/>
          <w:szCs w:val="22"/>
        </w:rPr>
      </w:pPr>
      <w:r>
        <w:t>183.</w:t>
      </w:r>
      <w:r>
        <w:tab/>
        <w:t>Parties to an access dispute</w:t>
      </w:r>
      <w:r>
        <w:tab/>
      </w:r>
      <w:r>
        <w:fldChar w:fldCharType="begin"/>
      </w:r>
      <w:r>
        <w:instrText xml:space="preserve"> PAGEREF _Toc221109932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Part 3 — Access determinations</w:t>
      </w:r>
    </w:p>
    <w:p>
      <w:pPr>
        <w:pStyle w:val="TOC8"/>
        <w:rPr>
          <w:rFonts w:asciiTheme="minorHAnsi" w:eastAsiaTheme="minorEastAsia" w:hAnsiTheme="minorHAnsi" w:cstheme="minorBidi"/>
          <w:szCs w:val="22"/>
        </w:rPr>
      </w:pPr>
      <w:r>
        <w:t>184.</w:t>
      </w:r>
      <w:r>
        <w:tab/>
        <w:t>Determination of access dispute</w:t>
      </w:r>
      <w:r>
        <w:tab/>
      </w:r>
      <w:r>
        <w:fldChar w:fldCharType="begin"/>
      </w:r>
      <w:r>
        <w:instrText xml:space="preserve"> PAGEREF _Toc221109934 \h </w:instrText>
      </w:r>
      <w:r>
        <w:fldChar w:fldCharType="separate"/>
      </w:r>
      <w:r>
        <w:t>146</w:t>
      </w:r>
      <w:r>
        <w:fldChar w:fldCharType="end"/>
      </w:r>
    </w:p>
    <w:p>
      <w:pPr>
        <w:pStyle w:val="TOC8"/>
        <w:rPr>
          <w:rFonts w:asciiTheme="minorHAnsi" w:eastAsiaTheme="minorEastAsia" w:hAnsiTheme="minorHAnsi" w:cstheme="minorBidi"/>
          <w:szCs w:val="22"/>
        </w:rPr>
      </w:pPr>
      <w:r>
        <w:t>185.</w:t>
      </w:r>
      <w:r>
        <w:tab/>
        <w:t>Dispute resolution body may require parties to mediate, conciliate or engage in an alternative dispute resolution process</w:t>
      </w:r>
      <w:r>
        <w:tab/>
      </w:r>
      <w:r>
        <w:fldChar w:fldCharType="begin"/>
      </w:r>
      <w:r>
        <w:instrText xml:space="preserve"> PAGEREF _Toc221109935 \h </w:instrText>
      </w:r>
      <w:r>
        <w:fldChar w:fldCharType="separate"/>
      </w:r>
      <w:r>
        <w:t>146</w:t>
      </w:r>
      <w:r>
        <w:fldChar w:fldCharType="end"/>
      </w:r>
    </w:p>
    <w:p>
      <w:pPr>
        <w:pStyle w:val="TOC8"/>
        <w:rPr>
          <w:rFonts w:asciiTheme="minorHAnsi" w:eastAsiaTheme="minorEastAsia" w:hAnsiTheme="minorHAnsi" w:cstheme="minorBidi"/>
          <w:szCs w:val="22"/>
        </w:rPr>
      </w:pPr>
      <w:r>
        <w:t>186.</w:t>
      </w:r>
      <w:r>
        <w:tab/>
        <w:t>Dispute resolution body may terminate access dispute in certain cases</w:t>
      </w:r>
      <w:r>
        <w:tab/>
      </w:r>
      <w:r>
        <w:fldChar w:fldCharType="begin"/>
      </w:r>
      <w:r>
        <w:instrText xml:space="preserve"> PAGEREF _Toc221109936 \h </w:instrText>
      </w:r>
      <w:r>
        <w:fldChar w:fldCharType="separate"/>
      </w:r>
      <w:r>
        <w:t>147</w:t>
      </w:r>
      <w:r>
        <w:fldChar w:fldCharType="end"/>
      </w:r>
    </w:p>
    <w:p>
      <w:pPr>
        <w:pStyle w:val="TOC8"/>
        <w:rPr>
          <w:rFonts w:asciiTheme="minorHAnsi" w:eastAsiaTheme="minorEastAsia" w:hAnsiTheme="minorHAnsi" w:cstheme="minorBidi"/>
          <w:szCs w:val="22"/>
        </w:rPr>
      </w:pPr>
      <w:r>
        <w:t>187.</w:t>
      </w:r>
      <w:r>
        <w:tab/>
        <w:t>No access determination if dispute resolution body considers there is genuine competition</w:t>
      </w:r>
      <w:r>
        <w:tab/>
      </w:r>
      <w:r>
        <w:fldChar w:fldCharType="begin"/>
      </w:r>
      <w:r>
        <w:instrText xml:space="preserve"> PAGEREF _Toc221109937 \h </w:instrText>
      </w:r>
      <w:r>
        <w:fldChar w:fldCharType="separate"/>
      </w:r>
      <w:r>
        <w:t>148</w:t>
      </w:r>
      <w:r>
        <w:fldChar w:fldCharType="end"/>
      </w:r>
    </w:p>
    <w:p>
      <w:pPr>
        <w:pStyle w:val="TOC8"/>
        <w:rPr>
          <w:rFonts w:asciiTheme="minorHAnsi" w:eastAsiaTheme="minorEastAsia" w:hAnsiTheme="minorHAnsi" w:cstheme="minorBidi"/>
          <w:szCs w:val="22"/>
        </w:rPr>
      </w:pPr>
      <w:r>
        <w:t>188.</w:t>
      </w:r>
      <w:r>
        <w:tab/>
        <w:t>Restrictions on access determinations</w:t>
      </w:r>
      <w:r>
        <w:tab/>
      </w:r>
      <w:r>
        <w:fldChar w:fldCharType="begin"/>
      </w:r>
      <w:r>
        <w:instrText xml:space="preserve"> PAGEREF _Toc221109938 \h </w:instrText>
      </w:r>
      <w:r>
        <w:fldChar w:fldCharType="separate"/>
      </w:r>
      <w:r>
        <w:t>148</w:t>
      </w:r>
      <w:r>
        <w:fldChar w:fldCharType="end"/>
      </w:r>
    </w:p>
    <w:p>
      <w:pPr>
        <w:pStyle w:val="TOC8"/>
        <w:rPr>
          <w:rFonts w:asciiTheme="minorHAnsi" w:eastAsiaTheme="minorEastAsia" w:hAnsiTheme="minorHAnsi" w:cstheme="minorBidi"/>
          <w:szCs w:val="22"/>
        </w:rPr>
      </w:pPr>
      <w:r>
        <w:t>189.</w:t>
      </w:r>
      <w:r>
        <w:tab/>
        <w:t>Access determination must give effect to applicable access arrangement</w:t>
      </w:r>
      <w:r>
        <w:tab/>
      </w:r>
      <w:r>
        <w:fldChar w:fldCharType="begin"/>
      </w:r>
      <w:r>
        <w:instrText xml:space="preserve"> PAGEREF _Toc221109939 \h </w:instrText>
      </w:r>
      <w:r>
        <w:fldChar w:fldCharType="separate"/>
      </w:r>
      <w:r>
        <w:t>149</w:t>
      </w:r>
      <w:r>
        <w:fldChar w:fldCharType="end"/>
      </w:r>
    </w:p>
    <w:p>
      <w:pPr>
        <w:pStyle w:val="TOC8"/>
        <w:rPr>
          <w:rFonts w:asciiTheme="minorHAnsi" w:eastAsiaTheme="minorEastAsia" w:hAnsiTheme="minorHAnsi" w:cstheme="minorBidi"/>
          <w:szCs w:val="22"/>
        </w:rPr>
      </w:pPr>
      <w:r>
        <w:t>190.</w:t>
      </w:r>
      <w:r>
        <w:tab/>
        <w:t>Access determinations and past contributions of capital to fund installations or the construction of new facilities</w:t>
      </w:r>
      <w:r>
        <w:tab/>
      </w:r>
      <w:r>
        <w:fldChar w:fldCharType="begin"/>
      </w:r>
      <w:r>
        <w:instrText xml:space="preserve"> PAGEREF _Toc221109940 \h </w:instrText>
      </w:r>
      <w:r>
        <w:fldChar w:fldCharType="separate"/>
      </w:r>
      <w:r>
        <w:t>149</w:t>
      </w:r>
      <w:r>
        <w:fldChar w:fldCharType="end"/>
      </w:r>
    </w:p>
    <w:p>
      <w:pPr>
        <w:pStyle w:val="TOC8"/>
        <w:rPr>
          <w:rFonts w:asciiTheme="minorHAnsi" w:eastAsiaTheme="minorEastAsia" w:hAnsiTheme="minorHAnsi" w:cstheme="minorBidi"/>
          <w:szCs w:val="22"/>
        </w:rPr>
      </w:pPr>
      <w:r>
        <w:t>191.</w:t>
      </w:r>
      <w:r>
        <w:tab/>
        <w:t>Rules may allow determination that varies applicable access arrangement for installation of a new facility</w:t>
      </w:r>
      <w:r>
        <w:tab/>
      </w:r>
      <w:r>
        <w:fldChar w:fldCharType="begin"/>
      </w:r>
      <w:r>
        <w:instrText xml:space="preserve"> PAGEREF _Toc221109941 \h </w:instrText>
      </w:r>
      <w:r>
        <w:fldChar w:fldCharType="separate"/>
      </w:r>
      <w:r>
        <w:t>150</w:t>
      </w:r>
      <w:r>
        <w:fldChar w:fldCharType="end"/>
      </w:r>
    </w:p>
    <w:p>
      <w:pPr>
        <w:pStyle w:val="TOC8"/>
        <w:rPr>
          <w:rFonts w:asciiTheme="minorHAnsi" w:eastAsiaTheme="minorEastAsia" w:hAnsiTheme="minorHAnsi" w:cstheme="minorBidi"/>
          <w:szCs w:val="22"/>
        </w:rPr>
      </w:pPr>
      <w:r>
        <w:t>192.</w:t>
      </w:r>
      <w:r>
        <w:tab/>
        <w:t>Access determinations need not require the provision of a pipeline service</w:t>
      </w:r>
      <w:r>
        <w:tab/>
      </w:r>
      <w:r>
        <w:fldChar w:fldCharType="begin"/>
      </w:r>
      <w:r>
        <w:instrText xml:space="preserve"> PAGEREF _Toc221109942 \h </w:instrText>
      </w:r>
      <w:r>
        <w:fldChar w:fldCharType="separate"/>
      </w:r>
      <w:r>
        <w:t>151</w:t>
      </w:r>
      <w:r>
        <w:fldChar w:fldCharType="end"/>
      </w:r>
    </w:p>
    <w:p>
      <w:pPr>
        <w:pStyle w:val="TOC8"/>
        <w:rPr>
          <w:rFonts w:asciiTheme="minorHAnsi" w:eastAsiaTheme="minorEastAsia" w:hAnsiTheme="minorHAnsi" w:cstheme="minorBidi"/>
          <w:szCs w:val="22"/>
        </w:rPr>
      </w:pPr>
      <w:r>
        <w:t>193.</w:t>
      </w:r>
      <w:r>
        <w:tab/>
        <w:t>Content of access determinations</w:t>
      </w:r>
      <w:r>
        <w:tab/>
      </w:r>
      <w:r>
        <w:fldChar w:fldCharType="begin"/>
      </w:r>
      <w:r>
        <w:instrText xml:space="preserve"> PAGEREF _Toc221109943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t>Part 4 — Variation of access determinations</w:t>
      </w:r>
    </w:p>
    <w:p>
      <w:pPr>
        <w:pStyle w:val="TOC8"/>
        <w:rPr>
          <w:rFonts w:asciiTheme="minorHAnsi" w:eastAsiaTheme="minorEastAsia" w:hAnsiTheme="minorHAnsi" w:cstheme="minorBidi"/>
          <w:szCs w:val="22"/>
        </w:rPr>
      </w:pPr>
      <w:r>
        <w:t>194.</w:t>
      </w:r>
      <w:r>
        <w:tab/>
        <w:t>Variation of access determination</w:t>
      </w:r>
      <w:r>
        <w:tab/>
      </w:r>
      <w:r>
        <w:fldChar w:fldCharType="begin"/>
      </w:r>
      <w:r>
        <w:instrText xml:space="preserve"> PAGEREF _Toc221109945 \h </w:instrText>
      </w:r>
      <w:r>
        <w:fldChar w:fldCharType="separate"/>
      </w:r>
      <w:r>
        <w:t>151</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5 — Compliance with access determinations</w:t>
      </w:r>
    </w:p>
    <w:p>
      <w:pPr>
        <w:pStyle w:val="TOC8"/>
        <w:rPr>
          <w:rFonts w:asciiTheme="minorHAnsi" w:eastAsiaTheme="minorEastAsia" w:hAnsiTheme="minorHAnsi" w:cstheme="minorBidi"/>
          <w:szCs w:val="22"/>
        </w:rPr>
      </w:pPr>
      <w:r>
        <w:t>195.</w:t>
      </w:r>
      <w:r>
        <w:tab/>
        <w:t>Compliance with access determination</w:t>
      </w:r>
      <w:r>
        <w:tab/>
      </w:r>
      <w:r>
        <w:fldChar w:fldCharType="begin"/>
      </w:r>
      <w:r>
        <w:instrText xml:space="preserve"> PAGEREF _Toc221109947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Part 6 — Access dispute hearing procedure</w:t>
      </w:r>
    </w:p>
    <w:p>
      <w:pPr>
        <w:pStyle w:val="TOC8"/>
        <w:rPr>
          <w:rFonts w:asciiTheme="minorHAnsi" w:eastAsiaTheme="minorEastAsia" w:hAnsiTheme="minorHAnsi" w:cstheme="minorBidi"/>
          <w:szCs w:val="22"/>
        </w:rPr>
      </w:pPr>
      <w:r>
        <w:t>196.</w:t>
      </w:r>
      <w:r>
        <w:tab/>
        <w:t>Hearing to be in private</w:t>
      </w:r>
      <w:r>
        <w:tab/>
      </w:r>
      <w:r>
        <w:fldChar w:fldCharType="begin"/>
      </w:r>
      <w:r>
        <w:instrText xml:space="preserve"> PAGEREF _Toc221109949 \h </w:instrText>
      </w:r>
      <w:r>
        <w:fldChar w:fldCharType="separate"/>
      </w:r>
      <w:r>
        <w:t>152</w:t>
      </w:r>
      <w:r>
        <w:fldChar w:fldCharType="end"/>
      </w:r>
    </w:p>
    <w:p>
      <w:pPr>
        <w:pStyle w:val="TOC8"/>
        <w:rPr>
          <w:rFonts w:asciiTheme="minorHAnsi" w:eastAsiaTheme="minorEastAsia" w:hAnsiTheme="minorHAnsi" w:cstheme="minorBidi"/>
          <w:szCs w:val="22"/>
        </w:rPr>
      </w:pPr>
      <w:r>
        <w:t>197.</w:t>
      </w:r>
      <w:r>
        <w:tab/>
        <w:t>Right to representation</w:t>
      </w:r>
      <w:r>
        <w:tab/>
      </w:r>
      <w:r>
        <w:fldChar w:fldCharType="begin"/>
      </w:r>
      <w:r>
        <w:instrText xml:space="preserve"> PAGEREF _Toc221109950 \h </w:instrText>
      </w:r>
      <w:r>
        <w:fldChar w:fldCharType="separate"/>
      </w:r>
      <w:r>
        <w:t>152</w:t>
      </w:r>
      <w:r>
        <w:fldChar w:fldCharType="end"/>
      </w:r>
    </w:p>
    <w:p>
      <w:pPr>
        <w:pStyle w:val="TOC8"/>
        <w:rPr>
          <w:rFonts w:asciiTheme="minorHAnsi" w:eastAsiaTheme="minorEastAsia" w:hAnsiTheme="minorHAnsi" w:cstheme="minorBidi"/>
          <w:szCs w:val="22"/>
        </w:rPr>
      </w:pPr>
      <w:r>
        <w:t>198.</w:t>
      </w:r>
      <w:r>
        <w:tab/>
        <w:t>Procedure of dispute resolution body</w:t>
      </w:r>
      <w:r>
        <w:tab/>
      </w:r>
      <w:r>
        <w:fldChar w:fldCharType="begin"/>
      </w:r>
      <w:r>
        <w:instrText xml:space="preserve"> PAGEREF _Toc221109951 \h </w:instrText>
      </w:r>
      <w:r>
        <w:fldChar w:fldCharType="separate"/>
      </w:r>
      <w:r>
        <w:t>152</w:t>
      </w:r>
      <w:r>
        <w:fldChar w:fldCharType="end"/>
      </w:r>
    </w:p>
    <w:p>
      <w:pPr>
        <w:pStyle w:val="TOC8"/>
        <w:rPr>
          <w:rFonts w:asciiTheme="minorHAnsi" w:eastAsiaTheme="minorEastAsia" w:hAnsiTheme="minorHAnsi" w:cstheme="minorBidi"/>
          <w:szCs w:val="22"/>
        </w:rPr>
      </w:pPr>
      <w:r>
        <w:t>199.</w:t>
      </w:r>
      <w:r>
        <w:tab/>
        <w:t>Particular powers of dispute resolution body in a hearing</w:t>
      </w:r>
      <w:r>
        <w:tab/>
      </w:r>
      <w:r>
        <w:fldChar w:fldCharType="begin"/>
      </w:r>
      <w:r>
        <w:instrText xml:space="preserve"> PAGEREF _Toc221109952 \h </w:instrText>
      </w:r>
      <w:r>
        <w:fldChar w:fldCharType="separate"/>
      </w:r>
      <w:r>
        <w:t>153</w:t>
      </w:r>
      <w:r>
        <w:fldChar w:fldCharType="end"/>
      </w:r>
    </w:p>
    <w:p>
      <w:pPr>
        <w:pStyle w:val="TOC8"/>
        <w:rPr>
          <w:rFonts w:asciiTheme="minorHAnsi" w:eastAsiaTheme="minorEastAsia" w:hAnsiTheme="minorHAnsi" w:cstheme="minorBidi"/>
          <w:szCs w:val="22"/>
        </w:rPr>
      </w:pPr>
      <w:r>
        <w:t>200.</w:t>
      </w:r>
      <w:r>
        <w:tab/>
        <w:t>Disclosure of information</w:t>
      </w:r>
      <w:r>
        <w:tab/>
      </w:r>
      <w:r>
        <w:fldChar w:fldCharType="begin"/>
      </w:r>
      <w:r>
        <w:instrText xml:space="preserve"> PAGEREF _Toc221109953 \h </w:instrText>
      </w:r>
      <w:r>
        <w:fldChar w:fldCharType="separate"/>
      </w:r>
      <w:r>
        <w:t>154</w:t>
      </w:r>
      <w:r>
        <w:fldChar w:fldCharType="end"/>
      </w:r>
    </w:p>
    <w:p>
      <w:pPr>
        <w:pStyle w:val="TOC8"/>
        <w:rPr>
          <w:rFonts w:asciiTheme="minorHAnsi" w:eastAsiaTheme="minorEastAsia" w:hAnsiTheme="minorHAnsi" w:cstheme="minorBidi"/>
          <w:szCs w:val="22"/>
        </w:rPr>
      </w:pPr>
      <w:r>
        <w:t>201.</w:t>
      </w:r>
      <w:r>
        <w:tab/>
        <w:t>Power to take evidence on oath or affirmation</w:t>
      </w:r>
      <w:r>
        <w:tab/>
      </w:r>
      <w:r>
        <w:fldChar w:fldCharType="begin"/>
      </w:r>
      <w:r>
        <w:instrText xml:space="preserve"> PAGEREF _Toc221109954 \h </w:instrText>
      </w:r>
      <w:r>
        <w:fldChar w:fldCharType="separate"/>
      </w:r>
      <w:r>
        <w:t>154</w:t>
      </w:r>
      <w:r>
        <w:fldChar w:fldCharType="end"/>
      </w:r>
    </w:p>
    <w:p>
      <w:pPr>
        <w:pStyle w:val="TOC8"/>
        <w:rPr>
          <w:rFonts w:asciiTheme="minorHAnsi" w:eastAsiaTheme="minorEastAsia" w:hAnsiTheme="minorHAnsi" w:cstheme="minorBidi"/>
          <w:szCs w:val="22"/>
        </w:rPr>
      </w:pPr>
      <w:r>
        <w:t>202.</w:t>
      </w:r>
      <w:r>
        <w:tab/>
        <w:t>Failing to attend as a witness</w:t>
      </w:r>
      <w:r>
        <w:tab/>
      </w:r>
      <w:r>
        <w:fldChar w:fldCharType="begin"/>
      </w:r>
      <w:r>
        <w:instrText xml:space="preserve"> PAGEREF _Toc221109955 \h </w:instrText>
      </w:r>
      <w:r>
        <w:fldChar w:fldCharType="separate"/>
      </w:r>
      <w:r>
        <w:t>155</w:t>
      </w:r>
      <w:r>
        <w:fldChar w:fldCharType="end"/>
      </w:r>
    </w:p>
    <w:p>
      <w:pPr>
        <w:pStyle w:val="TOC8"/>
        <w:rPr>
          <w:rFonts w:asciiTheme="minorHAnsi" w:eastAsiaTheme="minorEastAsia" w:hAnsiTheme="minorHAnsi" w:cstheme="minorBidi"/>
          <w:szCs w:val="22"/>
        </w:rPr>
      </w:pPr>
      <w:r>
        <w:t>203.</w:t>
      </w:r>
      <w:r>
        <w:tab/>
        <w:t>Failing to answer questions etc</w:t>
      </w:r>
      <w:r>
        <w:tab/>
      </w:r>
      <w:r>
        <w:fldChar w:fldCharType="begin"/>
      </w:r>
      <w:r>
        <w:instrText xml:space="preserve"> PAGEREF _Toc221109956 \h </w:instrText>
      </w:r>
      <w:r>
        <w:fldChar w:fldCharType="separate"/>
      </w:r>
      <w:r>
        <w:t>155</w:t>
      </w:r>
      <w:r>
        <w:fldChar w:fldCharType="end"/>
      </w:r>
    </w:p>
    <w:p>
      <w:pPr>
        <w:pStyle w:val="TOC8"/>
        <w:rPr>
          <w:rFonts w:asciiTheme="minorHAnsi" w:eastAsiaTheme="minorEastAsia" w:hAnsiTheme="minorHAnsi" w:cstheme="minorBidi"/>
          <w:szCs w:val="22"/>
        </w:rPr>
      </w:pPr>
      <w:r>
        <w:t>204.</w:t>
      </w:r>
      <w:r>
        <w:tab/>
        <w:t>Intimidation etc</w:t>
      </w:r>
      <w:r>
        <w:tab/>
      </w:r>
      <w:r>
        <w:fldChar w:fldCharType="begin"/>
      </w:r>
      <w:r>
        <w:instrText xml:space="preserve"> PAGEREF _Toc221109957 \h </w:instrText>
      </w:r>
      <w:r>
        <w:fldChar w:fldCharType="separate"/>
      </w:r>
      <w:r>
        <w:t>156</w:t>
      </w:r>
      <w:r>
        <w:fldChar w:fldCharType="end"/>
      </w:r>
    </w:p>
    <w:p>
      <w:pPr>
        <w:pStyle w:val="TOC8"/>
        <w:rPr>
          <w:rFonts w:asciiTheme="minorHAnsi" w:eastAsiaTheme="minorEastAsia" w:hAnsiTheme="minorHAnsi" w:cstheme="minorBidi"/>
          <w:szCs w:val="22"/>
        </w:rPr>
      </w:pPr>
      <w:r>
        <w:t>205.</w:t>
      </w:r>
      <w:r>
        <w:tab/>
        <w:t>Party may request dispute resolution body to treat material as confidential</w:t>
      </w:r>
      <w:r>
        <w:tab/>
      </w:r>
      <w:r>
        <w:fldChar w:fldCharType="begin"/>
      </w:r>
      <w:r>
        <w:instrText xml:space="preserve"> PAGEREF _Toc221109958 \h </w:instrText>
      </w:r>
      <w:r>
        <w:fldChar w:fldCharType="separate"/>
      </w:r>
      <w:r>
        <w:t>156</w:t>
      </w:r>
      <w:r>
        <w:fldChar w:fldCharType="end"/>
      </w:r>
    </w:p>
    <w:p>
      <w:pPr>
        <w:pStyle w:val="TOC8"/>
        <w:rPr>
          <w:rFonts w:asciiTheme="minorHAnsi" w:eastAsiaTheme="minorEastAsia" w:hAnsiTheme="minorHAnsi" w:cstheme="minorBidi"/>
          <w:szCs w:val="22"/>
        </w:rPr>
      </w:pPr>
      <w:r>
        <w:t>206.</w:t>
      </w:r>
      <w:r>
        <w:tab/>
        <w:t>Costs</w:t>
      </w:r>
      <w:r>
        <w:tab/>
      </w:r>
      <w:r>
        <w:fldChar w:fldCharType="begin"/>
      </w:r>
      <w:r>
        <w:instrText xml:space="preserve"> PAGEREF _Toc221109959 \h </w:instrText>
      </w:r>
      <w:r>
        <w:fldChar w:fldCharType="separate"/>
      </w:r>
      <w:r>
        <w:t>157</w:t>
      </w:r>
      <w:r>
        <w:fldChar w:fldCharType="end"/>
      </w:r>
    </w:p>
    <w:p>
      <w:pPr>
        <w:pStyle w:val="TOC8"/>
        <w:rPr>
          <w:rFonts w:asciiTheme="minorHAnsi" w:eastAsiaTheme="minorEastAsia" w:hAnsiTheme="minorHAnsi" w:cstheme="minorBidi"/>
          <w:szCs w:val="22"/>
        </w:rPr>
      </w:pPr>
      <w:r>
        <w:t>207.</w:t>
      </w:r>
      <w:r>
        <w:tab/>
        <w:t>Outstanding costs are a debt due to party awarded the costs</w:t>
      </w:r>
      <w:r>
        <w:tab/>
      </w:r>
      <w:r>
        <w:fldChar w:fldCharType="begin"/>
      </w:r>
      <w:r>
        <w:instrText xml:space="preserve"> PAGEREF _Toc221109960 \h </w:instrText>
      </w:r>
      <w:r>
        <w:fldChar w:fldCharType="separate"/>
      </w:r>
      <w:r>
        <w:t>159</w:t>
      </w:r>
      <w:r>
        <w:fldChar w:fldCharType="end"/>
      </w:r>
    </w:p>
    <w:p>
      <w:pPr>
        <w:pStyle w:val="TOC4"/>
        <w:tabs>
          <w:tab w:val="right" w:leader="dot" w:pos="7077"/>
        </w:tabs>
        <w:rPr>
          <w:rFonts w:asciiTheme="minorHAnsi" w:eastAsiaTheme="minorEastAsia" w:hAnsiTheme="minorHAnsi" w:cstheme="minorBidi"/>
          <w:b w:val="0"/>
          <w:szCs w:val="22"/>
        </w:rPr>
      </w:pPr>
      <w:r>
        <w:t>Part 7 — Joint access dispute hearings</w:t>
      </w:r>
    </w:p>
    <w:p>
      <w:pPr>
        <w:pStyle w:val="TOC8"/>
        <w:rPr>
          <w:rFonts w:asciiTheme="minorHAnsi" w:eastAsiaTheme="minorEastAsia" w:hAnsiTheme="minorHAnsi" w:cstheme="minorBidi"/>
          <w:szCs w:val="22"/>
        </w:rPr>
      </w:pPr>
      <w:r>
        <w:t>208.</w:t>
      </w:r>
      <w:r>
        <w:tab/>
        <w:t>Definition</w:t>
      </w:r>
      <w:r>
        <w:tab/>
      </w:r>
      <w:r>
        <w:fldChar w:fldCharType="begin"/>
      </w:r>
      <w:r>
        <w:instrText xml:space="preserve"> PAGEREF _Toc221109962 \h </w:instrText>
      </w:r>
      <w:r>
        <w:fldChar w:fldCharType="separate"/>
      </w:r>
      <w:r>
        <w:t>159</w:t>
      </w:r>
      <w:r>
        <w:fldChar w:fldCharType="end"/>
      </w:r>
    </w:p>
    <w:p>
      <w:pPr>
        <w:pStyle w:val="TOC8"/>
        <w:rPr>
          <w:rFonts w:asciiTheme="minorHAnsi" w:eastAsiaTheme="minorEastAsia" w:hAnsiTheme="minorHAnsi" w:cstheme="minorBidi"/>
          <w:szCs w:val="22"/>
        </w:rPr>
      </w:pPr>
      <w:r>
        <w:t>209.</w:t>
      </w:r>
      <w:r>
        <w:tab/>
        <w:t>Joint dispute hearing</w:t>
      </w:r>
      <w:r>
        <w:tab/>
      </w:r>
      <w:r>
        <w:fldChar w:fldCharType="begin"/>
      </w:r>
      <w:r>
        <w:instrText xml:space="preserve"> PAGEREF _Toc221109963 \h </w:instrText>
      </w:r>
      <w:r>
        <w:fldChar w:fldCharType="separate"/>
      </w:r>
      <w:r>
        <w:t>159</w:t>
      </w:r>
      <w:r>
        <w:fldChar w:fldCharType="end"/>
      </w:r>
    </w:p>
    <w:p>
      <w:pPr>
        <w:pStyle w:val="TOC8"/>
        <w:rPr>
          <w:rFonts w:asciiTheme="minorHAnsi" w:eastAsiaTheme="minorEastAsia" w:hAnsiTheme="minorHAnsi" w:cstheme="minorBidi"/>
          <w:szCs w:val="22"/>
        </w:rPr>
      </w:pPr>
      <w:r>
        <w:t>210.</w:t>
      </w:r>
      <w:r>
        <w:tab/>
        <w:t>Consulting the parties</w:t>
      </w:r>
      <w:r>
        <w:tab/>
      </w:r>
      <w:r>
        <w:fldChar w:fldCharType="begin"/>
      </w:r>
      <w:r>
        <w:instrText xml:space="preserve"> PAGEREF _Toc221109964 \h </w:instrText>
      </w:r>
      <w:r>
        <w:fldChar w:fldCharType="separate"/>
      </w:r>
      <w:r>
        <w:t>160</w:t>
      </w:r>
      <w:r>
        <w:fldChar w:fldCharType="end"/>
      </w:r>
    </w:p>
    <w:p>
      <w:pPr>
        <w:pStyle w:val="TOC8"/>
        <w:rPr>
          <w:rFonts w:asciiTheme="minorHAnsi" w:eastAsiaTheme="minorEastAsia" w:hAnsiTheme="minorHAnsi" w:cstheme="minorBidi"/>
          <w:szCs w:val="22"/>
        </w:rPr>
      </w:pPr>
      <w:r>
        <w:t>211.</w:t>
      </w:r>
      <w:r>
        <w:tab/>
        <w:t>Constitution and procedure of dispute resolution body for joint dispute hearings</w:t>
      </w:r>
      <w:r>
        <w:tab/>
      </w:r>
      <w:r>
        <w:fldChar w:fldCharType="begin"/>
      </w:r>
      <w:r>
        <w:instrText xml:space="preserve"> PAGEREF _Toc221109965 \h </w:instrText>
      </w:r>
      <w:r>
        <w:fldChar w:fldCharType="separate"/>
      </w:r>
      <w:r>
        <w:t>160</w:t>
      </w:r>
      <w:r>
        <w:fldChar w:fldCharType="end"/>
      </w:r>
    </w:p>
    <w:p>
      <w:pPr>
        <w:pStyle w:val="TOC8"/>
        <w:rPr>
          <w:rFonts w:asciiTheme="minorHAnsi" w:eastAsiaTheme="minorEastAsia" w:hAnsiTheme="minorHAnsi" w:cstheme="minorBidi"/>
          <w:szCs w:val="22"/>
        </w:rPr>
      </w:pPr>
      <w:r>
        <w:t>212.</w:t>
      </w:r>
      <w:r>
        <w:tab/>
        <w:t>Record of proceedings etc</w:t>
      </w:r>
      <w:r>
        <w:tab/>
      </w:r>
      <w:r>
        <w:fldChar w:fldCharType="begin"/>
      </w:r>
      <w:r>
        <w:instrText xml:space="preserve"> PAGEREF _Toc221109966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Part 8 — Miscellaneous matters</w:t>
      </w:r>
    </w:p>
    <w:p>
      <w:pPr>
        <w:pStyle w:val="TOC8"/>
        <w:rPr>
          <w:rFonts w:asciiTheme="minorHAnsi" w:eastAsiaTheme="minorEastAsia" w:hAnsiTheme="minorHAnsi" w:cstheme="minorBidi"/>
          <w:szCs w:val="22"/>
        </w:rPr>
      </w:pPr>
      <w:r>
        <w:t>213.</w:t>
      </w:r>
      <w:r>
        <w:tab/>
        <w:t>Correction of access determinations for clerical mistakes etc</w:t>
      </w:r>
      <w:r>
        <w:tab/>
      </w:r>
      <w:r>
        <w:fldChar w:fldCharType="begin"/>
      </w:r>
      <w:r>
        <w:instrText xml:space="preserve"> PAGEREF _Toc221109968 \h </w:instrText>
      </w:r>
      <w:r>
        <w:fldChar w:fldCharType="separate"/>
      </w:r>
      <w:r>
        <w:t>161</w:t>
      </w:r>
      <w:r>
        <w:fldChar w:fldCharType="end"/>
      </w:r>
    </w:p>
    <w:p>
      <w:pPr>
        <w:pStyle w:val="TOC8"/>
        <w:rPr>
          <w:rFonts w:asciiTheme="minorHAnsi" w:eastAsiaTheme="minorEastAsia" w:hAnsiTheme="minorHAnsi" w:cstheme="minorBidi"/>
          <w:szCs w:val="22"/>
        </w:rPr>
      </w:pPr>
      <w:r>
        <w:t>214.</w:t>
      </w:r>
      <w:r>
        <w:tab/>
        <w:t>Reservation of capacity during an access dispute</w:t>
      </w:r>
      <w:r>
        <w:tab/>
      </w:r>
      <w:r>
        <w:fldChar w:fldCharType="begin"/>
      </w:r>
      <w:r>
        <w:instrText xml:space="preserve"> PAGEREF _Toc221109969 \h </w:instrText>
      </w:r>
      <w:r>
        <w:fldChar w:fldCharType="separate"/>
      </w:r>
      <w:r>
        <w:t>161</w:t>
      </w:r>
      <w:r>
        <w:fldChar w:fldCharType="end"/>
      </w:r>
    </w:p>
    <w:p>
      <w:pPr>
        <w:pStyle w:val="TOC8"/>
        <w:rPr>
          <w:rFonts w:asciiTheme="minorHAnsi" w:eastAsiaTheme="minorEastAsia" w:hAnsiTheme="minorHAnsi" w:cstheme="minorBidi"/>
          <w:szCs w:val="22"/>
        </w:rPr>
      </w:pPr>
      <w:r>
        <w:t>215.</w:t>
      </w:r>
      <w:r>
        <w:tab/>
        <w:t>Subsequent service providers bound by access determinations</w:t>
      </w:r>
      <w:r>
        <w:tab/>
      </w:r>
      <w:r>
        <w:fldChar w:fldCharType="begin"/>
      </w:r>
      <w:r>
        <w:instrText xml:space="preserve"> PAGEREF _Toc221109970 \h </w:instrText>
      </w:r>
      <w:r>
        <w:fldChar w:fldCharType="separate"/>
      </w:r>
      <w:r>
        <w:t>162</w:t>
      </w:r>
      <w:r>
        <w:fldChar w:fldCharType="end"/>
      </w:r>
    </w:p>
    <w:p>
      <w:pPr>
        <w:pStyle w:val="TOC8"/>
        <w:rPr>
          <w:rFonts w:asciiTheme="minorHAnsi" w:eastAsiaTheme="minorEastAsia" w:hAnsiTheme="minorHAnsi" w:cstheme="minorBidi"/>
          <w:szCs w:val="22"/>
        </w:rPr>
      </w:pPr>
      <w:r>
        <w:t>216.</w:t>
      </w:r>
      <w:r>
        <w:tab/>
        <w:t>Regulations about the costs to be paid by parties to access dispute</w:t>
      </w:r>
      <w:r>
        <w:tab/>
      </w:r>
      <w:r>
        <w:fldChar w:fldCharType="begin"/>
      </w:r>
      <w:r>
        <w:instrText xml:space="preserve"> PAGEREF _Toc221109971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Chapter 6A—Access disputes—non-scheme pipelines</w:t>
      </w:r>
    </w:p>
    <w:p>
      <w:pPr>
        <w:pStyle w:val="TOC4"/>
        <w:tabs>
          <w:tab w:val="right" w:leader="dot" w:pos="7077"/>
        </w:tabs>
        <w:rPr>
          <w:rFonts w:asciiTheme="minorHAnsi" w:eastAsiaTheme="minorEastAsia" w:hAnsiTheme="minorHAnsi" w:cstheme="minorBidi"/>
          <w:b w:val="0"/>
          <w:szCs w:val="22"/>
        </w:rPr>
      </w:pPr>
      <w:r>
        <w:t>Part 1—Interpretation and application</w:t>
      </w:r>
    </w:p>
    <w:p>
      <w:pPr>
        <w:pStyle w:val="TOC8"/>
        <w:rPr>
          <w:rFonts w:asciiTheme="minorHAnsi" w:eastAsiaTheme="minorEastAsia" w:hAnsiTheme="minorHAnsi" w:cstheme="minorBidi"/>
          <w:szCs w:val="22"/>
        </w:rPr>
      </w:pPr>
      <w:r>
        <w:t>216A.</w:t>
      </w:r>
      <w:r>
        <w:tab/>
        <w:t>Definitions</w:t>
      </w:r>
      <w:r>
        <w:tab/>
      </w:r>
      <w:r>
        <w:fldChar w:fldCharType="begin"/>
      </w:r>
      <w:r>
        <w:instrText xml:space="preserve"> PAGEREF _Toc221109974 \h </w:instrText>
      </w:r>
      <w:r>
        <w:fldChar w:fldCharType="separate"/>
      </w:r>
      <w:r>
        <w:t>163</w:t>
      </w:r>
      <w:r>
        <w:fldChar w:fldCharType="end"/>
      </w:r>
    </w:p>
    <w:p>
      <w:pPr>
        <w:pStyle w:val="TOC8"/>
        <w:rPr>
          <w:rFonts w:asciiTheme="minorHAnsi" w:eastAsiaTheme="minorEastAsia" w:hAnsiTheme="minorHAnsi" w:cstheme="minorBidi"/>
          <w:szCs w:val="22"/>
        </w:rPr>
      </w:pPr>
      <w:r>
        <w:lastRenderedPageBreak/>
        <w:t>216B.</w:t>
      </w:r>
      <w:r>
        <w:tab/>
        <w:t>Meaning of prospective user</w:t>
      </w:r>
      <w:r>
        <w:tab/>
      </w:r>
      <w:r>
        <w:fldChar w:fldCharType="begin"/>
      </w:r>
      <w:r>
        <w:instrText xml:space="preserve"> PAGEREF _Toc221109975 \h </w:instrText>
      </w:r>
      <w:r>
        <w:fldChar w:fldCharType="separate"/>
      </w:r>
      <w:r>
        <w:t>164</w:t>
      </w:r>
      <w:r>
        <w:fldChar w:fldCharType="end"/>
      </w:r>
    </w:p>
    <w:p>
      <w:pPr>
        <w:pStyle w:val="TOC8"/>
        <w:rPr>
          <w:rFonts w:asciiTheme="minorHAnsi" w:eastAsiaTheme="minorEastAsia" w:hAnsiTheme="minorHAnsi" w:cstheme="minorBidi"/>
          <w:szCs w:val="22"/>
        </w:rPr>
      </w:pPr>
      <w:r>
        <w:t>216C.</w:t>
      </w:r>
      <w:r>
        <w:tab/>
        <w:t>Application of Chapter</w:t>
      </w:r>
      <w:r>
        <w:tab/>
      </w:r>
      <w:r>
        <w:fldChar w:fldCharType="begin"/>
      </w:r>
      <w:r>
        <w:instrText xml:space="preserve"> PAGEREF _Toc221109976 \h </w:instrText>
      </w:r>
      <w:r>
        <w:fldChar w:fldCharType="separate"/>
      </w:r>
      <w:r>
        <w:t>165</w:t>
      </w:r>
      <w:r>
        <w:fldChar w:fldCharType="end"/>
      </w:r>
    </w:p>
    <w:p>
      <w:pPr>
        <w:pStyle w:val="TOC8"/>
        <w:rPr>
          <w:rFonts w:asciiTheme="minorHAnsi" w:eastAsiaTheme="minorEastAsia" w:hAnsiTheme="minorHAnsi" w:cstheme="minorBidi"/>
          <w:szCs w:val="22"/>
        </w:rPr>
      </w:pPr>
      <w:r>
        <w:t>216D.</w:t>
      </w:r>
      <w:r>
        <w:tab/>
        <w:t>Application of this Chapter to disputes arising under Rules</w:t>
      </w:r>
      <w:r>
        <w:tab/>
      </w:r>
      <w:r>
        <w:fldChar w:fldCharType="begin"/>
      </w:r>
      <w:r>
        <w:instrText xml:space="preserve"> PAGEREF _Toc221109977 \h </w:instrText>
      </w:r>
      <w:r>
        <w:fldChar w:fldCharType="separate"/>
      </w:r>
      <w:r>
        <w:t>165</w:t>
      </w:r>
      <w:r>
        <w:fldChar w:fldCharType="end"/>
      </w:r>
    </w:p>
    <w:p>
      <w:pPr>
        <w:pStyle w:val="TOC8"/>
        <w:rPr>
          <w:rFonts w:asciiTheme="minorHAnsi" w:eastAsiaTheme="minorEastAsia" w:hAnsiTheme="minorHAnsi" w:cstheme="minorBidi"/>
          <w:szCs w:val="22"/>
        </w:rPr>
      </w:pPr>
      <w:r>
        <w:t>216E.</w:t>
      </w:r>
      <w:r>
        <w:tab/>
        <w:t>Chapter does not limit how disputes about access may be raised or dealt with</w:t>
      </w:r>
      <w:r>
        <w:tab/>
      </w:r>
      <w:r>
        <w:fldChar w:fldCharType="begin"/>
      </w:r>
      <w:r>
        <w:instrText xml:space="preserve"> PAGEREF _Toc221109978 \h </w:instrText>
      </w:r>
      <w:r>
        <w:fldChar w:fldCharType="separate"/>
      </w:r>
      <w:r>
        <w:t>166</w:t>
      </w:r>
      <w:r>
        <w:fldChar w:fldCharType="end"/>
      </w:r>
    </w:p>
    <w:p>
      <w:pPr>
        <w:pStyle w:val="TOC4"/>
        <w:tabs>
          <w:tab w:val="right" w:leader="dot" w:pos="7077"/>
        </w:tabs>
        <w:rPr>
          <w:rFonts w:asciiTheme="minorHAnsi" w:eastAsiaTheme="minorEastAsia" w:hAnsiTheme="minorHAnsi" w:cstheme="minorBidi"/>
          <w:b w:val="0"/>
          <w:szCs w:val="22"/>
        </w:rPr>
      </w:pPr>
      <w:r>
        <w:t>Part 2—Negotiation of access</w:t>
      </w:r>
    </w:p>
    <w:p>
      <w:pPr>
        <w:pStyle w:val="TOC8"/>
        <w:rPr>
          <w:rFonts w:asciiTheme="minorHAnsi" w:eastAsiaTheme="minorEastAsia" w:hAnsiTheme="minorHAnsi" w:cstheme="minorBidi"/>
          <w:szCs w:val="22"/>
        </w:rPr>
      </w:pPr>
      <w:r>
        <w:t>216F.</w:t>
      </w:r>
      <w:r>
        <w:tab/>
        <w:t>Access proposals</w:t>
      </w:r>
      <w:r>
        <w:tab/>
      </w:r>
      <w:r>
        <w:fldChar w:fldCharType="begin"/>
      </w:r>
      <w:r>
        <w:instrText xml:space="preserve"> PAGEREF _Toc221109980 \h </w:instrText>
      </w:r>
      <w:r>
        <w:fldChar w:fldCharType="separate"/>
      </w:r>
      <w:r>
        <w:t>166</w:t>
      </w:r>
      <w:r>
        <w:fldChar w:fldCharType="end"/>
      </w:r>
    </w:p>
    <w:p>
      <w:pPr>
        <w:pStyle w:val="TOC8"/>
        <w:rPr>
          <w:rFonts w:asciiTheme="minorHAnsi" w:eastAsiaTheme="minorEastAsia" w:hAnsiTheme="minorHAnsi" w:cstheme="minorBidi"/>
          <w:szCs w:val="22"/>
        </w:rPr>
      </w:pPr>
      <w:r>
        <w:t>216G.</w:t>
      </w:r>
      <w:r>
        <w:tab/>
        <w:t>Duty to negotiate in good faith</w:t>
      </w:r>
      <w:r>
        <w:tab/>
      </w:r>
      <w:r>
        <w:fldChar w:fldCharType="begin"/>
      </w:r>
      <w:r>
        <w:instrText xml:space="preserve"> PAGEREF _Toc221109981 \h </w:instrText>
      </w:r>
      <w:r>
        <w:fldChar w:fldCharType="separate"/>
      </w:r>
      <w:r>
        <w:t>166</w:t>
      </w:r>
      <w:r>
        <w:fldChar w:fldCharType="end"/>
      </w:r>
    </w:p>
    <w:p>
      <w:pPr>
        <w:pStyle w:val="TOC8"/>
        <w:rPr>
          <w:rFonts w:asciiTheme="minorHAnsi" w:eastAsiaTheme="minorEastAsia" w:hAnsiTheme="minorHAnsi" w:cstheme="minorBidi"/>
          <w:szCs w:val="22"/>
        </w:rPr>
      </w:pPr>
      <w:r>
        <w:t>216H.</w:t>
      </w:r>
      <w:r>
        <w:tab/>
        <w:t>Notification of access dispute</w:t>
      </w:r>
      <w:r>
        <w:tab/>
      </w:r>
      <w:r>
        <w:fldChar w:fldCharType="begin"/>
      </w:r>
      <w:r>
        <w:instrText xml:space="preserve"> PAGEREF _Toc221109982 \h </w:instrText>
      </w:r>
      <w:r>
        <w:fldChar w:fldCharType="separate"/>
      </w:r>
      <w:r>
        <w:t>167</w:t>
      </w:r>
      <w:r>
        <w:fldChar w:fldCharType="end"/>
      </w:r>
    </w:p>
    <w:p>
      <w:pPr>
        <w:pStyle w:val="TOC8"/>
        <w:rPr>
          <w:rFonts w:asciiTheme="minorHAnsi" w:eastAsiaTheme="minorEastAsia" w:hAnsiTheme="minorHAnsi" w:cstheme="minorBidi"/>
          <w:szCs w:val="22"/>
        </w:rPr>
      </w:pPr>
      <w:r>
        <w:t>216I.</w:t>
      </w:r>
      <w:r>
        <w:tab/>
        <w:t>Parties to an access dispute</w:t>
      </w:r>
      <w:r>
        <w:tab/>
      </w:r>
      <w:r>
        <w:fldChar w:fldCharType="begin"/>
      </w:r>
      <w:r>
        <w:instrText xml:space="preserve"> PAGEREF _Toc221109983 \h </w:instrText>
      </w:r>
      <w:r>
        <w:fldChar w:fldCharType="separate"/>
      </w:r>
      <w:r>
        <w:t>167</w:t>
      </w:r>
      <w:r>
        <w:fldChar w:fldCharType="end"/>
      </w:r>
    </w:p>
    <w:p>
      <w:pPr>
        <w:pStyle w:val="TOC4"/>
        <w:tabs>
          <w:tab w:val="right" w:leader="dot" w:pos="7077"/>
        </w:tabs>
        <w:rPr>
          <w:rFonts w:asciiTheme="minorHAnsi" w:eastAsiaTheme="minorEastAsia" w:hAnsiTheme="minorHAnsi" w:cstheme="minorBidi"/>
          <w:b w:val="0"/>
          <w:szCs w:val="22"/>
        </w:rPr>
      </w:pPr>
      <w:r>
        <w:t>Part 3—Reference of dispute to arbitration</w:t>
      </w:r>
    </w:p>
    <w:p>
      <w:pPr>
        <w:pStyle w:val="TOC8"/>
        <w:rPr>
          <w:rFonts w:asciiTheme="minorHAnsi" w:eastAsiaTheme="minorEastAsia" w:hAnsiTheme="minorHAnsi" w:cstheme="minorBidi"/>
          <w:szCs w:val="22"/>
        </w:rPr>
      </w:pPr>
      <w:r>
        <w:t>216J.</w:t>
      </w:r>
      <w:r>
        <w:tab/>
        <w:t>Reference of dispute</w:t>
      </w:r>
      <w:r>
        <w:tab/>
      </w:r>
      <w:r>
        <w:fldChar w:fldCharType="begin"/>
      </w:r>
      <w:r>
        <w:instrText xml:space="preserve"> PAGEREF _Toc221109985 \h </w:instrText>
      </w:r>
      <w:r>
        <w:fldChar w:fldCharType="separate"/>
      </w:r>
      <w:r>
        <w:t>168</w:t>
      </w:r>
      <w:r>
        <w:fldChar w:fldCharType="end"/>
      </w:r>
    </w:p>
    <w:p>
      <w:pPr>
        <w:pStyle w:val="TOC8"/>
        <w:rPr>
          <w:rFonts w:asciiTheme="minorHAnsi" w:eastAsiaTheme="minorEastAsia" w:hAnsiTheme="minorHAnsi" w:cstheme="minorBidi"/>
          <w:szCs w:val="22"/>
        </w:rPr>
      </w:pPr>
      <w:r>
        <w:t>216K.</w:t>
      </w:r>
      <w:r>
        <w:tab/>
        <w:t>Selection of arbitrator</w:t>
      </w:r>
      <w:r>
        <w:tab/>
      </w:r>
      <w:r>
        <w:fldChar w:fldCharType="begin"/>
      </w:r>
      <w:r>
        <w:instrText xml:space="preserve"> PAGEREF _Toc221109986 \h </w:instrText>
      </w:r>
      <w:r>
        <w:fldChar w:fldCharType="separate"/>
      </w:r>
      <w:r>
        <w:t>168</w:t>
      </w:r>
      <w:r>
        <w:fldChar w:fldCharType="end"/>
      </w:r>
    </w:p>
    <w:p>
      <w:pPr>
        <w:pStyle w:val="TOC8"/>
        <w:rPr>
          <w:rFonts w:asciiTheme="minorHAnsi" w:eastAsiaTheme="minorEastAsia" w:hAnsiTheme="minorHAnsi" w:cstheme="minorBidi"/>
          <w:szCs w:val="22"/>
        </w:rPr>
      </w:pPr>
      <w:r>
        <w:t>216L.</w:t>
      </w:r>
      <w:r>
        <w:tab/>
        <w:t>Determination of access dispute</w:t>
      </w:r>
      <w:r>
        <w:tab/>
      </w:r>
      <w:r>
        <w:fldChar w:fldCharType="begin"/>
      </w:r>
      <w:r>
        <w:instrText xml:space="preserve"> PAGEREF _Toc221109987 \h </w:instrText>
      </w:r>
      <w:r>
        <w:fldChar w:fldCharType="separate"/>
      </w:r>
      <w:r>
        <w:t>169</w:t>
      </w:r>
      <w:r>
        <w:fldChar w:fldCharType="end"/>
      </w:r>
    </w:p>
    <w:p>
      <w:pPr>
        <w:pStyle w:val="TOC8"/>
        <w:rPr>
          <w:rFonts w:asciiTheme="minorHAnsi" w:eastAsiaTheme="minorEastAsia" w:hAnsiTheme="minorHAnsi" w:cstheme="minorBidi"/>
          <w:szCs w:val="22"/>
        </w:rPr>
      </w:pPr>
      <w:r>
        <w:t>216M.</w:t>
      </w:r>
      <w:r>
        <w:tab/>
        <w:t>Principles to be taken into account</w:t>
      </w:r>
      <w:r>
        <w:tab/>
      </w:r>
      <w:r>
        <w:fldChar w:fldCharType="begin"/>
      </w:r>
      <w:r>
        <w:instrText xml:space="preserve"> PAGEREF _Toc221109988 \h </w:instrText>
      </w:r>
      <w:r>
        <w:fldChar w:fldCharType="separate"/>
      </w:r>
      <w:r>
        <w:t>170</w:t>
      </w:r>
      <w:r>
        <w:fldChar w:fldCharType="end"/>
      </w:r>
    </w:p>
    <w:p>
      <w:pPr>
        <w:pStyle w:val="TOC8"/>
        <w:rPr>
          <w:rFonts w:asciiTheme="minorHAnsi" w:eastAsiaTheme="minorEastAsia" w:hAnsiTheme="minorHAnsi" w:cstheme="minorBidi"/>
          <w:szCs w:val="22"/>
        </w:rPr>
      </w:pPr>
      <w:r>
        <w:t>216N.</w:t>
      </w:r>
      <w:r>
        <w:tab/>
        <w:t>Restrictions on access determinations</w:t>
      </w:r>
      <w:r>
        <w:tab/>
      </w:r>
      <w:r>
        <w:fldChar w:fldCharType="begin"/>
      </w:r>
      <w:r>
        <w:instrText xml:space="preserve"> PAGEREF _Toc221109989 \h </w:instrText>
      </w:r>
      <w:r>
        <w:fldChar w:fldCharType="separate"/>
      </w:r>
      <w:r>
        <w:t>170</w:t>
      </w:r>
      <w:r>
        <w:fldChar w:fldCharType="end"/>
      </w:r>
    </w:p>
    <w:p>
      <w:pPr>
        <w:pStyle w:val="TOC8"/>
        <w:rPr>
          <w:rFonts w:asciiTheme="minorHAnsi" w:eastAsiaTheme="minorEastAsia" w:hAnsiTheme="minorHAnsi" w:cstheme="minorBidi"/>
          <w:szCs w:val="22"/>
        </w:rPr>
      </w:pPr>
      <w:r>
        <w:t>216O.</w:t>
      </w:r>
      <w:r>
        <w:tab/>
        <w:t>Arbitrator's power to terminate arbitration</w:t>
      </w:r>
      <w:r>
        <w:tab/>
      </w:r>
      <w:r>
        <w:fldChar w:fldCharType="begin"/>
      </w:r>
      <w:r>
        <w:instrText xml:space="preserve"> PAGEREF _Toc221109990 \h </w:instrText>
      </w:r>
      <w:r>
        <w:fldChar w:fldCharType="separate"/>
      </w:r>
      <w:r>
        <w:t>171</w:t>
      </w:r>
      <w:r>
        <w:fldChar w:fldCharType="end"/>
      </w:r>
    </w:p>
    <w:p>
      <w:pPr>
        <w:pStyle w:val="TOC8"/>
        <w:rPr>
          <w:rFonts w:asciiTheme="minorHAnsi" w:eastAsiaTheme="minorEastAsia" w:hAnsiTheme="minorHAnsi" w:cstheme="minorBidi"/>
          <w:szCs w:val="22"/>
        </w:rPr>
      </w:pPr>
      <w:r>
        <w:t>216P.</w:t>
      </w:r>
      <w:r>
        <w:tab/>
        <w:t>Access seeker's right to terminate arbitration</w:t>
      </w:r>
      <w:r>
        <w:tab/>
      </w:r>
      <w:r>
        <w:fldChar w:fldCharType="begin"/>
      </w:r>
      <w:r>
        <w:instrText xml:space="preserve"> PAGEREF _Toc221109991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Part 4—Compliance with access determinations</w:t>
      </w:r>
    </w:p>
    <w:p>
      <w:pPr>
        <w:pStyle w:val="TOC8"/>
        <w:rPr>
          <w:rFonts w:asciiTheme="minorHAnsi" w:eastAsiaTheme="minorEastAsia" w:hAnsiTheme="minorHAnsi" w:cstheme="minorBidi"/>
          <w:szCs w:val="22"/>
        </w:rPr>
      </w:pPr>
      <w:r>
        <w:t>216Q.</w:t>
      </w:r>
      <w:r>
        <w:tab/>
        <w:t>Compliance with access determinations</w:t>
      </w:r>
      <w:r>
        <w:tab/>
      </w:r>
      <w:r>
        <w:fldChar w:fldCharType="begin"/>
      </w:r>
      <w:r>
        <w:instrText xml:space="preserve"> PAGEREF _Toc221109993 \h </w:instrText>
      </w:r>
      <w:r>
        <w:fldChar w:fldCharType="separate"/>
      </w:r>
      <w:r>
        <w:t>172</w:t>
      </w:r>
      <w:r>
        <w:fldChar w:fldCharType="end"/>
      </w:r>
    </w:p>
    <w:p>
      <w:pPr>
        <w:pStyle w:val="TOC4"/>
        <w:tabs>
          <w:tab w:val="right" w:leader="dot" w:pos="7077"/>
        </w:tabs>
        <w:rPr>
          <w:rFonts w:asciiTheme="minorHAnsi" w:eastAsiaTheme="minorEastAsia" w:hAnsiTheme="minorHAnsi" w:cstheme="minorBidi"/>
          <w:b w:val="0"/>
          <w:szCs w:val="22"/>
        </w:rPr>
      </w:pPr>
      <w:r>
        <w:t>Part 5—Variation of access determinations</w:t>
      </w:r>
    </w:p>
    <w:p>
      <w:pPr>
        <w:pStyle w:val="TOC8"/>
        <w:rPr>
          <w:rFonts w:asciiTheme="minorHAnsi" w:eastAsiaTheme="minorEastAsia" w:hAnsiTheme="minorHAnsi" w:cstheme="minorBidi"/>
          <w:szCs w:val="22"/>
        </w:rPr>
      </w:pPr>
      <w:r>
        <w:t>216R.</w:t>
      </w:r>
      <w:r>
        <w:tab/>
        <w:t>Variation of access determinations</w:t>
      </w:r>
      <w:r>
        <w:tab/>
      </w:r>
      <w:r>
        <w:fldChar w:fldCharType="begin"/>
      </w:r>
      <w:r>
        <w:instrText xml:space="preserve"> PAGEREF _Toc221109995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Part 6—Hearing procedures</w:t>
      </w:r>
    </w:p>
    <w:p>
      <w:pPr>
        <w:pStyle w:val="TOC8"/>
        <w:rPr>
          <w:rFonts w:asciiTheme="minorHAnsi" w:eastAsiaTheme="minorEastAsia" w:hAnsiTheme="minorHAnsi" w:cstheme="minorBidi"/>
          <w:szCs w:val="22"/>
        </w:rPr>
      </w:pPr>
      <w:r>
        <w:t>216S.</w:t>
      </w:r>
      <w:r>
        <w:tab/>
        <w:t>Hearing procedures</w:t>
      </w:r>
      <w:r>
        <w:tab/>
      </w:r>
      <w:r>
        <w:fldChar w:fldCharType="begin"/>
      </w:r>
      <w:r>
        <w:instrText xml:space="preserve"> PAGEREF _Toc221109997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Part 7—Miscellaneous matters</w:t>
      </w:r>
    </w:p>
    <w:p>
      <w:pPr>
        <w:pStyle w:val="TOC8"/>
        <w:rPr>
          <w:rFonts w:asciiTheme="minorHAnsi" w:eastAsiaTheme="minorEastAsia" w:hAnsiTheme="minorHAnsi" w:cstheme="minorBidi"/>
          <w:szCs w:val="22"/>
        </w:rPr>
      </w:pPr>
      <w:r>
        <w:t>216T.</w:t>
      </w:r>
      <w:r>
        <w:tab/>
        <w:t>Correction of access determinations for clerical mistakes etc</w:t>
      </w:r>
      <w:r>
        <w:tab/>
      </w:r>
      <w:r>
        <w:fldChar w:fldCharType="begin"/>
      </w:r>
      <w:r>
        <w:instrText xml:space="preserve"> PAGEREF _Toc221109999 \h </w:instrText>
      </w:r>
      <w:r>
        <w:fldChar w:fldCharType="separate"/>
      </w:r>
      <w:r>
        <w:t>174</w:t>
      </w:r>
      <w:r>
        <w:fldChar w:fldCharType="end"/>
      </w:r>
    </w:p>
    <w:p>
      <w:pPr>
        <w:pStyle w:val="TOC8"/>
        <w:rPr>
          <w:rFonts w:asciiTheme="minorHAnsi" w:eastAsiaTheme="minorEastAsia" w:hAnsiTheme="minorHAnsi" w:cstheme="minorBidi"/>
          <w:szCs w:val="22"/>
        </w:rPr>
      </w:pPr>
      <w:r>
        <w:t>216U.</w:t>
      </w:r>
      <w:r>
        <w:tab/>
        <w:t>Reservation of capacity during an access dispute</w:t>
      </w:r>
      <w:r>
        <w:tab/>
      </w:r>
      <w:r>
        <w:fldChar w:fldCharType="begin"/>
      </w:r>
      <w:r>
        <w:instrText xml:space="preserve"> PAGEREF _Toc221110000 \h </w:instrText>
      </w:r>
      <w:r>
        <w:fldChar w:fldCharType="separate"/>
      </w:r>
      <w:r>
        <w:t>175</w:t>
      </w:r>
      <w:r>
        <w:fldChar w:fldCharType="end"/>
      </w:r>
    </w:p>
    <w:p>
      <w:pPr>
        <w:pStyle w:val="TOC8"/>
        <w:rPr>
          <w:rFonts w:asciiTheme="minorHAnsi" w:eastAsiaTheme="minorEastAsia" w:hAnsiTheme="minorHAnsi" w:cstheme="minorBidi"/>
          <w:szCs w:val="22"/>
        </w:rPr>
      </w:pPr>
      <w:r>
        <w:t>216V.</w:t>
      </w:r>
      <w:r>
        <w:tab/>
        <w:t>Costs of arbitration</w:t>
      </w:r>
      <w:r>
        <w:tab/>
      </w:r>
      <w:r>
        <w:fldChar w:fldCharType="begin"/>
      </w:r>
      <w:r>
        <w:instrText xml:space="preserve"> PAGEREF _Toc221110001 \h </w:instrText>
      </w:r>
      <w:r>
        <w:fldChar w:fldCharType="separate"/>
      </w:r>
      <w:r>
        <w:t>175</w:t>
      </w:r>
      <w:r>
        <w:fldChar w:fldCharType="end"/>
      </w:r>
    </w:p>
    <w:p>
      <w:pPr>
        <w:pStyle w:val="TOC2"/>
        <w:tabs>
          <w:tab w:val="right" w:leader="dot" w:pos="7077"/>
        </w:tabs>
        <w:rPr>
          <w:rFonts w:asciiTheme="minorHAnsi" w:eastAsiaTheme="minorEastAsia" w:hAnsiTheme="minorHAnsi" w:cstheme="minorBidi"/>
          <w:b w:val="0"/>
          <w:sz w:val="22"/>
          <w:szCs w:val="22"/>
        </w:rPr>
      </w:pPr>
      <w:r>
        <w:t>Chapter 7 — The Natural Gas Services Bulletin Board</w:t>
      </w:r>
    </w:p>
    <w:p>
      <w:pPr>
        <w:pStyle w:val="TOC4"/>
        <w:tabs>
          <w:tab w:val="right" w:leader="dot" w:pos="7077"/>
        </w:tabs>
        <w:rPr>
          <w:rFonts w:asciiTheme="minorHAnsi" w:eastAsiaTheme="minorEastAsia" w:hAnsiTheme="minorHAnsi" w:cstheme="minorBidi"/>
          <w:b w:val="0"/>
          <w:szCs w:val="22"/>
        </w:rPr>
      </w:pPr>
      <w:r>
        <w:t>Part 1 — The Bulletin Board Operator</w:t>
      </w:r>
    </w:p>
    <w:p>
      <w:pPr>
        <w:pStyle w:val="TOC8"/>
        <w:rPr>
          <w:rFonts w:asciiTheme="minorHAnsi" w:eastAsiaTheme="minorEastAsia" w:hAnsiTheme="minorHAnsi" w:cstheme="minorBidi"/>
          <w:szCs w:val="22"/>
        </w:rPr>
      </w:pPr>
      <w:r>
        <w:t>217.</w:t>
      </w:r>
      <w:r>
        <w:tab/>
        <w:t>The Bulletin Board operator</w:t>
      </w:r>
      <w:r>
        <w:tab/>
      </w:r>
      <w:r>
        <w:fldChar w:fldCharType="begin"/>
      </w:r>
      <w:r>
        <w:instrText xml:space="preserve"> PAGEREF _Toc221110004 \h </w:instrText>
      </w:r>
      <w:r>
        <w:fldChar w:fldCharType="separate"/>
      </w:r>
      <w:r>
        <w:t>176</w:t>
      </w:r>
      <w:r>
        <w:fldChar w:fldCharType="end"/>
      </w:r>
    </w:p>
    <w:p>
      <w:pPr>
        <w:pStyle w:val="TOC8"/>
        <w:rPr>
          <w:rFonts w:asciiTheme="minorHAnsi" w:eastAsiaTheme="minorEastAsia" w:hAnsiTheme="minorHAnsi" w:cstheme="minorBidi"/>
          <w:szCs w:val="22"/>
        </w:rPr>
      </w:pPr>
      <w:r>
        <w:t>218.</w:t>
      </w:r>
      <w:r>
        <w:tab/>
        <w:t>Obligation to establish and maintain the Natural Gas Services Bulletin Board</w:t>
      </w:r>
      <w:r>
        <w:tab/>
      </w:r>
      <w:r>
        <w:fldChar w:fldCharType="begin"/>
      </w:r>
      <w:r>
        <w:instrText xml:space="preserve"> PAGEREF _Toc221110005 \h </w:instrText>
      </w:r>
      <w:r>
        <w:fldChar w:fldCharType="separate"/>
      </w:r>
      <w:r>
        <w:t>176</w:t>
      </w:r>
      <w:r>
        <w:fldChar w:fldCharType="end"/>
      </w:r>
    </w:p>
    <w:p>
      <w:pPr>
        <w:pStyle w:val="TOC8"/>
        <w:rPr>
          <w:rFonts w:asciiTheme="minorHAnsi" w:eastAsiaTheme="minorEastAsia" w:hAnsiTheme="minorHAnsi" w:cstheme="minorBidi"/>
          <w:szCs w:val="22"/>
        </w:rPr>
      </w:pPr>
      <w:r>
        <w:t>219.</w:t>
      </w:r>
      <w:r>
        <w:tab/>
        <w:t>Other functions of the Bulletin Board operator</w:t>
      </w:r>
      <w:r>
        <w:tab/>
      </w:r>
      <w:r>
        <w:fldChar w:fldCharType="begin"/>
      </w:r>
      <w:r>
        <w:instrText xml:space="preserve"> PAGEREF _Toc221110006 \h </w:instrText>
      </w:r>
      <w:r>
        <w:fldChar w:fldCharType="separate"/>
      </w:r>
      <w:r>
        <w:t>176</w:t>
      </w:r>
      <w:r>
        <w:fldChar w:fldCharType="end"/>
      </w:r>
    </w:p>
    <w:p>
      <w:pPr>
        <w:pStyle w:val="TOC8"/>
        <w:rPr>
          <w:rFonts w:asciiTheme="minorHAnsi" w:eastAsiaTheme="minorEastAsia" w:hAnsiTheme="minorHAnsi" w:cstheme="minorBidi"/>
          <w:szCs w:val="22"/>
        </w:rPr>
      </w:pPr>
      <w:r>
        <w:lastRenderedPageBreak/>
        <w:t>220.</w:t>
      </w:r>
      <w:r>
        <w:tab/>
        <w:t>Powers of the Bulletin Board operator</w:t>
      </w:r>
      <w:r>
        <w:tab/>
      </w:r>
      <w:r>
        <w:fldChar w:fldCharType="begin"/>
      </w:r>
      <w:r>
        <w:instrText xml:space="preserve"> PAGEREF _Toc221110007 \h </w:instrText>
      </w:r>
      <w:r>
        <w:fldChar w:fldCharType="separate"/>
      </w:r>
      <w:r>
        <w:t>177</w:t>
      </w:r>
      <w:r>
        <w:fldChar w:fldCharType="end"/>
      </w:r>
    </w:p>
    <w:p>
      <w:pPr>
        <w:pStyle w:val="TOC8"/>
        <w:rPr>
          <w:rFonts w:asciiTheme="minorHAnsi" w:eastAsiaTheme="minorEastAsia" w:hAnsiTheme="minorHAnsi" w:cstheme="minorBidi"/>
          <w:szCs w:val="22"/>
        </w:rPr>
      </w:pPr>
      <w:r>
        <w:t>221.</w:t>
      </w:r>
      <w:r>
        <w:tab/>
        <w:t>Immunity of the Bulletin Board operator</w:t>
      </w:r>
      <w:r>
        <w:tab/>
      </w:r>
      <w:r>
        <w:fldChar w:fldCharType="begin"/>
      </w:r>
      <w:r>
        <w:instrText xml:space="preserve"> PAGEREF _Toc221110008 \h </w:instrText>
      </w:r>
      <w:r>
        <w:fldChar w:fldCharType="separate"/>
      </w:r>
      <w:r>
        <w:t>177</w:t>
      </w:r>
      <w:r>
        <w:fldChar w:fldCharType="end"/>
      </w:r>
    </w:p>
    <w:p>
      <w:pPr>
        <w:pStyle w:val="TOC8"/>
        <w:rPr>
          <w:rFonts w:asciiTheme="minorHAnsi" w:eastAsiaTheme="minorEastAsia" w:hAnsiTheme="minorHAnsi" w:cstheme="minorBidi"/>
          <w:szCs w:val="22"/>
        </w:rPr>
      </w:pPr>
      <w:r>
        <w:t>222.</w:t>
      </w:r>
      <w:r>
        <w:tab/>
        <w:t>Fees for services provided</w:t>
      </w:r>
      <w:r>
        <w:tab/>
      </w:r>
      <w:r>
        <w:fldChar w:fldCharType="begin"/>
      </w:r>
      <w:r>
        <w:instrText xml:space="preserve"> PAGEREF _Toc221110009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Part 2 — Bulletin Board information</w:t>
      </w:r>
    </w:p>
    <w:p>
      <w:pPr>
        <w:pStyle w:val="TOC8"/>
        <w:rPr>
          <w:rFonts w:asciiTheme="minorHAnsi" w:eastAsiaTheme="minorEastAsia" w:hAnsiTheme="minorHAnsi" w:cstheme="minorBidi"/>
          <w:szCs w:val="22"/>
        </w:rPr>
      </w:pPr>
      <w:r>
        <w:t>223.</w:t>
      </w:r>
      <w:r>
        <w:tab/>
        <w:t>Obligation to give information to the Bulletin Board operator</w:t>
      </w:r>
      <w:r>
        <w:tab/>
      </w:r>
      <w:r>
        <w:fldChar w:fldCharType="begin"/>
      </w:r>
      <w:r>
        <w:instrText xml:space="preserve"> PAGEREF _Toc221110011 \h </w:instrText>
      </w:r>
      <w:r>
        <w:fldChar w:fldCharType="separate"/>
      </w:r>
      <w:r>
        <w:t>178</w:t>
      </w:r>
      <w:r>
        <w:fldChar w:fldCharType="end"/>
      </w:r>
    </w:p>
    <w:p>
      <w:pPr>
        <w:pStyle w:val="TOC8"/>
        <w:rPr>
          <w:rFonts w:asciiTheme="minorHAnsi" w:eastAsiaTheme="minorEastAsia" w:hAnsiTheme="minorHAnsi" w:cstheme="minorBidi"/>
          <w:szCs w:val="22"/>
        </w:rPr>
      </w:pPr>
      <w:r>
        <w:t>224.</w:t>
      </w:r>
      <w:r>
        <w:tab/>
        <w:t>Person cannot rely on duty of confidence to avoid compliance with obligation</w:t>
      </w:r>
      <w:r>
        <w:tab/>
      </w:r>
      <w:r>
        <w:fldChar w:fldCharType="begin"/>
      </w:r>
      <w:r>
        <w:instrText xml:space="preserve"> PAGEREF _Toc221110012 \h </w:instrText>
      </w:r>
      <w:r>
        <w:fldChar w:fldCharType="separate"/>
      </w:r>
      <w:r>
        <w:t>179</w:t>
      </w:r>
      <w:r>
        <w:fldChar w:fldCharType="end"/>
      </w:r>
    </w:p>
    <w:p>
      <w:pPr>
        <w:pStyle w:val="TOC8"/>
        <w:rPr>
          <w:rFonts w:asciiTheme="minorHAnsi" w:eastAsiaTheme="minorEastAsia" w:hAnsiTheme="minorHAnsi" w:cstheme="minorBidi"/>
          <w:szCs w:val="22"/>
        </w:rPr>
      </w:pPr>
      <w:r>
        <w:t>225.</w:t>
      </w:r>
      <w:r>
        <w:tab/>
        <w:t>Giving to Bulletin Board operator false and misleading information</w:t>
      </w:r>
      <w:r>
        <w:tab/>
      </w:r>
      <w:r>
        <w:fldChar w:fldCharType="begin"/>
      </w:r>
      <w:r>
        <w:instrText xml:space="preserve"> PAGEREF _Toc221110013 \h </w:instrText>
      </w:r>
      <w:r>
        <w:fldChar w:fldCharType="separate"/>
      </w:r>
      <w:r>
        <w:t>179</w:t>
      </w:r>
      <w:r>
        <w:fldChar w:fldCharType="end"/>
      </w:r>
    </w:p>
    <w:p>
      <w:pPr>
        <w:pStyle w:val="TOC8"/>
        <w:rPr>
          <w:rFonts w:asciiTheme="minorHAnsi" w:eastAsiaTheme="minorEastAsia" w:hAnsiTheme="minorHAnsi" w:cstheme="minorBidi"/>
          <w:szCs w:val="22"/>
        </w:rPr>
      </w:pPr>
      <w:r>
        <w:t>226.</w:t>
      </w:r>
      <w:r>
        <w:tab/>
        <w:t>Immunity of persons giving information to the Bulletin Board operator</w:t>
      </w:r>
      <w:r>
        <w:tab/>
      </w:r>
      <w:r>
        <w:fldChar w:fldCharType="begin"/>
      </w:r>
      <w:r>
        <w:instrText xml:space="preserve"> PAGEREF _Toc221110014 \h </w:instrText>
      </w:r>
      <w:r>
        <w:fldChar w:fldCharType="separate"/>
      </w:r>
      <w:r>
        <w:t>179</w:t>
      </w:r>
      <w:r>
        <w:fldChar w:fldCharType="end"/>
      </w:r>
    </w:p>
    <w:p>
      <w:pPr>
        <w:pStyle w:val="TOC4"/>
        <w:tabs>
          <w:tab w:val="right" w:leader="dot" w:pos="7077"/>
        </w:tabs>
        <w:rPr>
          <w:rFonts w:asciiTheme="minorHAnsi" w:eastAsiaTheme="minorEastAsia" w:hAnsiTheme="minorHAnsi" w:cstheme="minorBidi"/>
          <w:b w:val="0"/>
          <w:szCs w:val="22"/>
        </w:rPr>
      </w:pPr>
      <w:r>
        <w:t>Part 3 — Protection of information</w:t>
      </w:r>
    </w:p>
    <w:p>
      <w:pPr>
        <w:pStyle w:val="TOC8"/>
        <w:rPr>
          <w:rFonts w:asciiTheme="minorHAnsi" w:eastAsiaTheme="minorEastAsia" w:hAnsiTheme="minorHAnsi" w:cstheme="minorBidi"/>
          <w:szCs w:val="22"/>
        </w:rPr>
      </w:pPr>
      <w:r>
        <w:t>227.</w:t>
      </w:r>
      <w:r>
        <w:tab/>
        <w:t>Protection of information by the Bulletin Board operator</w:t>
      </w:r>
      <w:r>
        <w:tab/>
      </w:r>
      <w:r>
        <w:fldChar w:fldCharType="begin"/>
      </w:r>
      <w:r>
        <w:instrText xml:space="preserve"> PAGEREF _Toc221110016 \h </w:instrText>
      </w:r>
      <w:r>
        <w:fldChar w:fldCharType="separate"/>
      </w:r>
      <w:r>
        <w:t>180</w:t>
      </w:r>
      <w:r>
        <w:fldChar w:fldCharType="end"/>
      </w:r>
    </w:p>
    <w:p>
      <w:pPr>
        <w:pStyle w:val="TOC8"/>
        <w:rPr>
          <w:rFonts w:asciiTheme="minorHAnsi" w:eastAsiaTheme="minorEastAsia" w:hAnsiTheme="minorHAnsi" w:cstheme="minorBidi"/>
          <w:szCs w:val="22"/>
        </w:rPr>
      </w:pPr>
      <w:r>
        <w:t>228.</w:t>
      </w:r>
      <w:r>
        <w:tab/>
        <w:t>Protection of information by employees etc of the Bulletin Board operator</w:t>
      </w:r>
      <w:r>
        <w:tab/>
      </w:r>
      <w:r>
        <w:fldChar w:fldCharType="begin"/>
      </w:r>
      <w:r>
        <w:instrText xml:space="preserve"> PAGEREF _Toc221110017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Chapter 8 — Proceedings under the National Gas Law</w:t>
      </w:r>
    </w:p>
    <w:p>
      <w:pPr>
        <w:pStyle w:val="TOC4"/>
        <w:tabs>
          <w:tab w:val="right" w:leader="dot" w:pos="7077"/>
        </w:tabs>
        <w:rPr>
          <w:rFonts w:asciiTheme="minorHAnsi" w:eastAsiaTheme="minorEastAsia" w:hAnsiTheme="minorHAnsi" w:cstheme="minorBidi"/>
          <w:b w:val="0"/>
          <w:szCs w:val="22"/>
        </w:rPr>
      </w:pPr>
      <w:r>
        <w:t>Part 1 — Proceedings generally</w:t>
      </w:r>
    </w:p>
    <w:p>
      <w:pPr>
        <w:pStyle w:val="TOC8"/>
        <w:rPr>
          <w:rFonts w:asciiTheme="minorHAnsi" w:eastAsiaTheme="minorEastAsia" w:hAnsiTheme="minorHAnsi" w:cstheme="minorBidi"/>
          <w:szCs w:val="22"/>
        </w:rPr>
      </w:pPr>
      <w:r>
        <w:t>229.</w:t>
      </w:r>
      <w:r>
        <w:tab/>
        <w:t>Instituting civil proceedings under this Law</w:t>
      </w:r>
      <w:r>
        <w:tab/>
      </w:r>
      <w:r>
        <w:fldChar w:fldCharType="begin"/>
      </w:r>
      <w:r>
        <w:instrText xml:space="preserve"> PAGEREF _Toc221110020 \h </w:instrText>
      </w:r>
      <w:r>
        <w:fldChar w:fldCharType="separate"/>
      </w:r>
      <w:r>
        <w:t>184</w:t>
      </w:r>
      <w:r>
        <w:fldChar w:fldCharType="end"/>
      </w:r>
    </w:p>
    <w:p>
      <w:pPr>
        <w:pStyle w:val="TOC8"/>
        <w:rPr>
          <w:rFonts w:asciiTheme="minorHAnsi" w:eastAsiaTheme="minorEastAsia" w:hAnsiTheme="minorHAnsi" w:cstheme="minorBidi"/>
          <w:szCs w:val="22"/>
        </w:rPr>
      </w:pPr>
      <w:r>
        <w:t>230.</w:t>
      </w:r>
      <w:r>
        <w:tab/>
        <w:t>Time limit within which proceedings may be instituted</w:t>
      </w:r>
      <w:r>
        <w:tab/>
      </w:r>
      <w:r>
        <w:fldChar w:fldCharType="begin"/>
      </w:r>
      <w:r>
        <w:instrText xml:space="preserve"> PAGEREF _Toc221110021 \h </w:instrText>
      </w:r>
      <w:r>
        <w:fldChar w:fldCharType="separate"/>
      </w:r>
      <w:r>
        <w:t>184</w:t>
      </w:r>
      <w:r>
        <w:fldChar w:fldCharType="end"/>
      </w:r>
    </w:p>
    <w:p>
      <w:pPr>
        <w:pStyle w:val="TOC4"/>
        <w:tabs>
          <w:tab w:val="right" w:leader="dot" w:pos="7077"/>
        </w:tabs>
        <w:rPr>
          <w:rFonts w:asciiTheme="minorHAnsi" w:eastAsiaTheme="minorEastAsia" w:hAnsiTheme="minorHAnsi" w:cstheme="minorBidi"/>
          <w:b w:val="0"/>
          <w:szCs w:val="22"/>
        </w:rPr>
      </w:pPr>
      <w:r>
        <w:t>Part 2 — Proceedings for breaches of this Law, Regulations or the Rules</w:t>
      </w:r>
    </w:p>
    <w:p>
      <w:pPr>
        <w:pStyle w:val="TOC8"/>
        <w:rPr>
          <w:rFonts w:asciiTheme="minorHAnsi" w:eastAsiaTheme="minorEastAsia" w:hAnsiTheme="minorHAnsi" w:cstheme="minorBidi"/>
          <w:szCs w:val="22"/>
        </w:rPr>
      </w:pPr>
      <w:r>
        <w:t>231.</w:t>
      </w:r>
      <w:r>
        <w:tab/>
        <w:t>AER proceedings for breaches of this Law, Regulations or the Rules that are not offences</w:t>
      </w:r>
      <w:r>
        <w:tab/>
      </w:r>
      <w:r>
        <w:fldChar w:fldCharType="begin"/>
      </w:r>
      <w:r>
        <w:instrText xml:space="preserve"> PAGEREF _Toc221110023 \h </w:instrText>
      </w:r>
      <w:r>
        <w:fldChar w:fldCharType="separate"/>
      </w:r>
      <w:r>
        <w:t>185</w:t>
      </w:r>
      <w:r>
        <w:fldChar w:fldCharType="end"/>
      </w:r>
    </w:p>
    <w:p>
      <w:pPr>
        <w:pStyle w:val="TOC8"/>
        <w:rPr>
          <w:rFonts w:asciiTheme="minorHAnsi" w:eastAsiaTheme="minorEastAsia" w:hAnsiTheme="minorHAnsi" w:cstheme="minorBidi"/>
          <w:szCs w:val="22"/>
        </w:rPr>
      </w:pPr>
      <w:r>
        <w:t>232.</w:t>
      </w:r>
      <w:r>
        <w:tab/>
        <w:t>Proceedings for declaration that a person is in breach of a conduct provision</w:t>
      </w:r>
      <w:r>
        <w:tab/>
      </w:r>
      <w:r>
        <w:fldChar w:fldCharType="begin"/>
      </w:r>
      <w:r>
        <w:instrText xml:space="preserve"> PAGEREF _Toc221110024 \h </w:instrText>
      </w:r>
      <w:r>
        <w:fldChar w:fldCharType="separate"/>
      </w:r>
      <w:r>
        <w:t>187</w:t>
      </w:r>
      <w:r>
        <w:fldChar w:fldCharType="end"/>
      </w:r>
    </w:p>
    <w:p>
      <w:pPr>
        <w:pStyle w:val="TOC8"/>
        <w:rPr>
          <w:rFonts w:asciiTheme="minorHAnsi" w:eastAsiaTheme="minorEastAsia" w:hAnsiTheme="minorHAnsi" w:cstheme="minorBidi"/>
          <w:szCs w:val="22"/>
        </w:rPr>
      </w:pPr>
      <w:r>
        <w:t>233.</w:t>
      </w:r>
      <w:r>
        <w:tab/>
        <w:t>Actions for damages by persons for breach of conduct provision</w:t>
      </w:r>
      <w:r>
        <w:tab/>
      </w:r>
      <w:r>
        <w:fldChar w:fldCharType="begin"/>
      </w:r>
      <w:r>
        <w:instrText xml:space="preserve"> PAGEREF _Toc221110025 \h </w:instrText>
      </w:r>
      <w:r>
        <w:fldChar w:fldCharType="separate"/>
      </w:r>
      <w:r>
        <w:t>188</w:t>
      </w:r>
      <w:r>
        <w:fldChar w:fldCharType="end"/>
      </w:r>
    </w:p>
    <w:p>
      <w:pPr>
        <w:pStyle w:val="TOC4"/>
        <w:tabs>
          <w:tab w:val="right" w:leader="dot" w:pos="7077"/>
        </w:tabs>
        <w:rPr>
          <w:rFonts w:asciiTheme="minorHAnsi" w:eastAsiaTheme="minorEastAsia" w:hAnsiTheme="minorHAnsi" w:cstheme="minorBidi"/>
          <w:b w:val="0"/>
          <w:szCs w:val="22"/>
        </w:rPr>
      </w:pPr>
      <w:r>
        <w:t>Part 3 — Matters relating to breaches of this Law, the Regulations or the Rules</w:t>
      </w:r>
    </w:p>
    <w:p>
      <w:pPr>
        <w:pStyle w:val="TOC8"/>
        <w:rPr>
          <w:rFonts w:asciiTheme="minorHAnsi" w:eastAsiaTheme="minorEastAsia" w:hAnsiTheme="minorHAnsi" w:cstheme="minorBidi"/>
          <w:szCs w:val="22"/>
        </w:rPr>
      </w:pPr>
      <w:r>
        <w:t>234.</w:t>
      </w:r>
      <w:r>
        <w:tab/>
        <w:t>Matters for which there must be regard in determining amount of civil penalty</w:t>
      </w:r>
      <w:r>
        <w:tab/>
      </w:r>
      <w:r>
        <w:fldChar w:fldCharType="begin"/>
      </w:r>
      <w:r>
        <w:instrText xml:space="preserve"> PAGEREF _Toc221110027 \h </w:instrText>
      </w:r>
      <w:r>
        <w:fldChar w:fldCharType="separate"/>
      </w:r>
      <w:r>
        <w:t>188</w:t>
      </w:r>
      <w:r>
        <w:fldChar w:fldCharType="end"/>
      </w:r>
    </w:p>
    <w:p>
      <w:pPr>
        <w:pStyle w:val="TOC8"/>
        <w:rPr>
          <w:rFonts w:asciiTheme="minorHAnsi" w:eastAsiaTheme="minorEastAsia" w:hAnsiTheme="minorHAnsi" w:cstheme="minorBidi"/>
          <w:szCs w:val="22"/>
        </w:rPr>
      </w:pPr>
      <w:r>
        <w:t>235.</w:t>
      </w:r>
      <w:r>
        <w:tab/>
        <w:t>Breach of a civil penalty provision is not an offence</w:t>
      </w:r>
      <w:r>
        <w:tab/>
      </w:r>
      <w:r>
        <w:fldChar w:fldCharType="begin"/>
      </w:r>
      <w:r>
        <w:instrText xml:space="preserve"> PAGEREF _Toc221110028 \h </w:instrText>
      </w:r>
      <w:r>
        <w:fldChar w:fldCharType="separate"/>
      </w:r>
      <w:r>
        <w:t>189</w:t>
      </w:r>
      <w:r>
        <w:fldChar w:fldCharType="end"/>
      </w:r>
    </w:p>
    <w:p>
      <w:pPr>
        <w:pStyle w:val="TOC8"/>
        <w:rPr>
          <w:rFonts w:asciiTheme="minorHAnsi" w:eastAsiaTheme="minorEastAsia" w:hAnsiTheme="minorHAnsi" w:cstheme="minorBidi"/>
          <w:szCs w:val="22"/>
        </w:rPr>
      </w:pPr>
      <w:r>
        <w:lastRenderedPageBreak/>
        <w:t>236.</w:t>
      </w:r>
      <w:r>
        <w:tab/>
        <w:t>Breaches of civil penalty provisions involving continuing failure</w:t>
      </w:r>
      <w:r>
        <w:tab/>
      </w:r>
      <w:r>
        <w:fldChar w:fldCharType="begin"/>
      </w:r>
      <w:r>
        <w:instrText xml:space="preserve"> PAGEREF _Toc221110029 \h </w:instrText>
      </w:r>
      <w:r>
        <w:fldChar w:fldCharType="separate"/>
      </w:r>
      <w:r>
        <w:t>189</w:t>
      </w:r>
      <w:r>
        <w:fldChar w:fldCharType="end"/>
      </w:r>
    </w:p>
    <w:p>
      <w:pPr>
        <w:pStyle w:val="TOC8"/>
        <w:rPr>
          <w:rFonts w:asciiTheme="minorHAnsi" w:eastAsiaTheme="minorEastAsia" w:hAnsiTheme="minorHAnsi" w:cstheme="minorBidi"/>
          <w:szCs w:val="22"/>
        </w:rPr>
      </w:pPr>
      <w:r>
        <w:t>237.</w:t>
      </w:r>
      <w:r>
        <w:tab/>
        <w:t>Conduct in breach of more than 1 civil penalty provision</w:t>
      </w:r>
      <w:r>
        <w:tab/>
      </w:r>
      <w:r>
        <w:fldChar w:fldCharType="begin"/>
      </w:r>
      <w:r>
        <w:instrText xml:space="preserve"> PAGEREF _Toc221110030 \h </w:instrText>
      </w:r>
      <w:r>
        <w:fldChar w:fldCharType="separate"/>
      </w:r>
      <w:r>
        <w:t>189</w:t>
      </w:r>
      <w:r>
        <w:fldChar w:fldCharType="end"/>
      </w:r>
    </w:p>
    <w:p>
      <w:pPr>
        <w:pStyle w:val="TOC8"/>
        <w:rPr>
          <w:rFonts w:asciiTheme="minorHAnsi" w:eastAsiaTheme="minorEastAsia" w:hAnsiTheme="minorHAnsi" w:cstheme="minorBidi"/>
          <w:szCs w:val="22"/>
        </w:rPr>
      </w:pPr>
      <w:r>
        <w:t>238.</w:t>
      </w:r>
      <w:r>
        <w:tab/>
        <w:t>Persons involved in breach of civil penalty provision or conduct provision</w:t>
      </w:r>
      <w:r>
        <w:tab/>
      </w:r>
      <w:r>
        <w:fldChar w:fldCharType="begin"/>
      </w:r>
      <w:r>
        <w:instrText xml:space="preserve"> PAGEREF _Toc221110031 \h </w:instrText>
      </w:r>
      <w:r>
        <w:fldChar w:fldCharType="separate"/>
      </w:r>
      <w:r>
        <w:t>190</w:t>
      </w:r>
      <w:r>
        <w:fldChar w:fldCharType="end"/>
      </w:r>
    </w:p>
    <w:p>
      <w:pPr>
        <w:pStyle w:val="TOC8"/>
        <w:rPr>
          <w:rFonts w:asciiTheme="minorHAnsi" w:eastAsiaTheme="minorEastAsia" w:hAnsiTheme="minorHAnsi" w:cstheme="minorBidi"/>
          <w:szCs w:val="22"/>
        </w:rPr>
      </w:pPr>
      <w:r>
        <w:t>239.</w:t>
      </w:r>
      <w:r>
        <w:tab/>
        <w:t>Attempt to breach a civil penalty provision</w:t>
      </w:r>
      <w:r>
        <w:tab/>
      </w:r>
      <w:r>
        <w:fldChar w:fldCharType="begin"/>
      </w:r>
      <w:r>
        <w:instrText xml:space="preserve"> PAGEREF _Toc221110032 \h </w:instrText>
      </w:r>
      <w:r>
        <w:fldChar w:fldCharType="separate"/>
      </w:r>
      <w:r>
        <w:t>190</w:t>
      </w:r>
      <w:r>
        <w:fldChar w:fldCharType="end"/>
      </w:r>
    </w:p>
    <w:p>
      <w:pPr>
        <w:pStyle w:val="TOC8"/>
        <w:rPr>
          <w:rFonts w:asciiTheme="minorHAnsi" w:eastAsiaTheme="minorEastAsia" w:hAnsiTheme="minorHAnsi" w:cstheme="minorBidi"/>
          <w:szCs w:val="22"/>
        </w:rPr>
      </w:pPr>
      <w:r>
        <w:t>240.</w:t>
      </w:r>
      <w:r>
        <w:tab/>
        <w:t>Civil penalties payable to the Commonwealth</w:t>
      </w:r>
      <w:r>
        <w:tab/>
      </w:r>
      <w:r>
        <w:fldChar w:fldCharType="begin"/>
      </w:r>
      <w:r>
        <w:instrText xml:space="preserve"> PAGEREF _Toc221110033 \h </w:instrText>
      </w:r>
      <w:r>
        <w:fldChar w:fldCharType="separate"/>
      </w:r>
      <w:r>
        <w:t>190</w:t>
      </w:r>
      <w:r>
        <w:fldChar w:fldCharType="end"/>
      </w:r>
    </w:p>
    <w:p>
      <w:pPr>
        <w:pStyle w:val="TOC4"/>
        <w:tabs>
          <w:tab w:val="right" w:leader="dot" w:pos="7077"/>
        </w:tabs>
        <w:rPr>
          <w:rFonts w:asciiTheme="minorHAnsi" w:eastAsiaTheme="minorEastAsia" w:hAnsiTheme="minorHAnsi" w:cstheme="minorBidi"/>
          <w:b w:val="0"/>
          <w:szCs w:val="22"/>
        </w:rPr>
      </w:pPr>
      <w:r>
        <w:t>Part 4 — Judicial review of decisions under this Law, the Regulations and the Rules</w:t>
      </w:r>
    </w:p>
    <w:p>
      <w:pPr>
        <w:pStyle w:val="TOC8"/>
        <w:rPr>
          <w:rFonts w:asciiTheme="minorHAnsi" w:eastAsiaTheme="minorEastAsia" w:hAnsiTheme="minorHAnsi" w:cstheme="minorBidi"/>
          <w:szCs w:val="22"/>
        </w:rPr>
      </w:pPr>
      <w:r>
        <w:t>241.</w:t>
      </w:r>
      <w:r>
        <w:tab/>
        <w:t>Definition</w:t>
      </w:r>
      <w:r>
        <w:tab/>
      </w:r>
      <w:r>
        <w:fldChar w:fldCharType="begin"/>
      </w:r>
      <w:r>
        <w:instrText xml:space="preserve"> PAGEREF _Toc221110035 \h </w:instrText>
      </w:r>
      <w:r>
        <w:fldChar w:fldCharType="separate"/>
      </w:r>
      <w:r>
        <w:t>191</w:t>
      </w:r>
      <w:r>
        <w:fldChar w:fldCharType="end"/>
      </w:r>
    </w:p>
    <w:p>
      <w:pPr>
        <w:pStyle w:val="TOC8"/>
        <w:rPr>
          <w:rFonts w:asciiTheme="minorHAnsi" w:eastAsiaTheme="minorEastAsia" w:hAnsiTheme="minorHAnsi" w:cstheme="minorBidi"/>
          <w:szCs w:val="22"/>
        </w:rPr>
      </w:pPr>
      <w:r>
        <w:t>242.</w:t>
      </w:r>
      <w:r>
        <w:tab/>
        <w:t>Applications for judicial review of decisions of the AEMC</w:t>
      </w:r>
      <w:r>
        <w:tab/>
      </w:r>
      <w:r>
        <w:fldChar w:fldCharType="begin"/>
      </w:r>
      <w:r>
        <w:instrText xml:space="preserve"> PAGEREF _Toc221110036 \h </w:instrText>
      </w:r>
      <w:r>
        <w:fldChar w:fldCharType="separate"/>
      </w:r>
      <w:r>
        <w:t>191</w:t>
      </w:r>
      <w:r>
        <w:fldChar w:fldCharType="end"/>
      </w:r>
    </w:p>
    <w:p>
      <w:pPr>
        <w:pStyle w:val="TOC8"/>
        <w:rPr>
          <w:rFonts w:asciiTheme="minorHAnsi" w:eastAsiaTheme="minorEastAsia" w:hAnsiTheme="minorHAnsi" w:cstheme="minorBidi"/>
          <w:szCs w:val="22"/>
        </w:rPr>
      </w:pPr>
      <w:r>
        <w:t>243.</w:t>
      </w:r>
      <w:r>
        <w:tab/>
        <w:t>Applications for judicial review of decisions of the Bulletin Board operator</w:t>
      </w:r>
      <w:r>
        <w:tab/>
      </w:r>
      <w:r>
        <w:fldChar w:fldCharType="begin"/>
      </w:r>
      <w:r>
        <w:instrText xml:space="preserve"> PAGEREF _Toc221110037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Part 5 — Merits review and other non</w:t>
      </w:r>
      <w:r>
        <w:noBreakHyphen/>
        <w:t>judicial review</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244.</w:t>
      </w:r>
      <w:r>
        <w:tab/>
        <w:t>Definitions</w:t>
      </w:r>
      <w:r>
        <w:tab/>
      </w:r>
      <w:r>
        <w:fldChar w:fldCharType="begin"/>
      </w:r>
      <w:r>
        <w:instrText xml:space="preserve"> PAGEREF _Toc221110040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t>Division 2 — Merits review for reviewable regulatory decisions</w:t>
      </w:r>
    </w:p>
    <w:p>
      <w:pPr>
        <w:pStyle w:val="TOC8"/>
        <w:rPr>
          <w:rFonts w:asciiTheme="minorHAnsi" w:eastAsiaTheme="minorEastAsia" w:hAnsiTheme="minorHAnsi" w:cstheme="minorBidi"/>
          <w:szCs w:val="22"/>
        </w:rPr>
      </w:pPr>
      <w:r>
        <w:t>245.</w:t>
      </w:r>
      <w:r>
        <w:tab/>
        <w:t>Applications for review</w:t>
      </w:r>
      <w:r>
        <w:tab/>
      </w:r>
      <w:r>
        <w:fldChar w:fldCharType="begin"/>
      </w:r>
      <w:r>
        <w:instrText xml:space="preserve"> PAGEREF _Toc221110042 \h </w:instrText>
      </w:r>
      <w:r>
        <w:fldChar w:fldCharType="separate"/>
      </w:r>
      <w:r>
        <w:t>197</w:t>
      </w:r>
      <w:r>
        <w:fldChar w:fldCharType="end"/>
      </w:r>
    </w:p>
    <w:p>
      <w:pPr>
        <w:pStyle w:val="TOC8"/>
        <w:rPr>
          <w:rFonts w:asciiTheme="minorHAnsi" w:eastAsiaTheme="minorEastAsia" w:hAnsiTheme="minorHAnsi" w:cstheme="minorBidi"/>
          <w:szCs w:val="22"/>
        </w:rPr>
      </w:pPr>
      <w:r>
        <w:t>246.</w:t>
      </w:r>
      <w:r>
        <w:tab/>
        <w:t>Grounds for review</w:t>
      </w:r>
      <w:r>
        <w:tab/>
      </w:r>
      <w:r>
        <w:fldChar w:fldCharType="begin"/>
      </w:r>
      <w:r>
        <w:instrText xml:space="preserve"> PAGEREF _Toc221110043 \h </w:instrText>
      </w:r>
      <w:r>
        <w:fldChar w:fldCharType="separate"/>
      </w:r>
      <w:r>
        <w:t>197</w:t>
      </w:r>
      <w:r>
        <w:fldChar w:fldCharType="end"/>
      </w:r>
    </w:p>
    <w:p>
      <w:pPr>
        <w:pStyle w:val="TOC8"/>
        <w:rPr>
          <w:rFonts w:asciiTheme="minorHAnsi" w:eastAsiaTheme="minorEastAsia" w:hAnsiTheme="minorHAnsi" w:cstheme="minorBidi"/>
          <w:szCs w:val="22"/>
        </w:rPr>
      </w:pPr>
      <w:r>
        <w:t>247.</w:t>
      </w:r>
      <w:r>
        <w:tab/>
        <w:t>By when an application must be made</w:t>
      </w:r>
      <w:r>
        <w:tab/>
      </w:r>
      <w:r>
        <w:fldChar w:fldCharType="begin"/>
      </w:r>
      <w:r>
        <w:instrText xml:space="preserve"> PAGEREF _Toc221110044 \h </w:instrText>
      </w:r>
      <w:r>
        <w:fldChar w:fldCharType="separate"/>
      </w:r>
      <w:r>
        <w:t>198</w:t>
      </w:r>
      <w:r>
        <w:fldChar w:fldCharType="end"/>
      </w:r>
    </w:p>
    <w:p>
      <w:pPr>
        <w:pStyle w:val="TOC8"/>
        <w:rPr>
          <w:rFonts w:asciiTheme="minorHAnsi" w:eastAsiaTheme="minorEastAsia" w:hAnsiTheme="minorHAnsi" w:cstheme="minorBidi"/>
          <w:szCs w:val="22"/>
        </w:rPr>
      </w:pPr>
      <w:r>
        <w:t>248.</w:t>
      </w:r>
      <w:r>
        <w:tab/>
        <w:t>Tribunal must not grant leave unless serious issue to be heard and determined</w:t>
      </w:r>
      <w:r>
        <w:tab/>
      </w:r>
      <w:r>
        <w:fldChar w:fldCharType="begin"/>
      </w:r>
      <w:r>
        <w:instrText xml:space="preserve"> PAGEREF _Toc221110045 \h </w:instrText>
      </w:r>
      <w:r>
        <w:fldChar w:fldCharType="separate"/>
      </w:r>
      <w:r>
        <w:t>199</w:t>
      </w:r>
      <w:r>
        <w:fldChar w:fldCharType="end"/>
      </w:r>
    </w:p>
    <w:p>
      <w:pPr>
        <w:pStyle w:val="TOC8"/>
        <w:rPr>
          <w:rFonts w:asciiTheme="minorHAnsi" w:eastAsiaTheme="minorEastAsia" w:hAnsiTheme="minorHAnsi" w:cstheme="minorBidi"/>
          <w:szCs w:val="22"/>
        </w:rPr>
      </w:pPr>
      <w:r>
        <w:t>249.</w:t>
      </w:r>
      <w:r>
        <w:tab/>
        <w:t>Leave must be refused if application is about an error relating to revenue amounts below specified threshold</w:t>
      </w:r>
      <w:r>
        <w:tab/>
      </w:r>
      <w:r>
        <w:fldChar w:fldCharType="begin"/>
      </w:r>
      <w:r>
        <w:instrText xml:space="preserve"> PAGEREF _Toc221110046 \h </w:instrText>
      </w:r>
      <w:r>
        <w:fldChar w:fldCharType="separate"/>
      </w:r>
      <w:r>
        <w:t>199</w:t>
      </w:r>
      <w:r>
        <w:fldChar w:fldCharType="end"/>
      </w:r>
    </w:p>
    <w:p>
      <w:pPr>
        <w:pStyle w:val="TOC8"/>
        <w:rPr>
          <w:rFonts w:asciiTheme="minorHAnsi" w:eastAsiaTheme="minorEastAsia" w:hAnsiTheme="minorHAnsi" w:cstheme="minorBidi"/>
          <w:szCs w:val="22"/>
        </w:rPr>
      </w:pPr>
      <w:r>
        <w:t>250.</w:t>
      </w:r>
      <w:r>
        <w:tab/>
        <w:t>Tribunal must refuse to grant leave if submission not made or is made late</w:t>
      </w:r>
      <w:r>
        <w:tab/>
      </w:r>
      <w:r>
        <w:fldChar w:fldCharType="begin"/>
      </w:r>
      <w:r>
        <w:instrText xml:space="preserve"> PAGEREF _Toc221110047 \h </w:instrText>
      </w:r>
      <w:r>
        <w:fldChar w:fldCharType="separate"/>
      </w:r>
      <w:r>
        <w:t>200</w:t>
      </w:r>
      <w:r>
        <w:fldChar w:fldCharType="end"/>
      </w:r>
    </w:p>
    <w:p>
      <w:pPr>
        <w:pStyle w:val="TOC8"/>
        <w:rPr>
          <w:rFonts w:asciiTheme="minorHAnsi" w:eastAsiaTheme="minorEastAsia" w:hAnsiTheme="minorHAnsi" w:cstheme="minorBidi"/>
          <w:szCs w:val="22"/>
        </w:rPr>
      </w:pPr>
      <w:r>
        <w:t>251.</w:t>
      </w:r>
      <w:r>
        <w:tab/>
        <w:t>Tribunal may refuse to grant leave to service provider in certain cases</w:t>
      </w:r>
      <w:r>
        <w:tab/>
      </w:r>
      <w:r>
        <w:fldChar w:fldCharType="begin"/>
      </w:r>
      <w:r>
        <w:instrText xml:space="preserve"> PAGEREF _Toc221110048 \h </w:instrText>
      </w:r>
      <w:r>
        <w:fldChar w:fldCharType="separate"/>
      </w:r>
      <w:r>
        <w:t>201</w:t>
      </w:r>
      <w:r>
        <w:fldChar w:fldCharType="end"/>
      </w:r>
    </w:p>
    <w:p>
      <w:pPr>
        <w:pStyle w:val="TOC8"/>
        <w:rPr>
          <w:rFonts w:asciiTheme="minorHAnsi" w:eastAsiaTheme="minorEastAsia" w:hAnsiTheme="minorHAnsi" w:cstheme="minorBidi"/>
          <w:szCs w:val="22"/>
        </w:rPr>
      </w:pPr>
      <w:r>
        <w:t>252.</w:t>
      </w:r>
      <w:r>
        <w:tab/>
        <w:t>Effect of application on operation of reviewable regulatory decisions</w:t>
      </w:r>
      <w:r>
        <w:tab/>
      </w:r>
      <w:r>
        <w:fldChar w:fldCharType="begin"/>
      </w:r>
      <w:r>
        <w:instrText xml:space="preserve"> PAGEREF _Toc221110049 \h </w:instrText>
      </w:r>
      <w:r>
        <w:fldChar w:fldCharType="separate"/>
      </w:r>
      <w:r>
        <w:t>202</w:t>
      </w:r>
      <w:r>
        <w:fldChar w:fldCharType="end"/>
      </w:r>
    </w:p>
    <w:p>
      <w:pPr>
        <w:pStyle w:val="TOC8"/>
        <w:rPr>
          <w:rFonts w:asciiTheme="minorHAnsi" w:eastAsiaTheme="minorEastAsia" w:hAnsiTheme="minorHAnsi" w:cstheme="minorBidi"/>
          <w:szCs w:val="22"/>
        </w:rPr>
      </w:pPr>
      <w:r>
        <w:t>253.</w:t>
      </w:r>
      <w:r>
        <w:tab/>
        <w:t>Intervention by others in a review without leave</w:t>
      </w:r>
      <w:r>
        <w:tab/>
      </w:r>
      <w:r>
        <w:fldChar w:fldCharType="begin"/>
      </w:r>
      <w:r>
        <w:instrText xml:space="preserve"> PAGEREF _Toc221110050 \h </w:instrText>
      </w:r>
      <w:r>
        <w:fldChar w:fldCharType="separate"/>
      </w:r>
      <w:r>
        <w:t>202</w:t>
      </w:r>
      <w:r>
        <w:fldChar w:fldCharType="end"/>
      </w:r>
    </w:p>
    <w:p>
      <w:pPr>
        <w:pStyle w:val="TOC8"/>
        <w:rPr>
          <w:rFonts w:asciiTheme="minorHAnsi" w:eastAsiaTheme="minorEastAsia" w:hAnsiTheme="minorHAnsi" w:cstheme="minorBidi"/>
          <w:szCs w:val="22"/>
        </w:rPr>
      </w:pPr>
      <w:r>
        <w:t>254.</w:t>
      </w:r>
      <w:r>
        <w:tab/>
        <w:t>Leave for reviewable regulatory decision process participants</w:t>
      </w:r>
      <w:r>
        <w:tab/>
      </w:r>
      <w:r>
        <w:fldChar w:fldCharType="begin"/>
      </w:r>
      <w:r>
        <w:instrText xml:space="preserve"> PAGEREF _Toc221110051 \h </w:instrText>
      </w:r>
      <w:r>
        <w:fldChar w:fldCharType="separate"/>
      </w:r>
      <w:r>
        <w:t>202</w:t>
      </w:r>
      <w:r>
        <w:fldChar w:fldCharType="end"/>
      </w:r>
    </w:p>
    <w:p>
      <w:pPr>
        <w:pStyle w:val="TOC8"/>
        <w:rPr>
          <w:rFonts w:asciiTheme="minorHAnsi" w:eastAsiaTheme="minorEastAsia" w:hAnsiTheme="minorHAnsi" w:cstheme="minorBidi"/>
          <w:szCs w:val="22"/>
        </w:rPr>
      </w:pPr>
      <w:r>
        <w:t>255.</w:t>
      </w:r>
      <w:r>
        <w:tab/>
        <w:t>Leave for user or consumer intervener</w:t>
      </w:r>
      <w:r>
        <w:tab/>
      </w:r>
      <w:r>
        <w:fldChar w:fldCharType="begin"/>
      </w:r>
      <w:r>
        <w:instrText xml:space="preserve"> PAGEREF _Toc221110052 \h </w:instrText>
      </w:r>
      <w:r>
        <w:fldChar w:fldCharType="separate"/>
      </w:r>
      <w:r>
        <w:t>203</w:t>
      </w:r>
      <w:r>
        <w:fldChar w:fldCharType="end"/>
      </w:r>
    </w:p>
    <w:p>
      <w:pPr>
        <w:pStyle w:val="TOC8"/>
        <w:rPr>
          <w:rFonts w:asciiTheme="minorHAnsi" w:eastAsiaTheme="minorEastAsia" w:hAnsiTheme="minorHAnsi" w:cstheme="minorBidi"/>
          <w:szCs w:val="22"/>
        </w:rPr>
      </w:pPr>
      <w:r>
        <w:lastRenderedPageBreak/>
        <w:t>256.</w:t>
      </w:r>
      <w:r>
        <w:tab/>
        <w:t>Interveners may raise new grounds for review</w:t>
      </w:r>
      <w:r>
        <w:tab/>
      </w:r>
      <w:r>
        <w:fldChar w:fldCharType="begin"/>
      </w:r>
      <w:r>
        <w:instrText xml:space="preserve"> PAGEREF _Toc221110053 \h </w:instrText>
      </w:r>
      <w:r>
        <w:fldChar w:fldCharType="separate"/>
      </w:r>
      <w:r>
        <w:t>204</w:t>
      </w:r>
      <w:r>
        <w:fldChar w:fldCharType="end"/>
      </w:r>
    </w:p>
    <w:p>
      <w:pPr>
        <w:pStyle w:val="TOC8"/>
        <w:rPr>
          <w:rFonts w:asciiTheme="minorHAnsi" w:eastAsiaTheme="minorEastAsia" w:hAnsiTheme="minorHAnsi" w:cstheme="minorBidi"/>
          <w:szCs w:val="22"/>
        </w:rPr>
      </w:pPr>
      <w:r>
        <w:t>257.</w:t>
      </w:r>
      <w:r>
        <w:tab/>
        <w:t>Parties to a review under this Division</w:t>
      </w:r>
      <w:r>
        <w:tab/>
      </w:r>
      <w:r>
        <w:fldChar w:fldCharType="begin"/>
      </w:r>
      <w:r>
        <w:instrText xml:space="preserve"> PAGEREF _Toc221110054 \h </w:instrText>
      </w:r>
      <w:r>
        <w:fldChar w:fldCharType="separate"/>
      </w:r>
      <w:r>
        <w:t>204</w:t>
      </w:r>
      <w:r>
        <w:fldChar w:fldCharType="end"/>
      </w:r>
    </w:p>
    <w:p>
      <w:pPr>
        <w:pStyle w:val="TOC8"/>
        <w:rPr>
          <w:rFonts w:asciiTheme="minorHAnsi" w:eastAsiaTheme="minorEastAsia" w:hAnsiTheme="minorHAnsi" w:cstheme="minorBidi"/>
          <w:szCs w:val="22"/>
        </w:rPr>
      </w:pPr>
      <w:r>
        <w:t>258.</w:t>
      </w:r>
      <w:r>
        <w:tab/>
        <w:t>Matters that parties to a review may and may not raise in a review</w:t>
      </w:r>
      <w:r>
        <w:tab/>
      </w:r>
      <w:r>
        <w:fldChar w:fldCharType="begin"/>
      </w:r>
      <w:r>
        <w:instrText xml:space="preserve"> PAGEREF _Toc221110055 \h </w:instrText>
      </w:r>
      <w:r>
        <w:fldChar w:fldCharType="separate"/>
      </w:r>
      <w:r>
        <w:t>205</w:t>
      </w:r>
      <w:r>
        <w:fldChar w:fldCharType="end"/>
      </w:r>
    </w:p>
    <w:p>
      <w:pPr>
        <w:pStyle w:val="TOC8"/>
        <w:rPr>
          <w:rFonts w:asciiTheme="minorHAnsi" w:eastAsiaTheme="minorEastAsia" w:hAnsiTheme="minorHAnsi" w:cstheme="minorBidi"/>
          <w:szCs w:val="22"/>
        </w:rPr>
      </w:pPr>
      <w:r>
        <w:t>258A.</w:t>
      </w:r>
      <w:r>
        <w:tab/>
        <w:t>Matters that may and may not be raised in a review (designated reviewable regulatory decisions)</w:t>
      </w:r>
      <w:r>
        <w:tab/>
      </w:r>
      <w:r>
        <w:fldChar w:fldCharType="begin"/>
      </w:r>
      <w:r>
        <w:instrText xml:space="preserve"> PAGEREF _Toc221110056 \h </w:instrText>
      </w:r>
      <w:r>
        <w:fldChar w:fldCharType="separate"/>
      </w:r>
      <w:r>
        <w:t>205</w:t>
      </w:r>
      <w:r>
        <w:fldChar w:fldCharType="end"/>
      </w:r>
    </w:p>
    <w:p>
      <w:pPr>
        <w:pStyle w:val="TOC8"/>
        <w:rPr>
          <w:rFonts w:asciiTheme="minorHAnsi" w:eastAsiaTheme="minorEastAsia" w:hAnsiTheme="minorHAnsi" w:cstheme="minorBidi"/>
          <w:szCs w:val="22"/>
        </w:rPr>
      </w:pPr>
      <w:r>
        <w:t>259.</w:t>
      </w:r>
      <w:r>
        <w:tab/>
        <w:t>Tribunal must make determination</w:t>
      </w:r>
      <w:r>
        <w:tab/>
      </w:r>
      <w:r>
        <w:fldChar w:fldCharType="begin"/>
      </w:r>
      <w:r>
        <w:instrText xml:space="preserve"> PAGEREF _Toc221110057 \h </w:instrText>
      </w:r>
      <w:r>
        <w:fldChar w:fldCharType="separate"/>
      </w:r>
      <w:r>
        <w:t>207</w:t>
      </w:r>
      <w:r>
        <w:fldChar w:fldCharType="end"/>
      </w:r>
    </w:p>
    <w:p>
      <w:pPr>
        <w:pStyle w:val="TOC8"/>
        <w:rPr>
          <w:rFonts w:asciiTheme="minorHAnsi" w:eastAsiaTheme="minorEastAsia" w:hAnsiTheme="minorHAnsi" w:cstheme="minorBidi"/>
          <w:szCs w:val="22"/>
        </w:rPr>
      </w:pPr>
      <w:r>
        <w:t>260.</w:t>
      </w:r>
      <w:r>
        <w:tab/>
        <w:t>Target time limit for Tribunal for making a determination under this Division</w:t>
      </w:r>
      <w:r>
        <w:tab/>
      </w:r>
      <w:r>
        <w:fldChar w:fldCharType="begin"/>
      </w:r>
      <w:r>
        <w:instrText xml:space="preserve"> PAGEREF _Toc221110058 \h </w:instrText>
      </w:r>
      <w:r>
        <w:fldChar w:fldCharType="separate"/>
      </w:r>
      <w:r>
        <w:t>211</w:t>
      </w:r>
      <w:r>
        <w:fldChar w:fldCharType="end"/>
      </w:r>
    </w:p>
    <w:p>
      <w:pPr>
        <w:pStyle w:val="TOC8"/>
        <w:rPr>
          <w:rFonts w:asciiTheme="minorHAnsi" w:eastAsiaTheme="minorEastAsia" w:hAnsiTheme="minorHAnsi" w:cstheme="minorBidi"/>
          <w:szCs w:val="22"/>
        </w:rPr>
      </w:pPr>
      <w:r>
        <w:t>261.</w:t>
      </w:r>
      <w:r>
        <w:tab/>
        <w:t>Matters to be considered by Tribunal in making determination</w:t>
      </w:r>
      <w:r>
        <w:tab/>
      </w:r>
      <w:r>
        <w:fldChar w:fldCharType="begin"/>
      </w:r>
      <w:r>
        <w:instrText xml:space="preserve"> PAGEREF _Toc221110059 \h </w:instrText>
      </w:r>
      <w:r>
        <w:fldChar w:fldCharType="separate"/>
      </w:r>
      <w:r>
        <w:t>211</w:t>
      </w:r>
      <w:r>
        <w:fldChar w:fldCharType="end"/>
      </w:r>
    </w:p>
    <w:p>
      <w:pPr>
        <w:pStyle w:val="TOC8"/>
        <w:rPr>
          <w:rFonts w:asciiTheme="minorHAnsi" w:eastAsiaTheme="minorEastAsia" w:hAnsiTheme="minorHAnsi" w:cstheme="minorBidi"/>
          <w:szCs w:val="22"/>
        </w:rPr>
      </w:pPr>
      <w:r>
        <w:t>262.</w:t>
      </w:r>
      <w:r>
        <w:tab/>
        <w:t>Assistance from NCC in certain cases</w:t>
      </w:r>
      <w:r>
        <w:tab/>
      </w:r>
      <w:r>
        <w:fldChar w:fldCharType="begin"/>
      </w:r>
      <w:r>
        <w:instrText xml:space="preserve"> PAGEREF _Toc221110060 \h </w:instrText>
      </w:r>
      <w:r>
        <w:fldChar w:fldCharType="separate"/>
      </w:r>
      <w:r>
        <w:t>216</w:t>
      </w:r>
      <w:r>
        <w:fldChar w:fldCharType="end"/>
      </w:r>
    </w:p>
    <w:p>
      <w:pPr>
        <w:pStyle w:val="TOC6"/>
        <w:tabs>
          <w:tab w:val="right" w:leader="dot" w:pos="7077"/>
        </w:tabs>
        <w:rPr>
          <w:rFonts w:asciiTheme="minorHAnsi" w:eastAsiaTheme="minorEastAsia" w:hAnsiTheme="minorHAnsi" w:cstheme="minorBidi"/>
          <w:b w:val="0"/>
          <w:sz w:val="22"/>
          <w:szCs w:val="22"/>
        </w:rPr>
      </w:pPr>
      <w:r>
        <w:t>Division 3 — Tribunal review of AER information disclosure decisions under section 329</w:t>
      </w:r>
    </w:p>
    <w:p>
      <w:pPr>
        <w:pStyle w:val="TOC8"/>
        <w:rPr>
          <w:rFonts w:asciiTheme="minorHAnsi" w:eastAsiaTheme="minorEastAsia" w:hAnsiTheme="minorHAnsi" w:cstheme="minorBidi"/>
          <w:szCs w:val="22"/>
        </w:rPr>
      </w:pPr>
      <w:r>
        <w:t>263.</w:t>
      </w:r>
      <w:r>
        <w:tab/>
        <w:t>Application for review</w:t>
      </w:r>
      <w:r>
        <w:tab/>
      </w:r>
      <w:r>
        <w:fldChar w:fldCharType="begin"/>
      </w:r>
      <w:r>
        <w:instrText xml:space="preserve"> PAGEREF _Toc221110062 \h </w:instrText>
      </w:r>
      <w:r>
        <w:fldChar w:fldCharType="separate"/>
      </w:r>
      <w:r>
        <w:t>216</w:t>
      </w:r>
      <w:r>
        <w:fldChar w:fldCharType="end"/>
      </w:r>
    </w:p>
    <w:p>
      <w:pPr>
        <w:pStyle w:val="TOC8"/>
        <w:rPr>
          <w:rFonts w:asciiTheme="minorHAnsi" w:eastAsiaTheme="minorEastAsia" w:hAnsiTheme="minorHAnsi" w:cstheme="minorBidi"/>
          <w:szCs w:val="22"/>
        </w:rPr>
      </w:pPr>
      <w:r>
        <w:t>264.</w:t>
      </w:r>
      <w:r>
        <w:tab/>
        <w:t>Exclusion of public in certain cases</w:t>
      </w:r>
      <w:r>
        <w:tab/>
      </w:r>
      <w:r>
        <w:fldChar w:fldCharType="begin"/>
      </w:r>
      <w:r>
        <w:instrText xml:space="preserve"> PAGEREF _Toc221110063 \h </w:instrText>
      </w:r>
      <w:r>
        <w:fldChar w:fldCharType="separate"/>
      </w:r>
      <w:r>
        <w:t>217</w:t>
      </w:r>
      <w:r>
        <w:fldChar w:fldCharType="end"/>
      </w:r>
    </w:p>
    <w:p>
      <w:pPr>
        <w:pStyle w:val="TOC8"/>
        <w:rPr>
          <w:rFonts w:asciiTheme="minorHAnsi" w:eastAsiaTheme="minorEastAsia" w:hAnsiTheme="minorHAnsi" w:cstheme="minorBidi"/>
          <w:szCs w:val="22"/>
        </w:rPr>
      </w:pPr>
      <w:r>
        <w:t>265.</w:t>
      </w:r>
      <w:r>
        <w:tab/>
        <w:t>Determination in the review</w:t>
      </w:r>
      <w:r>
        <w:tab/>
      </w:r>
      <w:r>
        <w:fldChar w:fldCharType="begin"/>
      </w:r>
      <w:r>
        <w:instrText xml:space="preserve"> PAGEREF _Toc221110064 \h </w:instrText>
      </w:r>
      <w:r>
        <w:fldChar w:fldCharType="separate"/>
      </w:r>
      <w:r>
        <w:t>217</w:t>
      </w:r>
      <w:r>
        <w:fldChar w:fldCharType="end"/>
      </w:r>
    </w:p>
    <w:p>
      <w:pPr>
        <w:pStyle w:val="TOC8"/>
        <w:rPr>
          <w:rFonts w:asciiTheme="minorHAnsi" w:eastAsiaTheme="minorEastAsia" w:hAnsiTheme="minorHAnsi" w:cstheme="minorBidi"/>
          <w:szCs w:val="22"/>
        </w:rPr>
      </w:pPr>
      <w:r>
        <w:t>266.</w:t>
      </w:r>
      <w:r>
        <w:tab/>
        <w:t>Tribunal must be taken to have affirmed decision if decision not made within time</w:t>
      </w:r>
      <w:r>
        <w:tab/>
      </w:r>
      <w:r>
        <w:fldChar w:fldCharType="begin"/>
      </w:r>
      <w:r>
        <w:instrText xml:space="preserve"> PAGEREF _Toc221110065 \h </w:instrText>
      </w:r>
      <w:r>
        <w:fldChar w:fldCharType="separate"/>
      </w:r>
      <w:r>
        <w:t>217</w:t>
      </w:r>
      <w:r>
        <w:fldChar w:fldCharType="end"/>
      </w:r>
    </w:p>
    <w:p>
      <w:pPr>
        <w:pStyle w:val="TOC8"/>
        <w:rPr>
          <w:rFonts w:asciiTheme="minorHAnsi" w:eastAsiaTheme="minorEastAsia" w:hAnsiTheme="minorHAnsi" w:cstheme="minorBidi"/>
          <w:szCs w:val="22"/>
        </w:rPr>
      </w:pPr>
      <w:r>
        <w:t>267.</w:t>
      </w:r>
      <w:r>
        <w:tab/>
        <w:t>Assistance from the AER in certain cases</w:t>
      </w:r>
      <w:r>
        <w:tab/>
      </w:r>
      <w:r>
        <w:fldChar w:fldCharType="begin"/>
      </w:r>
      <w:r>
        <w:instrText xml:space="preserve"> PAGEREF _Toc221110066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Division 4 — General</w:t>
      </w:r>
    </w:p>
    <w:p>
      <w:pPr>
        <w:pStyle w:val="TOC8"/>
        <w:rPr>
          <w:rFonts w:asciiTheme="minorHAnsi" w:eastAsiaTheme="minorEastAsia" w:hAnsiTheme="minorHAnsi" w:cstheme="minorBidi"/>
          <w:szCs w:val="22"/>
        </w:rPr>
      </w:pPr>
      <w:r>
        <w:t>268.</w:t>
      </w:r>
      <w:r>
        <w:tab/>
        <w:t>Costs in a review</w:t>
      </w:r>
      <w:r>
        <w:tab/>
      </w:r>
      <w:r>
        <w:fldChar w:fldCharType="begin"/>
      </w:r>
      <w:r>
        <w:instrText xml:space="preserve"> PAGEREF _Toc221110068 \h </w:instrText>
      </w:r>
      <w:r>
        <w:fldChar w:fldCharType="separate"/>
      </w:r>
      <w:r>
        <w:t>218</w:t>
      </w:r>
      <w:r>
        <w:fldChar w:fldCharType="end"/>
      </w:r>
    </w:p>
    <w:p>
      <w:pPr>
        <w:pStyle w:val="TOC8"/>
        <w:rPr>
          <w:rFonts w:asciiTheme="minorHAnsi" w:eastAsiaTheme="minorEastAsia" w:hAnsiTheme="minorHAnsi" w:cstheme="minorBidi"/>
          <w:szCs w:val="22"/>
        </w:rPr>
      </w:pPr>
      <w:r>
        <w:t>269.</w:t>
      </w:r>
      <w:r>
        <w:tab/>
        <w:t>Amount of costs</w:t>
      </w:r>
      <w:r>
        <w:tab/>
      </w:r>
      <w:r>
        <w:fldChar w:fldCharType="begin"/>
      </w:r>
      <w:r>
        <w:instrText xml:space="preserve"> PAGEREF _Toc221110069 \h </w:instrText>
      </w:r>
      <w:r>
        <w:fldChar w:fldCharType="separate"/>
      </w:r>
      <w:r>
        <w:t>219</w:t>
      </w:r>
      <w:r>
        <w:fldChar w:fldCharType="end"/>
      </w:r>
    </w:p>
    <w:p>
      <w:pPr>
        <w:pStyle w:val="TOC8"/>
        <w:rPr>
          <w:rFonts w:asciiTheme="minorHAnsi" w:eastAsiaTheme="minorEastAsia" w:hAnsiTheme="minorHAnsi" w:cstheme="minorBidi"/>
          <w:szCs w:val="22"/>
        </w:rPr>
      </w:pPr>
      <w:r>
        <w:t>269A.</w:t>
      </w:r>
      <w:r>
        <w:tab/>
        <w:t>Costs not to be passed on</w:t>
      </w:r>
      <w:r>
        <w:tab/>
      </w:r>
      <w:r>
        <w:fldChar w:fldCharType="begin"/>
      </w:r>
      <w:r>
        <w:instrText xml:space="preserve"> PAGEREF _Toc221110070 \h </w:instrText>
      </w:r>
      <w:r>
        <w:fldChar w:fldCharType="separate"/>
      </w:r>
      <w:r>
        <w:t>220</w:t>
      </w:r>
      <w:r>
        <w:fldChar w:fldCharType="end"/>
      </w:r>
    </w:p>
    <w:p>
      <w:pPr>
        <w:pStyle w:val="TOC8"/>
        <w:rPr>
          <w:rFonts w:asciiTheme="minorHAnsi" w:eastAsiaTheme="minorEastAsia" w:hAnsiTheme="minorHAnsi" w:cstheme="minorBidi"/>
          <w:szCs w:val="22"/>
        </w:rPr>
      </w:pPr>
      <w:r>
        <w:t>270.</w:t>
      </w:r>
      <w:r>
        <w:tab/>
        <w:t>Review of Part</w:t>
      </w:r>
      <w:r>
        <w:tab/>
      </w:r>
      <w:r>
        <w:fldChar w:fldCharType="begin"/>
      </w:r>
      <w:r>
        <w:instrText xml:space="preserve"> PAGEREF _Toc221110071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Part 6 — Enforcement of access determinations</w:t>
      </w:r>
    </w:p>
    <w:p>
      <w:pPr>
        <w:pStyle w:val="TOC8"/>
        <w:rPr>
          <w:rFonts w:asciiTheme="minorHAnsi" w:eastAsiaTheme="minorEastAsia" w:hAnsiTheme="minorHAnsi" w:cstheme="minorBidi"/>
          <w:szCs w:val="22"/>
        </w:rPr>
      </w:pPr>
      <w:r>
        <w:t>271.</w:t>
      </w:r>
      <w:r>
        <w:tab/>
        <w:t>Enforcement of access determinations</w:t>
      </w:r>
      <w:r>
        <w:tab/>
      </w:r>
      <w:r>
        <w:fldChar w:fldCharType="begin"/>
      </w:r>
      <w:r>
        <w:instrText xml:space="preserve"> PAGEREF _Toc221110073 \h </w:instrText>
      </w:r>
      <w:r>
        <w:fldChar w:fldCharType="separate"/>
      </w:r>
      <w:r>
        <w:t>221</w:t>
      </w:r>
      <w:r>
        <w:fldChar w:fldCharType="end"/>
      </w:r>
    </w:p>
    <w:p>
      <w:pPr>
        <w:pStyle w:val="TOC8"/>
        <w:rPr>
          <w:rFonts w:asciiTheme="minorHAnsi" w:eastAsiaTheme="minorEastAsia" w:hAnsiTheme="minorHAnsi" w:cstheme="minorBidi"/>
          <w:szCs w:val="22"/>
        </w:rPr>
      </w:pPr>
      <w:r>
        <w:t>272.</w:t>
      </w:r>
      <w:r>
        <w:tab/>
        <w:t>Consent injunctions</w:t>
      </w:r>
      <w:r>
        <w:tab/>
      </w:r>
      <w:r>
        <w:fldChar w:fldCharType="begin"/>
      </w:r>
      <w:r>
        <w:instrText xml:space="preserve"> PAGEREF _Toc221110074 \h </w:instrText>
      </w:r>
      <w:r>
        <w:fldChar w:fldCharType="separate"/>
      </w:r>
      <w:r>
        <w:t>222</w:t>
      </w:r>
      <w:r>
        <w:fldChar w:fldCharType="end"/>
      </w:r>
    </w:p>
    <w:p>
      <w:pPr>
        <w:pStyle w:val="TOC8"/>
        <w:rPr>
          <w:rFonts w:asciiTheme="minorHAnsi" w:eastAsiaTheme="minorEastAsia" w:hAnsiTheme="minorHAnsi" w:cstheme="minorBidi"/>
          <w:szCs w:val="22"/>
        </w:rPr>
      </w:pPr>
      <w:r>
        <w:t>273.</w:t>
      </w:r>
      <w:r>
        <w:tab/>
        <w:t>Interim injunctions</w:t>
      </w:r>
      <w:r>
        <w:tab/>
      </w:r>
      <w:r>
        <w:fldChar w:fldCharType="begin"/>
      </w:r>
      <w:r>
        <w:instrText xml:space="preserve"> PAGEREF _Toc221110075 \h </w:instrText>
      </w:r>
      <w:r>
        <w:fldChar w:fldCharType="separate"/>
      </w:r>
      <w:r>
        <w:t>222</w:t>
      </w:r>
      <w:r>
        <w:fldChar w:fldCharType="end"/>
      </w:r>
    </w:p>
    <w:p>
      <w:pPr>
        <w:pStyle w:val="TOC8"/>
        <w:rPr>
          <w:rFonts w:asciiTheme="minorHAnsi" w:eastAsiaTheme="minorEastAsia" w:hAnsiTheme="minorHAnsi" w:cstheme="minorBidi"/>
          <w:szCs w:val="22"/>
        </w:rPr>
      </w:pPr>
      <w:r>
        <w:t>274.</w:t>
      </w:r>
      <w:r>
        <w:tab/>
        <w:t>Factors relevant to granting a restraining injunction</w:t>
      </w:r>
      <w:r>
        <w:tab/>
      </w:r>
      <w:r>
        <w:fldChar w:fldCharType="begin"/>
      </w:r>
      <w:r>
        <w:instrText xml:space="preserve"> PAGEREF _Toc221110076 \h </w:instrText>
      </w:r>
      <w:r>
        <w:fldChar w:fldCharType="separate"/>
      </w:r>
      <w:r>
        <w:t>223</w:t>
      </w:r>
      <w:r>
        <w:fldChar w:fldCharType="end"/>
      </w:r>
    </w:p>
    <w:p>
      <w:pPr>
        <w:pStyle w:val="TOC8"/>
        <w:rPr>
          <w:rFonts w:asciiTheme="minorHAnsi" w:eastAsiaTheme="minorEastAsia" w:hAnsiTheme="minorHAnsi" w:cstheme="minorBidi"/>
          <w:szCs w:val="22"/>
        </w:rPr>
      </w:pPr>
      <w:r>
        <w:t>275.</w:t>
      </w:r>
      <w:r>
        <w:tab/>
        <w:t>Factors relevant to granting a mandatory injunction</w:t>
      </w:r>
      <w:r>
        <w:tab/>
      </w:r>
      <w:r>
        <w:fldChar w:fldCharType="begin"/>
      </w:r>
      <w:r>
        <w:instrText xml:space="preserve"> PAGEREF _Toc221110077 \h </w:instrText>
      </w:r>
      <w:r>
        <w:fldChar w:fldCharType="separate"/>
      </w:r>
      <w:r>
        <w:t>223</w:t>
      </w:r>
      <w:r>
        <w:fldChar w:fldCharType="end"/>
      </w:r>
    </w:p>
    <w:p>
      <w:pPr>
        <w:pStyle w:val="TOC8"/>
        <w:rPr>
          <w:rFonts w:asciiTheme="minorHAnsi" w:eastAsiaTheme="minorEastAsia" w:hAnsiTheme="minorHAnsi" w:cstheme="minorBidi"/>
          <w:szCs w:val="22"/>
        </w:rPr>
      </w:pPr>
      <w:r>
        <w:t>276.</w:t>
      </w:r>
      <w:r>
        <w:tab/>
        <w:t>Discharge or variation of injunction or other order</w:t>
      </w:r>
      <w:r>
        <w:tab/>
      </w:r>
      <w:r>
        <w:fldChar w:fldCharType="begin"/>
      </w:r>
      <w:r>
        <w:instrText xml:space="preserve"> PAGEREF _Toc221110078 \h </w:instrText>
      </w:r>
      <w:r>
        <w:fldChar w:fldCharType="separate"/>
      </w:r>
      <w:r>
        <w:t>223</w:t>
      </w:r>
      <w:r>
        <w:fldChar w:fldCharType="end"/>
      </w:r>
    </w:p>
    <w:p>
      <w:pPr>
        <w:pStyle w:val="TOC4"/>
        <w:tabs>
          <w:tab w:val="right" w:leader="dot" w:pos="7077"/>
        </w:tabs>
        <w:rPr>
          <w:rFonts w:asciiTheme="minorHAnsi" w:eastAsiaTheme="minorEastAsia" w:hAnsiTheme="minorHAnsi" w:cstheme="minorBidi"/>
          <w:b w:val="0"/>
          <w:szCs w:val="22"/>
        </w:rPr>
      </w:pPr>
      <w:r>
        <w:t>Part 7 — Infringement notices</w:t>
      </w:r>
    </w:p>
    <w:p>
      <w:pPr>
        <w:pStyle w:val="TOC8"/>
        <w:rPr>
          <w:rFonts w:asciiTheme="minorHAnsi" w:eastAsiaTheme="minorEastAsia" w:hAnsiTheme="minorHAnsi" w:cstheme="minorBidi"/>
          <w:szCs w:val="22"/>
        </w:rPr>
      </w:pPr>
      <w:r>
        <w:t>277.</w:t>
      </w:r>
      <w:r>
        <w:tab/>
        <w:t>Power to serve notice</w:t>
      </w:r>
      <w:r>
        <w:tab/>
      </w:r>
      <w:r>
        <w:fldChar w:fldCharType="begin"/>
      </w:r>
      <w:r>
        <w:instrText xml:space="preserve"> PAGEREF _Toc221110080 \h </w:instrText>
      </w:r>
      <w:r>
        <w:fldChar w:fldCharType="separate"/>
      </w:r>
      <w:r>
        <w:t>224</w:t>
      </w:r>
      <w:r>
        <w:fldChar w:fldCharType="end"/>
      </w:r>
    </w:p>
    <w:p>
      <w:pPr>
        <w:pStyle w:val="TOC8"/>
        <w:rPr>
          <w:rFonts w:asciiTheme="minorHAnsi" w:eastAsiaTheme="minorEastAsia" w:hAnsiTheme="minorHAnsi" w:cstheme="minorBidi"/>
          <w:szCs w:val="22"/>
        </w:rPr>
      </w:pPr>
      <w:r>
        <w:t>278.</w:t>
      </w:r>
      <w:r>
        <w:tab/>
        <w:t>Form of notice</w:t>
      </w:r>
      <w:r>
        <w:tab/>
      </w:r>
      <w:r>
        <w:fldChar w:fldCharType="begin"/>
      </w:r>
      <w:r>
        <w:instrText xml:space="preserve"> PAGEREF _Toc221110081 \h </w:instrText>
      </w:r>
      <w:r>
        <w:fldChar w:fldCharType="separate"/>
      </w:r>
      <w:r>
        <w:t>224</w:t>
      </w:r>
      <w:r>
        <w:fldChar w:fldCharType="end"/>
      </w:r>
    </w:p>
    <w:p>
      <w:pPr>
        <w:pStyle w:val="TOC8"/>
        <w:rPr>
          <w:rFonts w:asciiTheme="minorHAnsi" w:eastAsiaTheme="minorEastAsia" w:hAnsiTheme="minorHAnsi" w:cstheme="minorBidi"/>
          <w:szCs w:val="22"/>
        </w:rPr>
      </w:pPr>
      <w:r>
        <w:t>279.</w:t>
      </w:r>
      <w:r>
        <w:tab/>
        <w:t>Infringement penalty</w:t>
      </w:r>
      <w:r>
        <w:tab/>
      </w:r>
      <w:r>
        <w:fldChar w:fldCharType="begin"/>
      </w:r>
      <w:r>
        <w:instrText xml:space="preserve"> PAGEREF _Toc221110082 \h </w:instrText>
      </w:r>
      <w:r>
        <w:fldChar w:fldCharType="separate"/>
      </w:r>
      <w:r>
        <w:t>225</w:t>
      </w:r>
      <w:r>
        <w:fldChar w:fldCharType="end"/>
      </w:r>
    </w:p>
    <w:p>
      <w:pPr>
        <w:pStyle w:val="TOC8"/>
        <w:rPr>
          <w:rFonts w:asciiTheme="minorHAnsi" w:eastAsiaTheme="minorEastAsia" w:hAnsiTheme="minorHAnsi" w:cstheme="minorBidi"/>
          <w:szCs w:val="22"/>
        </w:rPr>
      </w:pPr>
      <w:r>
        <w:t>280.</w:t>
      </w:r>
      <w:r>
        <w:tab/>
        <w:t>AER cannot institute proceedings while infringement notice on foot</w:t>
      </w:r>
      <w:r>
        <w:tab/>
      </w:r>
      <w:r>
        <w:fldChar w:fldCharType="begin"/>
      </w:r>
      <w:r>
        <w:instrText xml:space="preserve"> PAGEREF _Toc221110083 \h </w:instrText>
      </w:r>
      <w:r>
        <w:fldChar w:fldCharType="separate"/>
      </w:r>
      <w:r>
        <w:t>226</w:t>
      </w:r>
      <w:r>
        <w:fldChar w:fldCharType="end"/>
      </w:r>
    </w:p>
    <w:p>
      <w:pPr>
        <w:pStyle w:val="TOC8"/>
        <w:rPr>
          <w:rFonts w:asciiTheme="minorHAnsi" w:eastAsiaTheme="minorEastAsia" w:hAnsiTheme="minorHAnsi" w:cstheme="minorBidi"/>
          <w:szCs w:val="22"/>
        </w:rPr>
      </w:pPr>
      <w:r>
        <w:t>281.</w:t>
      </w:r>
      <w:r>
        <w:tab/>
        <w:t>Late payment of penalty</w:t>
      </w:r>
      <w:r>
        <w:tab/>
      </w:r>
      <w:r>
        <w:fldChar w:fldCharType="begin"/>
      </w:r>
      <w:r>
        <w:instrText xml:space="preserve"> PAGEREF _Toc221110084 \h </w:instrText>
      </w:r>
      <w:r>
        <w:fldChar w:fldCharType="separate"/>
      </w:r>
      <w:r>
        <w:t>226</w:t>
      </w:r>
      <w:r>
        <w:fldChar w:fldCharType="end"/>
      </w:r>
    </w:p>
    <w:p>
      <w:pPr>
        <w:pStyle w:val="TOC8"/>
        <w:rPr>
          <w:rFonts w:asciiTheme="minorHAnsi" w:eastAsiaTheme="minorEastAsia" w:hAnsiTheme="minorHAnsi" w:cstheme="minorBidi"/>
          <w:szCs w:val="22"/>
        </w:rPr>
      </w:pPr>
      <w:r>
        <w:lastRenderedPageBreak/>
        <w:t>282.</w:t>
      </w:r>
      <w:r>
        <w:tab/>
        <w:t>Withdrawal of notice</w:t>
      </w:r>
      <w:r>
        <w:tab/>
      </w:r>
      <w:r>
        <w:fldChar w:fldCharType="begin"/>
      </w:r>
      <w:r>
        <w:instrText xml:space="preserve"> PAGEREF _Toc221110085 \h </w:instrText>
      </w:r>
      <w:r>
        <w:fldChar w:fldCharType="separate"/>
      </w:r>
      <w:r>
        <w:t>226</w:t>
      </w:r>
      <w:r>
        <w:fldChar w:fldCharType="end"/>
      </w:r>
    </w:p>
    <w:p>
      <w:pPr>
        <w:pStyle w:val="TOC8"/>
        <w:rPr>
          <w:rFonts w:asciiTheme="minorHAnsi" w:eastAsiaTheme="minorEastAsia" w:hAnsiTheme="minorHAnsi" w:cstheme="minorBidi"/>
          <w:szCs w:val="22"/>
        </w:rPr>
      </w:pPr>
      <w:r>
        <w:t>283.</w:t>
      </w:r>
      <w:r>
        <w:tab/>
        <w:t>Refund of infringement penalty</w:t>
      </w:r>
      <w:r>
        <w:tab/>
      </w:r>
      <w:r>
        <w:fldChar w:fldCharType="begin"/>
      </w:r>
      <w:r>
        <w:instrText xml:space="preserve"> PAGEREF _Toc221110086 \h </w:instrText>
      </w:r>
      <w:r>
        <w:fldChar w:fldCharType="separate"/>
      </w:r>
      <w:r>
        <w:t>227</w:t>
      </w:r>
      <w:r>
        <w:fldChar w:fldCharType="end"/>
      </w:r>
    </w:p>
    <w:p>
      <w:pPr>
        <w:pStyle w:val="TOC8"/>
        <w:rPr>
          <w:rFonts w:asciiTheme="minorHAnsi" w:eastAsiaTheme="minorEastAsia" w:hAnsiTheme="minorHAnsi" w:cstheme="minorBidi"/>
          <w:szCs w:val="22"/>
        </w:rPr>
      </w:pPr>
      <w:r>
        <w:t>284.</w:t>
      </w:r>
      <w:r>
        <w:tab/>
        <w:t>Payment expiates breach of civil penalty provision</w:t>
      </w:r>
      <w:r>
        <w:tab/>
      </w:r>
      <w:r>
        <w:fldChar w:fldCharType="begin"/>
      </w:r>
      <w:r>
        <w:instrText xml:space="preserve"> PAGEREF _Toc221110087 \h </w:instrText>
      </w:r>
      <w:r>
        <w:fldChar w:fldCharType="separate"/>
      </w:r>
      <w:r>
        <w:t>227</w:t>
      </w:r>
      <w:r>
        <w:fldChar w:fldCharType="end"/>
      </w:r>
    </w:p>
    <w:p>
      <w:pPr>
        <w:pStyle w:val="TOC8"/>
        <w:rPr>
          <w:rFonts w:asciiTheme="minorHAnsi" w:eastAsiaTheme="minorEastAsia" w:hAnsiTheme="minorHAnsi" w:cstheme="minorBidi"/>
          <w:szCs w:val="22"/>
        </w:rPr>
      </w:pPr>
      <w:r>
        <w:t>285.</w:t>
      </w:r>
      <w:r>
        <w:tab/>
        <w:t>Payment not to have certain consequences</w:t>
      </w:r>
      <w:r>
        <w:tab/>
      </w:r>
      <w:r>
        <w:fldChar w:fldCharType="begin"/>
      </w:r>
      <w:r>
        <w:instrText xml:space="preserve"> PAGEREF _Toc221110088 \h </w:instrText>
      </w:r>
      <w:r>
        <w:fldChar w:fldCharType="separate"/>
      </w:r>
      <w:r>
        <w:t>228</w:t>
      </w:r>
      <w:r>
        <w:fldChar w:fldCharType="end"/>
      </w:r>
    </w:p>
    <w:p>
      <w:pPr>
        <w:pStyle w:val="TOC8"/>
        <w:rPr>
          <w:rFonts w:asciiTheme="minorHAnsi" w:eastAsiaTheme="minorEastAsia" w:hAnsiTheme="minorHAnsi" w:cstheme="minorBidi"/>
          <w:szCs w:val="22"/>
        </w:rPr>
      </w:pPr>
      <w:r>
        <w:t>286.</w:t>
      </w:r>
      <w:r>
        <w:tab/>
        <w:t>Conduct in breach of more than 1 civil penalty provision</w:t>
      </w:r>
      <w:r>
        <w:tab/>
      </w:r>
      <w:r>
        <w:fldChar w:fldCharType="begin"/>
      </w:r>
      <w:r>
        <w:instrText xml:space="preserve"> PAGEREF _Toc221110089 \h </w:instrText>
      </w:r>
      <w:r>
        <w:fldChar w:fldCharType="separate"/>
      </w:r>
      <w:r>
        <w:t>228</w:t>
      </w:r>
      <w:r>
        <w:fldChar w:fldCharType="end"/>
      </w:r>
    </w:p>
    <w:p>
      <w:pPr>
        <w:pStyle w:val="TOC4"/>
        <w:tabs>
          <w:tab w:val="right" w:leader="dot" w:pos="7077"/>
        </w:tabs>
        <w:rPr>
          <w:rFonts w:asciiTheme="minorHAnsi" w:eastAsiaTheme="minorEastAsia" w:hAnsiTheme="minorHAnsi" w:cstheme="minorBidi"/>
          <w:b w:val="0"/>
          <w:szCs w:val="22"/>
        </w:rPr>
      </w:pPr>
      <w:r>
        <w:t>Part 8 — Further provision for corporate liability for breaches of this Law etc</w:t>
      </w:r>
    </w:p>
    <w:p>
      <w:pPr>
        <w:pStyle w:val="TOC8"/>
        <w:rPr>
          <w:rFonts w:asciiTheme="minorHAnsi" w:eastAsiaTheme="minorEastAsia" w:hAnsiTheme="minorHAnsi" w:cstheme="minorBidi"/>
          <w:szCs w:val="22"/>
        </w:rPr>
      </w:pPr>
      <w:r>
        <w:t>287.</w:t>
      </w:r>
      <w:r>
        <w:tab/>
        <w:t>Definition</w:t>
      </w:r>
      <w:r>
        <w:tab/>
      </w:r>
      <w:r>
        <w:fldChar w:fldCharType="begin"/>
      </w:r>
      <w:r>
        <w:instrText xml:space="preserve"> PAGEREF _Toc221110091 \h </w:instrText>
      </w:r>
      <w:r>
        <w:fldChar w:fldCharType="separate"/>
      </w:r>
      <w:r>
        <w:t>228</w:t>
      </w:r>
      <w:r>
        <w:fldChar w:fldCharType="end"/>
      </w:r>
    </w:p>
    <w:p>
      <w:pPr>
        <w:pStyle w:val="TOC8"/>
        <w:rPr>
          <w:rFonts w:asciiTheme="minorHAnsi" w:eastAsiaTheme="minorEastAsia" w:hAnsiTheme="minorHAnsi" w:cstheme="minorBidi"/>
          <w:szCs w:val="22"/>
        </w:rPr>
      </w:pPr>
      <w:r>
        <w:t>288.</w:t>
      </w:r>
      <w:r>
        <w:tab/>
        <w:t>Offences and breaches by corporations</w:t>
      </w:r>
      <w:r>
        <w:tab/>
      </w:r>
      <w:r>
        <w:fldChar w:fldCharType="begin"/>
      </w:r>
      <w:r>
        <w:instrText xml:space="preserve"> PAGEREF _Toc221110092 \h </w:instrText>
      </w:r>
      <w:r>
        <w:fldChar w:fldCharType="separate"/>
      </w:r>
      <w:r>
        <w:t>228</w:t>
      </w:r>
      <w:r>
        <w:fldChar w:fldCharType="end"/>
      </w:r>
    </w:p>
    <w:p>
      <w:pPr>
        <w:pStyle w:val="TOC8"/>
        <w:rPr>
          <w:rFonts w:asciiTheme="minorHAnsi" w:eastAsiaTheme="minorEastAsia" w:hAnsiTheme="minorHAnsi" w:cstheme="minorBidi"/>
          <w:szCs w:val="22"/>
        </w:rPr>
      </w:pPr>
      <w:r>
        <w:t>289.</w:t>
      </w:r>
      <w:r>
        <w:tab/>
        <w:t>Corporations also in breach if officers and employees are in breach</w:t>
      </w:r>
      <w:r>
        <w:tab/>
      </w:r>
      <w:r>
        <w:fldChar w:fldCharType="begin"/>
      </w:r>
      <w:r>
        <w:instrText xml:space="preserve"> PAGEREF _Toc221110093 \h </w:instrText>
      </w:r>
      <w:r>
        <w:fldChar w:fldCharType="separate"/>
      </w:r>
      <w:r>
        <w:t>229</w:t>
      </w:r>
      <w:r>
        <w:fldChar w:fldCharType="end"/>
      </w:r>
    </w:p>
    <w:p>
      <w:pPr>
        <w:pStyle w:val="TOC2"/>
        <w:tabs>
          <w:tab w:val="right" w:leader="dot" w:pos="7077"/>
        </w:tabs>
        <w:rPr>
          <w:rFonts w:asciiTheme="minorHAnsi" w:eastAsiaTheme="minorEastAsia" w:hAnsiTheme="minorHAnsi" w:cstheme="minorBidi"/>
          <w:b w:val="0"/>
          <w:sz w:val="22"/>
          <w:szCs w:val="22"/>
        </w:rPr>
      </w:pPr>
      <w:r>
        <w:t>Chapter 9 — The making of the National Gas Rules</w:t>
      </w:r>
    </w:p>
    <w:p>
      <w:pPr>
        <w:pStyle w:val="TOC4"/>
        <w:tabs>
          <w:tab w:val="right" w:leader="dot" w:pos="7077"/>
        </w:tabs>
        <w:rPr>
          <w:rFonts w:asciiTheme="minorHAnsi" w:eastAsiaTheme="minorEastAsia" w:hAnsiTheme="minorHAnsi" w:cstheme="minorBidi"/>
          <w:b w:val="0"/>
          <w:szCs w:val="22"/>
        </w:rPr>
      </w:pPr>
      <w:r>
        <w:t>Part 1 — General</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290.</w:t>
      </w:r>
      <w:r>
        <w:tab/>
        <w:t>Definitions</w:t>
      </w:r>
      <w:r>
        <w:tab/>
      </w:r>
      <w:r>
        <w:fldChar w:fldCharType="begin"/>
      </w:r>
      <w:r>
        <w:instrText xml:space="preserve"> PAGEREF _Toc221110097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tests</w:t>
      </w:r>
    </w:p>
    <w:p>
      <w:pPr>
        <w:pStyle w:val="TOC8"/>
        <w:rPr>
          <w:rFonts w:asciiTheme="minorHAnsi" w:eastAsiaTheme="minorEastAsia" w:hAnsiTheme="minorHAnsi" w:cstheme="minorBidi"/>
          <w:szCs w:val="22"/>
        </w:rPr>
      </w:pPr>
      <w:r>
        <w:t>291.</w:t>
      </w:r>
      <w:r>
        <w:tab/>
        <w:t>Application of national gas objective</w:t>
      </w:r>
      <w:r>
        <w:tab/>
      </w:r>
      <w:r>
        <w:fldChar w:fldCharType="begin"/>
      </w:r>
      <w:r>
        <w:instrText xml:space="preserve"> PAGEREF _Toc221110099 \h </w:instrText>
      </w:r>
      <w:r>
        <w:fldChar w:fldCharType="separate"/>
      </w:r>
      <w:r>
        <w:t>232</w:t>
      </w:r>
      <w:r>
        <w:fldChar w:fldCharType="end"/>
      </w:r>
    </w:p>
    <w:p>
      <w:pPr>
        <w:pStyle w:val="TOC8"/>
        <w:rPr>
          <w:rFonts w:asciiTheme="minorHAnsi" w:eastAsiaTheme="minorEastAsia" w:hAnsiTheme="minorHAnsi" w:cstheme="minorBidi"/>
          <w:szCs w:val="22"/>
        </w:rPr>
      </w:pPr>
      <w:r>
        <w:t>292.</w:t>
      </w:r>
      <w:r>
        <w:tab/>
        <w:t>AEMC must take into account form of regulation factors in certain cases</w:t>
      </w:r>
      <w:r>
        <w:tab/>
      </w:r>
      <w:r>
        <w:fldChar w:fldCharType="begin"/>
      </w:r>
      <w:r>
        <w:instrText xml:space="preserve"> PAGEREF _Toc221110100 \h </w:instrText>
      </w:r>
      <w:r>
        <w:fldChar w:fldCharType="separate"/>
      </w:r>
      <w:r>
        <w:t>232</w:t>
      </w:r>
      <w:r>
        <w:fldChar w:fldCharType="end"/>
      </w:r>
    </w:p>
    <w:p>
      <w:pPr>
        <w:pStyle w:val="TOC8"/>
        <w:rPr>
          <w:rFonts w:asciiTheme="minorHAnsi" w:eastAsiaTheme="minorEastAsia" w:hAnsiTheme="minorHAnsi" w:cstheme="minorBidi"/>
          <w:szCs w:val="22"/>
        </w:rPr>
      </w:pPr>
      <w:r>
        <w:t>293.</w:t>
      </w:r>
      <w:r>
        <w:tab/>
        <w:t>AEMC must take into account revenue and pricing principles in certain cases</w:t>
      </w:r>
      <w:r>
        <w:tab/>
      </w:r>
      <w:r>
        <w:fldChar w:fldCharType="begin"/>
      </w:r>
      <w:r>
        <w:instrText xml:space="preserve"> PAGEREF _Toc221110101 \h </w:instrText>
      </w:r>
      <w:r>
        <w:fldChar w:fldCharType="separate"/>
      </w:r>
      <w:r>
        <w:t>233</w:t>
      </w:r>
      <w:r>
        <w:fldChar w:fldCharType="end"/>
      </w:r>
    </w:p>
    <w:p>
      <w:pPr>
        <w:pStyle w:val="TOC4"/>
        <w:tabs>
          <w:tab w:val="right" w:leader="dot" w:pos="7077"/>
        </w:tabs>
        <w:rPr>
          <w:rFonts w:asciiTheme="minorHAnsi" w:eastAsiaTheme="minorEastAsia" w:hAnsiTheme="minorHAnsi" w:cstheme="minorBidi"/>
          <w:b w:val="0"/>
          <w:szCs w:val="22"/>
        </w:rPr>
      </w:pPr>
      <w:r>
        <w:t>Part 2 — Initial National Gas Rules</w:t>
      </w:r>
    </w:p>
    <w:p>
      <w:pPr>
        <w:pStyle w:val="TOC8"/>
        <w:rPr>
          <w:rFonts w:asciiTheme="minorHAnsi" w:eastAsiaTheme="minorEastAsia" w:hAnsiTheme="minorHAnsi" w:cstheme="minorBidi"/>
          <w:szCs w:val="22"/>
        </w:rPr>
      </w:pPr>
      <w:r>
        <w:t>294.</w:t>
      </w:r>
      <w:r>
        <w:tab/>
        <w:t>Initial National Gas Rules for WA</w:t>
      </w:r>
      <w:r>
        <w:tab/>
      </w:r>
      <w:r>
        <w:fldChar w:fldCharType="begin"/>
      </w:r>
      <w:r>
        <w:instrText xml:space="preserve"> PAGEREF _Toc221110103 \h </w:instrText>
      </w:r>
      <w:r>
        <w:fldChar w:fldCharType="separate"/>
      </w:r>
      <w:r>
        <w:t>233</w:t>
      </w:r>
      <w:r>
        <w:fldChar w:fldCharType="end"/>
      </w:r>
    </w:p>
    <w:p>
      <w:pPr>
        <w:pStyle w:val="TOC8"/>
        <w:rPr>
          <w:rFonts w:asciiTheme="minorHAnsi" w:eastAsiaTheme="minorEastAsia" w:hAnsiTheme="minorHAnsi" w:cstheme="minorBidi"/>
          <w:szCs w:val="22"/>
        </w:rPr>
      </w:pPr>
      <w:r>
        <w:t>294F.</w:t>
      </w:r>
      <w:r>
        <w:tab/>
        <w:t>South Australian Minister to make initial Rules relating to access to non</w:t>
      </w:r>
      <w:r>
        <w:noBreakHyphen/>
        <w:t>scheme pipelines</w:t>
      </w:r>
      <w:r>
        <w:tab/>
      </w:r>
      <w:r>
        <w:fldChar w:fldCharType="begin"/>
      </w:r>
      <w:r>
        <w:instrText xml:space="preserve"> PAGEREF _Toc221110104 \h </w:instrText>
      </w:r>
      <w:r>
        <w:fldChar w:fldCharType="separate"/>
      </w:r>
      <w:r>
        <w:t>234</w:t>
      </w:r>
      <w:r>
        <w:fldChar w:fldCharType="end"/>
      </w:r>
    </w:p>
    <w:p>
      <w:pPr>
        <w:pStyle w:val="TOC4"/>
        <w:tabs>
          <w:tab w:val="right" w:leader="dot" w:pos="7077"/>
        </w:tabs>
        <w:rPr>
          <w:rFonts w:asciiTheme="minorHAnsi" w:eastAsiaTheme="minorEastAsia" w:hAnsiTheme="minorHAnsi" w:cstheme="minorBidi"/>
          <w:b w:val="0"/>
          <w:szCs w:val="22"/>
        </w:rPr>
      </w:pPr>
      <w:r>
        <w:t>Part 3 — Procedure for the making of a Rule by the AEMC</w:t>
      </w:r>
    </w:p>
    <w:p>
      <w:pPr>
        <w:pStyle w:val="TOC8"/>
        <w:rPr>
          <w:rFonts w:asciiTheme="minorHAnsi" w:eastAsiaTheme="minorEastAsia" w:hAnsiTheme="minorHAnsi" w:cstheme="minorBidi"/>
          <w:szCs w:val="22"/>
        </w:rPr>
      </w:pPr>
      <w:r>
        <w:t>295.</w:t>
      </w:r>
      <w:r>
        <w:tab/>
        <w:t>Initiation of making of a Rule</w:t>
      </w:r>
      <w:r>
        <w:tab/>
      </w:r>
      <w:r>
        <w:fldChar w:fldCharType="begin"/>
      </w:r>
      <w:r>
        <w:instrText xml:space="preserve"> PAGEREF _Toc221110106 \h </w:instrText>
      </w:r>
      <w:r>
        <w:fldChar w:fldCharType="separate"/>
      </w:r>
      <w:r>
        <w:t>235</w:t>
      </w:r>
      <w:r>
        <w:fldChar w:fldCharType="end"/>
      </w:r>
    </w:p>
    <w:p>
      <w:pPr>
        <w:pStyle w:val="TOC8"/>
        <w:rPr>
          <w:rFonts w:asciiTheme="minorHAnsi" w:eastAsiaTheme="minorEastAsia" w:hAnsiTheme="minorHAnsi" w:cstheme="minorBidi"/>
          <w:szCs w:val="22"/>
        </w:rPr>
      </w:pPr>
      <w:r>
        <w:t>296.</w:t>
      </w:r>
      <w:r>
        <w:tab/>
        <w:t>AEMC may make more preferable Rule in certain cases</w:t>
      </w:r>
      <w:r>
        <w:tab/>
      </w:r>
      <w:r>
        <w:fldChar w:fldCharType="begin"/>
      </w:r>
      <w:r>
        <w:instrText xml:space="preserve"> PAGEREF _Toc221110107 \h </w:instrText>
      </w:r>
      <w:r>
        <w:fldChar w:fldCharType="separate"/>
      </w:r>
      <w:r>
        <w:t>236</w:t>
      </w:r>
      <w:r>
        <w:fldChar w:fldCharType="end"/>
      </w:r>
    </w:p>
    <w:p>
      <w:pPr>
        <w:pStyle w:val="TOC8"/>
        <w:rPr>
          <w:rFonts w:asciiTheme="minorHAnsi" w:eastAsiaTheme="minorEastAsia" w:hAnsiTheme="minorHAnsi" w:cstheme="minorBidi"/>
          <w:szCs w:val="22"/>
        </w:rPr>
      </w:pPr>
      <w:r>
        <w:t>297.</w:t>
      </w:r>
      <w:r>
        <w:tab/>
        <w:t>AEMC may make Rules that are consequential to a Rule request</w:t>
      </w:r>
      <w:r>
        <w:tab/>
      </w:r>
      <w:r>
        <w:fldChar w:fldCharType="begin"/>
      </w:r>
      <w:r>
        <w:instrText xml:space="preserve"> PAGEREF _Toc221110108 \h </w:instrText>
      </w:r>
      <w:r>
        <w:fldChar w:fldCharType="separate"/>
      </w:r>
      <w:r>
        <w:t>236</w:t>
      </w:r>
      <w:r>
        <w:fldChar w:fldCharType="end"/>
      </w:r>
    </w:p>
    <w:p>
      <w:pPr>
        <w:pStyle w:val="TOC8"/>
        <w:rPr>
          <w:rFonts w:asciiTheme="minorHAnsi" w:eastAsiaTheme="minorEastAsia" w:hAnsiTheme="minorHAnsi" w:cstheme="minorBidi"/>
          <w:szCs w:val="22"/>
        </w:rPr>
      </w:pPr>
      <w:r>
        <w:t>298.</w:t>
      </w:r>
      <w:r>
        <w:tab/>
        <w:t>Content of requests for a Rule</w:t>
      </w:r>
      <w:r>
        <w:tab/>
      </w:r>
      <w:r>
        <w:fldChar w:fldCharType="begin"/>
      </w:r>
      <w:r>
        <w:instrText xml:space="preserve"> PAGEREF _Toc221110109 \h </w:instrText>
      </w:r>
      <w:r>
        <w:fldChar w:fldCharType="separate"/>
      </w:r>
      <w:r>
        <w:t>236</w:t>
      </w:r>
      <w:r>
        <w:fldChar w:fldCharType="end"/>
      </w:r>
    </w:p>
    <w:p>
      <w:pPr>
        <w:pStyle w:val="TOC8"/>
        <w:rPr>
          <w:rFonts w:asciiTheme="minorHAnsi" w:eastAsiaTheme="minorEastAsia" w:hAnsiTheme="minorHAnsi" w:cstheme="minorBidi"/>
          <w:szCs w:val="22"/>
        </w:rPr>
      </w:pPr>
      <w:r>
        <w:t>299.</w:t>
      </w:r>
      <w:r>
        <w:tab/>
        <w:t>Waiver of fee for Rule requests</w:t>
      </w:r>
      <w:r>
        <w:tab/>
      </w:r>
      <w:r>
        <w:fldChar w:fldCharType="begin"/>
      </w:r>
      <w:r>
        <w:instrText xml:space="preserve"> PAGEREF _Toc221110110 \h </w:instrText>
      </w:r>
      <w:r>
        <w:fldChar w:fldCharType="separate"/>
      </w:r>
      <w:r>
        <w:t>236</w:t>
      </w:r>
      <w:r>
        <w:fldChar w:fldCharType="end"/>
      </w:r>
    </w:p>
    <w:p>
      <w:pPr>
        <w:pStyle w:val="TOC8"/>
        <w:rPr>
          <w:rFonts w:asciiTheme="minorHAnsi" w:eastAsiaTheme="minorEastAsia" w:hAnsiTheme="minorHAnsi" w:cstheme="minorBidi"/>
          <w:szCs w:val="22"/>
        </w:rPr>
      </w:pPr>
      <w:r>
        <w:t>300.</w:t>
      </w:r>
      <w:r>
        <w:tab/>
        <w:t>Consolidation of 2 or more Rule requests</w:t>
      </w:r>
      <w:r>
        <w:tab/>
      </w:r>
      <w:r>
        <w:fldChar w:fldCharType="begin"/>
      </w:r>
      <w:r>
        <w:instrText xml:space="preserve"> PAGEREF _Toc221110111 \h </w:instrText>
      </w:r>
      <w:r>
        <w:fldChar w:fldCharType="separate"/>
      </w:r>
      <w:r>
        <w:t>237</w:t>
      </w:r>
      <w:r>
        <w:fldChar w:fldCharType="end"/>
      </w:r>
    </w:p>
    <w:p>
      <w:pPr>
        <w:pStyle w:val="TOC8"/>
        <w:rPr>
          <w:rFonts w:asciiTheme="minorHAnsi" w:eastAsiaTheme="minorEastAsia" w:hAnsiTheme="minorHAnsi" w:cstheme="minorBidi"/>
          <w:szCs w:val="22"/>
        </w:rPr>
      </w:pPr>
      <w:r>
        <w:lastRenderedPageBreak/>
        <w:t>301.</w:t>
      </w:r>
      <w:r>
        <w:tab/>
        <w:t>Initial consideration of request for Rule</w:t>
      </w:r>
      <w:r>
        <w:tab/>
      </w:r>
      <w:r>
        <w:fldChar w:fldCharType="begin"/>
      </w:r>
      <w:r>
        <w:instrText xml:space="preserve"> PAGEREF _Toc221110112 \h </w:instrText>
      </w:r>
      <w:r>
        <w:fldChar w:fldCharType="separate"/>
      </w:r>
      <w:r>
        <w:t>237</w:t>
      </w:r>
      <w:r>
        <w:fldChar w:fldCharType="end"/>
      </w:r>
    </w:p>
    <w:p>
      <w:pPr>
        <w:pStyle w:val="TOC8"/>
        <w:rPr>
          <w:rFonts w:asciiTheme="minorHAnsi" w:eastAsiaTheme="minorEastAsia" w:hAnsiTheme="minorHAnsi" w:cstheme="minorBidi"/>
          <w:szCs w:val="22"/>
        </w:rPr>
      </w:pPr>
      <w:r>
        <w:t>302.</w:t>
      </w:r>
      <w:r>
        <w:tab/>
        <w:t>AEMC may request further information from Rule proponent in certain cases</w:t>
      </w:r>
      <w:r>
        <w:tab/>
      </w:r>
      <w:r>
        <w:fldChar w:fldCharType="begin"/>
      </w:r>
      <w:r>
        <w:instrText xml:space="preserve"> PAGEREF _Toc221110113 \h </w:instrText>
      </w:r>
      <w:r>
        <w:fldChar w:fldCharType="separate"/>
      </w:r>
      <w:r>
        <w:t>239</w:t>
      </w:r>
      <w:r>
        <w:fldChar w:fldCharType="end"/>
      </w:r>
    </w:p>
    <w:p>
      <w:pPr>
        <w:pStyle w:val="TOC8"/>
        <w:rPr>
          <w:rFonts w:asciiTheme="minorHAnsi" w:eastAsiaTheme="minorEastAsia" w:hAnsiTheme="minorHAnsi" w:cstheme="minorBidi"/>
          <w:szCs w:val="22"/>
        </w:rPr>
      </w:pPr>
      <w:r>
        <w:t>303.</w:t>
      </w:r>
      <w:r>
        <w:tab/>
        <w:t>Notice of proposed Rule</w:t>
      </w:r>
      <w:r>
        <w:tab/>
      </w:r>
      <w:r>
        <w:fldChar w:fldCharType="begin"/>
      </w:r>
      <w:r>
        <w:instrText xml:space="preserve"> PAGEREF _Toc221110114 \h </w:instrText>
      </w:r>
      <w:r>
        <w:fldChar w:fldCharType="separate"/>
      </w:r>
      <w:r>
        <w:t>239</w:t>
      </w:r>
      <w:r>
        <w:fldChar w:fldCharType="end"/>
      </w:r>
    </w:p>
    <w:p>
      <w:pPr>
        <w:pStyle w:val="TOC8"/>
        <w:rPr>
          <w:rFonts w:asciiTheme="minorHAnsi" w:eastAsiaTheme="minorEastAsia" w:hAnsiTheme="minorHAnsi" w:cstheme="minorBidi"/>
          <w:szCs w:val="22"/>
        </w:rPr>
      </w:pPr>
      <w:r>
        <w:t>304.</w:t>
      </w:r>
      <w:r>
        <w:tab/>
        <w:t>Publication of non</w:t>
      </w:r>
      <w:r>
        <w:noBreakHyphen/>
        <w:t>controversial or urgent final Rule determination</w:t>
      </w:r>
      <w:r>
        <w:tab/>
      </w:r>
      <w:r>
        <w:fldChar w:fldCharType="begin"/>
      </w:r>
      <w:r>
        <w:instrText xml:space="preserve"> PAGEREF _Toc221110115 \h </w:instrText>
      </w:r>
      <w:r>
        <w:fldChar w:fldCharType="separate"/>
      </w:r>
      <w:r>
        <w:t>240</w:t>
      </w:r>
      <w:r>
        <w:fldChar w:fldCharType="end"/>
      </w:r>
    </w:p>
    <w:p>
      <w:pPr>
        <w:pStyle w:val="TOC8"/>
        <w:rPr>
          <w:rFonts w:asciiTheme="minorHAnsi" w:eastAsiaTheme="minorEastAsia" w:hAnsiTheme="minorHAnsi" w:cstheme="minorBidi"/>
          <w:szCs w:val="22"/>
        </w:rPr>
      </w:pPr>
      <w:r>
        <w:t>305.</w:t>
      </w:r>
      <w:r>
        <w:tab/>
        <w:t>“Fast track” Rules where previous public consultation by gas market regulatory body or an AEMC review</w:t>
      </w:r>
      <w:r>
        <w:tab/>
      </w:r>
      <w:r>
        <w:fldChar w:fldCharType="begin"/>
      </w:r>
      <w:r>
        <w:instrText xml:space="preserve"> PAGEREF _Toc221110116 \h </w:instrText>
      </w:r>
      <w:r>
        <w:fldChar w:fldCharType="separate"/>
      </w:r>
      <w:r>
        <w:t>241</w:t>
      </w:r>
      <w:r>
        <w:fldChar w:fldCharType="end"/>
      </w:r>
    </w:p>
    <w:p>
      <w:pPr>
        <w:pStyle w:val="TOC8"/>
        <w:rPr>
          <w:rFonts w:asciiTheme="minorHAnsi" w:eastAsiaTheme="minorEastAsia" w:hAnsiTheme="minorHAnsi" w:cstheme="minorBidi"/>
          <w:szCs w:val="22"/>
        </w:rPr>
      </w:pPr>
      <w:r>
        <w:t>306.</w:t>
      </w:r>
      <w:r>
        <w:tab/>
        <w:t>Right to make written submissions and comments</w:t>
      </w:r>
      <w:r>
        <w:tab/>
      </w:r>
      <w:r>
        <w:fldChar w:fldCharType="begin"/>
      </w:r>
      <w:r>
        <w:instrText xml:space="preserve"> PAGEREF _Toc221110117 \h </w:instrText>
      </w:r>
      <w:r>
        <w:fldChar w:fldCharType="separate"/>
      </w:r>
      <w:r>
        <w:t>243</w:t>
      </w:r>
      <w:r>
        <w:fldChar w:fldCharType="end"/>
      </w:r>
    </w:p>
    <w:p>
      <w:pPr>
        <w:pStyle w:val="TOC8"/>
        <w:rPr>
          <w:rFonts w:asciiTheme="minorHAnsi" w:eastAsiaTheme="minorEastAsia" w:hAnsiTheme="minorHAnsi" w:cstheme="minorBidi"/>
          <w:szCs w:val="22"/>
        </w:rPr>
      </w:pPr>
      <w:r>
        <w:t>307.</w:t>
      </w:r>
      <w:r>
        <w:tab/>
        <w:t>AEMC may hold public hearings before draft Rule determination</w:t>
      </w:r>
      <w:r>
        <w:tab/>
      </w:r>
      <w:r>
        <w:fldChar w:fldCharType="begin"/>
      </w:r>
      <w:r>
        <w:instrText xml:space="preserve"> PAGEREF _Toc221110118 \h </w:instrText>
      </w:r>
      <w:r>
        <w:fldChar w:fldCharType="separate"/>
      </w:r>
      <w:r>
        <w:t>243</w:t>
      </w:r>
      <w:r>
        <w:fldChar w:fldCharType="end"/>
      </w:r>
    </w:p>
    <w:p>
      <w:pPr>
        <w:pStyle w:val="TOC8"/>
        <w:rPr>
          <w:rFonts w:asciiTheme="minorHAnsi" w:eastAsiaTheme="minorEastAsia" w:hAnsiTheme="minorHAnsi" w:cstheme="minorBidi"/>
          <w:szCs w:val="22"/>
        </w:rPr>
      </w:pPr>
      <w:r>
        <w:t>308.</w:t>
      </w:r>
      <w:r>
        <w:tab/>
        <w:t>Draft Rule determination</w:t>
      </w:r>
      <w:r>
        <w:tab/>
      </w:r>
      <w:r>
        <w:fldChar w:fldCharType="begin"/>
      </w:r>
      <w:r>
        <w:instrText xml:space="preserve"> PAGEREF _Toc221110119 \h </w:instrText>
      </w:r>
      <w:r>
        <w:fldChar w:fldCharType="separate"/>
      </w:r>
      <w:r>
        <w:t>243</w:t>
      </w:r>
      <w:r>
        <w:fldChar w:fldCharType="end"/>
      </w:r>
    </w:p>
    <w:p>
      <w:pPr>
        <w:pStyle w:val="TOC8"/>
        <w:rPr>
          <w:rFonts w:asciiTheme="minorHAnsi" w:eastAsiaTheme="minorEastAsia" w:hAnsiTheme="minorHAnsi" w:cstheme="minorBidi"/>
          <w:szCs w:val="22"/>
        </w:rPr>
      </w:pPr>
      <w:r>
        <w:t>309.</w:t>
      </w:r>
      <w:r>
        <w:tab/>
        <w:t>Right to make written submissions and comments in relation to draft Rule determination</w:t>
      </w:r>
      <w:r>
        <w:tab/>
      </w:r>
      <w:r>
        <w:fldChar w:fldCharType="begin"/>
      </w:r>
      <w:r>
        <w:instrText xml:space="preserve"> PAGEREF _Toc221110120 \h </w:instrText>
      </w:r>
      <w:r>
        <w:fldChar w:fldCharType="separate"/>
      </w:r>
      <w:r>
        <w:t>245</w:t>
      </w:r>
      <w:r>
        <w:fldChar w:fldCharType="end"/>
      </w:r>
    </w:p>
    <w:p>
      <w:pPr>
        <w:pStyle w:val="TOC8"/>
        <w:rPr>
          <w:rFonts w:asciiTheme="minorHAnsi" w:eastAsiaTheme="minorEastAsia" w:hAnsiTheme="minorHAnsi" w:cstheme="minorBidi"/>
          <w:szCs w:val="22"/>
        </w:rPr>
      </w:pPr>
      <w:r>
        <w:t>310.</w:t>
      </w:r>
      <w:r>
        <w:tab/>
        <w:t>Pre</w:t>
      </w:r>
      <w:r>
        <w:noBreakHyphen/>
        <w:t>final Rule determination hearing may be held</w:t>
      </w:r>
      <w:r>
        <w:tab/>
      </w:r>
      <w:r>
        <w:fldChar w:fldCharType="begin"/>
      </w:r>
      <w:r>
        <w:instrText xml:space="preserve"> PAGEREF _Toc221110121 \h </w:instrText>
      </w:r>
      <w:r>
        <w:fldChar w:fldCharType="separate"/>
      </w:r>
      <w:r>
        <w:t>246</w:t>
      </w:r>
      <w:r>
        <w:fldChar w:fldCharType="end"/>
      </w:r>
    </w:p>
    <w:p>
      <w:pPr>
        <w:pStyle w:val="TOC8"/>
        <w:rPr>
          <w:rFonts w:asciiTheme="minorHAnsi" w:eastAsiaTheme="minorEastAsia" w:hAnsiTheme="minorHAnsi" w:cstheme="minorBidi"/>
          <w:szCs w:val="22"/>
        </w:rPr>
      </w:pPr>
      <w:r>
        <w:t>311.</w:t>
      </w:r>
      <w:r>
        <w:tab/>
        <w:t>Final Rule determination</w:t>
      </w:r>
      <w:r>
        <w:tab/>
      </w:r>
      <w:r>
        <w:fldChar w:fldCharType="begin"/>
      </w:r>
      <w:r>
        <w:instrText xml:space="preserve"> PAGEREF _Toc221110122 \h </w:instrText>
      </w:r>
      <w:r>
        <w:fldChar w:fldCharType="separate"/>
      </w:r>
      <w:r>
        <w:t>247</w:t>
      </w:r>
      <w:r>
        <w:fldChar w:fldCharType="end"/>
      </w:r>
    </w:p>
    <w:p>
      <w:pPr>
        <w:pStyle w:val="TOC8"/>
        <w:rPr>
          <w:rFonts w:asciiTheme="minorHAnsi" w:eastAsiaTheme="minorEastAsia" w:hAnsiTheme="minorHAnsi" w:cstheme="minorBidi"/>
          <w:szCs w:val="22"/>
        </w:rPr>
      </w:pPr>
      <w:r>
        <w:t>312.</w:t>
      </w:r>
      <w:r>
        <w:tab/>
        <w:t>Further draft Rule determination may be made where proposed Rule is a proposed more preferable Rule</w:t>
      </w:r>
      <w:r>
        <w:tab/>
      </w:r>
      <w:r>
        <w:fldChar w:fldCharType="begin"/>
      </w:r>
      <w:r>
        <w:instrText xml:space="preserve"> PAGEREF _Toc221110123 \h </w:instrText>
      </w:r>
      <w:r>
        <w:fldChar w:fldCharType="separate"/>
      </w:r>
      <w:r>
        <w:t>248</w:t>
      </w:r>
      <w:r>
        <w:fldChar w:fldCharType="end"/>
      </w:r>
    </w:p>
    <w:p>
      <w:pPr>
        <w:pStyle w:val="TOC8"/>
        <w:rPr>
          <w:rFonts w:asciiTheme="minorHAnsi" w:eastAsiaTheme="minorEastAsia" w:hAnsiTheme="minorHAnsi" w:cstheme="minorBidi"/>
          <w:szCs w:val="22"/>
        </w:rPr>
      </w:pPr>
      <w:r>
        <w:t>313.</w:t>
      </w:r>
      <w:r>
        <w:tab/>
        <w:t>Making of Rule</w:t>
      </w:r>
      <w:r>
        <w:tab/>
      </w:r>
      <w:r>
        <w:fldChar w:fldCharType="begin"/>
      </w:r>
      <w:r>
        <w:instrText xml:space="preserve"> PAGEREF _Toc221110124 \h </w:instrText>
      </w:r>
      <w:r>
        <w:fldChar w:fldCharType="separate"/>
      </w:r>
      <w:r>
        <w:t>248</w:t>
      </w:r>
      <w:r>
        <w:fldChar w:fldCharType="end"/>
      </w:r>
    </w:p>
    <w:p>
      <w:pPr>
        <w:pStyle w:val="TOC8"/>
        <w:rPr>
          <w:rFonts w:asciiTheme="minorHAnsi" w:eastAsiaTheme="minorEastAsia" w:hAnsiTheme="minorHAnsi" w:cstheme="minorBidi"/>
          <w:szCs w:val="22"/>
        </w:rPr>
      </w:pPr>
      <w:r>
        <w:t>314.</w:t>
      </w:r>
      <w:r>
        <w:tab/>
        <w:t>Operation and commencement of Rule</w:t>
      </w:r>
      <w:r>
        <w:tab/>
      </w:r>
      <w:r>
        <w:fldChar w:fldCharType="begin"/>
      </w:r>
      <w:r>
        <w:instrText xml:space="preserve"> PAGEREF _Toc221110125 \h </w:instrText>
      </w:r>
      <w:r>
        <w:fldChar w:fldCharType="separate"/>
      </w:r>
      <w:r>
        <w:t>249</w:t>
      </w:r>
      <w:r>
        <w:fldChar w:fldCharType="end"/>
      </w:r>
    </w:p>
    <w:p>
      <w:pPr>
        <w:pStyle w:val="TOC8"/>
        <w:rPr>
          <w:rFonts w:asciiTheme="minorHAnsi" w:eastAsiaTheme="minorEastAsia" w:hAnsiTheme="minorHAnsi" w:cstheme="minorBidi"/>
          <w:szCs w:val="22"/>
        </w:rPr>
      </w:pPr>
      <w:r>
        <w:t>315.</w:t>
      </w:r>
      <w:r>
        <w:tab/>
        <w:t>Rule that is made to be published on website and made available to the public</w:t>
      </w:r>
      <w:r>
        <w:tab/>
      </w:r>
      <w:r>
        <w:fldChar w:fldCharType="begin"/>
      </w:r>
      <w:r>
        <w:instrText xml:space="preserve"> PAGEREF _Toc221110126 \h </w:instrText>
      </w:r>
      <w:r>
        <w:fldChar w:fldCharType="separate"/>
      </w:r>
      <w:r>
        <w:t>249</w:t>
      </w:r>
      <w:r>
        <w:fldChar w:fldCharType="end"/>
      </w:r>
    </w:p>
    <w:p>
      <w:pPr>
        <w:pStyle w:val="TOC8"/>
        <w:rPr>
          <w:rFonts w:asciiTheme="minorHAnsi" w:eastAsiaTheme="minorEastAsia" w:hAnsiTheme="minorHAnsi" w:cstheme="minorBidi"/>
          <w:szCs w:val="22"/>
        </w:rPr>
      </w:pPr>
      <w:r>
        <w:t>316.</w:t>
      </w:r>
      <w:r>
        <w:tab/>
        <w:t>Evidence of the National Gas Rules</w:t>
      </w:r>
      <w:r>
        <w:tab/>
      </w:r>
      <w:r>
        <w:fldChar w:fldCharType="begin"/>
      </w:r>
      <w:r>
        <w:instrText xml:space="preserve"> PAGEREF _Toc221110127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Part 4 — Miscellaneous provisions relating to rule making by the AEMC</w:t>
      </w:r>
    </w:p>
    <w:p>
      <w:pPr>
        <w:pStyle w:val="TOC8"/>
        <w:rPr>
          <w:rFonts w:asciiTheme="minorHAnsi" w:eastAsiaTheme="minorEastAsia" w:hAnsiTheme="minorHAnsi" w:cstheme="minorBidi"/>
          <w:szCs w:val="22"/>
        </w:rPr>
      </w:pPr>
      <w:r>
        <w:t>317.</w:t>
      </w:r>
      <w:r>
        <w:tab/>
        <w:t>Extension of periods of time in Rule making procedure</w:t>
      </w:r>
      <w:r>
        <w:tab/>
      </w:r>
      <w:r>
        <w:fldChar w:fldCharType="begin"/>
      </w:r>
      <w:r>
        <w:instrText xml:space="preserve"> PAGEREF _Toc221110129 \h </w:instrText>
      </w:r>
      <w:r>
        <w:fldChar w:fldCharType="separate"/>
      </w:r>
      <w:r>
        <w:t>250</w:t>
      </w:r>
      <w:r>
        <w:fldChar w:fldCharType="end"/>
      </w:r>
    </w:p>
    <w:p>
      <w:pPr>
        <w:pStyle w:val="TOC8"/>
        <w:rPr>
          <w:rFonts w:asciiTheme="minorHAnsi" w:eastAsiaTheme="minorEastAsia" w:hAnsiTheme="minorHAnsi" w:cstheme="minorBidi"/>
          <w:szCs w:val="22"/>
        </w:rPr>
      </w:pPr>
      <w:r>
        <w:t>318.</w:t>
      </w:r>
      <w:r>
        <w:tab/>
        <w:t>AEMC may extend period of time for making of final Rule determination for further consultation</w:t>
      </w:r>
      <w:r>
        <w:tab/>
      </w:r>
      <w:r>
        <w:fldChar w:fldCharType="begin"/>
      </w:r>
      <w:r>
        <w:instrText xml:space="preserve"> PAGEREF _Toc221110130 \h </w:instrText>
      </w:r>
      <w:r>
        <w:fldChar w:fldCharType="separate"/>
      </w:r>
      <w:r>
        <w:t>250</w:t>
      </w:r>
      <w:r>
        <w:fldChar w:fldCharType="end"/>
      </w:r>
    </w:p>
    <w:p>
      <w:pPr>
        <w:pStyle w:val="TOC8"/>
        <w:rPr>
          <w:rFonts w:asciiTheme="minorHAnsi" w:eastAsiaTheme="minorEastAsia" w:hAnsiTheme="minorHAnsi" w:cstheme="minorBidi"/>
          <w:szCs w:val="22"/>
        </w:rPr>
      </w:pPr>
      <w:r>
        <w:t>319.</w:t>
      </w:r>
      <w:r>
        <w:tab/>
        <w:t>AEMC may publish written submissions and comments unless confidential</w:t>
      </w:r>
      <w:r>
        <w:tab/>
      </w:r>
      <w:r>
        <w:fldChar w:fldCharType="begin"/>
      </w:r>
      <w:r>
        <w:instrText xml:space="preserve"> PAGEREF _Toc221110131 \h </w:instrText>
      </w:r>
      <w:r>
        <w:fldChar w:fldCharType="separate"/>
      </w:r>
      <w:r>
        <w:t>251</w:t>
      </w:r>
      <w:r>
        <w:fldChar w:fldCharType="end"/>
      </w:r>
    </w:p>
    <w:p>
      <w:pPr>
        <w:pStyle w:val="TOC8"/>
        <w:rPr>
          <w:rFonts w:asciiTheme="minorHAnsi" w:eastAsiaTheme="minorEastAsia" w:hAnsiTheme="minorHAnsi" w:cstheme="minorBidi"/>
          <w:szCs w:val="22"/>
        </w:rPr>
      </w:pPr>
      <w:r>
        <w:t>320.</w:t>
      </w:r>
      <w:r>
        <w:tab/>
        <w:t>AEMC must publicly report on Rules not made within 12 months of public notification of requests</w:t>
      </w:r>
      <w:r>
        <w:tab/>
      </w:r>
      <w:r>
        <w:fldChar w:fldCharType="begin"/>
      </w:r>
      <w:r>
        <w:instrText xml:space="preserve"> PAGEREF _Toc221110132 \h </w:instrText>
      </w:r>
      <w:r>
        <w:fldChar w:fldCharType="separate"/>
      </w:r>
      <w:r>
        <w:t>252</w:t>
      </w:r>
      <w:r>
        <w:fldChar w:fldCharType="end"/>
      </w:r>
    </w:p>
    <w:p>
      <w:pPr>
        <w:pStyle w:val="TOC2"/>
        <w:tabs>
          <w:tab w:val="right" w:leader="dot" w:pos="7077"/>
        </w:tabs>
        <w:rPr>
          <w:rFonts w:asciiTheme="minorHAnsi" w:eastAsiaTheme="minorEastAsia" w:hAnsiTheme="minorHAnsi" w:cstheme="minorBidi"/>
          <w:b w:val="0"/>
          <w:sz w:val="22"/>
          <w:szCs w:val="22"/>
        </w:rPr>
      </w:pPr>
      <w:r>
        <w:t>Chapter 10 — General</w:t>
      </w:r>
    </w:p>
    <w:p>
      <w:pPr>
        <w:pStyle w:val="TOC4"/>
        <w:tabs>
          <w:tab w:val="right" w:leader="dot" w:pos="7077"/>
        </w:tabs>
        <w:rPr>
          <w:rFonts w:asciiTheme="minorHAnsi" w:eastAsiaTheme="minorEastAsia" w:hAnsiTheme="minorHAnsi" w:cstheme="minorBidi"/>
          <w:b w:val="0"/>
          <w:szCs w:val="22"/>
        </w:rPr>
      </w:pPr>
      <w:r>
        <w:t>Part 1 — Provisions relating to applicable access arrangements</w:t>
      </w:r>
    </w:p>
    <w:p>
      <w:pPr>
        <w:pStyle w:val="TOC8"/>
        <w:rPr>
          <w:rFonts w:asciiTheme="minorHAnsi" w:eastAsiaTheme="minorEastAsia" w:hAnsiTheme="minorHAnsi" w:cstheme="minorBidi"/>
          <w:szCs w:val="22"/>
        </w:rPr>
      </w:pPr>
      <w:r>
        <w:t>321.</w:t>
      </w:r>
      <w:r>
        <w:tab/>
        <w:t>Protection of certain pre</w:t>
      </w:r>
      <w:r>
        <w:noBreakHyphen/>
        <w:t>existing contractual rights</w:t>
      </w:r>
      <w:r>
        <w:tab/>
      </w:r>
      <w:r>
        <w:fldChar w:fldCharType="begin"/>
      </w:r>
      <w:r>
        <w:instrText xml:space="preserve"> PAGEREF _Toc221110135 \h </w:instrText>
      </w:r>
      <w:r>
        <w:fldChar w:fldCharType="separate"/>
      </w:r>
      <w:r>
        <w:t>254</w:t>
      </w:r>
      <w:r>
        <w:fldChar w:fldCharType="end"/>
      </w:r>
    </w:p>
    <w:p>
      <w:pPr>
        <w:pStyle w:val="TOC8"/>
        <w:rPr>
          <w:rFonts w:asciiTheme="minorHAnsi" w:eastAsiaTheme="minorEastAsia" w:hAnsiTheme="minorHAnsi" w:cstheme="minorBidi"/>
          <w:szCs w:val="22"/>
        </w:rPr>
      </w:pPr>
      <w:r>
        <w:lastRenderedPageBreak/>
        <w:t>322.</w:t>
      </w:r>
      <w:r>
        <w:tab/>
        <w:t>Service provider may enter into agreement for access different from applicable access arrangement</w:t>
      </w:r>
      <w:r>
        <w:tab/>
      </w:r>
      <w:r>
        <w:fldChar w:fldCharType="begin"/>
      </w:r>
      <w:r>
        <w:instrText xml:space="preserve"> PAGEREF _Toc221110136 \h </w:instrText>
      </w:r>
      <w:r>
        <w:fldChar w:fldCharType="separate"/>
      </w:r>
      <w:r>
        <w:t>255</w:t>
      </w:r>
      <w:r>
        <w:fldChar w:fldCharType="end"/>
      </w:r>
    </w:p>
    <w:p>
      <w:pPr>
        <w:pStyle w:val="TOC8"/>
        <w:rPr>
          <w:rFonts w:asciiTheme="minorHAnsi" w:eastAsiaTheme="minorEastAsia" w:hAnsiTheme="minorHAnsi" w:cstheme="minorBidi"/>
          <w:szCs w:val="22"/>
        </w:rPr>
      </w:pPr>
      <w:r>
        <w:t>323.</w:t>
      </w:r>
      <w:r>
        <w:tab/>
        <w:t>Applicable access arrangements continue to apply regardless of who provides pipeline service</w:t>
      </w:r>
      <w:r>
        <w:tab/>
      </w:r>
      <w:r>
        <w:fldChar w:fldCharType="begin"/>
      </w:r>
      <w:r>
        <w:instrText xml:space="preserve"> PAGEREF _Toc221110137 \h </w:instrText>
      </w:r>
      <w:r>
        <w:fldChar w:fldCharType="separate"/>
      </w:r>
      <w:r>
        <w:t>255</w:t>
      </w:r>
      <w:r>
        <w:fldChar w:fldCharType="end"/>
      </w:r>
    </w:p>
    <w:p>
      <w:pPr>
        <w:pStyle w:val="TOC4"/>
        <w:tabs>
          <w:tab w:val="right" w:leader="dot" w:pos="7077"/>
        </w:tabs>
        <w:rPr>
          <w:rFonts w:asciiTheme="minorHAnsi" w:eastAsiaTheme="minorEastAsia" w:hAnsiTheme="minorHAnsi" w:cstheme="minorBidi"/>
          <w:b w:val="0"/>
          <w:szCs w:val="22"/>
        </w:rPr>
      </w:pPr>
      <w:r>
        <w:t>Part 2 — Handling of confidential information</w:t>
      </w:r>
    </w:p>
    <w:p>
      <w:pPr>
        <w:pStyle w:val="TOC6"/>
        <w:tabs>
          <w:tab w:val="right" w:leader="dot" w:pos="7077"/>
        </w:tabs>
        <w:rPr>
          <w:rFonts w:asciiTheme="minorHAnsi" w:eastAsiaTheme="minorEastAsia" w:hAnsiTheme="minorHAnsi" w:cstheme="minorBidi"/>
          <w:b w:val="0"/>
          <w:sz w:val="22"/>
          <w:szCs w:val="22"/>
        </w:rPr>
      </w:pPr>
      <w:r>
        <w:t>Division 1 — Disclosure of confidential information held by AER</w:t>
      </w:r>
    </w:p>
    <w:p>
      <w:pPr>
        <w:pStyle w:val="TOC8"/>
        <w:rPr>
          <w:rFonts w:asciiTheme="minorHAnsi" w:eastAsiaTheme="minorEastAsia" w:hAnsiTheme="minorHAnsi" w:cstheme="minorBidi"/>
          <w:szCs w:val="22"/>
        </w:rPr>
      </w:pPr>
      <w:r>
        <w:t>324.</w:t>
      </w:r>
      <w:r>
        <w:tab/>
        <w:t>Authorised disclosure of information given to the AER in confidence</w:t>
      </w:r>
      <w:r>
        <w:tab/>
      </w:r>
      <w:r>
        <w:fldChar w:fldCharType="begin"/>
      </w:r>
      <w:r>
        <w:instrText xml:space="preserve"> PAGEREF _Toc221110140 \h </w:instrText>
      </w:r>
      <w:r>
        <w:fldChar w:fldCharType="separate"/>
      </w:r>
      <w:r>
        <w:t>256</w:t>
      </w:r>
      <w:r>
        <w:fldChar w:fldCharType="end"/>
      </w:r>
    </w:p>
    <w:p>
      <w:pPr>
        <w:pStyle w:val="TOC8"/>
        <w:rPr>
          <w:rFonts w:asciiTheme="minorHAnsi" w:eastAsiaTheme="minorEastAsia" w:hAnsiTheme="minorHAnsi" w:cstheme="minorBidi"/>
          <w:szCs w:val="22"/>
        </w:rPr>
      </w:pPr>
      <w:r>
        <w:t>325.</w:t>
      </w:r>
      <w:r>
        <w:tab/>
        <w:t>Disclosure with prior written consent is authorised</w:t>
      </w:r>
      <w:r>
        <w:tab/>
      </w:r>
      <w:r>
        <w:fldChar w:fldCharType="begin"/>
      </w:r>
      <w:r>
        <w:instrText xml:space="preserve"> PAGEREF _Toc221110141 \h </w:instrText>
      </w:r>
      <w:r>
        <w:fldChar w:fldCharType="separate"/>
      </w:r>
      <w:r>
        <w:t>256</w:t>
      </w:r>
      <w:r>
        <w:fldChar w:fldCharType="end"/>
      </w:r>
    </w:p>
    <w:p>
      <w:pPr>
        <w:pStyle w:val="TOC8"/>
        <w:rPr>
          <w:rFonts w:asciiTheme="minorHAnsi" w:eastAsiaTheme="minorEastAsia" w:hAnsiTheme="minorHAnsi" w:cstheme="minorBidi"/>
          <w:szCs w:val="22"/>
        </w:rPr>
      </w:pPr>
      <w:r>
        <w:t>326.</w:t>
      </w:r>
      <w:r>
        <w:tab/>
        <w:t>Disclosure for purposes of court and tribunal proceedings and to accord natural justice</w:t>
      </w:r>
      <w:r>
        <w:tab/>
      </w:r>
      <w:r>
        <w:fldChar w:fldCharType="begin"/>
      </w:r>
      <w:r>
        <w:instrText xml:space="preserve"> PAGEREF _Toc221110142 \h </w:instrText>
      </w:r>
      <w:r>
        <w:fldChar w:fldCharType="separate"/>
      </w:r>
      <w:r>
        <w:t>256</w:t>
      </w:r>
      <w:r>
        <w:fldChar w:fldCharType="end"/>
      </w:r>
    </w:p>
    <w:p>
      <w:pPr>
        <w:pStyle w:val="TOC8"/>
        <w:rPr>
          <w:rFonts w:asciiTheme="minorHAnsi" w:eastAsiaTheme="minorEastAsia" w:hAnsiTheme="minorHAnsi" w:cstheme="minorBidi"/>
          <w:szCs w:val="22"/>
        </w:rPr>
      </w:pPr>
      <w:r>
        <w:t>327.</w:t>
      </w:r>
      <w:r>
        <w:tab/>
        <w:t>Disclosure of information given to the AER with confidential information omitted</w:t>
      </w:r>
      <w:r>
        <w:tab/>
      </w:r>
      <w:r>
        <w:fldChar w:fldCharType="begin"/>
      </w:r>
      <w:r>
        <w:instrText xml:space="preserve"> PAGEREF _Toc221110143 \h </w:instrText>
      </w:r>
      <w:r>
        <w:fldChar w:fldCharType="separate"/>
      </w:r>
      <w:r>
        <w:t>257</w:t>
      </w:r>
      <w:r>
        <w:fldChar w:fldCharType="end"/>
      </w:r>
    </w:p>
    <w:p>
      <w:pPr>
        <w:pStyle w:val="TOC8"/>
        <w:rPr>
          <w:rFonts w:asciiTheme="minorHAnsi" w:eastAsiaTheme="minorEastAsia" w:hAnsiTheme="minorHAnsi" w:cstheme="minorBidi"/>
          <w:szCs w:val="22"/>
        </w:rPr>
      </w:pPr>
      <w:r>
        <w:t>328.</w:t>
      </w:r>
      <w:r>
        <w:tab/>
        <w:t>Disclosure of information given in confidence does not identify anyone</w:t>
      </w:r>
      <w:r>
        <w:tab/>
      </w:r>
      <w:r>
        <w:fldChar w:fldCharType="begin"/>
      </w:r>
      <w:r>
        <w:instrText xml:space="preserve"> PAGEREF _Toc221110144 \h </w:instrText>
      </w:r>
      <w:r>
        <w:fldChar w:fldCharType="separate"/>
      </w:r>
      <w:r>
        <w:t>257</w:t>
      </w:r>
      <w:r>
        <w:fldChar w:fldCharType="end"/>
      </w:r>
    </w:p>
    <w:p>
      <w:pPr>
        <w:pStyle w:val="TOC8"/>
        <w:rPr>
          <w:rFonts w:asciiTheme="minorHAnsi" w:eastAsiaTheme="minorEastAsia" w:hAnsiTheme="minorHAnsi" w:cstheme="minorBidi"/>
          <w:szCs w:val="22"/>
        </w:rPr>
      </w:pPr>
      <w:r>
        <w:t>329.</w:t>
      </w:r>
      <w:r>
        <w:tab/>
        <w:t>Disclosure of confidential information authorised if detriment does not outweigh public benefit</w:t>
      </w:r>
      <w:r>
        <w:tab/>
      </w:r>
      <w:r>
        <w:fldChar w:fldCharType="begin"/>
      </w:r>
      <w:r>
        <w:instrText xml:space="preserve"> PAGEREF _Toc221110145 \h </w:instrText>
      </w:r>
      <w:r>
        <w:fldChar w:fldCharType="separate"/>
      </w:r>
      <w:r>
        <w:t>258</w:t>
      </w:r>
      <w:r>
        <w:fldChar w:fldCharType="end"/>
      </w:r>
    </w:p>
    <w:p>
      <w:pPr>
        <w:pStyle w:val="TOC6"/>
        <w:tabs>
          <w:tab w:val="right" w:leader="dot" w:pos="7077"/>
        </w:tabs>
        <w:rPr>
          <w:rFonts w:asciiTheme="minorHAnsi" w:eastAsiaTheme="minorEastAsia" w:hAnsiTheme="minorHAnsi" w:cstheme="minorBidi"/>
          <w:b w:val="0"/>
          <w:sz w:val="22"/>
          <w:szCs w:val="22"/>
        </w:rPr>
      </w:pPr>
      <w:r>
        <w:t>Division 2 — Disclosure of confidential information held by relevant Ministers, NCC and AEMC</w:t>
      </w:r>
    </w:p>
    <w:p>
      <w:pPr>
        <w:pStyle w:val="TOC8"/>
        <w:rPr>
          <w:rFonts w:asciiTheme="minorHAnsi" w:eastAsiaTheme="minorEastAsia" w:hAnsiTheme="minorHAnsi" w:cstheme="minorBidi"/>
          <w:szCs w:val="22"/>
        </w:rPr>
      </w:pPr>
      <w:r>
        <w:t>330.</w:t>
      </w:r>
      <w:r>
        <w:tab/>
        <w:t>Definitions</w:t>
      </w:r>
      <w:r>
        <w:tab/>
      </w:r>
      <w:r>
        <w:fldChar w:fldCharType="begin"/>
      </w:r>
      <w:r>
        <w:instrText xml:space="preserve"> PAGEREF _Toc221110147 \h </w:instrText>
      </w:r>
      <w:r>
        <w:fldChar w:fldCharType="separate"/>
      </w:r>
      <w:r>
        <w:t>261</w:t>
      </w:r>
      <w:r>
        <w:fldChar w:fldCharType="end"/>
      </w:r>
    </w:p>
    <w:p>
      <w:pPr>
        <w:pStyle w:val="TOC8"/>
        <w:rPr>
          <w:rFonts w:asciiTheme="minorHAnsi" w:eastAsiaTheme="minorEastAsia" w:hAnsiTheme="minorHAnsi" w:cstheme="minorBidi"/>
          <w:szCs w:val="22"/>
        </w:rPr>
      </w:pPr>
      <w:r>
        <w:t>331.</w:t>
      </w:r>
      <w:r>
        <w:tab/>
        <w:t>Confidentiality of information received for scheme procedure purpose and for making of scheme decision</w:t>
      </w:r>
      <w:r>
        <w:tab/>
      </w:r>
      <w:r>
        <w:fldChar w:fldCharType="begin"/>
      </w:r>
      <w:r>
        <w:instrText xml:space="preserve"> PAGEREF _Toc221110148 \h </w:instrText>
      </w:r>
      <w:r>
        <w:fldChar w:fldCharType="separate"/>
      </w:r>
      <w:r>
        <w:t>262</w:t>
      </w:r>
      <w:r>
        <w:fldChar w:fldCharType="end"/>
      </w:r>
    </w:p>
    <w:p>
      <w:pPr>
        <w:pStyle w:val="TOC4"/>
        <w:tabs>
          <w:tab w:val="right" w:leader="dot" w:pos="7077"/>
        </w:tabs>
        <w:rPr>
          <w:rFonts w:asciiTheme="minorHAnsi" w:eastAsiaTheme="minorEastAsia" w:hAnsiTheme="minorHAnsi" w:cstheme="minorBidi"/>
          <w:b w:val="0"/>
          <w:szCs w:val="22"/>
        </w:rPr>
      </w:pPr>
      <w:r>
        <w:t>Part 3 — Miscellaneous</w:t>
      </w:r>
    </w:p>
    <w:p>
      <w:pPr>
        <w:pStyle w:val="TOC8"/>
        <w:rPr>
          <w:rFonts w:asciiTheme="minorHAnsi" w:eastAsiaTheme="minorEastAsia" w:hAnsiTheme="minorHAnsi" w:cstheme="minorBidi"/>
          <w:szCs w:val="22"/>
        </w:rPr>
      </w:pPr>
      <w:r>
        <w:t>332.</w:t>
      </w:r>
      <w:r>
        <w:tab/>
        <w:t>Failure to make a decision under this Law or the Rules within time does not invalidate the decision</w:t>
      </w:r>
      <w:r>
        <w:tab/>
      </w:r>
      <w:r>
        <w:fldChar w:fldCharType="begin"/>
      </w:r>
      <w:r>
        <w:instrText xml:space="preserve"> PAGEREF _Toc221110150 \h </w:instrText>
      </w:r>
      <w:r>
        <w:fldChar w:fldCharType="separate"/>
      </w:r>
      <w:r>
        <w:t>263</w:t>
      </w:r>
      <w:r>
        <w:fldChar w:fldCharType="end"/>
      </w:r>
    </w:p>
    <w:p>
      <w:pPr>
        <w:pStyle w:val="TOC8"/>
        <w:rPr>
          <w:rFonts w:asciiTheme="minorHAnsi" w:eastAsiaTheme="minorEastAsia" w:hAnsiTheme="minorHAnsi" w:cstheme="minorBidi"/>
          <w:szCs w:val="22"/>
        </w:rPr>
      </w:pPr>
      <w:r>
        <w:t>333.</w:t>
      </w:r>
      <w:r>
        <w:tab/>
        <w:t>Withdrawal of applications relating to coverage or reclassification</w:t>
      </w:r>
      <w:r>
        <w:tab/>
      </w:r>
      <w:r>
        <w:fldChar w:fldCharType="begin"/>
      </w:r>
      <w:r>
        <w:instrText xml:space="preserve"> PAGEREF _Toc221110151 \h </w:instrText>
      </w:r>
      <w:r>
        <w:fldChar w:fldCharType="separate"/>
      </w:r>
      <w:r>
        <w:t>264</w:t>
      </w:r>
      <w:r>
        <w:fldChar w:fldCharType="end"/>
      </w:r>
    </w:p>
    <w:p>
      <w:pPr>
        <w:pStyle w:val="TOC8"/>
        <w:rPr>
          <w:rFonts w:asciiTheme="minorHAnsi" w:eastAsiaTheme="minorEastAsia" w:hAnsiTheme="minorHAnsi" w:cstheme="minorBidi"/>
          <w:szCs w:val="22"/>
        </w:rPr>
      </w:pPr>
      <w:r>
        <w:t>334.</w:t>
      </w:r>
      <w:r>
        <w:tab/>
        <w:t>Notification of Ministers of participating jurisdictions of receipt of application</w:t>
      </w:r>
      <w:r>
        <w:tab/>
      </w:r>
      <w:r>
        <w:fldChar w:fldCharType="begin"/>
      </w:r>
      <w:r>
        <w:instrText xml:space="preserve"> PAGEREF _Toc221110152 \h </w:instrText>
      </w:r>
      <w:r>
        <w:fldChar w:fldCharType="separate"/>
      </w:r>
      <w:r>
        <w:t>265</w:t>
      </w:r>
      <w:r>
        <w:fldChar w:fldCharType="end"/>
      </w:r>
    </w:p>
    <w:p>
      <w:pPr>
        <w:pStyle w:val="TOC8"/>
        <w:rPr>
          <w:rFonts w:asciiTheme="minorHAnsi" w:eastAsiaTheme="minorEastAsia" w:hAnsiTheme="minorHAnsi" w:cstheme="minorBidi"/>
          <w:szCs w:val="22"/>
        </w:rPr>
      </w:pPr>
      <w:r>
        <w:t>335.</w:t>
      </w:r>
      <w:r>
        <w:tab/>
        <w:t>Relevant Minister may request NCC to give information or assistance</w:t>
      </w:r>
      <w:r>
        <w:tab/>
      </w:r>
      <w:r>
        <w:fldChar w:fldCharType="begin"/>
      </w:r>
      <w:r>
        <w:instrText xml:space="preserve"> PAGEREF _Toc221110153 \h </w:instrText>
      </w:r>
      <w:r>
        <w:fldChar w:fldCharType="separate"/>
      </w:r>
      <w:r>
        <w:t>265</w:t>
      </w:r>
      <w:r>
        <w:fldChar w:fldCharType="end"/>
      </w:r>
    </w:p>
    <w:p>
      <w:pPr>
        <w:pStyle w:val="TOC8"/>
        <w:rPr>
          <w:rFonts w:asciiTheme="minorHAnsi" w:eastAsiaTheme="minorEastAsia" w:hAnsiTheme="minorHAnsi" w:cstheme="minorBidi"/>
          <w:szCs w:val="22"/>
        </w:rPr>
      </w:pPr>
      <w:r>
        <w:t>336.</w:t>
      </w:r>
      <w:r>
        <w:tab/>
        <w:t>Savings and transitionals</w:t>
      </w:r>
      <w:r>
        <w:tab/>
      </w:r>
      <w:r>
        <w:fldChar w:fldCharType="begin"/>
      </w:r>
      <w:r>
        <w:instrText xml:space="preserve"> PAGEREF _Toc221110154 \h </w:instrText>
      </w:r>
      <w:r>
        <w:fldChar w:fldCharType="separate"/>
      </w:r>
      <w:r>
        <w:t>265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Subject matter for the National Gas Rules</w:t>
      </w:r>
    </w:p>
    <w:p>
      <w:pPr>
        <w:pStyle w:val="TOC2"/>
        <w:tabs>
          <w:tab w:val="right" w:leader="dot" w:pos="7077"/>
        </w:tabs>
        <w:rPr>
          <w:rFonts w:asciiTheme="minorHAnsi" w:eastAsiaTheme="minorEastAsia" w:hAnsiTheme="minorHAnsi" w:cstheme="minorBidi"/>
          <w:b w:val="0"/>
          <w:sz w:val="22"/>
          <w:szCs w:val="22"/>
        </w:rPr>
      </w:pPr>
      <w:r>
        <w:t>Schedule 2 — Miscellaneous provisions relating to interpretation</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Displacement of Schedule by contrary intention</w:t>
      </w:r>
      <w:r>
        <w:tab/>
      </w:r>
      <w:r>
        <w:fldChar w:fldCharType="begin"/>
      </w:r>
      <w:r>
        <w:instrText xml:space="preserve"> PAGEREF _Toc221110158 \h </w:instrText>
      </w:r>
      <w:r>
        <w:fldChar w:fldCharType="separate"/>
      </w:r>
      <w:r>
        <w:t>276</w:t>
      </w:r>
      <w:r>
        <w:fldChar w:fldCharType="end"/>
      </w:r>
    </w:p>
    <w:p>
      <w:pPr>
        <w:pStyle w:val="TOC4"/>
        <w:tabs>
          <w:tab w:val="right" w:leader="dot" w:pos="7077"/>
        </w:tabs>
        <w:rPr>
          <w:rFonts w:asciiTheme="minorHAnsi" w:eastAsiaTheme="minorEastAsia" w:hAnsiTheme="minorHAnsi" w:cstheme="minorBidi"/>
          <w:b w:val="0"/>
          <w:szCs w:val="22"/>
        </w:rPr>
      </w:pPr>
      <w:r>
        <w:t>Part 2 — General</w:t>
      </w:r>
    </w:p>
    <w:p>
      <w:pPr>
        <w:pStyle w:val="TOC8"/>
        <w:rPr>
          <w:rFonts w:asciiTheme="minorHAnsi" w:eastAsiaTheme="minorEastAsia" w:hAnsiTheme="minorHAnsi" w:cstheme="minorBidi"/>
          <w:szCs w:val="22"/>
        </w:rPr>
      </w:pPr>
      <w:r>
        <w:t>2.</w:t>
      </w:r>
      <w:r>
        <w:tab/>
        <w:t>Law to be construed not to exceed legislative power of Legislature</w:t>
      </w:r>
      <w:r>
        <w:tab/>
      </w:r>
      <w:r>
        <w:fldChar w:fldCharType="begin"/>
      </w:r>
      <w:r>
        <w:instrText xml:space="preserve"> PAGEREF _Toc221110160 \h </w:instrText>
      </w:r>
      <w:r>
        <w:fldChar w:fldCharType="separate"/>
      </w:r>
      <w:r>
        <w:t>276</w:t>
      </w:r>
      <w:r>
        <w:fldChar w:fldCharType="end"/>
      </w:r>
    </w:p>
    <w:p>
      <w:pPr>
        <w:pStyle w:val="TOC8"/>
        <w:rPr>
          <w:rFonts w:asciiTheme="minorHAnsi" w:eastAsiaTheme="minorEastAsia" w:hAnsiTheme="minorHAnsi" w:cstheme="minorBidi"/>
          <w:szCs w:val="22"/>
        </w:rPr>
      </w:pPr>
      <w:r>
        <w:t>3.</w:t>
      </w:r>
      <w:r>
        <w:tab/>
        <w:t>Vacant provision</w:t>
      </w:r>
      <w:r>
        <w:tab/>
      </w:r>
      <w:r>
        <w:fldChar w:fldCharType="begin"/>
      </w:r>
      <w:r>
        <w:instrText xml:space="preserve"> PAGEREF _Toc221110161 \h </w:instrText>
      </w:r>
      <w:r>
        <w:fldChar w:fldCharType="separate"/>
      </w:r>
      <w:r>
        <w:t>277</w:t>
      </w:r>
      <w:r>
        <w:fldChar w:fldCharType="end"/>
      </w:r>
    </w:p>
    <w:p>
      <w:pPr>
        <w:pStyle w:val="TOC8"/>
        <w:rPr>
          <w:rFonts w:asciiTheme="minorHAnsi" w:eastAsiaTheme="minorEastAsia" w:hAnsiTheme="minorHAnsi" w:cstheme="minorBidi"/>
          <w:szCs w:val="22"/>
        </w:rPr>
      </w:pPr>
      <w:r>
        <w:t>4.</w:t>
      </w:r>
      <w:r>
        <w:tab/>
        <w:t>Material that is, and is not, part of Law</w:t>
      </w:r>
      <w:r>
        <w:tab/>
      </w:r>
      <w:r>
        <w:fldChar w:fldCharType="begin"/>
      </w:r>
      <w:r>
        <w:instrText xml:space="preserve"> PAGEREF _Toc221110162 \h </w:instrText>
      </w:r>
      <w:r>
        <w:fldChar w:fldCharType="separate"/>
      </w:r>
      <w:r>
        <w:t>278</w:t>
      </w:r>
      <w:r>
        <w:fldChar w:fldCharType="end"/>
      </w:r>
    </w:p>
    <w:p>
      <w:pPr>
        <w:pStyle w:val="TOC8"/>
        <w:rPr>
          <w:rFonts w:asciiTheme="minorHAnsi" w:eastAsiaTheme="minorEastAsia" w:hAnsiTheme="minorHAnsi" w:cstheme="minorBidi"/>
          <w:szCs w:val="22"/>
        </w:rPr>
      </w:pPr>
      <w:r>
        <w:t>5.</w:t>
      </w:r>
      <w:r>
        <w:tab/>
        <w:t>References to particular Acts and to enactments</w:t>
      </w:r>
      <w:r>
        <w:tab/>
      </w:r>
      <w:r>
        <w:fldChar w:fldCharType="begin"/>
      </w:r>
      <w:r>
        <w:instrText xml:space="preserve"> PAGEREF _Toc221110163 \h </w:instrText>
      </w:r>
      <w:r>
        <w:fldChar w:fldCharType="separate"/>
      </w:r>
      <w:r>
        <w:t>278</w:t>
      </w:r>
      <w:r>
        <w:fldChar w:fldCharType="end"/>
      </w:r>
    </w:p>
    <w:p>
      <w:pPr>
        <w:pStyle w:val="TOC8"/>
        <w:rPr>
          <w:rFonts w:asciiTheme="minorHAnsi" w:eastAsiaTheme="minorEastAsia" w:hAnsiTheme="minorHAnsi" w:cstheme="minorBidi"/>
          <w:szCs w:val="22"/>
        </w:rPr>
      </w:pPr>
      <w:r>
        <w:t>6.</w:t>
      </w:r>
      <w:r>
        <w:tab/>
        <w:t>References taken to be included in Act or Law citation etc</w:t>
      </w:r>
      <w:r>
        <w:tab/>
      </w:r>
      <w:r>
        <w:fldChar w:fldCharType="begin"/>
      </w:r>
      <w:r>
        <w:instrText xml:space="preserve"> PAGEREF _Toc221110164 \h </w:instrText>
      </w:r>
      <w:r>
        <w:fldChar w:fldCharType="separate"/>
      </w:r>
      <w:r>
        <w:t>279</w:t>
      </w:r>
      <w:r>
        <w:fldChar w:fldCharType="end"/>
      </w:r>
    </w:p>
    <w:p>
      <w:pPr>
        <w:pStyle w:val="TOC8"/>
        <w:rPr>
          <w:rFonts w:asciiTheme="minorHAnsi" w:eastAsiaTheme="minorEastAsia" w:hAnsiTheme="minorHAnsi" w:cstheme="minorBidi"/>
          <w:szCs w:val="22"/>
        </w:rPr>
      </w:pPr>
      <w:r>
        <w:t>7.</w:t>
      </w:r>
      <w:r>
        <w:tab/>
        <w:t>Interpretation best achieving Law’s purpose</w:t>
      </w:r>
      <w:r>
        <w:tab/>
      </w:r>
      <w:r>
        <w:fldChar w:fldCharType="begin"/>
      </w:r>
      <w:r>
        <w:instrText xml:space="preserve"> PAGEREF _Toc221110165 \h </w:instrText>
      </w:r>
      <w:r>
        <w:fldChar w:fldCharType="separate"/>
      </w:r>
      <w:r>
        <w:t>279</w:t>
      </w:r>
      <w:r>
        <w:fldChar w:fldCharType="end"/>
      </w:r>
    </w:p>
    <w:p>
      <w:pPr>
        <w:pStyle w:val="TOC8"/>
        <w:rPr>
          <w:rFonts w:asciiTheme="minorHAnsi" w:eastAsiaTheme="minorEastAsia" w:hAnsiTheme="minorHAnsi" w:cstheme="minorBidi"/>
          <w:szCs w:val="22"/>
        </w:rPr>
      </w:pPr>
      <w:r>
        <w:t>8.</w:t>
      </w:r>
      <w:r>
        <w:tab/>
        <w:t>Use of extrinsic material in interpretation</w:t>
      </w:r>
      <w:r>
        <w:tab/>
      </w:r>
      <w:r>
        <w:fldChar w:fldCharType="begin"/>
      </w:r>
      <w:r>
        <w:instrText xml:space="preserve"> PAGEREF _Toc221110166 \h </w:instrText>
      </w:r>
      <w:r>
        <w:fldChar w:fldCharType="separate"/>
      </w:r>
      <w:r>
        <w:t>280</w:t>
      </w:r>
      <w:r>
        <w:fldChar w:fldCharType="end"/>
      </w:r>
    </w:p>
    <w:p>
      <w:pPr>
        <w:pStyle w:val="TOC8"/>
        <w:rPr>
          <w:rFonts w:asciiTheme="minorHAnsi" w:eastAsiaTheme="minorEastAsia" w:hAnsiTheme="minorHAnsi" w:cstheme="minorBidi"/>
          <w:szCs w:val="22"/>
        </w:rPr>
      </w:pPr>
      <w:r>
        <w:t>9.</w:t>
      </w:r>
      <w:r>
        <w:tab/>
        <w:t>Compliance with forms</w:t>
      </w:r>
      <w:r>
        <w:tab/>
      </w:r>
      <w:r>
        <w:fldChar w:fldCharType="begin"/>
      </w:r>
      <w:r>
        <w:instrText xml:space="preserve"> PAGEREF _Toc221110167 \h </w:instrText>
      </w:r>
      <w:r>
        <w:fldChar w:fldCharType="separate"/>
      </w:r>
      <w:r>
        <w:t>282</w:t>
      </w:r>
      <w:r>
        <w:fldChar w:fldCharType="end"/>
      </w:r>
    </w:p>
    <w:p>
      <w:pPr>
        <w:pStyle w:val="TOC4"/>
        <w:tabs>
          <w:tab w:val="right" w:leader="dot" w:pos="7077"/>
        </w:tabs>
        <w:rPr>
          <w:rFonts w:asciiTheme="minorHAnsi" w:eastAsiaTheme="minorEastAsia" w:hAnsiTheme="minorHAnsi" w:cstheme="minorBidi"/>
          <w:b w:val="0"/>
          <w:szCs w:val="22"/>
        </w:rPr>
      </w:pPr>
      <w:r>
        <w:t>Part 3 — Terms and references</w:t>
      </w:r>
    </w:p>
    <w:p>
      <w:pPr>
        <w:pStyle w:val="TOC8"/>
        <w:rPr>
          <w:rFonts w:asciiTheme="minorHAnsi" w:eastAsiaTheme="minorEastAsia" w:hAnsiTheme="minorHAnsi" w:cstheme="minorBidi"/>
          <w:szCs w:val="22"/>
        </w:rPr>
      </w:pPr>
      <w:r>
        <w:t>10.</w:t>
      </w:r>
      <w:r>
        <w:tab/>
        <w:t>Definitions</w:t>
      </w:r>
      <w:r>
        <w:tab/>
      </w:r>
      <w:r>
        <w:fldChar w:fldCharType="begin"/>
      </w:r>
      <w:r>
        <w:instrText xml:space="preserve"> PAGEREF _Toc221110169 \h </w:instrText>
      </w:r>
      <w:r>
        <w:fldChar w:fldCharType="separate"/>
      </w:r>
      <w:r>
        <w:t>282</w:t>
      </w:r>
      <w:r>
        <w:fldChar w:fldCharType="end"/>
      </w:r>
    </w:p>
    <w:p>
      <w:pPr>
        <w:pStyle w:val="TOC8"/>
        <w:rPr>
          <w:rFonts w:asciiTheme="minorHAnsi" w:eastAsiaTheme="minorEastAsia" w:hAnsiTheme="minorHAnsi" w:cstheme="minorBidi"/>
          <w:szCs w:val="22"/>
        </w:rPr>
      </w:pPr>
      <w:r>
        <w:t>11.</w:t>
      </w:r>
      <w:r>
        <w:tab/>
        <w:t>Provisions relating to defined terms and gender and number</w:t>
      </w:r>
      <w:r>
        <w:tab/>
      </w:r>
      <w:r>
        <w:fldChar w:fldCharType="begin"/>
      </w:r>
      <w:r>
        <w:instrText xml:space="preserve"> PAGEREF _Toc221110170 \h </w:instrText>
      </w:r>
      <w:r>
        <w:fldChar w:fldCharType="separate"/>
      </w:r>
      <w:r>
        <w:t>287</w:t>
      </w:r>
      <w:r>
        <w:fldChar w:fldCharType="end"/>
      </w:r>
    </w:p>
    <w:p>
      <w:pPr>
        <w:pStyle w:val="TOC8"/>
        <w:rPr>
          <w:rFonts w:asciiTheme="minorHAnsi" w:eastAsiaTheme="minorEastAsia" w:hAnsiTheme="minorHAnsi" w:cstheme="minorBidi"/>
          <w:szCs w:val="22"/>
        </w:rPr>
      </w:pPr>
      <w:r>
        <w:t>12.</w:t>
      </w:r>
      <w:r>
        <w:tab/>
        <w:t>Meaning of may and must etc</w:t>
      </w:r>
      <w:r>
        <w:tab/>
      </w:r>
      <w:r>
        <w:fldChar w:fldCharType="begin"/>
      </w:r>
      <w:r>
        <w:instrText xml:space="preserve"> PAGEREF _Toc221110171 \h </w:instrText>
      </w:r>
      <w:r>
        <w:fldChar w:fldCharType="separate"/>
      </w:r>
      <w:r>
        <w:t>287</w:t>
      </w:r>
      <w:r>
        <w:fldChar w:fldCharType="end"/>
      </w:r>
    </w:p>
    <w:p>
      <w:pPr>
        <w:pStyle w:val="TOC8"/>
        <w:rPr>
          <w:rFonts w:asciiTheme="minorHAnsi" w:eastAsiaTheme="minorEastAsia" w:hAnsiTheme="minorHAnsi" w:cstheme="minorBidi"/>
          <w:szCs w:val="22"/>
        </w:rPr>
      </w:pPr>
      <w:r>
        <w:t>13.</w:t>
      </w:r>
      <w:r>
        <w:tab/>
        <w:t>Words and expressions used in statutory instruments</w:t>
      </w:r>
      <w:r>
        <w:tab/>
      </w:r>
      <w:r>
        <w:fldChar w:fldCharType="begin"/>
      </w:r>
      <w:r>
        <w:instrText xml:space="preserve"> PAGEREF _Toc221110172 \h </w:instrText>
      </w:r>
      <w:r>
        <w:fldChar w:fldCharType="separate"/>
      </w:r>
      <w:r>
        <w:t>287</w:t>
      </w:r>
      <w:r>
        <w:fldChar w:fldCharType="end"/>
      </w:r>
    </w:p>
    <w:p>
      <w:pPr>
        <w:pStyle w:val="TOC8"/>
        <w:rPr>
          <w:rFonts w:asciiTheme="minorHAnsi" w:eastAsiaTheme="minorEastAsia" w:hAnsiTheme="minorHAnsi" w:cstheme="minorBidi"/>
          <w:szCs w:val="22"/>
        </w:rPr>
      </w:pPr>
      <w:r>
        <w:t>14.</w:t>
      </w:r>
      <w:r>
        <w:tab/>
        <w:t>References to Minister</w:t>
      </w:r>
      <w:r>
        <w:tab/>
      </w:r>
      <w:r>
        <w:fldChar w:fldCharType="begin"/>
      </w:r>
      <w:r>
        <w:instrText xml:space="preserve"> PAGEREF _Toc221110173 \h </w:instrText>
      </w:r>
      <w:r>
        <w:fldChar w:fldCharType="separate"/>
      </w:r>
      <w:r>
        <w:t>288</w:t>
      </w:r>
      <w:r>
        <w:fldChar w:fldCharType="end"/>
      </w:r>
    </w:p>
    <w:p>
      <w:pPr>
        <w:pStyle w:val="TOC8"/>
        <w:rPr>
          <w:rFonts w:asciiTheme="minorHAnsi" w:eastAsiaTheme="minorEastAsia" w:hAnsiTheme="minorHAnsi" w:cstheme="minorBidi"/>
          <w:szCs w:val="22"/>
        </w:rPr>
      </w:pPr>
      <w:r>
        <w:t>15.</w:t>
      </w:r>
      <w:r>
        <w:tab/>
        <w:t>Production of records kept in computers etc</w:t>
      </w:r>
      <w:r>
        <w:tab/>
      </w:r>
      <w:r>
        <w:fldChar w:fldCharType="begin"/>
      </w:r>
      <w:r>
        <w:instrText xml:space="preserve"> PAGEREF _Toc221110174 \h </w:instrText>
      </w:r>
      <w:r>
        <w:fldChar w:fldCharType="separate"/>
      </w:r>
      <w:r>
        <w:t>289</w:t>
      </w:r>
      <w:r>
        <w:fldChar w:fldCharType="end"/>
      </w:r>
    </w:p>
    <w:p>
      <w:pPr>
        <w:pStyle w:val="TOC8"/>
        <w:rPr>
          <w:rFonts w:asciiTheme="minorHAnsi" w:eastAsiaTheme="minorEastAsia" w:hAnsiTheme="minorHAnsi" w:cstheme="minorBidi"/>
          <w:szCs w:val="22"/>
        </w:rPr>
      </w:pPr>
      <w:r>
        <w:t>16.</w:t>
      </w:r>
      <w:r>
        <w:tab/>
        <w:t>References to this jurisdiction to be implied</w:t>
      </w:r>
      <w:r>
        <w:tab/>
      </w:r>
      <w:r>
        <w:fldChar w:fldCharType="begin"/>
      </w:r>
      <w:r>
        <w:instrText xml:space="preserve"> PAGEREF _Toc221110175 \h </w:instrText>
      </w:r>
      <w:r>
        <w:fldChar w:fldCharType="separate"/>
      </w:r>
      <w:r>
        <w:t>289</w:t>
      </w:r>
      <w:r>
        <w:fldChar w:fldCharType="end"/>
      </w:r>
    </w:p>
    <w:p>
      <w:pPr>
        <w:pStyle w:val="TOC8"/>
        <w:rPr>
          <w:rFonts w:asciiTheme="minorHAnsi" w:eastAsiaTheme="minorEastAsia" w:hAnsiTheme="minorHAnsi" w:cstheme="minorBidi"/>
          <w:szCs w:val="22"/>
        </w:rPr>
      </w:pPr>
      <w:r>
        <w:t>17.</w:t>
      </w:r>
      <w:r>
        <w:tab/>
        <w:t>References to officers and holders of offices</w:t>
      </w:r>
      <w:r>
        <w:tab/>
      </w:r>
      <w:r>
        <w:fldChar w:fldCharType="begin"/>
      </w:r>
      <w:r>
        <w:instrText xml:space="preserve"> PAGEREF _Toc221110176 \h </w:instrText>
      </w:r>
      <w:r>
        <w:fldChar w:fldCharType="separate"/>
      </w:r>
      <w:r>
        <w:t>290</w:t>
      </w:r>
      <w:r>
        <w:fldChar w:fldCharType="end"/>
      </w:r>
    </w:p>
    <w:p>
      <w:pPr>
        <w:pStyle w:val="TOC8"/>
        <w:rPr>
          <w:rFonts w:asciiTheme="minorHAnsi" w:eastAsiaTheme="minorEastAsia" w:hAnsiTheme="minorHAnsi" w:cstheme="minorBidi"/>
          <w:szCs w:val="22"/>
        </w:rPr>
      </w:pPr>
      <w:r>
        <w:t>18.</w:t>
      </w:r>
      <w:r>
        <w:tab/>
        <w:t>Reference to certain provisions of Law</w:t>
      </w:r>
      <w:r>
        <w:tab/>
      </w:r>
      <w:r>
        <w:fldChar w:fldCharType="begin"/>
      </w:r>
      <w:r>
        <w:instrText xml:space="preserve"> PAGEREF _Toc221110177 \h </w:instrText>
      </w:r>
      <w:r>
        <w:fldChar w:fldCharType="separate"/>
      </w:r>
      <w:r>
        <w:t>290</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w:t>
      </w:r>
    </w:p>
    <w:p>
      <w:pPr>
        <w:pStyle w:val="TOC8"/>
        <w:rPr>
          <w:rFonts w:asciiTheme="minorHAnsi" w:eastAsiaTheme="minorEastAsia" w:hAnsiTheme="minorHAnsi" w:cstheme="minorBidi"/>
          <w:szCs w:val="22"/>
        </w:rPr>
      </w:pPr>
      <w:r>
        <w:t>19.</w:t>
      </w:r>
      <w:r>
        <w:tab/>
        <w:t>Performance of statutory functions</w:t>
      </w:r>
      <w:r>
        <w:tab/>
      </w:r>
      <w:r>
        <w:fldChar w:fldCharType="begin"/>
      </w:r>
      <w:r>
        <w:instrText xml:space="preserve"> PAGEREF _Toc221110179 \h </w:instrText>
      </w:r>
      <w:r>
        <w:fldChar w:fldCharType="separate"/>
      </w:r>
      <w:r>
        <w:t>291</w:t>
      </w:r>
      <w:r>
        <w:fldChar w:fldCharType="end"/>
      </w:r>
    </w:p>
    <w:p>
      <w:pPr>
        <w:pStyle w:val="TOC8"/>
        <w:rPr>
          <w:rFonts w:asciiTheme="minorHAnsi" w:eastAsiaTheme="minorEastAsia" w:hAnsiTheme="minorHAnsi" w:cstheme="minorBidi"/>
          <w:szCs w:val="22"/>
        </w:rPr>
      </w:pPr>
      <w:r>
        <w:t>20.</w:t>
      </w:r>
      <w:r>
        <w:tab/>
        <w:t>Power to make instrument or decision includes power to amend or repeal</w:t>
      </w:r>
      <w:r>
        <w:tab/>
      </w:r>
      <w:r>
        <w:fldChar w:fldCharType="begin"/>
      </w:r>
      <w:r>
        <w:instrText xml:space="preserve"> PAGEREF _Toc221110180 \h </w:instrText>
      </w:r>
      <w:r>
        <w:fldChar w:fldCharType="separate"/>
      </w:r>
      <w:r>
        <w:t>292</w:t>
      </w:r>
      <w:r>
        <w:fldChar w:fldCharType="end"/>
      </w:r>
    </w:p>
    <w:p>
      <w:pPr>
        <w:pStyle w:val="TOC8"/>
        <w:rPr>
          <w:rFonts w:asciiTheme="minorHAnsi" w:eastAsiaTheme="minorEastAsia" w:hAnsiTheme="minorHAnsi" w:cstheme="minorBidi"/>
          <w:szCs w:val="22"/>
        </w:rPr>
      </w:pPr>
      <w:r>
        <w:t>21.</w:t>
      </w:r>
      <w:r>
        <w:tab/>
        <w:t>Matters for which statutory instruments may make provision</w:t>
      </w:r>
      <w:r>
        <w:tab/>
      </w:r>
      <w:r>
        <w:fldChar w:fldCharType="begin"/>
      </w:r>
      <w:r>
        <w:instrText xml:space="preserve"> PAGEREF _Toc221110181 \h </w:instrText>
      </w:r>
      <w:r>
        <w:fldChar w:fldCharType="separate"/>
      </w:r>
      <w:r>
        <w:t>292</w:t>
      </w:r>
      <w:r>
        <w:fldChar w:fldCharType="end"/>
      </w:r>
    </w:p>
    <w:p>
      <w:pPr>
        <w:pStyle w:val="TOC8"/>
        <w:rPr>
          <w:rFonts w:asciiTheme="minorHAnsi" w:eastAsiaTheme="minorEastAsia" w:hAnsiTheme="minorHAnsi" w:cstheme="minorBidi"/>
          <w:szCs w:val="22"/>
        </w:rPr>
      </w:pPr>
      <w:r>
        <w:t>22.</w:t>
      </w:r>
      <w:r>
        <w:tab/>
        <w:t>Presumption of validity and power to make</w:t>
      </w:r>
      <w:r>
        <w:tab/>
      </w:r>
      <w:r>
        <w:fldChar w:fldCharType="begin"/>
      </w:r>
      <w:r>
        <w:instrText xml:space="preserve"> PAGEREF _Toc221110182 \h </w:instrText>
      </w:r>
      <w:r>
        <w:fldChar w:fldCharType="separate"/>
      </w:r>
      <w:r>
        <w:t>293</w:t>
      </w:r>
      <w:r>
        <w:fldChar w:fldCharType="end"/>
      </w:r>
    </w:p>
    <w:p>
      <w:pPr>
        <w:pStyle w:val="TOC8"/>
        <w:rPr>
          <w:rFonts w:asciiTheme="minorHAnsi" w:eastAsiaTheme="minorEastAsia" w:hAnsiTheme="minorHAnsi" w:cstheme="minorBidi"/>
          <w:szCs w:val="22"/>
        </w:rPr>
      </w:pPr>
      <w:r>
        <w:lastRenderedPageBreak/>
        <w:t>23.</w:t>
      </w:r>
      <w:r>
        <w:tab/>
        <w:t>Appointments may be made by name or office</w:t>
      </w:r>
      <w:r>
        <w:tab/>
      </w:r>
      <w:r>
        <w:fldChar w:fldCharType="begin"/>
      </w:r>
      <w:r>
        <w:instrText xml:space="preserve"> PAGEREF _Toc221110183 \h </w:instrText>
      </w:r>
      <w:r>
        <w:fldChar w:fldCharType="separate"/>
      </w:r>
      <w:r>
        <w:t>294</w:t>
      </w:r>
      <w:r>
        <w:fldChar w:fldCharType="end"/>
      </w:r>
    </w:p>
    <w:p>
      <w:pPr>
        <w:pStyle w:val="TOC8"/>
        <w:rPr>
          <w:rFonts w:asciiTheme="minorHAnsi" w:eastAsiaTheme="minorEastAsia" w:hAnsiTheme="minorHAnsi" w:cstheme="minorBidi"/>
          <w:szCs w:val="22"/>
        </w:rPr>
      </w:pPr>
      <w:r>
        <w:t>24.</w:t>
      </w:r>
      <w:r>
        <w:tab/>
        <w:t>Acting appointments</w:t>
      </w:r>
      <w:r>
        <w:tab/>
      </w:r>
      <w:r>
        <w:fldChar w:fldCharType="begin"/>
      </w:r>
      <w:r>
        <w:instrText xml:space="preserve"> PAGEREF _Toc221110184 \h </w:instrText>
      </w:r>
      <w:r>
        <w:fldChar w:fldCharType="separate"/>
      </w:r>
      <w:r>
        <w:t>294</w:t>
      </w:r>
      <w:r>
        <w:fldChar w:fldCharType="end"/>
      </w:r>
    </w:p>
    <w:p>
      <w:pPr>
        <w:pStyle w:val="TOC8"/>
        <w:rPr>
          <w:rFonts w:asciiTheme="minorHAnsi" w:eastAsiaTheme="minorEastAsia" w:hAnsiTheme="minorHAnsi" w:cstheme="minorBidi"/>
          <w:szCs w:val="22"/>
        </w:rPr>
      </w:pPr>
      <w:r>
        <w:t>25.</w:t>
      </w:r>
      <w:r>
        <w:tab/>
        <w:t>Powers of appointment imply certain incidental powers</w:t>
      </w:r>
      <w:r>
        <w:tab/>
      </w:r>
      <w:r>
        <w:fldChar w:fldCharType="begin"/>
      </w:r>
      <w:r>
        <w:instrText xml:space="preserve"> PAGEREF _Toc221110185 \h </w:instrText>
      </w:r>
      <w:r>
        <w:fldChar w:fldCharType="separate"/>
      </w:r>
      <w:r>
        <w:t>296</w:t>
      </w:r>
      <w:r>
        <w:fldChar w:fldCharType="end"/>
      </w:r>
    </w:p>
    <w:p>
      <w:pPr>
        <w:pStyle w:val="TOC8"/>
        <w:rPr>
          <w:rFonts w:asciiTheme="minorHAnsi" w:eastAsiaTheme="minorEastAsia" w:hAnsiTheme="minorHAnsi" w:cstheme="minorBidi"/>
          <w:szCs w:val="22"/>
        </w:rPr>
      </w:pPr>
      <w:r>
        <w:t>26.</w:t>
      </w:r>
      <w:r>
        <w:tab/>
        <w:t>Delegation</w:t>
      </w:r>
      <w:r>
        <w:tab/>
      </w:r>
      <w:r>
        <w:fldChar w:fldCharType="begin"/>
      </w:r>
      <w:r>
        <w:instrText xml:space="preserve"> PAGEREF _Toc221110186 \h </w:instrText>
      </w:r>
      <w:r>
        <w:fldChar w:fldCharType="separate"/>
      </w:r>
      <w:r>
        <w:t>297</w:t>
      </w:r>
      <w:r>
        <w:fldChar w:fldCharType="end"/>
      </w:r>
    </w:p>
    <w:p>
      <w:pPr>
        <w:pStyle w:val="TOC8"/>
        <w:rPr>
          <w:rFonts w:asciiTheme="minorHAnsi" w:eastAsiaTheme="minorEastAsia" w:hAnsiTheme="minorHAnsi" w:cstheme="minorBidi"/>
          <w:szCs w:val="22"/>
        </w:rPr>
      </w:pPr>
      <w:r>
        <w:t>27.</w:t>
      </w:r>
      <w:r>
        <w:tab/>
        <w:t>Exercise of powers between enactment and commencement</w:t>
      </w:r>
      <w:r>
        <w:tab/>
      </w:r>
      <w:r>
        <w:fldChar w:fldCharType="begin"/>
      </w:r>
      <w:r>
        <w:instrText xml:space="preserve"> PAGEREF _Toc221110187 \h </w:instrText>
      </w:r>
      <w:r>
        <w:fldChar w:fldCharType="separate"/>
      </w:r>
      <w:r>
        <w:t>298</w:t>
      </w:r>
      <w:r>
        <w:fldChar w:fldCharType="end"/>
      </w:r>
    </w:p>
    <w:p>
      <w:pPr>
        <w:pStyle w:val="TOC8"/>
        <w:rPr>
          <w:rFonts w:asciiTheme="minorHAnsi" w:eastAsiaTheme="minorEastAsia" w:hAnsiTheme="minorHAnsi" w:cstheme="minorBidi"/>
          <w:szCs w:val="22"/>
        </w:rPr>
      </w:pPr>
      <w:r>
        <w:t>27A.</w:t>
      </w:r>
      <w:r>
        <w:tab/>
        <w:t>WA modifications of clause 27</w:t>
      </w:r>
      <w:r>
        <w:tab/>
      </w:r>
      <w:r>
        <w:fldChar w:fldCharType="begin"/>
      </w:r>
      <w:r>
        <w:instrText xml:space="preserve"> PAGEREF _Toc221110188 \h </w:instrText>
      </w:r>
      <w:r>
        <w:fldChar w:fldCharType="separate"/>
      </w:r>
      <w:r>
        <w:t>301</w:t>
      </w:r>
      <w:r>
        <w:fldChar w:fldCharType="end"/>
      </w:r>
    </w:p>
    <w:p>
      <w:pPr>
        <w:pStyle w:val="TOC4"/>
        <w:tabs>
          <w:tab w:val="right" w:leader="dot" w:pos="7077"/>
        </w:tabs>
        <w:rPr>
          <w:rFonts w:asciiTheme="minorHAnsi" w:eastAsiaTheme="minorEastAsia" w:hAnsiTheme="minorHAnsi" w:cstheme="minorBidi"/>
          <w:b w:val="0"/>
          <w:szCs w:val="22"/>
        </w:rPr>
      </w:pPr>
      <w:r>
        <w:t>Part 5 — Distance and time</w:t>
      </w:r>
    </w:p>
    <w:p>
      <w:pPr>
        <w:pStyle w:val="TOC8"/>
        <w:rPr>
          <w:rFonts w:asciiTheme="minorHAnsi" w:eastAsiaTheme="minorEastAsia" w:hAnsiTheme="minorHAnsi" w:cstheme="minorBidi"/>
          <w:szCs w:val="22"/>
        </w:rPr>
      </w:pPr>
      <w:r>
        <w:t>28.</w:t>
      </w:r>
      <w:r>
        <w:tab/>
        <w:t>Matters relating to distance and time</w:t>
      </w:r>
      <w:r>
        <w:tab/>
      </w:r>
      <w:r>
        <w:fldChar w:fldCharType="begin"/>
      </w:r>
      <w:r>
        <w:instrText xml:space="preserve"> PAGEREF _Toc221110190 \h </w:instrText>
      </w:r>
      <w:r>
        <w:fldChar w:fldCharType="separate"/>
      </w:r>
      <w:r>
        <w:t>301</w:t>
      </w:r>
      <w:r>
        <w:fldChar w:fldCharType="end"/>
      </w:r>
    </w:p>
    <w:p>
      <w:pPr>
        <w:pStyle w:val="TOC4"/>
        <w:tabs>
          <w:tab w:val="right" w:leader="dot" w:pos="7077"/>
        </w:tabs>
        <w:rPr>
          <w:rFonts w:asciiTheme="minorHAnsi" w:eastAsiaTheme="minorEastAsia" w:hAnsiTheme="minorHAnsi" w:cstheme="minorBidi"/>
          <w:b w:val="0"/>
          <w:szCs w:val="22"/>
        </w:rPr>
      </w:pPr>
      <w:r>
        <w:t>Part 6 — Service of documents</w:t>
      </w:r>
    </w:p>
    <w:p>
      <w:pPr>
        <w:pStyle w:val="TOC8"/>
        <w:rPr>
          <w:rFonts w:asciiTheme="minorHAnsi" w:eastAsiaTheme="minorEastAsia" w:hAnsiTheme="minorHAnsi" w:cstheme="minorBidi"/>
          <w:szCs w:val="22"/>
        </w:rPr>
      </w:pPr>
      <w:r>
        <w:t>29.</w:t>
      </w:r>
      <w:r>
        <w:tab/>
        <w:t>Service of documents and meaning of service by post etc</w:t>
      </w:r>
      <w:r>
        <w:tab/>
      </w:r>
      <w:r>
        <w:fldChar w:fldCharType="begin"/>
      </w:r>
      <w:r>
        <w:instrText xml:space="preserve"> PAGEREF _Toc221110192 \h </w:instrText>
      </w:r>
      <w:r>
        <w:fldChar w:fldCharType="separate"/>
      </w:r>
      <w:r>
        <w:t>302</w:t>
      </w:r>
      <w:r>
        <w:fldChar w:fldCharType="end"/>
      </w:r>
    </w:p>
    <w:p>
      <w:pPr>
        <w:pStyle w:val="TOC8"/>
        <w:rPr>
          <w:rFonts w:asciiTheme="minorHAnsi" w:eastAsiaTheme="minorEastAsia" w:hAnsiTheme="minorHAnsi" w:cstheme="minorBidi"/>
          <w:szCs w:val="22"/>
        </w:rPr>
      </w:pPr>
      <w:r>
        <w:t>30.</w:t>
      </w:r>
      <w:r>
        <w:tab/>
        <w:t>Meaning of service by post etc</w:t>
      </w:r>
      <w:r>
        <w:tab/>
      </w:r>
      <w:r>
        <w:fldChar w:fldCharType="begin"/>
      </w:r>
      <w:r>
        <w:instrText xml:space="preserve"> PAGEREF _Toc221110193 \h </w:instrText>
      </w:r>
      <w:r>
        <w:fldChar w:fldCharType="separate"/>
      </w:r>
      <w:r>
        <w:t>303</w:t>
      </w:r>
      <w:r>
        <w:fldChar w:fldCharType="end"/>
      </w:r>
    </w:p>
    <w:p>
      <w:pPr>
        <w:pStyle w:val="TOC4"/>
        <w:tabs>
          <w:tab w:val="right" w:leader="dot" w:pos="7077"/>
        </w:tabs>
        <w:rPr>
          <w:rFonts w:asciiTheme="minorHAnsi" w:eastAsiaTheme="minorEastAsia" w:hAnsiTheme="minorHAnsi" w:cstheme="minorBidi"/>
          <w:b w:val="0"/>
          <w:szCs w:val="22"/>
        </w:rPr>
      </w:pPr>
      <w:r>
        <w:t>Part 7 — Evidentiary matters</w:t>
      </w:r>
    </w:p>
    <w:p>
      <w:pPr>
        <w:pStyle w:val="TOC6"/>
        <w:tabs>
          <w:tab w:val="right" w:leader="dot" w:pos="7077"/>
        </w:tabs>
        <w:rPr>
          <w:rFonts w:asciiTheme="minorHAnsi" w:eastAsiaTheme="minorEastAsia" w:hAnsiTheme="minorHAnsi" w:cstheme="minorBidi"/>
          <w:b w:val="0"/>
          <w:sz w:val="22"/>
          <w:szCs w:val="22"/>
        </w:rPr>
      </w:pPr>
      <w:r>
        <w:t>Division 1 — Publication on websites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_Toc221110196 \h </w:instrText>
      </w:r>
      <w:r>
        <w:fldChar w:fldCharType="separate"/>
      </w:r>
      <w:r>
        <w:t>304</w:t>
      </w:r>
      <w:r>
        <w:fldChar w:fldCharType="end"/>
      </w:r>
    </w:p>
    <w:p>
      <w:pPr>
        <w:pStyle w:val="TOC8"/>
        <w:rPr>
          <w:rFonts w:asciiTheme="minorHAnsi" w:eastAsiaTheme="minorEastAsia" w:hAnsiTheme="minorHAnsi" w:cstheme="minorBidi"/>
          <w:szCs w:val="22"/>
        </w:rPr>
      </w:pPr>
      <w:r>
        <w:t>32.</w:t>
      </w:r>
      <w:r>
        <w:tab/>
        <w:t>Publication of decisions on websites</w:t>
      </w:r>
      <w:r>
        <w:tab/>
      </w:r>
      <w:r>
        <w:fldChar w:fldCharType="begin"/>
      </w:r>
      <w:r>
        <w:instrText xml:space="preserve"> PAGEREF _Toc221110197 \h </w:instrText>
      </w:r>
      <w:r>
        <w:fldChar w:fldCharType="separate"/>
      </w:r>
      <w:r>
        <w:t>305</w:t>
      </w:r>
      <w:r>
        <w:fldChar w:fldCharType="end"/>
      </w:r>
    </w:p>
    <w:p>
      <w:pPr>
        <w:pStyle w:val="TOC6"/>
        <w:tabs>
          <w:tab w:val="right" w:leader="dot" w:pos="7077"/>
        </w:tabs>
        <w:rPr>
          <w:rFonts w:asciiTheme="minorHAnsi" w:eastAsiaTheme="minorEastAsia" w:hAnsiTheme="minorHAnsi" w:cstheme="minorBidi"/>
          <w:b w:val="0"/>
          <w:sz w:val="22"/>
          <w:szCs w:val="22"/>
        </w:rPr>
      </w:pPr>
      <w:r>
        <w:t>Division 2 — Evidentiary certificates</w:t>
      </w:r>
    </w:p>
    <w:p>
      <w:pPr>
        <w:pStyle w:val="TOC8"/>
        <w:rPr>
          <w:rFonts w:asciiTheme="minorHAnsi" w:eastAsiaTheme="minorEastAsia" w:hAnsiTheme="minorHAnsi" w:cstheme="minorBidi"/>
          <w:szCs w:val="22"/>
        </w:rPr>
      </w:pPr>
      <w:r>
        <w:t>33.</w:t>
      </w:r>
      <w:r>
        <w:tab/>
        <w:t>Definitions</w:t>
      </w:r>
      <w:r>
        <w:tab/>
      </w:r>
      <w:r>
        <w:fldChar w:fldCharType="begin"/>
      </w:r>
      <w:r>
        <w:instrText xml:space="preserve"> PAGEREF _Toc221110199 \h </w:instrText>
      </w:r>
      <w:r>
        <w:fldChar w:fldCharType="separate"/>
      </w:r>
      <w:r>
        <w:t>305</w:t>
      </w:r>
      <w:r>
        <w:fldChar w:fldCharType="end"/>
      </w:r>
    </w:p>
    <w:p>
      <w:pPr>
        <w:pStyle w:val="TOC8"/>
        <w:rPr>
          <w:rFonts w:asciiTheme="minorHAnsi" w:eastAsiaTheme="minorEastAsia" w:hAnsiTheme="minorHAnsi" w:cstheme="minorBidi"/>
          <w:szCs w:val="22"/>
        </w:rPr>
      </w:pPr>
      <w:r>
        <w:t>34.</w:t>
      </w:r>
      <w:r>
        <w:tab/>
        <w:t>Evidentiary certificates—AER</w:t>
      </w:r>
      <w:r>
        <w:tab/>
      </w:r>
      <w:r>
        <w:fldChar w:fldCharType="begin"/>
      </w:r>
      <w:r>
        <w:instrText xml:space="preserve"> PAGEREF _Toc221110200 \h </w:instrText>
      </w:r>
      <w:r>
        <w:fldChar w:fldCharType="separate"/>
      </w:r>
      <w:r>
        <w:t>306</w:t>
      </w:r>
      <w:r>
        <w:fldChar w:fldCharType="end"/>
      </w:r>
    </w:p>
    <w:p>
      <w:pPr>
        <w:pStyle w:val="TOC8"/>
        <w:rPr>
          <w:rFonts w:asciiTheme="minorHAnsi" w:eastAsiaTheme="minorEastAsia" w:hAnsiTheme="minorHAnsi" w:cstheme="minorBidi"/>
          <w:szCs w:val="22"/>
        </w:rPr>
      </w:pPr>
      <w:r>
        <w:t>35.</w:t>
      </w:r>
      <w:r>
        <w:tab/>
        <w:t>Evidentiary certificates—AEMC</w:t>
      </w:r>
      <w:r>
        <w:tab/>
      </w:r>
      <w:r>
        <w:fldChar w:fldCharType="begin"/>
      </w:r>
      <w:r>
        <w:instrText xml:space="preserve"> PAGEREF _Toc221110201 \h </w:instrText>
      </w:r>
      <w:r>
        <w:fldChar w:fldCharType="separate"/>
      </w:r>
      <w:r>
        <w:t>307</w:t>
      </w:r>
      <w:r>
        <w:fldChar w:fldCharType="end"/>
      </w:r>
    </w:p>
    <w:p>
      <w:pPr>
        <w:pStyle w:val="TOC8"/>
        <w:rPr>
          <w:rFonts w:asciiTheme="minorHAnsi" w:eastAsiaTheme="minorEastAsia" w:hAnsiTheme="minorHAnsi" w:cstheme="minorBidi"/>
          <w:szCs w:val="22"/>
        </w:rPr>
      </w:pPr>
      <w:r>
        <w:t>36.</w:t>
      </w:r>
      <w:r>
        <w:tab/>
        <w:t>Evidentiary certificates—NCC</w:t>
      </w:r>
      <w:r>
        <w:tab/>
      </w:r>
      <w:r>
        <w:fldChar w:fldCharType="begin"/>
      </w:r>
      <w:r>
        <w:instrText xml:space="preserve"> PAGEREF _Toc221110202 \h </w:instrText>
      </w:r>
      <w:r>
        <w:fldChar w:fldCharType="separate"/>
      </w:r>
      <w:r>
        <w:t>308</w:t>
      </w:r>
      <w:r>
        <w:fldChar w:fldCharType="end"/>
      </w:r>
    </w:p>
    <w:p>
      <w:pPr>
        <w:pStyle w:val="TOC8"/>
        <w:rPr>
          <w:rFonts w:asciiTheme="minorHAnsi" w:eastAsiaTheme="minorEastAsia" w:hAnsiTheme="minorHAnsi" w:cstheme="minorBidi"/>
          <w:szCs w:val="22"/>
        </w:rPr>
      </w:pPr>
      <w:r>
        <w:t>37.</w:t>
      </w:r>
      <w:r>
        <w:tab/>
        <w:t>Evidentiary certificates—relevant Minister and Commonwealth Minister</w:t>
      </w:r>
      <w:r>
        <w:tab/>
      </w:r>
      <w:r>
        <w:fldChar w:fldCharType="begin"/>
      </w:r>
      <w:r>
        <w:instrText xml:space="preserve"> PAGEREF _Toc221110203 \h </w:instrText>
      </w:r>
      <w:r>
        <w:fldChar w:fldCharType="separate"/>
      </w:r>
      <w:r>
        <w:t>309</w:t>
      </w:r>
      <w:r>
        <w:fldChar w:fldCharType="end"/>
      </w:r>
    </w:p>
    <w:p>
      <w:pPr>
        <w:pStyle w:val="TOC8"/>
        <w:rPr>
          <w:rFonts w:asciiTheme="minorHAnsi" w:eastAsiaTheme="minorEastAsia" w:hAnsiTheme="minorHAnsi" w:cstheme="minorBidi"/>
          <w:szCs w:val="22"/>
        </w:rPr>
      </w:pPr>
      <w:r>
        <w:t>38.</w:t>
      </w:r>
      <w:r>
        <w:tab/>
        <w:t>Evidentiary certificates—Bulletin Board operator</w:t>
      </w:r>
      <w:r>
        <w:tab/>
      </w:r>
      <w:r>
        <w:fldChar w:fldCharType="begin"/>
      </w:r>
      <w:r>
        <w:instrText xml:space="preserve"> PAGEREF _Toc221110204 \h </w:instrText>
      </w:r>
      <w:r>
        <w:fldChar w:fldCharType="separate"/>
      </w:r>
      <w:r>
        <w:t>309</w:t>
      </w:r>
      <w:r>
        <w:fldChar w:fldCharType="end"/>
      </w:r>
    </w:p>
    <w:p>
      <w:pPr>
        <w:pStyle w:val="TOC4"/>
        <w:tabs>
          <w:tab w:val="right" w:leader="dot" w:pos="7077"/>
        </w:tabs>
        <w:rPr>
          <w:rFonts w:asciiTheme="minorHAnsi" w:eastAsiaTheme="minorEastAsia" w:hAnsiTheme="minorHAnsi" w:cstheme="minorBidi"/>
          <w:b w:val="0"/>
          <w:szCs w:val="22"/>
        </w:rPr>
      </w:pPr>
      <w:r>
        <w:t>Part 8 — Commencement of this Law and statutory instruments</w:t>
      </w:r>
    </w:p>
    <w:p>
      <w:pPr>
        <w:pStyle w:val="TOC8"/>
        <w:rPr>
          <w:rFonts w:asciiTheme="minorHAnsi" w:eastAsiaTheme="minorEastAsia" w:hAnsiTheme="minorHAnsi" w:cstheme="minorBidi"/>
          <w:szCs w:val="22"/>
        </w:rPr>
      </w:pPr>
      <w:r>
        <w:t>39.</w:t>
      </w:r>
      <w:r>
        <w:tab/>
        <w:t>Time of commencement of this Law or a provision of this Law</w:t>
      </w:r>
      <w:r>
        <w:tab/>
      </w:r>
      <w:r>
        <w:fldChar w:fldCharType="begin"/>
      </w:r>
      <w:r>
        <w:instrText xml:space="preserve"> PAGEREF _Toc221110206 \h </w:instrText>
      </w:r>
      <w:r>
        <w:fldChar w:fldCharType="separate"/>
      </w:r>
      <w:r>
        <w:t>310</w:t>
      </w:r>
      <w:r>
        <w:fldChar w:fldCharType="end"/>
      </w:r>
    </w:p>
    <w:p>
      <w:pPr>
        <w:pStyle w:val="TOC8"/>
        <w:rPr>
          <w:rFonts w:asciiTheme="minorHAnsi" w:eastAsiaTheme="minorEastAsia" w:hAnsiTheme="minorHAnsi" w:cstheme="minorBidi"/>
          <w:szCs w:val="22"/>
        </w:rPr>
      </w:pPr>
      <w:r>
        <w:t>40.</w:t>
      </w:r>
      <w:r>
        <w:tab/>
        <w:t>Time of commencement of a Rule</w:t>
      </w:r>
      <w:r>
        <w:tab/>
      </w:r>
      <w:r>
        <w:fldChar w:fldCharType="begin"/>
      </w:r>
      <w:r>
        <w:instrText xml:space="preserve"> PAGEREF _Toc221110207 \h </w:instrText>
      </w:r>
      <w:r>
        <w:fldChar w:fldCharType="separate"/>
      </w:r>
      <w:r>
        <w:t>310</w:t>
      </w:r>
      <w:r>
        <w:fldChar w:fldCharType="end"/>
      </w:r>
    </w:p>
    <w:p>
      <w:pPr>
        <w:pStyle w:val="TOC4"/>
        <w:tabs>
          <w:tab w:val="right" w:leader="dot" w:pos="7077"/>
        </w:tabs>
        <w:rPr>
          <w:rFonts w:asciiTheme="minorHAnsi" w:eastAsiaTheme="minorEastAsia" w:hAnsiTheme="minorHAnsi" w:cstheme="minorBidi"/>
          <w:b w:val="0"/>
          <w:szCs w:val="22"/>
        </w:rPr>
      </w:pPr>
      <w:r>
        <w:t>Part 9 — Effect of repeal, amendment or expiration</w:t>
      </w:r>
    </w:p>
    <w:p>
      <w:pPr>
        <w:pStyle w:val="TOC8"/>
        <w:rPr>
          <w:rFonts w:asciiTheme="minorHAnsi" w:eastAsiaTheme="minorEastAsia" w:hAnsiTheme="minorHAnsi" w:cstheme="minorBidi"/>
          <w:szCs w:val="22"/>
        </w:rPr>
      </w:pPr>
      <w:r>
        <w:t>41.</w:t>
      </w:r>
      <w:r>
        <w:tab/>
        <w:t>Time of Law, the Regulations or Rules ceasing to have effect</w:t>
      </w:r>
      <w:r>
        <w:tab/>
      </w:r>
      <w:r>
        <w:fldChar w:fldCharType="begin"/>
      </w:r>
      <w:r>
        <w:instrText xml:space="preserve"> PAGEREF _Toc221110209 \h </w:instrText>
      </w:r>
      <w:r>
        <w:fldChar w:fldCharType="separate"/>
      </w:r>
      <w:r>
        <w:t>310</w:t>
      </w:r>
      <w:r>
        <w:fldChar w:fldCharType="end"/>
      </w:r>
    </w:p>
    <w:p>
      <w:pPr>
        <w:pStyle w:val="TOC8"/>
        <w:rPr>
          <w:rFonts w:asciiTheme="minorHAnsi" w:eastAsiaTheme="minorEastAsia" w:hAnsiTheme="minorHAnsi" w:cstheme="minorBidi"/>
          <w:szCs w:val="22"/>
        </w:rPr>
      </w:pPr>
      <w:r>
        <w:t>42.</w:t>
      </w:r>
      <w:r>
        <w:tab/>
        <w:t>Repealed Law, Regulation or Rule provisions not revived</w:t>
      </w:r>
      <w:r>
        <w:tab/>
      </w:r>
      <w:r>
        <w:fldChar w:fldCharType="begin"/>
      </w:r>
      <w:r>
        <w:instrText xml:space="preserve"> PAGEREF _Toc221110210 \h </w:instrText>
      </w:r>
      <w:r>
        <w:fldChar w:fldCharType="separate"/>
      </w:r>
      <w:r>
        <w:t>311</w:t>
      </w:r>
      <w:r>
        <w:fldChar w:fldCharType="end"/>
      </w:r>
    </w:p>
    <w:p>
      <w:pPr>
        <w:pStyle w:val="TOC8"/>
        <w:rPr>
          <w:rFonts w:asciiTheme="minorHAnsi" w:eastAsiaTheme="minorEastAsia" w:hAnsiTheme="minorHAnsi" w:cstheme="minorBidi"/>
          <w:szCs w:val="22"/>
        </w:rPr>
      </w:pPr>
      <w:r>
        <w:lastRenderedPageBreak/>
        <w:t>43.</w:t>
      </w:r>
      <w:r>
        <w:tab/>
        <w:t>Saving of operation of repealed Law, Regulation or Rule provisions</w:t>
      </w:r>
      <w:r>
        <w:tab/>
      </w:r>
      <w:r>
        <w:fldChar w:fldCharType="begin"/>
      </w:r>
      <w:r>
        <w:instrText xml:space="preserve"> PAGEREF _Toc221110211 \h </w:instrText>
      </w:r>
      <w:r>
        <w:fldChar w:fldCharType="separate"/>
      </w:r>
      <w:r>
        <w:t>311</w:t>
      </w:r>
      <w:r>
        <w:fldChar w:fldCharType="end"/>
      </w:r>
    </w:p>
    <w:p>
      <w:pPr>
        <w:pStyle w:val="TOC8"/>
        <w:rPr>
          <w:rFonts w:asciiTheme="minorHAnsi" w:eastAsiaTheme="minorEastAsia" w:hAnsiTheme="minorHAnsi" w:cstheme="minorBidi"/>
          <w:szCs w:val="22"/>
        </w:rPr>
      </w:pPr>
      <w:r>
        <w:t>44.</w:t>
      </w:r>
      <w:r>
        <w:tab/>
        <w:t>Continuance of repealed provisions</w:t>
      </w:r>
      <w:r>
        <w:tab/>
      </w:r>
      <w:r>
        <w:fldChar w:fldCharType="begin"/>
      </w:r>
      <w:r>
        <w:instrText xml:space="preserve"> PAGEREF _Toc221110212 \h </w:instrText>
      </w:r>
      <w:r>
        <w:fldChar w:fldCharType="separate"/>
      </w:r>
      <w:r>
        <w:t>312</w:t>
      </w:r>
      <w:r>
        <w:fldChar w:fldCharType="end"/>
      </w:r>
    </w:p>
    <w:p>
      <w:pPr>
        <w:pStyle w:val="TOC8"/>
        <w:rPr>
          <w:rFonts w:asciiTheme="minorHAnsi" w:eastAsiaTheme="minorEastAsia" w:hAnsiTheme="minorHAnsi" w:cstheme="minorBidi"/>
          <w:szCs w:val="22"/>
        </w:rPr>
      </w:pPr>
      <w:r>
        <w:t>45.</w:t>
      </w:r>
      <w:r>
        <w:tab/>
        <w:t>Law and amending Acts to be read as one</w:t>
      </w:r>
      <w:r>
        <w:tab/>
      </w:r>
      <w:r>
        <w:fldChar w:fldCharType="begin"/>
      </w:r>
      <w:r>
        <w:instrText xml:space="preserve"> PAGEREF _Toc221110213 \h </w:instrText>
      </w:r>
      <w:r>
        <w:fldChar w:fldCharType="separate"/>
      </w:r>
      <w:r>
        <w:t>312</w:t>
      </w:r>
      <w:r>
        <w:fldChar w:fldCharType="end"/>
      </w:r>
    </w:p>
    <w:p>
      <w:pPr>
        <w:pStyle w:val="TOC4"/>
        <w:tabs>
          <w:tab w:val="right" w:leader="dot" w:pos="7077"/>
        </w:tabs>
        <w:rPr>
          <w:rFonts w:asciiTheme="minorHAnsi" w:eastAsiaTheme="minorEastAsia" w:hAnsiTheme="minorHAnsi" w:cstheme="minorBidi"/>
          <w:b w:val="0"/>
          <w:szCs w:val="22"/>
        </w:rPr>
      </w:pPr>
      <w:r>
        <w:t>Part 10 — Offences under this Law</w:t>
      </w:r>
    </w:p>
    <w:p>
      <w:pPr>
        <w:pStyle w:val="TOC8"/>
        <w:rPr>
          <w:rFonts w:asciiTheme="minorHAnsi" w:eastAsiaTheme="minorEastAsia" w:hAnsiTheme="minorHAnsi" w:cstheme="minorBidi"/>
          <w:szCs w:val="22"/>
        </w:rPr>
      </w:pPr>
      <w:r>
        <w:t>46.</w:t>
      </w:r>
      <w:r>
        <w:tab/>
        <w:t>Penalty at foot of provision</w:t>
      </w:r>
      <w:r>
        <w:tab/>
      </w:r>
      <w:r>
        <w:fldChar w:fldCharType="begin"/>
      </w:r>
      <w:r>
        <w:instrText xml:space="preserve"> PAGEREF _Toc221110215 \h </w:instrText>
      </w:r>
      <w:r>
        <w:fldChar w:fldCharType="separate"/>
      </w:r>
      <w:r>
        <w:t>312</w:t>
      </w:r>
      <w:r>
        <w:fldChar w:fldCharType="end"/>
      </w:r>
    </w:p>
    <w:p>
      <w:pPr>
        <w:pStyle w:val="TOC8"/>
        <w:rPr>
          <w:rFonts w:asciiTheme="minorHAnsi" w:eastAsiaTheme="minorEastAsia" w:hAnsiTheme="minorHAnsi" w:cstheme="minorBidi"/>
          <w:szCs w:val="22"/>
        </w:rPr>
      </w:pPr>
      <w:r>
        <w:t>47.</w:t>
      </w:r>
      <w:r>
        <w:tab/>
        <w:t>Penalty other than at foot of provision</w:t>
      </w:r>
      <w:r>
        <w:tab/>
      </w:r>
      <w:r>
        <w:fldChar w:fldCharType="begin"/>
      </w:r>
      <w:r>
        <w:instrText xml:space="preserve"> PAGEREF _Toc221110216 \h </w:instrText>
      </w:r>
      <w:r>
        <w:fldChar w:fldCharType="separate"/>
      </w:r>
      <w:r>
        <w:t>313</w:t>
      </w:r>
      <w:r>
        <w:fldChar w:fldCharType="end"/>
      </w:r>
    </w:p>
    <w:p>
      <w:pPr>
        <w:pStyle w:val="TOC8"/>
        <w:rPr>
          <w:rFonts w:asciiTheme="minorHAnsi" w:eastAsiaTheme="minorEastAsia" w:hAnsiTheme="minorHAnsi" w:cstheme="minorBidi"/>
          <w:szCs w:val="22"/>
        </w:rPr>
      </w:pPr>
      <w:r>
        <w:t>48.</w:t>
      </w:r>
      <w:r>
        <w:tab/>
        <w:t>Indictable offences and summary offences</w:t>
      </w:r>
      <w:r>
        <w:tab/>
      </w:r>
      <w:r>
        <w:fldChar w:fldCharType="begin"/>
      </w:r>
      <w:r>
        <w:instrText xml:space="preserve"> PAGEREF _Toc221110217 \h </w:instrText>
      </w:r>
      <w:r>
        <w:fldChar w:fldCharType="separate"/>
      </w:r>
      <w:r>
        <w:t>313</w:t>
      </w:r>
      <w:r>
        <w:fldChar w:fldCharType="end"/>
      </w:r>
    </w:p>
    <w:p>
      <w:pPr>
        <w:pStyle w:val="TOC8"/>
        <w:rPr>
          <w:rFonts w:asciiTheme="minorHAnsi" w:eastAsiaTheme="minorEastAsia" w:hAnsiTheme="minorHAnsi" w:cstheme="minorBidi"/>
          <w:szCs w:val="22"/>
        </w:rPr>
      </w:pPr>
      <w:r>
        <w:t>49.</w:t>
      </w:r>
      <w:r>
        <w:tab/>
        <w:t>Double jeopardy</w:t>
      </w:r>
      <w:r>
        <w:tab/>
      </w:r>
      <w:r>
        <w:fldChar w:fldCharType="begin"/>
      </w:r>
      <w:r>
        <w:instrText xml:space="preserve"> PAGEREF _Toc221110218 \h </w:instrText>
      </w:r>
      <w:r>
        <w:fldChar w:fldCharType="separate"/>
      </w:r>
      <w:r>
        <w:t>314</w:t>
      </w:r>
      <w:r>
        <w:fldChar w:fldCharType="end"/>
      </w:r>
    </w:p>
    <w:p>
      <w:pPr>
        <w:pStyle w:val="TOC8"/>
        <w:rPr>
          <w:rFonts w:asciiTheme="minorHAnsi" w:eastAsiaTheme="minorEastAsia" w:hAnsiTheme="minorHAnsi" w:cstheme="minorBidi"/>
          <w:szCs w:val="22"/>
        </w:rPr>
      </w:pPr>
      <w:r>
        <w:t>50.</w:t>
      </w:r>
      <w:r>
        <w:tab/>
        <w:t>Attempts and incitement</w:t>
      </w:r>
      <w:r>
        <w:tab/>
      </w:r>
      <w:r>
        <w:fldChar w:fldCharType="begin"/>
      </w:r>
      <w:r>
        <w:instrText xml:space="preserve"> PAGEREF _Toc221110219 \h </w:instrText>
      </w:r>
      <w:r>
        <w:fldChar w:fldCharType="separate"/>
      </w:r>
      <w:r>
        <w:t>315</w:t>
      </w:r>
      <w:r>
        <w:fldChar w:fldCharType="end"/>
      </w:r>
    </w:p>
    <w:p>
      <w:pPr>
        <w:pStyle w:val="TOC4"/>
        <w:tabs>
          <w:tab w:val="right" w:leader="dot" w:pos="7077"/>
        </w:tabs>
        <w:rPr>
          <w:rFonts w:asciiTheme="minorHAnsi" w:eastAsiaTheme="minorEastAsia" w:hAnsiTheme="minorHAnsi" w:cstheme="minorBidi"/>
          <w:b w:val="0"/>
          <w:szCs w:val="22"/>
        </w:rPr>
      </w:pPr>
      <w:r>
        <w:t>Part 11 — Instruments under this Law</w:t>
      </w:r>
    </w:p>
    <w:p>
      <w:pPr>
        <w:pStyle w:val="TOC8"/>
        <w:rPr>
          <w:rFonts w:asciiTheme="minorHAnsi" w:eastAsiaTheme="minorEastAsia" w:hAnsiTheme="minorHAnsi" w:cstheme="minorBidi"/>
          <w:szCs w:val="22"/>
        </w:rPr>
      </w:pPr>
      <w:r>
        <w:t>51.</w:t>
      </w:r>
      <w:r>
        <w:tab/>
        <w:t>Schedule applies to statutory instruments</w:t>
      </w:r>
      <w:r>
        <w:tab/>
      </w:r>
      <w:r>
        <w:fldChar w:fldCharType="begin"/>
      </w:r>
      <w:r>
        <w:instrText xml:space="preserve"> PAGEREF _Toc221110221 \h </w:instrText>
      </w:r>
      <w:r>
        <w:fldChar w:fldCharType="separate"/>
      </w:r>
      <w:r>
        <w:t>315</w:t>
      </w:r>
      <w:r>
        <w:fldChar w:fldCharType="end"/>
      </w:r>
    </w:p>
    <w:p>
      <w:pPr>
        <w:pStyle w:val="TOC8"/>
        <w:rPr>
          <w:rFonts w:asciiTheme="minorHAnsi" w:eastAsiaTheme="minorEastAsia" w:hAnsiTheme="minorHAnsi" w:cstheme="minorBidi"/>
          <w:szCs w:val="22"/>
        </w:rPr>
      </w:pPr>
      <w:r>
        <w:t>52.</w:t>
      </w:r>
      <w:r>
        <w:tab/>
        <w:t>National Gas Rules to be construed so as not to exceed the legislative power of the Legislature of this jurisdiction or the powers conferred by this Law</w:t>
      </w:r>
      <w:r>
        <w:tab/>
      </w:r>
      <w:r>
        <w:fldChar w:fldCharType="begin"/>
      </w:r>
      <w:r>
        <w:instrText xml:space="preserve"> PAGEREF _Toc221110222 \h </w:instrText>
      </w:r>
      <w:r>
        <w:fldChar w:fldCharType="separate"/>
      </w:r>
      <w:r>
        <w:t>316</w:t>
      </w:r>
      <w:r>
        <w:fldChar w:fldCharType="end"/>
      </w:r>
    </w:p>
    <w:p>
      <w:pPr>
        <w:pStyle w:val="TOC8"/>
        <w:rPr>
          <w:rFonts w:asciiTheme="minorHAnsi" w:eastAsiaTheme="minorEastAsia" w:hAnsiTheme="minorHAnsi" w:cstheme="minorBidi"/>
          <w:szCs w:val="22"/>
        </w:rPr>
      </w:pPr>
      <w:r>
        <w:t>53.</w:t>
      </w:r>
      <w:r>
        <w:tab/>
        <w:t>Invalid Rules</w:t>
      </w:r>
      <w:r>
        <w:tab/>
      </w:r>
      <w:r>
        <w:fldChar w:fldCharType="begin"/>
      </w:r>
      <w:r>
        <w:instrText xml:space="preserve"> PAGEREF _Toc221110223 \h </w:instrText>
      </w:r>
      <w:r>
        <w:fldChar w:fldCharType="separate"/>
      </w:r>
      <w:r>
        <w:t>317</w:t>
      </w:r>
      <w:r>
        <w:fldChar w:fldCharType="end"/>
      </w:r>
    </w:p>
    <w:p>
      <w:pPr>
        <w:pStyle w:val="TOC2"/>
        <w:tabs>
          <w:tab w:val="right" w:leader="dot" w:pos="7077"/>
        </w:tabs>
        <w:rPr>
          <w:rFonts w:asciiTheme="minorHAnsi" w:eastAsiaTheme="minorEastAsia" w:hAnsiTheme="minorHAnsi" w:cstheme="minorBidi"/>
          <w:b w:val="0"/>
          <w:sz w:val="22"/>
          <w:szCs w:val="22"/>
        </w:rPr>
      </w:pPr>
      <w:r>
        <w:t>Schedule 3 — Savings and transitionals</w:t>
      </w:r>
    </w:p>
    <w:p>
      <w:pPr>
        <w:pStyle w:val="TOC4"/>
        <w:tabs>
          <w:tab w:val="right" w:leader="dot" w:pos="7077"/>
        </w:tabs>
        <w:rPr>
          <w:rFonts w:asciiTheme="minorHAnsi" w:eastAsiaTheme="minorEastAsia" w:hAnsiTheme="minorHAnsi" w:cstheme="minorBidi"/>
          <w:b w:val="0"/>
          <w:szCs w:val="22"/>
        </w:rPr>
      </w:pPr>
      <w:r>
        <w:t>Part 1 — General</w:t>
      </w:r>
    </w:p>
    <w:p>
      <w:pPr>
        <w:pStyle w:val="TOC8"/>
        <w:rPr>
          <w:rFonts w:asciiTheme="minorHAnsi" w:eastAsiaTheme="minorEastAsia" w:hAnsiTheme="minorHAnsi" w:cstheme="minorBidi"/>
          <w:szCs w:val="22"/>
        </w:rPr>
      </w:pPr>
      <w:r>
        <w:t>1.</w:t>
      </w:r>
      <w:r>
        <w:tab/>
        <w:t>Definitions</w:t>
      </w:r>
      <w:r>
        <w:tab/>
      </w:r>
      <w:r>
        <w:fldChar w:fldCharType="begin"/>
      </w:r>
      <w:r>
        <w:instrText xml:space="preserve"> PAGEREF _Toc221110226 \h </w:instrText>
      </w:r>
      <w:r>
        <w:fldChar w:fldCharType="separate"/>
      </w:r>
      <w:r>
        <w:t>319</w:t>
      </w:r>
      <w:r>
        <w:fldChar w:fldCharType="end"/>
      </w:r>
    </w:p>
    <w:p>
      <w:pPr>
        <w:pStyle w:val="TOC8"/>
        <w:rPr>
          <w:rFonts w:asciiTheme="minorHAnsi" w:eastAsiaTheme="minorEastAsia" w:hAnsiTheme="minorHAnsi" w:cstheme="minorBidi"/>
          <w:szCs w:val="22"/>
        </w:rPr>
      </w:pPr>
      <w:r>
        <w:t>2.</w:t>
      </w:r>
      <w:r>
        <w:tab/>
        <w:t>Schedule subject to jurisdictional transitional arrangements in jurisdictional legislation</w:t>
      </w:r>
      <w:r>
        <w:tab/>
      </w:r>
      <w:r>
        <w:fldChar w:fldCharType="begin"/>
      </w:r>
      <w:r>
        <w:instrText xml:space="preserve"> PAGEREF _Toc221110227 \h </w:instrText>
      </w:r>
      <w:r>
        <w:fldChar w:fldCharType="separate"/>
      </w:r>
      <w:r>
        <w:t>322</w:t>
      </w:r>
      <w:r>
        <w:fldChar w:fldCharType="end"/>
      </w:r>
    </w:p>
    <w:p>
      <w:pPr>
        <w:pStyle w:val="TOC4"/>
        <w:tabs>
          <w:tab w:val="right" w:leader="dot" w:pos="7077"/>
        </w:tabs>
        <w:rPr>
          <w:rFonts w:asciiTheme="minorHAnsi" w:eastAsiaTheme="minorEastAsia" w:hAnsiTheme="minorHAnsi" w:cstheme="minorBidi"/>
          <w:b w:val="0"/>
          <w:szCs w:val="22"/>
        </w:rPr>
      </w:pPr>
      <w:r>
        <w:t>Part 2 — General savings provision</w:t>
      </w:r>
    </w:p>
    <w:p>
      <w:pPr>
        <w:pStyle w:val="TOC8"/>
        <w:rPr>
          <w:rFonts w:asciiTheme="minorHAnsi" w:eastAsiaTheme="minorEastAsia" w:hAnsiTheme="minorHAnsi" w:cstheme="minorBidi"/>
          <w:szCs w:val="22"/>
        </w:rPr>
      </w:pPr>
      <w:r>
        <w:t>3.</w:t>
      </w:r>
      <w:r>
        <w:tab/>
        <w:t>Saving of operation of old access law and Gas Code</w:t>
      </w:r>
      <w:r>
        <w:tab/>
      </w:r>
      <w:r>
        <w:fldChar w:fldCharType="begin"/>
      </w:r>
      <w:r>
        <w:instrText xml:space="preserve"> PAGEREF _Toc221110229 \h </w:instrText>
      </w:r>
      <w:r>
        <w:fldChar w:fldCharType="separate"/>
      </w:r>
      <w:r>
        <w:t>322</w:t>
      </w:r>
      <w:r>
        <w:fldChar w:fldCharType="end"/>
      </w:r>
    </w:p>
    <w:p>
      <w:pPr>
        <w:pStyle w:val="TOC4"/>
        <w:tabs>
          <w:tab w:val="right" w:leader="dot" w:pos="7077"/>
        </w:tabs>
        <w:rPr>
          <w:rFonts w:asciiTheme="minorHAnsi" w:eastAsiaTheme="minorEastAsia" w:hAnsiTheme="minorHAnsi" w:cstheme="minorBidi"/>
          <w:b w:val="0"/>
          <w:szCs w:val="22"/>
        </w:rPr>
      </w:pPr>
      <w:r>
        <w:t>Part 3 — Classification and coverage of pipelines</w:t>
      </w:r>
    </w:p>
    <w:p>
      <w:pPr>
        <w:pStyle w:val="TOC8"/>
        <w:rPr>
          <w:rFonts w:asciiTheme="minorHAnsi" w:eastAsiaTheme="minorEastAsia" w:hAnsiTheme="minorHAnsi" w:cstheme="minorBidi"/>
          <w:szCs w:val="22"/>
        </w:rPr>
      </w:pPr>
      <w:r>
        <w:t>4.</w:t>
      </w:r>
      <w:r>
        <w:tab/>
        <w:t>Pending applications for the classification of pipelines lapse</w:t>
      </w:r>
      <w:r>
        <w:tab/>
      </w:r>
      <w:r>
        <w:fldChar w:fldCharType="begin"/>
      </w:r>
      <w:r>
        <w:instrText xml:space="preserve"> PAGEREF _Toc221110231 \h </w:instrText>
      </w:r>
      <w:r>
        <w:fldChar w:fldCharType="separate"/>
      </w:r>
      <w:r>
        <w:t>323</w:t>
      </w:r>
      <w:r>
        <w:fldChar w:fldCharType="end"/>
      </w:r>
    </w:p>
    <w:p>
      <w:pPr>
        <w:pStyle w:val="TOC8"/>
        <w:rPr>
          <w:rFonts w:asciiTheme="minorHAnsi" w:eastAsiaTheme="minorEastAsia" w:hAnsiTheme="minorHAnsi" w:cstheme="minorBidi"/>
          <w:szCs w:val="22"/>
        </w:rPr>
      </w:pPr>
      <w:r>
        <w:t>5.</w:t>
      </w:r>
      <w:r>
        <w:tab/>
        <w:t>Old scheme coverage determinations</w:t>
      </w:r>
      <w:r>
        <w:tab/>
      </w:r>
      <w:r>
        <w:fldChar w:fldCharType="begin"/>
      </w:r>
      <w:r>
        <w:instrText xml:space="preserve"> PAGEREF _Toc221110232 \h </w:instrText>
      </w:r>
      <w:r>
        <w:fldChar w:fldCharType="separate"/>
      </w:r>
      <w:r>
        <w:t>323</w:t>
      </w:r>
      <w:r>
        <w:fldChar w:fldCharType="end"/>
      </w:r>
    </w:p>
    <w:p>
      <w:pPr>
        <w:pStyle w:val="TOC8"/>
        <w:rPr>
          <w:rFonts w:asciiTheme="minorHAnsi" w:eastAsiaTheme="minorEastAsia" w:hAnsiTheme="minorHAnsi" w:cstheme="minorBidi"/>
          <w:szCs w:val="22"/>
        </w:rPr>
      </w:pPr>
      <w:r>
        <w:t>6.</w:t>
      </w:r>
      <w:r>
        <w:tab/>
        <w:t>Old scheme covered transmission pipelines</w:t>
      </w:r>
      <w:r>
        <w:tab/>
      </w:r>
      <w:r>
        <w:fldChar w:fldCharType="begin"/>
      </w:r>
      <w:r>
        <w:instrText xml:space="preserve"> PAGEREF _Toc221110233 \h </w:instrText>
      </w:r>
      <w:r>
        <w:fldChar w:fldCharType="separate"/>
      </w:r>
      <w:r>
        <w:t>323</w:t>
      </w:r>
      <w:r>
        <w:fldChar w:fldCharType="end"/>
      </w:r>
    </w:p>
    <w:p>
      <w:pPr>
        <w:pStyle w:val="TOC8"/>
        <w:rPr>
          <w:rFonts w:asciiTheme="minorHAnsi" w:eastAsiaTheme="minorEastAsia" w:hAnsiTheme="minorHAnsi" w:cstheme="minorBidi"/>
          <w:szCs w:val="22"/>
        </w:rPr>
      </w:pPr>
      <w:r>
        <w:t>7.</w:t>
      </w:r>
      <w:r>
        <w:tab/>
        <w:t>Old scheme covered distribution pipelines</w:t>
      </w:r>
      <w:r>
        <w:tab/>
      </w:r>
      <w:r>
        <w:fldChar w:fldCharType="begin"/>
      </w:r>
      <w:r>
        <w:instrText xml:space="preserve"> PAGEREF _Toc221110234 \h </w:instrText>
      </w:r>
      <w:r>
        <w:fldChar w:fldCharType="separate"/>
      </w:r>
      <w:r>
        <w:t>323</w:t>
      </w:r>
      <w:r>
        <w:fldChar w:fldCharType="end"/>
      </w:r>
    </w:p>
    <w:p>
      <w:pPr>
        <w:pStyle w:val="TOC8"/>
        <w:rPr>
          <w:rFonts w:asciiTheme="minorHAnsi" w:eastAsiaTheme="minorEastAsia" w:hAnsiTheme="minorHAnsi" w:cstheme="minorBidi"/>
          <w:szCs w:val="22"/>
        </w:rPr>
      </w:pPr>
      <w:r>
        <w:t>8.</w:t>
      </w:r>
      <w:r>
        <w:tab/>
        <w:t>Pending coverage applications under old scheme (before NCC recommendation)</w:t>
      </w:r>
      <w:r>
        <w:tab/>
      </w:r>
      <w:r>
        <w:fldChar w:fldCharType="begin"/>
      </w:r>
      <w:r>
        <w:instrText xml:space="preserve"> PAGEREF _Toc221110235 \h </w:instrText>
      </w:r>
      <w:r>
        <w:fldChar w:fldCharType="separate"/>
      </w:r>
      <w:r>
        <w:t>324</w:t>
      </w:r>
      <w:r>
        <w:fldChar w:fldCharType="end"/>
      </w:r>
    </w:p>
    <w:p>
      <w:pPr>
        <w:pStyle w:val="TOC8"/>
        <w:rPr>
          <w:rFonts w:asciiTheme="minorHAnsi" w:eastAsiaTheme="minorEastAsia" w:hAnsiTheme="minorHAnsi" w:cstheme="minorBidi"/>
          <w:szCs w:val="22"/>
        </w:rPr>
      </w:pPr>
      <w:r>
        <w:t>9.</w:t>
      </w:r>
      <w:r>
        <w:tab/>
        <w:t>Pending relevant Minister decisions in relation to coverage under old scheme</w:t>
      </w:r>
      <w:r>
        <w:tab/>
      </w:r>
      <w:r>
        <w:fldChar w:fldCharType="begin"/>
      </w:r>
      <w:r>
        <w:instrText xml:space="preserve"> PAGEREF _Toc221110236 \h </w:instrText>
      </w:r>
      <w:r>
        <w:fldChar w:fldCharType="separate"/>
      </w:r>
      <w:r>
        <w:t>324</w:t>
      </w:r>
      <w:r>
        <w:fldChar w:fldCharType="end"/>
      </w:r>
    </w:p>
    <w:p>
      <w:pPr>
        <w:pStyle w:val="TOC8"/>
        <w:rPr>
          <w:rFonts w:asciiTheme="minorHAnsi" w:eastAsiaTheme="minorEastAsia" w:hAnsiTheme="minorHAnsi" w:cstheme="minorBidi"/>
          <w:szCs w:val="22"/>
        </w:rPr>
      </w:pPr>
      <w:r>
        <w:lastRenderedPageBreak/>
        <w:t>10.</w:t>
      </w:r>
      <w:r>
        <w:tab/>
        <w:t>Pending relevant Minister decisions in relation to coverage that are reviewed under old scheme</w:t>
      </w:r>
      <w:r>
        <w:tab/>
      </w:r>
      <w:r>
        <w:fldChar w:fldCharType="begin"/>
      </w:r>
      <w:r>
        <w:instrText xml:space="preserve"> PAGEREF _Toc221110237 \h </w:instrText>
      </w:r>
      <w:r>
        <w:fldChar w:fldCharType="separate"/>
      </w:r>
      <w:r>
        <w:t>325</w:t>
      </w:r>
      <w:r>
        <w:fldChar w:fldCharType="end"/>
      </w:r>
    </w:p>
    <w:p>
      <w:pPr>
        <w:pStyle w:val="TOC8"/>
        <w:rPr>
          <w:rFonts w:asciiTheme="minorHAnsi" w:eastAsiaTheme="minorEastAsia" w:hAnsiTheme="minorHAnsi" w:cstheme="minorBidi"/>
          <w:szCs w:val="22"/>
        </w:rPr>
      </w:pPr>
      <w:r>
        <w:t>11.</w:t>
      </w:r>
      <w:r>
        <w:tab/>
        <w:t>Pending old scheme coverage determinations where no applications for review under old scheme</w:t>
      </w:r>
      <w:r>
        <w:tab/>
      </w:r>
      <w:r>
        <w:fldChar w:fldCharType="begin"/>
      </w:r>
      <w:r>
        <w:instrText xml:space="preserve"> PAGEREF _Toc221110238 \h </w:instrText>
      </w:r>
      <w:r>
        <w:fldChar w:fldCharType="separate"/>
      </w:r>
      <w:r>
        <w:t>327</w:t>
      </w:r>
      <w:r>
        <w:fldChar w:fldCharType="end"/>
      </w:r>
    </w:p>
    <w:p>
      <w:pPr>
        <w:pStyle w:val="TOC8"/>
        <w:rPr>
          <w:rFonts w:asciiTheme="minorHAnsi" w:eastAsiaTheme="minorEastAsia" w:hAnsiTheme="minorHAnsi" w:cstheme="minorBidi"/>
          <w:szCs w:val="22"/>
        </w:rPr>
      </w:pPr>
      <w:r>
        <w:t>12.</w:t>
      </w:r>
      <w:r>
        <w:tab/>
        <w:t>Pending old scheme coverage determinations where applications for review under old scheme on foot</w:t>
      </w:r>
      <w:r>
        <w:tab/>
      </w:r>
      <w:r>
        <w:fldChar w:fldCharType="begin"/>
      </w:r>
      <w:r>
        <w:instrText xml:space="preserve"> PAGEREF _Toc221110239 \h </w:instrText>
      </w:r>
      <w:r>
        <w:fldChar w:fldCharType="separate"/>
      </w:r>
      <w:r>
        <w:t>327</w:t>
      </w:r>
      <w:r>
        <w:fldChar w:fldCharType="end"/>
      </w:r>
    </w:p>
    <w:p>
      <w:pPr>
        <w:pStyle w:val="TOC8"/>
        <w:rPr>
          <w:rFonts w:asciiTheme="minorHAnsi" w:eastAsiaTheme="minorEastAsia" w:hAnsiTheme="minorHAnsi" w:cstheme="minorBidi"/>
          <w:szCs w:val="22"/>
        </w:rPr>
      </w:pPr>
      <w:r>
        <w:t>13.</w:t>
      </w:r>
      <w:r>
        <w:tab/>
        <w:t>Pending old scheme no</w:t>
      </w:r>
      <w:r>
        <w:noBreakHyphen/>
        <w:t>coverage determinations where no applications for review under old scheme</w:t>
      </w:r>
      <w:r>
        <w:tab/>
      </w:r>
      <w:r>
        <w:fldChar w:fldCharType="begin"/>
      </w:r>
      <w:r>
        <w:instrText xml:space="preserve"> PAGEREF _Toc221110240 \h </w:instrText>
      </w:r>
      <w:r>
        <w:fldChar w:fldCharType="separate"/>
      </w:r>
      <w:r>
        <w:t>328</w:t>
      </w:r>
      <w:r>
        <w:fldChar w:fldCharType="end"/>
      </w:r>
    </w:p>
    <w:p>
      <w:pPr>
        <w:pStyle w:val="TOC8"/>
        <w:rPr>
          <w:rFonts w:asciiTheme="minorHAnsi" w:eastAsiaTheme="minorEastAsia" w:hAnsiTheme="minorHAnsi" w:cstheme="minorBidi"/>
          <w:szCs w:val="22"/>
        </w:rPr>
      </w:pPr>
      <w:r>
        <w:t>14.</w:t>
      </w:r>
      <w:r>
        <w:tab/>
        <w:t>Pending old scheme no</w:t>
      </w:r>
      <w:r>
        <w:noBreakHyphen/>
        <w:t>coverage determinations where applications for review under old scheme on foot</w:t>
      </w:r>
      <w:r>
        <w:tab/>
      </w:r>
      <w:r>
        <w:fldChar w:fldCharType="begin"/>
      </w:r>
      <w:r>
        <w:instrText xml:space="preserve"> PAGEREF _Toc221110241 \h </w:instrText>
      </w:r>
      <w:r>
        <w:fldChar w:fldCharType="separate"/>
      </w:r>
      <w:r>
        <w:t>329</w:t>
      </w:r>
      <w:r>
        <w:fldChar w:fldCharType="end"/>
      </w:r>
    </w:p>
    <w:p>
      <w:pPr>
        <w:pStyle w:val="TOC8"/>
        <w:rPr>
          <w:rFonts w:asciiTheme="minorHAnsi" w:eastAsiaTheme="minorEastAsia" w:hAnsiTheme="minorHAnsi" w:cstheme="minorBidi"/>
          <w:szCs w:val="22"/>
        </w:rPr>
      </w:pPr>
      <w:r>
        <w:t>15.</w:t>
      </w:r>
      <w:r>
        <w:tab/>
        <w:t>Pending coverage revocation applications under old scheme (before NCC recommendation)</w:t>
      </w:r>
      <w:r>
        <w:tab/>
      </w:r>
      <w:r>
        <w:fldChar w:fldCharType="begin"/>
      </w:r>
      <w:r>
        <w:instrText xml:space="preserve"> PAGEREF _Toc221110242 \h </w:instrText>
      </w:r>
      <w:r>
        <w:fldChar w:fldCharType="separate"/>
      </w:r>
      <w:r>
        <w:t>330</w:t>
      </w:r>
      <w:r>
        <w:fldChar w:fldCharType="end"/>
      </w:r>
    </w:p>
    <w:p>
      <w:pPr>
        <w:pStyle w:val="TOC8"/>
        <w:rPr>
          <w:rFonts w:asciiTheme="minorHAnsi" w:eastAsiaTheme="minorEastAsia" w:hAnsiTheme="minorHAnsi" w:cstheme="minorBidi"/>
          <w:szCs w:val="22"/>
        </w:rPr>
      </w:pPr>
      <w:r>
        <w:t>16.</w:t>
      </w:r>
      <w:r>
        <w:tab/>
        <w:t>Pending relevant Minister decisions in relation to coverage revocation under old scheme</w:t>
      </w:r>
      <w:r>
        <w:tab/>
      </w:r>
      <w:r>
        <w:fldChar w:fldCharType="begin"/>
      </w:r>
      <w:r>
        <w:instrText xml:space="preserve"> PAGEREF _Toc221110243 \h </w:instrText>
      </w:r>
      <w:r>
        <w:fldChar w:fldCharType="separate"/>
      </w:r>
      <w:r>
        <w:t>330</w:t>
      </w:r>
      <w:r>
        <w:fldChar w:fldCharType="end"/>
      </w:r>
    </w:p>
    <w:p>
      <w:pPr>
        <w:pStyle w:val="TOC8"/>
        <w:rPr>
          <w:rFonts w:asciiTheme="minorHAnsi" w:eastAsiaTheme="minorEastAsia" w:hAnsiTheme="minorHAnsi" w:cstheme="minorBidi"/>
          <w:szCs w:val="22"/>
        </w:rPr>
      </w:pPr>
      <w:r>
        <w:t>17.</w:t>
      </w:r>
      <w:r>
        <w:tab/>
        <w:t>Pending relevant Minister decisions in relation to coverage revocation that are reviewed under old scheme</w:t>
      </w:r>
      <w:r>
        <w:tab/>
      </w:r>
      <w:r>
        <w:fldChar w:fldCharType="begin"/>
      </w:r>
      <w:r>
        <w:instrText xml:space="preserve"> PAGEREF _Toc221110244 \h </w:instrText>
      </w:r>
      <w:r>
        <w:fldChar w:fldCharType="separate"/>
      </w:r>
      <w:r>
        <w:t>331</w:t>
      </w:r>
      <w:r>
        <w:fldChar w:fldCharType="end"/>
      </w:r>
    </w:p>
    <w:p>
      <w:pPr>
        <w:pStyle w:val="TOC8"/>
        <w:rPr>
          <w:rFonts w:asciiTheme="minorHAnsi" w:eastAsiaTheme="minorEastAsia" w:hAnsiTheme="minorHAnsi" w:cstheme="minorBidi"/>
          <w:szCs w:val="22"/>
        </w:rPr>
      </w:pPr>
      <w:r>
        <w:t>18.</w:t>
      </w:r>
      <w:r>
        <w:tab/>
        <w:t>Pending old scheme coverage revocation determinations where no applications for review under old scheme</w:t>
      </w:r>
      <w:r>
        <w:tab/>
      </w:r>
      <w:r>
        <w:fldChar w:fldCharType="begin"/>
      </w:r>
      <w:r>
        <w:instrText xml:space="preserve"> PAGEREF _Toc221110245 \h </w:instrText>
      </w:r>
      <w:r>
        <w:fldChar w:fldCharType="separate"/>
      </w:r>
      <w:r>
        <w:t>333</w:t>
      </w:r>
      <w:r>
        <w:fldChar w:fldCharType="end"/>
      </w:r>
    </w:p>
    <w:p>
      <w:pPr>
        <w:pStyle w:val="TOC8"/>
        <w:rPr>
          <w:rFonts w:asciiTheme="minorHAnsi" w:eastAsiaTheme="minorEastAsia" w:hAnsiTheme="minorHAnsi" w:cstheme="minorBidi"/>
          <w:szCs w:val="22"/>
        </w:rPr>
      </w:pPr>
      <w:r>
        <w:t>19.</w:t>
      </w:r>
      <w:r>
        <w:tab/>
        <w:t>Pending old scheme coverage revocation determinations where applications for review under old scheme on foot</w:t>
      </w:r>
      <w:r>
        <w:tab/>
      </w:r>
      <w:r>
        <w:fldChar w:fldCharType="begin"/>
      </w:r>
      <w:r>
        <w:instrText xml:space="preserve"> PAGEREF _Toc221110246 \h </w:instrText>
      </w:r>
      <w:r>
        <w:fldChar w:fldCharType="separate"/>
      </w:r>
      <w:r>
        <w:t>334</w:t>
      </w:r>
      <w:r>
        <w:fldChar w:fldCharType="end"/>
      </w:r>
    </w:p>
    <w:p>
      <w:pPr>
        <w:pStyle w:val="TOC8"/>
        <w:rPr>
          <w:rFonts w:asciiTheme="minorHAnsi" w:eastAsiaTheme="minorEastAsia" w:hAnsiTheme="minorHAnsi" w:cstheme="minorBidi"/>
          <w:szCs w:val="22"/>
        </w:rPr>
      </w:pPr>
      <w:r>
        <w:t>20.</w:t>
      </w:r>
      <w:r>
        <w:tab/>
        <w:t>Pending old scheme coverage non</w:t>
      </w:r>
      <w:r>
        <w:noBreakHyphen/>
        <w:t>revocation determinations where no applications for review under old scheme</w:t>
      </w:r>
      <w:r>
        <w:tab/>
      </w:r>
      <w:r>
        <w:fldChar w:fldCharType="begin"/>
      </w:r>
      <w:r>
        <w:instrText xml:space="preserve"> PAGEREF _Toc221110247 \h </w:instrText>
      </w:r>
      <w:r>
        <w:fldChar w:fldCharType="separate"/>
      </w:r>
      <w:r>
        <w:t>335</w:t>
      </w:r>
      <w:r>
        <w:fldChar w:fldCharType="end"/>
      </w:r>
    </w:p>
    <w:p>
      <w:pPr>
        <w:pStyle w:val="TOC8"/>
        <w:rPr>
          <w:rFonts w:asciiTheme="minorHAnsi" w:eastAsiaTheme="minorEastAsia" w:hAnsiTheme="minorHAnsi" w:cstheme="minorBidi"/>
          <w:szCs w:val="22"/>
        </w:rPr>
      </w:pPr>
      <w:r>
        <w:t>21.</w:t>
      </w:r>
      <w:r>
        <w:tab/>
        <w:t>Pending old scheme coverage non</w:t>
      </w:r>
      <w:r>
        <w:noBreakHyphen/>
        <w:t>revocation determinations where applications for review under old scheme on foot</w:t>
      </w:r>
      <w:r>
        <w:tab/>
      </w:r>
      <w:r>
        <w:fldChar w:fldCharType="begin"/>
      </w:r>
      <w:r>
        <w:instrText xml:space="preserve"> PAGEREF _Toc221110248 \h </w:instrText>
      </w:r>
      <w:r>
        <w:fldChar w:fldCharType="separate"/>
      </w:r>
      <w:r>
        <w:t>335</w:t>
      </w:r>
      <w:r>
        <w:fldChar w:fldCharType="end"/>
      </w:r>
    </w:p>
    <w:p>
      <w:pPr>
        <w:pStyle w:val="TOC8"/>
        <w:rPr>
          <w:rFonts w:asciiTheme="minorHAnsi" w:eastAsiaTheme="minorEastAsia" w:hAnsiTheme="minorHAnsi" w:cstheme="minorBidi"/>
          <w:szCs w:val="22"/>
        </w:rPr>
      </w:pPr>
      <w:r>
        <w:t>22.</w:t>
      </w:r>
      <w:r>
        <w:tab/>
        <w:t>Binding no</w:t>
      </w:r>
      <w:r>
        <w:noBreakHyphen/>
        <w:t>coverage determinations</w:t>
      </w:r>
      <w:r>
        <w:tab/>
      </w:r>
      <w:r>
        <w:fldChar w:fldCharType="begin"/>
      </w:r>
      <w:r>
        <w:instrText xml:space="preserve"> PAGEREF _Toc221110249 \h </w:instrText>
      </w:r>
      <w:r>
        <w:fldChar w:fldCharType="separate"/>
      </w:r>
      <w:r>
        <w:t>337</w:t>
      </w:r>
      <w:r>
        <w:fldChar w:fldCharType="end"/>
      </w:r>
    </w:p>
    <w:p>
      <w:pPr>
        <w:pStyle w:val="TOC8"/>
        <w:rPr>
          <w:rFonts w:asciiTheme="minorHAnsi" w:eastAsiaTheme="minorEastAsia" w:hAnsiTheme="minorHAnsi" w:cstheme="minorBidi"/>
          <w:szCs w:val="22"/>
        </w:rPr>
      </w:pPr>
      <w:r>
        <w:t>23.</w:t>
      </w:r>
      <w:r>
        <w:tab/>
        <w:t>Pending applications for binding no</w:t>
      </w:r>
      <w:r>
        <w:noBreakHyphen/>
        <w:t>coverage determinations (before NCC recommendation)</w:t>
      </w:r>
      <w:r>
        <w:tab/>
      </w:r>
      <w:r>
        <w:fldChar w:fldCharType="begin"/>
      </w:r>
      <w:r>
        <w:instrText xml:space="preserve"> PAGEREF _Toc221110250 \h </w:instrText>
      </w:r>
      <w:r>
        <w:fldChar w:fldCharType="separate"/>
      </w:r>
      <w:r>
        <w:t>337</w:t>
      </w:r>
      <w:r>
        <w:fldChar w:fldCharType="end"/>
      </w:r>
    </w:p>
    <w:p>
      <w:pPr>
        <w:pStyle w:val="TOC8"/>
        <w:rPr>
          <w:rFonts w:asciiTheme="minorHAnsi" w:eastAsiaTheme="minorEastAsia" w:hAnsiTheme="minorHAnsi" w:cstheme="minorBidi"/>
          <w:szCs w:val="22"/>
        </w:rPr>
      </w:pPr>
      <w:r>
        <w:t>24.</w:t>
      </w:r>
      <w:r>
        <w:tab/>
        <w:t>Pending relevant Minister decisions for binding no</w:t>
      </w:r>
      <w:r>
        <w:noBreakHyphen/>
        <w:t>coverage determinations under old scheme</w:t>
      </w:r>
      <w:r>
        <w:tab/>
      </w:r>
      <w:r>
        <w:fldChar w:fldCharType="begin"/>
      </w:r>
      <w:r>
        <w:instrText xml:space="preserve"> PAGEREF _Toc221110251 \h </w:instrText>
      </w:r>
      <w:r>
        <w:fldChar w:fldCharType="separate"/>
      </w:r>
      <w:r>
        <w:t>337</w:t>
      </w:r>
      <w:r>
        <w:fldChar w:fldCharType="end"/>
      </w:r>
    </w:p>
    <w:p>
      <w:pPr>
        <w:pStyle w:val="TOC8"/>
        <w:rPr>
          <w:rFonts w:asciiTheme="minorHAnsi" w:eastAsiaTheme="minorEastAsia" w:hAnsiTheme="minorHAnsi" w:cstheme="minorBidi"/>
          <w:szCs w:val="22"/>
        </w:rPr>
      </w:pPr>
      <w:r>
        <w:t>25.</w:t>
      </w:r>
      <w:r>
        <w:tab/>
        <w:t>Pending relevant Minister decisions in relation to binding no</w:t>
      </w:r>
      <w:r>
        <w:noBreakHyphen/>
        <w:t>coverage determinations that are reviewed under old scheme</w:t>
      </w:r>
      <w:r>
        <w:tab/>
      </w:r>
      <w:r>
        <w:fldChar w:fldCharType="begin"/>
      </w:r>
      <w:r>
        <w:instrText xml:space="preserve"> PAGEREF _Toc221110252 \h </w:instrText>
      </w:r>
      <w:r>
        <w:fldChar w:fldCharType="separate"/>
      </w:r>
      <w:r>
        <w:t>338</w:t>
      </w:r>
      <w:r>
        <w:fldChar w:fldCharType="end"/>
      </w:r>
    </w:p>
    <w:p>
      <w:pPr>
        <w:pStyle w:val="TOC4"/>
        <w:tabs>
          <w:tab w:val="right" w:leader="dot" w:pos="7077"/>
        </w:tabs>
        <w:rPr>
          <w:rFonts w:asciiTheme="minorHAnsi" w:eastAsiaTheme="minorEastAsia" w:hAnsiTheme="minorHAnsi" w:cstheme="minorBidi"/>
          <w:b w:val="0"/>
          <w:szCs w:val="22"/>
        </w:rPr>
      </w:pPr>
      <w:r>
        <w:lastRenderedPageBreak/>
        <w:t>Part 4 — Access arrangements</w:t>
      </w:r>
    </w:p>
    <w:p>
      <w:pPr>
        <w:pStyle w:val="TOC8"/>
        <w:rPr>
          <w:rFonts w:asciiTheme="minorHAnsi" w:eastAsiaTheme="minorEastAsia" w:hAnsiTheme="minorHAnsi" w:cstheme="minorBidi"/>
          <w:szCs w:val="22"/>
        </w:rPr>
      </w:pPr>
      <w:r>
        <w:t>26.</w:t>
      </w:r>
      <w:r>
        <w:tab/>
        <w:t>Current access arrangements (other than old scheme limited access arrangements)</w:t>
      </w:r>
      <w:r>
        <w:tab/>
      </w:r>
      <w:r>
        <w:fldChar w:fldCharType="begin"/>
      </w:r>
      <w:r>
        <w:instrText xml:space="preserve"> PAGEREF _Toc221110254 \h </w:instrText>
      </w:r>
      <w:r>
        <w:fldChar w:fldCharType="separate"/>
      </w:r>
      <w:r>
        <w:t>340</w:t>
      </w:r>
      <w:r>
        <w:fldChar w:fldCharType="end"/>
      </w:r>
    </w:p>
    <w:p>
      <w:pPr>
        <w:pStyle w:val="TOC8"/>
        <w:rPr>
          <w:rFonts w:asciiTheme="minorHAnsi" w:eastAsiaTheme="minorEastAsia" w:hAnsiTheme="minorHAnsi" w:cstheme="minorBidi"/>
          <w:szCs w:val="22"/>
        </w:rPr>
      </w:pPr>
      <w:r>
        <w:t>27.</w:t>
      </w:r>
      <w:r>
        <w:tab/>
        <w:t>Old scheme limited access arrangements</w:t>
      </w:r>
      <w:r>
        <w:tab/>
      </w:r>
      <w:r>
        <w:fldChar w:fldCharType="begin"/>
      </w:r>
      <w:r>
        <w:instrText xml:space="preserve"> PAGEREF _Toc221110255 \h </w:instrText>
      </w:r>
      <w:r>
        <w:fldChar w:fldCharType="separate"/>
      </w:r>
      <w:r>
        <w:t>340</w:t>
      </w:r>
      <w:r>
        <w:fldChar w:fldCharType="end"/>
      </w:r>
    </w:p>
    <w:p>
      <w:pPr>
        <w:pStyle w:val="TOC8"/>
        <w:rPr>
          <w:rFonts w:asciiTheme="minorHAnsi" w:eastAsiaTheme="minorEastAsia" w:hAnsiTheme="minorHAnsi" w:cstheme="minorBidi"/>
          <w:szCs w:val="22"/>
        </w:rPr>
      </w:pPr>
      <w:r>
        <w:t>28.</w:t>
      </w:r>
      <w:r>
        <w:tab/>
        <w:t>Access arrangements submitted but not approved or rejected before repeal of old scheme</w:t>
      </w:r>
      <w:r>
        <w:tab/>
      </w:r>
      <w:r>
        <w:fldChar w:fldCharType="begin"/>
      </w:r>
      <w:r>
        <w:instrText xml:space="preserve"> PAGEREF _Toc221110256 \h </w:instrText>
      </w:r>
      <w:r>
        <w:fldChar w:fldCharType="separate"/>
      </w:r>
      <w:r>
        <w:t>341</w:t>
      </w:r>
      <w:r>
        <w:fldChar w:fldCharType="end"/>
      </w:r>
    </w:p>
    <w:p>
      <w:pPr>
        <w:pStyle w:val="TOC8"/>
        <w:rPr>
          <w:rFonts w:asciiTheme="minorHAnsi" w:eastAsiaTheme="minorEastAsia" w:hAnsiTheme="minorHAnsi" w:cstheme="minorBidi"/>
          <w:szCs w:val="22"/>
        </w:rPr>
      </w:pPr>
      <w:r>
        <w:t>29.</w:t>
      </w:r>
      <w:r>
        <w:tab/>
        <w:t>Access arrangement revisions submitted but not approved or rejected before repeal of old scheme</w:t>
      </w:r>
      <w:r>
        <w:tab/>
      </w:r>
      <w:r>
        <w:fldChar w:fldCharType="begin"/>
      </w:r>
      <w:r>
        <w:instrText xml:space="preserve"> PAGEREF _Toc221110257 \h </w:instrText>
      </w:r>
      <w:r>
        <w:fldChar w:fldCharType="separate"/>
      </w:r>
      <w:r>
        <w:t>342</w:t>
      </w:r>
      <w:r>
        <w:fldChar w:fldCharType="end"/>
      </w:r>
    </w:p>
    <w:p>
      <w:pPr>
        <w:pStyle w:val="TOC8"/>
        <w:rPr>
          <w:rFonts w:asciiTheme="minorHAnsi" w:eastAsiaTheme="minorEastAsia" w:hAnsiTheme="minorHAnsi" w:cstheme="minorBidi"/>
          <w:szCs w:val="22"/>
        </w:rPr>
      </w:pPr>
      <w:r>
        <w:t>30.</w:t>
      </w:r>
      <w:r>
        <w:tab/>
        <w:t>Certain provisions of the Gas Code to continue to apply to current and proposed access arrangements</w:t>
      </w:r>
      <w:r>
        <w:tab/>
      </w:r>
      <w:r>
        <w:fldChar w:fldCharType="begin"/>
      </w:r>
      <w:r>
        <w:instrText xml:space="preserve"> PAGEREF _Toc221110258 \h </w:instrText>
      </w:r>
      <w:r>
        <w:fldChar w:fldCharType="separate"/>
      </w:r>
      <w:r>
        <w:t>343</w:t>
      </w:r>
      <w:r>
        <w:fldChar w:fldCharType="end"/>
      </w:r>
    </w:p>
    <w:p>
      <w:pPr>
        <w:pStyle w:val="TOC8"/>
        <w:rPr>
          <w:rFonts w:asciiTheme="minorHAnsi" w:eastAsiaTheme="minorEastAsia" w:hAnsiTheme="minorHAnsi" w:cstheme="minorBidi"/>
          <w:szCs w:val="22"/>
        </w:rPr>
      </w:pPr>
      <w:r>
        <w:t>31.</w:t>
      </w:r>
      <w:r>
        <w:tab/>
        <w:t>Certain decisions relating to certain access arrangements are reviewable regulatory decisions for purposes of Chapter 8 Part 5 of the Law</w:t>
      </w:r>
      <w:r>
        <w:tab/>
      </w:r>
      <w:r>
        <w:fldChar w:fldCharType="begin"/>
      </w:r>
      <w:r>
        <w:instrText xml:space="preserve"> PAGEREF _Toc221110259 \h </w:instrText>
      </w:r>
      <w:r>
        <w:fldChar w:fldCharType="separate"/>
      </w:r>
      <w:r>
        <w:t>344</w:t>
      </w:r>
      <w:r>
        <w:fldChar w:fldCharType="end"/>
      </w:r>
    </w:p>
    <w:p>
      <w:pPr>
        <w:pStyle w:val="TOC8"/>
        <w:rPr>
          <w:rFonts w:asciiTheme="minorHAnsi" w:eastAsiaTheme="minorEastAsia" w:hAnsiTheme="minorHAnsi" w:cstheme="minorBidi"/>
          <w:szCs w:val="22"/>
        </w:rPr>
      </w:pPr>
      <w:r>
        <w:t>32.</w:t>
      </w:r>
      <w:r>
        <w:tab/>
        <w:t>Limited access arrangements submitted but not approved before repeal of old scheme</w:t>
      </w:r>
      <w:r>
        <w:tab/>
      </w:r>
      <w:r>
        <w:fldChar w:fldCharType="begin"/>
      </w:r>
      <w:r>
        <w:instrText xml:space="preserve"> PAGEREF _Toc221110260 \h </w:instrText>
      </w:r>
      <w:r>
        <w:fldChar w:fldCharType="separate"/>
      </w:r>
      <w:r>
        <w:t>345</w:t>
      </w:r>
      <w:r>
        <w:fldChar w:fldCharType="end"/>
      </w:r>
    </w:p>
    <w:p>
      <w:pPr>
        <w:pStyle w:val="TOC8"/>
        <w:rPr>
          <w:rFonts w:asciiTheme="minorHAnsi" w:eastAsiaTheme="minorEastAsia" w:hAnsiTheme="minorHAnsi" w:cstheme="minorBidi"/>
          <w:szCs w:val="22"/>
        </w:rPr>
      </w:pPr>
      <w:r>
        <w:t>33.</w:t>
      </w:r>
      <w:r>
        <w:tab/>
        <w:t>Extensions and expansions policies</w:t>
      </w:r>
      <w:r>
        <w:tab/>
      </w:r>
      <w:r>
        <w:fldChar w:fldCharType="begin"/>
      </w:r>
      <w:r>
        <w:instrText xml:space="preserve"> PAGEREF _Toc221110261 \h </w:instrText>
      </w:r>
      <w:r>
        <w:fldChar w:fldCharType="separate"/>
      </w:r>
      <w:r>
        <w:t>346</w:t>
      </w:r>
      <w:r>
        <w:fldChar w:fldCharType="end"/>
      </w:r>
    </w:p>
    <w:p>
      <w:pPr>
        <w:pStyle w:val="TOC8"/>
        <w:rPr>
          <w:rFonts w:asciiTheme="minorHAnsi" w:eastAsiaTheme="minorEastAsia" w:hAnsiTheme="minorHAnsi" w:cstheme="minorBidi"/>
          <w:szCs w:val="22"/>
        </w:rPr>
      </w:pPr>
      <w:r>
        <w:t>34.</w:t>
      </w:r>
      <w:r>
        <w:tab/>
        <w:t>Queuing policies</w:t>
      </w:r>
      <w:r>
        <w:tab/>
      </w:r>
      <w:r>
        <w:fldChar w:fldCharType="begin"/>
      </w:r>
      <w:r>
        <w:instrText xml:space="preserve"> PAGEREF _Toc221110262 \h </w:instrText>
      </w:r>
      <w:r>
        <w:fldChar w:fldCharType="separate"/>
      </w:r>
      <w:r>
        <w:t>346</w:t>
      </w:r>
      <w:r>
        <w:fldChar w:fldCharType="end"/>
      </w:r>
    </w:p>
    <w:p>
      <w:pPr>
        <w:pStyle w:val="TOC4"/>
        <w:tabs>
          <w:tab w:val="right" w:leader="dot" w:pos="7077"/>
        </w:tabs>
        <w:rPr>
          <w:rFonts w:asciiTheme="minorHAnsi" w:eastAsiaTheme="minorEastAsia" w:hAnsiTheme="minorHAnsi" w:cstheme="minorBidi"/>
          <w:b w:val="0"/>
          <w:szCs w:val="22"/>
        </w:rPr>
      </w:pPr>
      <w:r>
        <w:t>Part 5 — Price regulation exemptions</w:t>
      </w:r>
    </w:p>
    <w:p>
      <w:pPr>
        <w:pStyle w:val="TOC8"/>
        <w:rPr>
          <w:rFonts w:asciiTheme="minorHAnsi" w:eastAsiaTheme="minorEastAsia" w:hAnsiTheme="minorHAnsi" w:cstheme="minorBidi"/>
          <w:szCs w:val="22"/>
        </w:rPr>
      </w:pPr>
      <w:r>
        <w:t>35.</w:t>
      </w:r>
      <w:r>
        <w:tab/>
        <w:t>Old scheme price regulation exemptions</w:t>
      </w:r>
      <w:r>
        <w:tab/>
      </w:r>
      <w:r>
        <w:fldChar w:fldCharType="begin"/>
      </w:r>
      <w:r>
        <w:instrText xml:space="preserve"> PAGEREF _Toc221110264 \h </w:instrText>
      </w:r>
      <w:r>
        <w:fldChar w:fldCharType="separate"/>
      </w:r>
      <w:r>
        <w:t>346</w:t>
      </w:r>
      <w:r>
        <w:fldChar w:fldCharType="end"/>
      </w:r>
    </w:p>
    <w:p>
      <w:pPr>
        <w:pStyle w:val="TOC8"/>
        <w:rPr>
          <w:rFonts w:asciiTheme="minorHAnsi" w:eastAsiaTheme="minorEastAsia" w:hAnsiTheme="minorHAnsi" w:cstheme="minorBidi"/>
          <w:szCs w:val="22"/>
        </w:rPr>
      </w:pPr>
      <w:r>
        <w:t>36.</w:t>
      </w:r>
      <w:r>
        <w:tab/>
        <w:t>Pending applications for price regulation exemptions</w:t>
      </w:r>
      <w:r>
        <w:tab/>
      </w:r>
      <w:r>
        <w:fldChar w:fldCharType="begin"/>
      </w:r>
      <w:r>
        <w:instrText xml:space="preserve"> PAGEREF _Toc221110265 \h </w:instrText>
      </w:r>
      <w:r>
        <w:fldChar w:fldCharType="separate"/>
      </w:r>
      <w:r>
        <w:t>346</w:t>
      </w:r>
      <w:r>
        <w:fldChar w:fldCharType="end"/>
      </w:r>
    </w:p>
    <w:p>
      <w:pPr>
        <w:pStyle w:val="TOC8"/>
        <w:rPr>
          <w:rFonts w:asciiTheme="minorHAnsi" w:eastAsiaTheme="minorEastAsia" w:hAnsiTheme="minorHAnsi" w:cstheme="minorBidi"/>
          <w:szCs w:val="22"/>
        </w:rPr>
      </w:pPr>
      <w:r>
        <w:t>37.</w:t>
      </w:r>
      <w:r>
        <w:tab/>
        <w:t>Pending Commonwealth Minister decisions for price regulation exemptions</w:t>
      </w:r>
      <w:r>
        <w:tab/>
      </w:r>
      <w:r>
        <w:fldChar w:fldCharType="begin"/>
      </w:r>
      <w:r>
        <w:instrText xml:space="preserve"> PAGEREF _Toc221110266 \h </w:instrText>
      </w:r>
      <w:r>
        <w:fldChar w:fldCharType="separate"/>
      </w:r>
      <w:r>
        <w:t>347</w:t>
      </w:r>
      <w:r>
        <w:fldChar w:fldCharType="end"/>
      </w:r>
    </w:p>
    <w:p>
      <w:pPr>
        <w:pStyle w:val="TOC4"/>
        <w:tabs>
          <w:tab w:val="right" w:leader="dot" w:pos="7077"/>
        </w:tabs>
        <w:rPr>
          <w:rFonts w:asciiTheme="minorHAnsi" w:eastAsiaTheme="minorEastAsia" w:hAnsiTheme="minorHAnsi" w:cstheme="minorBidi"/>
          <w:b w:val="0"/>
          <w:szCs w:val="22"/>
        </w:rPr>
      </w:pPr>
      <w:r>
        <w:t>Part 6 — Structural and operational separation (ring fencing)</w:t>
      </w:r>
    </w:p>
    <w:p>
      <w:pPr>
        <w:pStyle w:val="TOC8"/>
        <w:rPr>
          <w:rFonts w:asciiTheme="minorHAnsi" w:eastAsiaTheme="minorEastAsia" w:hAnsiTheme="minorHAnsi" w:cstheme="minorBidi"/>
          <w:szCs w:val="22"/>
        </w:rPr>
      </w:pPr>
      <w:r>
        <w:t>38.</w:t>
      </w:r>
      <w:r>
        <w:tab/>
        <w:t>Definitions</w:t>
      </w:r>
      <w:r>
        <w:tab/>
      </w:r>
      <w:r>
        <w:fldChar w:fldCharType="begin"/>
      </w:r>
      <w:r>
        <w:instrText xml:space="preserve"> PAGEREF _Toc221110268 \h </w:instrText>
      </w:r>
      <w:r>
        <w:fldChar w:fldCharType="separate"/>
      </w:r>
      <w:r>
        <w:t>348</w:t>
      </w:r>
      <w:r>
        <w:fldChar w:fldCharType="end"/>
      </w:r>
    </w:p>
    <w:p>
      <w:pPr>
        <w:pStyle w:val="TOC8"/>
        <w:rPr>
          <w:rFonts w:asciiTheme="minorHAnsi" w:eastAsiaTheme="minorEastAsia" w:hAnsiTheme="minorHAnsi" w:cstheme="minorBidi"/>
          <w:szCs w:val="22"/>
        </w:rPr>
      </w:pPr>
      <w:r>
        <w:t>39.</w:t>
      </w:r>
      <w:r>
        <w:tab/>
        <w:t>Compliance with certain old scheme ring fencing requirements sufficient compliance for 6 month period</w:t>
      </w:r>
      <w:r>
        <w:tab/>
      </w:r>
      <w:r>
        <w:fldChar w:fldCharType="begin"/>
      </w:r>
      <w:r>
        <w:instrText xml:space="preserve"> PAGEREF _Toc221110269 \h </w:instrText>
      </w:r>
      <w:r>
        <w:fldChar w:fldCharType="separate"/>
      </w:r>
      <w:r>
        <w:t>349</w:t>
      </w:r>
      <w:r>
        <w:fldChar w:fldCharType="end"/>
      </w:r>
    </w:p>
    <w:p>
      <w:pPr>
        <w:pStyle w:val="TOC8"/>
        <w:rPr>
          <w:rFonts w:asciiTheme="minorHAnsi" w:eastAsiaTheme="minorEastAsia" w:hAnsiTheme="minorHAnsi" w:cstheme="minorBidi"/>
          <w:szCs w:val="22"/>
        </w:rPr>
      </w:pPr>
      <w:r>
        <w:t>40.</w:t>
      </w:r>
      <w:r>
        <w:tab/>
        <w:t>Existing waivers of ring fencing obligations</w:t>
      </w:r>
      <w:r>
        <w:tab/>
      </w:r>
      <w:r>
        <w:fldChar w:fldCharType="begin"/>
      </w:r>
      <w:r>
        <w:instrText xml:space="preserve"> PAGEREF _Toc221110270 \h </w:instrText>
      </w:r>
      <w:r>
        <w:fldChar w:fldCharType="separate"/>
      </w:r>
      <w:r>
        <w:t>349</w:t>
      </w:r>
      <w:r>
        <w:fldChar w:fldCharType="end"/>
      </w:r>
    </w:p>
    <w:p>
      <w:pPr>
        <w:pStyle w:val="TOC8"/>
        <w:rPr>
          <w:rFonts w:asciiTheme="minorHAnsi" w:eastAsiaTheme="minorEastAsia" w:hAnsiTheme="minorHAnsi" w:cstheme="minorBidi"/>
          <w:szCs w:val="22"/>
        </w:rPr>
      </w:pPr>
      <w:r>
        <w:t>41.</w:t>
      </w:r>
      <w:r>
        <w:tab/>
        <w:t>Additional ring fencing obligations</w:t>
      </w:r>
      <w:r>
        <w:tab/>
      </w:r>
      <w:r>
        <w:fldChar w:fldCharType="begin"/>
      </w:r>
      <w:r>
        <w:instrText xml:space="preserve"> PAGEREF _Toc221110271 \h </w:instrText>
      </w:r>
      <w:r>
        <w:fldChar w:fldCharType="separate"/>
      </w:r>
      <w:r>
        <w:t>350</w:t>
      </w:r>
      <w:r>
        <w:fldChar w:fldCharType="end"/>
      </w:r>
    </w:p>
    <w:p>
      <w:pPr>
        <w:pStyle w:val="TOC4"/>
        <w:tabs>
          <w:tab w:val="right" w:leader="dot" w:pos="7077"/>
        </w:tabs>
        <w:rPr>
          <w:rFonts w:asciiTheme="minorHAnsi" w:eastAsiaTheme="minorEastAsia" w:hAnsiTheme="minorHAnsi" w:cstheme="minorBidi"/>
          <w:b w:val="0"/>
          <w:szCs w:val="22"/>
        </w:rPr>
      </w:pPr>
      <w:r>
        <w:t>Part 7 — Access disputes</w:t>
      </w:r>
    </w:p>
    <w:p>
      <w:pPr>
        <w:pStyle w:val="TOC8"/>
        <w:rPr>
          <w:rFonts w:asciiTheme="minorHAnsi" w:eastAsiaTheme="minorEastAsia" w:hAnsiTheme="minorHAnsi" w:cstheme="minorBidi"/>
          <w:szCs w:val="22"/>
        </w:rPr>
      </w:pPr>
      <w:r>
        <w:t>42.</w:t>
      </w:r>
      <w:r>
        <w:tab/>
        <w:t>Non</w:t>
      </w:r>
      <w:r>
        <w:noBreakHyphen/>
        <w:t>finalised access disputes</w:t>
      </w:r>
      <w:r>
        <w:tab/>
      </w:r>
      <w:r>
        <w:fldChar w:fldCharType="begin"/>
      </w:r>
      <w:r>
        <w:instrText xml:space="preserve"> PAGEREF _Toc221110273 \h </w:instrText>
      </w:r>
      <w:r>
        <w:fldChar w:fldCharType="separate"/>
      </w:r>
      <w:r>
        <w:t>350</w:t>
      </w:r>
      <w:r>
        <w:fldChar w:fldCharType="end"/>
      </w:r>
    </w:p>
    <w:p>
      <w:pPr>
        <w:pStyle w:val="TOC4"/>
        <w:tabs>
          <w:tab w:val="right" w:leader="dot" w:pos="7077"/>
        </w:tabs>
        <w:rPr>
          <w:rFonts w:asciiTheme="minorHAnsi" w:eastAsiaTheme="minorEastAsia" w:hAnsiTheme="minorHAnsi" w:cstheme="minorBidi"/>
          <w:b w:val="0"/>
          <w:szCs w:val="22"/>
        </w:rPr>
      </w:pPr>
      <w:r>
        <w:t>Part 8 — Investigations and proceedings</w:t>
      </w:r>
    </w:p>
    <w:p>
      <w:pPr>
        <w:pStyle w:val="TOC8"/>
        <w:rPr>
          <w:rFonts w:asciiTheme="minorHAnsi" w:eastAsiaTheme="minorEastAsia" w:hAnsiTheme="minorHAnsi" w:cstheme="minorBidi"/>
          <w:szCs w:val="22"/>
        </w:rPr>
      </w:pPr>
      <w:r>
        <w:t>43.</w:t>
      </w:r>
      <w:r>
        <w:tab/>
        <w:t>Investigations into breaches and possible breaches of the old access law or Gas Code</w:t>
      </w:r>
      <w:r>
        <w:tab/>
      </w:r>
      <w:r>
        <w:fldChar w:fldCharType="begin"/>
      </w:r>
      <w:r>
        <w:instrText xml:space="preserve"> PAGEREF _Toc221110275 \h </w:instrText>
      </w:r>
      <w:r>
        <w:fldChar w:fldCharType="separate"/>
      </w:r>
      <w:r>
        <w:t>351</w:t>
      </w:r>
      <w:r>
        <w:fldChar w:fldCharType="end"/>
      </w:r>
    </w:p>
    <w:p>
      <w:pPr>
        <w:pStyle w:val="TOC8"/>
        <w:rPr>
          <w:rFonts w:asciiTheme="minorHAnsi" w:eastAsiaTheme="minorEastAsia" w:hAnsiTheme="minorHAnsi" w:cstheme="minorBidi"/>
          <w:szCs w:val="22"/>
        </w:rPr>
      </w:pPr>
      <w:r>
        <w:t>44.</w:t>
      </w:r>
      <w:r>
        <w:tab/>
        <w:t>AER may conduct investigations into breaches or possible breaches of Gas Pipelines Access Law not investigated by a relevant Regulator</w:t>
      </w:r>
      <w:r>
        <w:tab/>
      </w:r>
      <w:r>
        <w:fldChar w:fldCharType="begin"/>
      </w:r>
      <w:r>
        <w:instrText xml:space="preserve"> PAGEREF _Toc221110276 \h </w:instrText>
      </w:r>
      <w:r>
        <w:fldChar w:fldCharType="separate"/>
      </w:r>
      <w:r>
        <w:t>352</w:t>
      </w:r>
      <w:r>
        <w:fldChar w:fldCharType="end"/>
      </w:r>
    </w:p>
    <w:p>
      <w:pPr>
        <w:pStyle w:val="TOC8"/>
        <w:rPr>
          <w:rFonts w:asciiTheme="minorHAnsi" w:eastAsiaTheme="minorEastAsia" w:hAnsiTheme="minorHAnsi" w:cstheme="minorBidi"/>
          <w:szCs w:val="22"/>
        </w:rPr>
      </w:pPr>
      <w:r>
        <w:lastRenderedPageBreak/>
        <w:t>45.</w:t>
      </w:r>
      <w:r>
        <w:tab/>
        <w:t>AER may bring proceedings in relation to breaches of old access law and Gas Code</w:t>
      </w:r>
      <w:r>
        <w:tab/>
      </w:r>
      <w:r>
        <w:fldChar w:fldCharType="begin"/>
      </w:r>
      <w:r>
        <w:instrText xml:space="preserve"> PAGEREF _Toc221110277 \h </w:instrText>
      </w:r>
      <w:r>
        <w:fldChar w:fldCharType="separate"/>
      </w:r>
      <w:r>
        <w:t>352</w:t>
      </w:r>
      <w:r>
        <w:fldChar w:fldCharType="end"/>
      </w:r>
    </w:p>
    <w:p>
      <w:pPr>
        <w:pStyle w:val="TOC4"/>
        <w:tabs>
          <w:tab w:val="right" w:leader="dot" w:pos="7077"/>
        </w:tabs>
        <w:rPr>
          <w:rFonts w:asciiTheme="minorHAnsi" w:eastAsiaTheme="minorEastAsia" w:hAnsiTheme="minorHAnsi" w:cstheme="minorBidi"/>
          <w:b w:val="0"/>
          <w:szCs w:val="22"/>
        </w:rPr>
      </w:pPr>
      <w:r>
        <w:t>Part 9 — Associate contracts</w:t>
      </w:r>
    </w:p>
    <w:p>
      <w:pPr>
        <w:pStyle w:val="TOC8"/>
        <w:rPr>
          <w:rFonts w:asciiTheme="minorHAnsi" w:eastAsiaTheme="minorEastAsia" w:hAnsiTheme="minorHAnsi" w:cstheme="minorBidi"/>
          <w:szCs w:val="22"/>
        </w:rPr>
      </w:pPr>
      <w:r>
        <w:t>46.</w:t>
      </w:r>
      <w:r>
        <w:tab/>
        <w:t>Pending associate contract approvals that are approved after commencement day</w:t>
      </w:r>
      <w:r>
        <w:tab/>
      </w:r>
      <w:r>
        <w:fldChar w:fldCharType="begin"/>
      </w:r>
      <w:r>
        <w:instrText xml:space="preserve"> PAGEREF _Toc221110279 \h </w:instrText>
      </w:r>
      <w:r>
        <w:fldChar w:fldCharType="separate"/>
      </w:r>
      <w:r>
        <w:t>353</w:t>
      </w:r>
      <w:r>
        <w:fldChar w:fldCharType="end"/>
      </w:r>
    </w:p>
    <w:p>
      <w:pPr>
        <w:pStyle w:val="TOC8"/>
        <w:rPr>
          <w:rFonts w:asciiTheme="minorHAnsi" w:eastAsiaTheme="minorEastAsia" w:hAnsiTheme="minorHAnsi" w:cstheme="minorBidi"/>
          <w:szCs w:val="22"/>
        </w:rPr>
      </w:pPr>
      <w:r>
        <w:t>47.</w:t>
      </w:r>
      <w:r>
        <w:tab/>
        <w:t>Pending associate contracts approvals that are not approved</w:t>
      </w:r>
      <w:r>
        <w:tab/>
      </w:r>
      <w:r>
        <w:fldChar w:fldCharType="begin"/>
      </w:r>
      <w:r>
        <w:instrText xml:space="preserve"> PAGEREF _Toc221110280 \h </w:instrText>
      </w:r>
      <w:r>
        <w:fldChar w:fldCharType="separate"/>
      </w:r>
      <w:r>
        <w:t>353</w:t>
      </w:r>
      <w:r>
        <w:fldChar w:fldCharType="end"/>
      </w:r>
    </w:p>
    <w:p>
      <w:pPr>
        <w:pStyle w:val="TOC8"/>
        <w:rPr>
          <w:rFonts w:asciiTheme="minorHAnsi" w:eastAsiaTheme="minorEastAsia" w:hAnsiTheme="minorHAnsi" w:cstheme="minorBidi"/>
          <w:szCs w:val="22"/>
        </w:rPr>
      </w:pPr>
      <w:r>
        <w:t>48.</w:t>
      </w:r>
      <w:r>
        <w:tab/>
        <w:t>Approved associate contracts</w:t>
      </w:r>
      <w:r>
        <w:tab/>
      </w:r>
      <w:r>
        <w:fldChar w:fldCharType="begin"/>
      </w:r>
      <w:r>
        <w:instrText xml:space="preserve"> PAGEREF _Toc221110281 \h </w:instrText>
      </w:r>
      <w:r>
        <w:fldChar w:fldCharType="separate"/>
      </w:r>
      <w:r>
        <w:t>355</w:t>
      </w:r>
      <w:r>
        <w:fldChar w:fldCharType="end"/>
      </w:r>
    </w:p>
    <w:p>
      <w:pPr>
        <w:pStyle w:val="TOC4"/>
        <w:tabs>
          <w:tab w:val="right" w:leader="dot" w:pos="7077"/>
        </w:tabs>
        <w:rPr>
          <w:rFonts w:asciiTheme="minorHAnsi" w:eastAsiaTheme="minorEastAsia" w:hAnsiTheme="minorHAnsi" w:cstheme="minorBidi"/>
          <w:b w:val="0"/>
          <w:szCs w:val="22"/>
        </w:rPr>
      </w:pPr>
      <w:r>
        <w:t>Part 10 — Other</w:t>
      </w:r>
    </w:p>
    <w:p>
      <w:pPr>
        <w:pStyle w:val="TOC8"/>
        <w:rPr>
          <w:rFonts w:asciiTheme="minorHAnsi" w:eastAsiaTheme="minorEastAsia" w:hAnsiTheme="minorHAnsi" w:cstheme="minorBidi"/>
          <w:szCs w:val="22"/>
        </w:rPr>
      </w:pPr>
      <w:r>
        <w:t>49.</w:t>
      </w:r>
      <w:r>
        <w:tab/>
        <w:t>Pending and final tender approval requests lapse</w:t>
      </w:r>
      <w:r>
        <w:tab/>
      </w:r>
      <w:r>
        <w:fldChar w:fldCharType="begin"/>
      </w:r>
      <w:r>
        <w:instrText xml:space="preserve"> PAGEREF _Toc221110283 \h </w:instrText>
      </w:r>
      <w:r>
        <w:fldChar w:fldCharType="separate"/>
      </w:r>
      <w:r>
        <w:t>355</w:t>
      </w:r>
      <w:r>
        <w:fldChar w:fldCharType="end"/>
      </w:r>
    </w:p>
    <w:p>
      <w:pPr>
        <w:pStyle w:val="TOC8"/>
        <w:rPr>
          <w:rFonts w:asciiTheme="minorHAnsi" w:eastAsiaTheme="minorEastAsia" w:hAnsiTheme="minorHAnsi" w:cstheme="minorBidi"/>
          <w:szCs w:val="22"/>
        </w:rPr>
      </w:pPr>
      <w:r>
        <w:t>50.</w:t>
      </w:r>
      <w:r>
        <w:tab/>
        <w:t>Decisions approving final approval requests</w:t>
      </w:r>
      <w:r>
        <w:tab/>
      </w:r>
      <w:r>
        <w:fldChar w:fldCharType="begin"/>
      </w:r>
      <w:r>
        <w:instrText xml:space="preserve"> PAGEREF _Toc221110284 \h </w:instrText>
      </w:r>
      <w:r>
        <w:fldChar w:fldCharType="separate"/>
      </w:r>
      <w:r>
        <w:t>355</w:t>
      </w:r>
      <w:r>
        <w:fldChar w:fldCharType="end"/>
      </w:r>
    </w:p>
    <w:p>
      <w:pPr>
        <w:pStyle w:val="TOC8"/>
        <w:rPr>
          <w:rFonts w:asciiTheme="minorHAnsi" w:eastAsiaTheme="minorEastAsia" w:hAnsiTheme="minorHAnsi" w:cstheme="minorBidi"/>
          <w:szCs w:val="22"/>
        </w:rPr>
      </w:pPr>
      <w:r>
        <w:t>51.</w:t>
      </w:r>
      <w:r>
        <w:tab/>
        <w:t>Rights under certain change of law provisions in agreements or deeds not to be triggered</w:t>
      </w:r>
      <w:r>
        <w:tab/>
      </w:r>
      <w:r>
        <w:fldChar w:fldCharType="begin"/>
      </w:r>
      <w:r>
        <w:instrText xml:space="preserve"> PAGEREF _Toc221110285 \h </w:instrText>
      </w:r>
      <w:r>
        <w:fldChar w:fldCharType="separate"/>
      </w:r>
      <w:r>
        <w:t>356</w:t>
      </w:r>
      <w:r>
        <w:fldChar w:fldCharType="end"/>
      </w:r>
    </w:p>
    <w:p>
      <w:pPr>
        <w:pStyle w:val="TOC8"/>
        <w:rPr>
          <w:rFonts w:asciiTheme="minorHAnsi" w:eastAsiaTheme="minorEastAsia" w:hAnsiTheme="minorHAnsi" w:cstheme="minorBidi"/>
          <w:szCs w:val="22"/>
        </w:rPr>
      </w:pPr>
      <w:r>
        <w:t>52.</w:t>
      </w:r>
      <w:r>
        <w:tab/>
        <w:t>References to relevant Regulator in access arrangements</w:t>
      </w:r>
      <w:r>
        <w:tab/>
      </w:r>
      <w:r>
        <w:fldChar w:fldCharType="begin"/>
      </w:r>
      <w:r>
        <w:instrText xml:space="preserve"> PAGEREF _Toc221110286 \h </w:instrText>
      </w:r>
      <w:r>
        <w:fldChar w:fldCharType="separate"/>
      </w:r>
      <w:r>
        <w:t>356</w:t>
      </w:r>
      <w:r>
        <w:fldChar w:fldCharType="end"/>
      </w:r>
    </w:p>
    <w:p>
      <w:pPr>
        <w:pStyle w:val="TOC8"/>
        <w:rPr>
          <w:rFonts w:asciiTheme="minorHAnsi" w:eastAsiaTheme="minorEastAsia" w:hAnsiTheme="minorHAnsi" w:cstheme="minorBidi"/>
          <w:szCs w:val="22"/>
        </w:rPr>
      </w:pPr>
      <w:r>
        <w:t>53.</w:t>
      </w:r>
      <w:r>
        <w:tab/>
        <w:t>Old scheme classifications and scheme participant determinations</w:t>
      </w:r>
      <w:r>
        <w:tab/>
      </w:r>
      <w:r>
        <w:fldChar w:fldCharType="begin"/>
      </w:r>
      <w:r>
        <w:instrText xml:space="preserve"> PAGEREF _Toc221110287 \h </w:instrText>
      </w:r>
      <w:r>
        <w:fldChar w:fldCharType="separate"/>
      </w:r>
      <w:r>
        <w:t>356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_Toc221110289 \h </w:instrText>
      </w:r>
      <w:r>
        <w:fldChar w:fldCharType="separate"/>
      </w:r>
      <w:r>
        <w:t>358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_Toc221110290 \h </w:instrText>
      </w:r>
      <w:r>
        <w:fldChar w:fldCharType="separate"/>
      </w:r>
      <w:r>
        <w:t>358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bookmarkStart w:id="2" w:name="_Toc189552676"/>
      <w:bookmarkStart w:id="3" w:name="_Toc189554990"/>
      <w:bookmarkStart w:id="4" w:name="_Toc189660085"/>
      <w:r>
        <w:lastRenderedPageBreak/>
        <w:t>Western Australia</w:t>
      </w:r>
    </w:p>
    <w:p>
      <w:pPr>
        <w:pStyle w:val="NameofActReg"/>
      </w:pPr>
      <w:r>
        <w:t>National Gas Access (Western Australia) Law</w:t>
      </w:r>
    </w:p>
    <w:p>
      <w:pPr>
        <w:pStyle w:val="Heading2"/>
      </w:pPr>
      <w:bookmarkStart w:id="5" w:name="_Toc421618037"/>
      <w:bookmarkStart w:id="6" w:name="_Toc421618751"/>
      <w:bookmarkStart w:id="7" w:name="_Toc421710883"/>
      <w:bookmarkStart w:id="8" w:name="_Toc220668926"/>
      <w:bookmarkStart w:id="9" w:name="_Toc220673362"/>
      <w:bookmarkStart w:id="10" w:name="_Toc220674129"/>
      <w:bookmarkStart w:id="11" w:name="_Toc221009301"/>
      <w:bookmarkStart w:id="12" w:name="_Toc221011163"/>
      <w:bookmarkStart w:id="13" w:name="_Toc221109669"/>
      <w:bookmarkStart w:id="14" w:name="_Toc189552881"/>
      <w:bookmarkStart w:id="15" w:name="_Toc189555195"/>
      <w:bookmarkStart w:id="16" w:name="_Toc189660290"/>
      <w:bookmarkEnd w:id="2"/>
      <w:bookmarkEnd w:id="3"/>
      <w:bookmarkEnd w:id="4"/>
      <w:r>
        <w:rPr>
          <w:rStyle w:val="CharPartNo"/>
          <w:sz w:val="28"/>
        </w:rPr>
        <w:lastRenderedPageBreak/>
        <w:t xml:space="preserve">Chapter 1 </w:t>
      </w:r>
      <w:r>
        <w:t>—</w:t>
      </w:r>
      <w:r>
        <w:rPr>
          <w:color w:val="000000"/>
          <w:szCs w:val="34"/>
        </w:rPr>
        <w:t xml:space="preserve"> </w:t>
      </w:r>
      <w:r>
        <w:rPr>
          <w:rStyle w:val="CharPartText"/>
          <w:sz w:val="28"/>
        </w:rPr>
        <w:t>Preliminary</w:t>
      </w:r>
      <w:bookmarkEnd w:id="5"/>
      <w:bookmarkEnd w:id="6"/>
      <w:bookmarkEnd w:id="7"/>
      <w:bookmarkEnd w:id="8"/>
      <w:bookmarkEnd w:id="9"/>
      <w:bookmarkEnd w:id="10"/>
      <w:bookmarkEnd w:id="11"/>
      <w:bookmarkEnd w:id="12"/>
      <w:bookmarkEnd w:id="13"/>
    </w:p>
    <w:p>
      <w:pPr>
        <w:pStyle w:val="Heading3"/>
        <w:rPr>
          <w:szCs w:val="26"/>
        </w:rPr>
      </w:pPr>
      <w:bookmarkStart w:id="17" w:name="_Toc421618038"/>
      <w:bookmarkStart w:id="18" w:name="_Toc421618752"/>
      <w:bookmarkStart w:id="19" w:name="_Toc421710884"/>
      <w:bookmarkStart w:id="20" w:name="_Toc220668927"/>
      <w:bookmarkStart w:id="21" w:name="_Toc220673363"/>
      <w:bookmarkStart w:id="22" w:name="_Toc220674130"/>
      <w:bookmarkStart w:id="23" w:name="_Toc221009302"/>
      <w:bookmarkStart w:id="24" w:name="_Toc221011164"/>
      <w:bookmarkStart w:id="25" w:name="_Toc221109670"/>
      <w:r>
        <w:rPr>
          <w:rStyle w:val="CharDivNo"/>
        </w:rPr>
        <w:t xml:space="preserve">Part 1 </w:t>
      </w:r>
      <w:r>
        <w:rPr>
          <w:szCs w:val="26"/>
        </w:rPr>
        <w:t>—</w:t>
      </w:r>
      <w:r>
        <w:rPr>
          <w:color w:val="000000"/>
          <w:szCs w:val="32"/>
        </w:rPr>
        <w:t xml:space="preserve"> </w:t>
      </w:r>
      <w:r>
        <w:rPr>
          <w:rStyle w:val="CharDivText"/>
        </w:rPr>
        <w:t>Citation and interpretation</w:t>
      </w:r>
      <w:bookmarkEnd w:id="17"/>
      <w:bookmarkEnd w:id="18"/>
      <w:bookmarkEnd w:id="19"/>
      <w:bookmarkEnd w:id="20"/>
      <w:bookmarkEnd w:id="21"/>
      <w:bookmarkEnd w:id="22"/>
      <w:bookmarkEnd w:id="23"/>
      <w:bookmarkEnd w:id="24"/>
      <w:bookmarkEnd w:id="25"/>
    </w:p>
    <w:p>
      <w:pPr>
        <w:pStyle w:val="Heading5"/>
      </w:pPr>
      <w:bookmarkStart w:id="26" w:name="_Toc536781919"/>
      <w:bookmarkStart w:id="27" w:name="_Toc221109671"/>
      <w:bookmarkStart w:id="28" w:name="_Toc421618491"/>
      <w:bookmarkStart w:id="29" w:name="_Toc421619205"/>
      <w:bookmarkStart w:id="30" w:name="_Toc421711337"/>
      <w:bookmarkStart w:id="31" w:name="_Toc220669380"/>
      <w:r>
        <w:rPr>
          <w:rStyle w:val="CharSectno"/>
        </w:rPr>
        <w:t>1</w:t>
      </w:r>
      <w:r>
        <w:t>.</w:t>
      </w:r>
      <w:r>
        <w:tab/>
        <w:t>Citation</w:t>
      </w:r>
      <w:bookmarkEnd w:id="26"/>
      <w:bookmarkEnd w:id="27"/>
    </w:p>
    <w:p>
      <w:pPr>
        <w:pStyle w:val="Subsection"/>
      </w:pPr>
      <w:bookmarkStart w:id="32" w:name="_Hlk220674752"/>
      <w:bookmarkStart w:id="33" w:name="_Toc536781920"/>
      <w:r>
        <w:tab/>
      </w:r>
      <w:r>
        <w:tab/>
        <w:t xml:space="preserve">This law may be cited as the </w:t>
      </w:r>
      <w:r>
        <w:rPr>
          <w:i/>
          <w:iCs/>
        </w:rPr>
        <w:t>National Gas Access (Western Australia) Law</w:t>
      </w:r>
      <w:r>
        <w:t>.</w:t>
      </w:r>
    </w:p>
    <w:p>
      <w:pPr>
        <w:pStyle w:val="Footnotesection"/>
        <w:rPr>
          <w:szCs w:val="23"/>
        </w:rPr>
      </w:pPr>
      <w:r>
        <w:tab/>
        <w:t>[Section 1 modified: WA Act s. 7(1)(b) and Sch. 1 cl. 2.]</w:t>
      </w:r>
    </w:p>
    <w:p>
      <w:pPr>
        <w:pStyle w:val="PermNoteHeading"/>
      </w:pPr>
      <w:r>
        <w:tab/>
      </w:r>
      <w:r>
        <w:fldChar w:fldCharType="begin"/>
      </w:r>
      <w:r>
        <w:instrText xml:space="preserve"> LISTNUM PermanentNotesNumbering \l 1 </w:instrText>
      </w:r>
      <w:r>
        <w:fldChar w:fldCharType="end"/>
      </w:r>
      <w:r>
        <w:t xml:space="preserve">[Editorial note: </w:t>
      </w:r>
    </w:p>
    <w:p>
      <w:pPr>
        <w:pStyle w:val="PermNoteText"/>
      </w:pPr>
      <w:r>
        <w:tab/>
      </w:r>
      <w:r>
        <w:tab/>
        <w:t xml:space="preserve">This Law began to apply in WA on 1 Jan 2010 when the </w:t>
      </w:r>
      <w:r>
        <w:rPr>
          <w:i/>
          <w:iCs/>
        </w:rPr>
        <w:t xml:space="preserve">National Gas Access (WA) Act 2009 </w:t>
      </w:r>
      <w:r>
        <w:t>s. 7 commenced.</w:t>
      </w:r>
    </w:p>
    <w:p>
      <w:pPr>
        <w:pStyle w:val="PermNoteText"/>
      </w:pPr>
      <w:r>
        <w:tab/>
      </w:r>
      <w:r>
        <w:tab/>
        <w:t xml:space="preserve">A reference to </w:t>
      </w:r>
      <w:r>
        <w:rPr>
          <w:b/>
          <w:bCs/>
          <w:i/>
          <w:iCs/>
        </w:rPr>
        <w:t>WA Act</w:t>
      </w:r>
      <w:r>
        <w:t xml:space="preserve"> in a note beneath a section is a reference to the </w:t>
      </w:r>
      <w:r>
        <w:rPr>
          <w:i/>
          <w:iCs/>
        </w:rPr>
        <w:t>National Gas Access (WA) Act 2009</w:t>
      </w:r>
      <w:r>
        <w:t>.]</w:t>
      </w:r>
    </w:p>
    <w:p>
      <w:pPr>
        <w:pStyle w:val="Heading5"/>
      </w:pPr>
      <w:bookmarkStart w:id="34" w:name="_Toc221109672"/>
      <w:bookmarkEnd w:id="32"/>
      <w:r>
        <w:rPr>
          <w:rStyle w:val="CharSectno"/>
        </w:rPr>
        <w:t>2</w:t>
      </w:r>
      <w:r>
        <w:t>.</w:t>
      </w:r>
      <w:r>
        <w:tab/>
        <w:t>Definitions</w:t>
      </w:r>
      <w:bookmarkEnd w:id="33"/>
      <w:bookmarkEnd w:id="34"/>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lastRenderedPageBreak/>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lastRenderedPageBreak/>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lastRenderedPageBreak/>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lastRenderedPageBreak/>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w:t>
      </w:r>
      <w:smartTag w:uri="urn:schemas-microsoft-com:office:smarttags" w:element="place">
        <w:r>
          <w:rPr>
            <w:i/>
            <w:iCs/>
            <w:color w:val="000000"/>
            <w:sz w:val="23"/>
            <w:szCs w:val="23"/>
          </w:rPr>
          <w:t>Timor Sea</w:t>
        </w:r>
      </w:smartTag>
      <w:r>
        <w:rPr>
          <w:i/>
          <w:iCs/>
          <w:color w:val="000000"/>
          <w:sz w:val="23"/>
          <w:szCs w:val="23"/>
        </w:rPr>
        <w:t xml:space="preserve">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lastRenderedPageBreak/>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pPr>
      <w:r>
        <w:rPr>
          <w:rStyle w:val="CharDefText"/>
          <w:sz w:val="23"/>
        </w:rPr>
        <w:t>initial National Gas Rules</w:t>
      </w:r>
      <w:r>
        <w:rPr>
          <w:sz w:val="23"/>
        </w:rPr>
        <w:t xml:space="preserve"> </w:t>
      </w:r>
      <w:r>
        <w:rPr>
          <w:color w:val="000000"/>
          <w:sz w:val="23"/>
          <w:szCs w:val="23"/>
        </w:rPr>
        <w:t>means</w:t>
      </w:r>
      <w:r>
        <w:rPr>
          <w:sz w:val="23"/>
        </w:rPr>
        <w:t xml:space="preserve"> — </w:t>
      </w:r>
    </w:p>
    <w:p>
      <w:pPr>
        <w:keepLines/>
        <w:tabs>
          <w:tab w:val="center" w:pos="1985"/>
          <w:tab w:val="left" w:pos="2382"/>
        </w:tabs>
        <w:autoSpaceDE w:val="0"/>
        <w:autoSpaceDN w:val="0"/>
        <w:adjustRightInd w:val="0"/>
        <w:spacing w:before="120"/>
        <w:ind w:left="2382" w:hanging="794"/>
      </w:pPr>
      <w:r>
        <w:tab/>
        <w:t>(a)</w:t>
      </w:r>
      <w:r>
        <w:tab/>
        <w:t xml:space="preserve">the </w:t>
      </w:r>
      <w:r>
        <w:rPr>
          <w:color w:val="000000"/>
          <w:sz w:val="23"/>
          <w:szCs w:val="23"/>
        </w:rPr>
        <w:t>National</w:t>
      </w:r>
      <w:r>
        <w:t xml:space="preserve"> Gas Rules that, when the </w:t>
      </w:r>
      <w:r>
        <w:rPr>
          <w:i/>
        </w:rPr>
        <w:t>National Gas Access (WA) Act 2009</w:t>
      </w:r>
      <w:r>
        <w:t xml:space="preserve"> section 30 came into operation, applied under section 294; and</w:t>
      </w:r>
    </w:p>
    <w:p>
      <w:pPr>
        <w:keepLines/>
        <w:tabs>
          <w:tab w:val="center" w:pos="1985"/>
          <w:tab w:val="left" w:pos="2382"/>
        </w:tabs>
        <w:autoSpaceDE w:val="0"/>
        <w:autoSpaceDN w:val="0"/>
        <w:adjustRightInd w:val="0"/>
        <w:spacing w:before="120"/>
        <w:ind w:left="2382" w:hanging="794"/>
      </w:pPr>
      <w:r>
        <w:tab/>
        <w:t>(b)</w:t>
      </w:r>
      <w:r>
        <w:tab/>
      </w:r>
      <w:r>
        <w:rPr>
          <w:color w:val="000000"/>
          <w:sz w:val="23"/>
          <w:szCs w:val="23"/>
        </w:rPr>
        <w:t>the</w:t>
      </w:r>
      <w:r>
        <w:t xml:space="preserve"> </w:t>
      </w:r>
      <w:r>
        <w:rPr>
          <w:i/>
        </w:rPr>
        <w:t>National Gas Access (Pipelines-Arbitration Amendment) Rules 2017</w:t>
      </w:r>
      <w:r>
        <w:t xml:space="preserve"> made by the Minister for Mineral Resources and Energy of South Australia under the National Gas (South Australia) Law section 294F (notice of which was published in the </w:t>
      </w:r>
      <w:r>
        <w:rPr>
          <w:i/>
        </w:rPr>
        <w:t>Government Gazette</w:t>
      </w:r>
      <w:r>
        <w:t xml:space="preserve"> of South Australia on 1 August 2017 at p. 2994);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 xml:space="preserve">means an access arrangement that, under this Law and the Rules, is not required to make provision for price or revenue regulation but deals with the </w:t>
      </w:r>
      <w:r>
        <w:rPr>
          <w:color w:val="000000"/>
          <w:sz w:val="23"/>
          <w:szCs w:val="23"/>
        </w:rPr>
        <w:lastRenderedPageBreak/>
        <w:t>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lastRenderedPageBreak/>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w:t>
      </w:r>
      <w:smartTag w:uri="urn:schemas-microsoft-com:office:smarttags" w:element="State">
        <w:smartTag w:uri="urn:schemas-microsoft-com:office:smarttags" w:element="place">
          <w:r>
            <w:rPr>
              <w:i/>
              <w:iCs/>
              <w:color w:val="000000"/>
              <w:sz w:val="23"/>
              <w:szCs w:val="23"/>
            </w:rPr>
            <w:t>South Australia</w:t>
          </w:r>
        </w:smartTag>
      </w:smartTag>
      <w:r>
        <w:rPr>
          <w:i/>
          <w:iCs/>
          <w:color w:val="000000"/>
          <w:sz w:val="23"/>
          <w:szCs w:val="23"/>
        </w:rPr>
        <w:t>)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t>
      </w:r>
      <w:smartTag w:uri="urn:schemas-microsoft-com:office:smarttags" w:element="State">
        <w:r>
          <w:rPr>
            <w:i/>
            <w:iCs/>
            <w:color w:val="000000"/>
            <w:sz w:val="23"/>
            <w:szCs w:val="23"/>
          </w:rPr>
          <w:t>Western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 xml:space="preserve">the Regulations referred to in paragraph (a) as applied as a law of a participating jurisdiction (other than </w:t>
      </w:r>
      <w:smartTag w:uri="urn:schemas-microsoft-com:office:smarttags" w:element="State">
        <w:r>
          <w:rPr>
            <w:color w:val="000000"/>
            <w:sz w:val="23"/>
            <w:szCs w:val="23"/>
          </w:rPr>
          <w:t>South Australia</w:t>
        </w:r>
      </w:smartTag>
      <w:r>
        <w:rPr>
          <w:color w:val="000000"/>
          <w:sz w:val="23"/>
          <w:szCs w:val="23"/>
        </w:rPr>
        <w:t xml:space="preserve"> or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lastRenderedPageBreak/>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t>
      </w:r>
      <w:smartTag w:uri="urn:schemas-microsoft-com:office:smarttags" w:element="State">
        <w:smartTag w:uri="urn:schemas-microsoft-com:office:smarttags" w:element="place">
          <w:r>
            <w:rPr>
              <w:i/>
              <w:sz w:val="23"/>
            </w:rPr>
            <w:t>Western Australia</w:t>
          </w:r>
        </w:smartTag>
      </w:smartTag>
      <w:r>
        <w:rPr>
          <w:i/>
          <w:sz w:val="23"/>
        </w:rPr>
        <w:t>)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 xml:space="preserve">old scheme transmission pipeline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lastRenderedPageBreak/>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lastRenderedPageBreak/>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lastRenderedPageBreak/>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lastRenderedPageBreak/>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w:t>
      </w:r>
      <w:smartTag w:uri="urn:schemas-microsoft-com:office:smarttags" w:element="State">
        <w:r>
          <w:rPr>
            <w:color w:val="000000"/>
            <w:sz w:val="23"/>
            <w:szCs w:val="23"/>
          </w:rPr>
          <w:t>Australian Capital Territory</w:t>
        </w:r>
      </w:smartTag>
      <w:r>
        <w:rPr>
          <w:color w:val="000000"/>
          <w:sz w:val="23"/>
          <w:szCs w:val="23"/>
        </w:rPr>
        <w:t xml:space="preserve"> or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w:t>
      </w:r>
      <w:smartTag w:uri="urn:schemas-microsoft-com:office:smarttags" w:element="State">
        <w:smartTag w:uri="urn:schemas-microsoft-com:office:smarttags" w:element="place">
          <w:r>
            <w:rPr>
              <w:color w:val="000000"/>
              <w:sz w:val="23"/>
              <w:szCs w:val="23"/>
            </w:rPr>
            <w:t>Victoria</w:t>
          </w:r>
        </w:smartTag>
      </w:smartTag>
      <w:r>
        <w:rPr>
          <w:color w:val="000000"/>
          <w:sz w:val="23"/>
          <w:szCs w:val="23"/>
        </w:rPr>
        <w:t>;</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WA Act Sch. 1 cl. 3; amended, see SA Act No. 30 of 2009 s. 6 and WA Gazette 18 Dec 2009 p. 5167; SA Act No. 79 of 2013 s. 19 and WA Gazette 14 Mar 2014 p. 632.]</w:t>
      </w:r>
    </w:p>
    <w:p>
      <w:pPr>
        <w:pStyle w:val="Heading5"/>
        <w:keepNext w:val="0"/>
        <w:keepLines w:val="0"/>
      </w:pPr>
      <w:bookmarkStart w:id="35" w:name="_Toc536781921"/>
      <w:bookmarkStart w:id="36" w:name="_Toc221109673"/>
      <w:r>
        <w:rPr>
          <w:rStyle w:val="CharSectno"/>
        </w:rPr>
        <w:t>2A</w:t>
      </w:r>
      <w:r>
        <w:t>.</w:t>
      </w:r>
      <w:r>
        <w:tab/>
        <w:t>Meaning of AER modified</w:t>
      </w:r>
      <w:bookmarkEnd w:id="35"/>
      <w:bookmarkEnd w:id="3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WA Act Sch. 1 cl. 4.]</w:t>
      </w:r>
    </w:p>
    <w:p>
      <w:pPr>
        <w:pStyle w:val="Heading5"/>
        <w:keepNext w:val="0"/>
        <w:keepLines w:val="0"/>
      </w:pPr>
      <w:bookmarkStart w:id="37" w:name="_Toc536781922"/>
      <w:bookmarkStart w:id="38" w:name="_Toc221109674"/>
      <w:r>
        <w:t>2B.</w:t>
      </w:r>
      <w:r>
        <w:rPr>
          <w:b w:val="0"/>
        </w:rPr>
        <w:tab/>
      </w:r>
      <w:r>
        <w:t>References to WA application Act</w:t>
      </w:r>
      <w:bookmarkEnd w:id="37"/>
      <w:bookmarkEnd w:id="38"/>
    </w:p>
    <w:p>
      <w:pPr>
        <w:tabs>
          <w:tab w:val="center" w:pos="1191"/>
          <w:tab w:val="left" w:pos="1588"/>
        </w:tabs>
        <w:autoSpaceDE w:val="0"/>
        <w:autoSpaceDN w:val="0"/>
        <w:adjustRightInd w:val="0"/>
        <w:spacing w:before="120"/>
        <w:ind w:left="1588" w:hanging="794"/>
        <w:rPr>
          <w:sz w:val="23"/>
        </w:rPr>
      </w:pPr>
      <w:r>
        <w:rPr>
          <w:sz w:val="23"/>
        </w:rPr>
        <w:lastRenderedPageBreak/>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State">
        <w:smartTag w:uri="urn:schemas-microsoft-com:office:smarttags" w:element="plac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WA Act Sch. 1 cl. 4.]</w:t>
      </w:r>
    </w:p>
    <w:p>
      <w:pPr>
        <w:pStyle w:val="Heading5"/>
      </w:pPr>
      <w:bookmarkStart w:id="39" w:name="_Toc536781923"/>
      <w:bookmarkStart w:id="40" w:name="_Toc221109675"/>
      <w:r>
        <w:rPr>
          <w:rStyle w:val="CharSectno"/>
        </w:rPr>
        <w:t>3</w:t>
      </w:r>
      <w:r>
        <w:t>.</w:t>
      </w:r>
      <w:r>
        <w:tab/>
        <w:t>Meaning of civil penalty provision</w:t>
      </w:r>
      <w:bookmarkEnd w:id="39"/>
      <w:bookmarkEnd w:id="40"/>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lastRenderedPageBreak/>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41" w:name="_Toc536781924"/>
      <w:bookmarkStart w:id="42" w:name="_Toc221109676"/>
      <w:r>
        <w:rPr>
          <w:rStyle w:val="CharSectno"/>
        </w:rPr>
        <w:t>4</w:t>
      </w:r>
      <w:r>
        <w:t>.</w:t>
      </w:r>
      <w:r>
        <w:tab/>
        <w:t>Meaning of conduct provision</w:t>
      </w:r>
      <w:bookmarkEnd w:id="41"/>
      <w:bookmarkEnd w:id="42"/>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43" w:name="_Toc536781925"/>
      <w:bookmarkStart w:id="44" w:name="_Toc221109677"/>
      <w:r>
        <w:rPr>
          <w:rStyle w:val="CharSectno"/>
        </w:rPr>
        <w:t>5</w:t>
      </w:r>
      <w:r>
        <w:t>.</w:t>
      </w:r>
      <w:r>
        <w:tab/>
        <w:t>Meaning of prospective user</w:t>
      </w:r>
      <w:bookmarkEnd w:id="43"/>
      <w:bookmarkEnd w:id="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an access determination.</w:t>
      </w:r>
    </w:p>
    <w:p>
      <w:pPr>
        <w:pStyle w:val="Heading5"/>
      </w:pPr>
      <w:bookmarkStart w:id="45" w:name="_Toc536781926"/>
      <w:bookmarkStart w:id="46" w:name="_Toc221109678"/>
      <w:r>
        <w:rPr>
          <w:rStyle w:val="CharSectno"/>
        </w:rPr>
        <w:t>6</w:t>
      </w:r>
      <w:r>
        <w:t>.</w:t>
      </w:r>
      <w:r>
        <w:tab/>
        <w:t>Meaning of regulatory obligation or requirement</w:t>
      </w:r>
      <w:bookmarkEnd w:id="45"/>
      <w:bookmarkEnd w:id="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 xml:space="preserve">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w:t>
      </w:r>
      <w:r>
        <w:rPr>
          <w:color w:val="000000"/>
          <w:sz w:val="23"/>
          <w:szCs w:val="23"/>
        </w:rPr>
        <w:lastRenderedPageBreak/>
        <w:t>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47" w:name="_Toc536781927"/>
      <w:bookmarkStart w:id="48" w:name="_Toc221109679"/>
      <w:r>
        <w:rPr>
          <w:rStyle w:val="CharSectno"/>
        </w:rPr>
        <w:t>7</w:t>
      </w:r>
      <w:r>
        <w:t>.</w:t>
      </w:r>
      <w:r>
        <w:tab/>
        <w:t>Meaning of regulatory payment</w:t>
      </w:r>
      <w:bookmarkEnd w:id="47"/>
      <w:bookmarkEnd w:id="48"/>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49" w:name="_Toc536781928"/>
      <w:bookmarkStart w:id="50" w:name="_Toc221109680"/>
      <w:r>
        <w:rPr>
          <w:rStyle w:val="CharSectno"/>
        </w:rPr>
        <w:t>8</w:t>
      </w:r>
      <w:r>
        <w:t>.</w:t>
      </w:r>
      <w:r>
        <w:tab/>
        <w:t>Meaning of service provider</w:t>
      </w:r>
      <w:bookmarkEnd w:id="49"/>
      <w:bookmarkEnd w:id="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lastRenderedPageBreak/>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51" w:name="_Toc536781929"/>
      <w:bookmarkStart w:id="52" w:name="_Toc221109681"/>
      <w:r>
        <w:rPr>
          <w:rStyle w:val="CharSectno"/>
        </w:rPr>
        <w:t>9</w:t>
      </w:r>
      <w:r>
        <w:t>.</w:t>
      </w:r>
      <w:r>
        <w:tab/>
        <w:t>Passive owners of scheme pipelines deemed to provide or intend to provide pipeline services</w:t>
      </w:r>
      <w:bookmarkEnd w:id="51"/>
      <w:bookmarkEnd w:id="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53" w:name="_Toc536781930"/>
      <w:bookmarkStart w:id="54" w:name="_Toc221109682"/>
      <w:r>
        <w:rPr>
          <w:rStyle w:val="CharSectno"/>
        </w:rPr>
        <w:t>10</w:t>
      </w:r>
      <w:r>
        <w:t>.</w:t>
      </w:r>
      <w:r>
        <w:tab/>
        <w:t>Things done by 1 service provider to be treated as being done by all of service provider group</w:t>
      </w:r>
      <w:bookmarkEnd w:id="53"/>
      <w:bookmarkEnd w:id="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55" w:name="_Toc536781931"/>
      <w:bookmarkStart w:id="56" w:name="_Toc221109683"/>
      <w:r>
        <w:rPr>
          <w:rStyle w:val="CharSectno"/>
        </w:rPr>
        <w:t>11</w:t>
      </w:r>
      <w:r>
        <w:t>.</w:t>
      </w:r>
      <w:r>
        <w:tab/>
        <w:t>Local agents of foreign service providers</w:t>
      </w:r>
      <w:bookmarkEnd w:id="55"/>
      <w:bookmarkEnd w:id="56"/>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57" w:name="_Toc536781932"/>
      <w:bookmarkStart w:id="58" w:name="_Toc221109684"/>
      <w:r>
        <w:rPr>
          <w:rStyle w:val="CharSectno"/>
        </w:rPr>
        <w:lastRenderedPageBreak/>
        <w:t>12</w:t>
      </w:r>
      <w:r>
        <w:rPr>
          <w:bCs/>
        </w:rPr>
        <w:t>.</w:t>
      </w:r>
      <w:r>
        <w:rPr>
          <w:bCs/>
        </w:rPr>
        <w:tab/>
      </w:r>
      <w:r>
        <w:t>Commissioning of a pipeline</w:t>
      </w:r>
      <w:bookmarkEnd w:id="57"/>
      <w:bookmarkEnd w:id="58"/>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59" w:name="_Toc536781933"/>
      <w:bookmarkStart w:id="60" w:name="_Toc221109685"/>
      <w:r>
        <w:rPr>
          <w:rStyle w:val="CharSectno"/>
        </w:rPr>
        <w:t>13</w:t>
      </w:r>
      <w:r>
        <w:rPr>
          <w:rStyle w:val="CharSectno"/>
          <w:bCs/>
        </w:rPr>
        <w:t>.</w:t>
      </w:r>
      <w:r>
        <w:rPr>
          <w:rStyle w:val="CharSectno"/>
          <w:bCs/>
        </w:rPr>
        <w:tab/>
      </w:r>
      <w:r>
        <w:t>Pipeline classification criterion</w:t>
      </w:r>
      <w:bookmarkEnd w:id="59"/>
      <w:bookmarkEnd w:id="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61" w:name="_Toc536781934"/>
      <w:bookmarkStart w:id="62" w:name="_Toc221109686"/>
      <w:r>
        <w:rPr>
          <w:rStyle w:val="CharSectno"/>
        </w:rPr>
        <w:lastRenderedPageBreak/>
        <w:t>14</w:t>
      </w:r>
      <w:r>
        <w:t>.</w:t>
      </w:r>
      <w:r>
        <w:rPr>
          <w:rStyle w:val="CharSectno"/>
          <w:bCs/>
        </w:rPr>
        <w:tab/>
      </w:r>
      <w:r>
        <w:t>Jurisdictional determination criteria—cross boundary distribution pipelines</w:t>
      </w:r>
      <w:bookmarkEnd w:id="61"/>
      <w:bookmarkEnd w:id="62"/>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63" w:name="_Toc536781935"/>
      <w:bookmarkStart w:id="64" w:name="_Toc221109687"/>
      <w:r>
        <w:rPr>
          <w:rStyle w:val="CharSectno"/>
        </w:rPr>
        <w:t>15</w:t>
      </w:r>
      <w:r>
        <w:t>.</w:t>
      </w:r>
      <w:r>
        <w:tab/>
        <w:t>Pipeline coverage criteria</w:t>
      </w:r>
      <w:bookmarkEnd w:id="63"/>
      <w:bookmarkEnd w:id="64"/>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that access (or increased access) to pipeline services provided by means of the pipeline would promote a material increase in competition in at least 1 market (whether or not in </w:t>
      </w:r>
      <w:smartTag w:uri="urn:schemas-microsoft-com:office:smarttags" w:element="country-region">
        <w:r>
          <w:rPr>
            <w:color w:val="000000"/>
            <w:sz w:val="23"/>
            <w:szCs w:val="23"/>
          </w:rPr>
          <w:t>Australia</w:t>
        </w:r>
      </w:smartTag>
      <w:r>
        <w:rPr>
          <w:color w:val="000000"/>
          <w:sz w:val="23"/>
          <w:szCs w:val="23"/>
        </w:rPr>
        <w:t>),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65" w:name="_Toc536781936"/>
      <w:bookmarkStart w:id="66" w:name="_Toc221109688"/>
      <w:r>
        <w:rPr>
          <w:rStyle w:val="CharSectno"/>
        </w:rPr>
        <w:t>16</w:t>
      </w:r>
      <w:r>
        <w:t>.</w:t>
      </w:r>
      <w:r>
        <w:tab/>
        <w:t>Form of regulation factors</w:t>
      </w:r>
      <w:bookmarkEnd w:id="65"/>
      <w:bookmarkEnd w:id="66"/>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67" w:name="_Toc536781937"/>
      <w:bookmarkStart w:id="68" w:name="_Toc221109689"/>
      <w:r>
        <w:rPr>
          <w:rStyle w:val="CharSectno"/>
        </w:rPr>
        <w:t>17</w:t>
      </w:r>
      <w:r>
        <w:rPr>
          <w:bCs/>
        </w:rPr>
        <w:t>.</w:t>
      </w:r>
      <w:r>
        <w:rPr>
          <w:bCs/>
        </w:rPr>
        <w:tab/>
      </w:r>
      <w:r>
        <w:t>Effect of separate and consolidated access arrangements in certain cases</w:t>
      </w:r>
      <w:bookmarkEnd w:id="67"/>
      <w:bookmarkEnd w:id="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69" w:name="_Toc536781938"/>
      <w:bookmarkStart w:id="70" w:name="_Toc221109690"/>
      <w:r>
        <w:rPr>
          <w:rStyle w:val="CharSectno"/>
        </w:rPr>
        <w:lastRenderedPageBreak/>
        <w:t>18</w:t>
      </w:r>
      <w:r>
        <w:t>.</w:t>
      </w:r>
      <w:r>
        <w:tab/>
        <w:t>Certain extensions to, or expansion of the capacity of, pipelines to be taken to be part of a covered pipeline</w:t>
      </w:r>
      <w:bookmarkEnd w:id="69"/>
      <w:bookmarkEnd w:id="70"/>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71" w:name="_Toc536781939"/>
      <w:bookmarkStart w:id="72" w:name="_Toc221109691"/>
      <w:r>
        <w:rPr>
          <w:rStyle w:val="CharSectno"/>
        </w:rPr>
        <w:t>19</w:t>
      </w:r>
      <w:r>
        <w:rPr>
          <w:bCs/>
        </w:rPr>
        <w:t>.</w:t>
      </w:r>
      <w:r>
        <w:rPr>
          <w:bCs/>
        </w:rPr>
        <w:tab/>
      </w:r>
      <w:r>
        <w:t>Expansions of and extensions to covered pipeline by which light regulation services are provided</w:t>
      </w:r>
      <w:bookmarkEnd w:id="71"/>
      <w:bookmarkEnd w:id="72"/>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73" w:name="_Toc536781940"/>
      <w:bookmarkStart w:id="74" w:name="_Toc221109692"/>
      <w:r>
        <w:rPr>
          <w:rStyle w:val="CharSectno"/>
        </w:rPr>
        <w:t>20</w:t>
      </w:r>
      <w:r>
        <w:t>.</w:t>
      </w:r>
      <w:r>
        <w:tab/>
        <w:t>Interpretation generally</w:t>
      </w:r>
      <w:bookmarkEnd w:id="73"/>
      <w:bookmarkEnd w:id="74"/>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75" w:name="_Toc501633851"/>
      <w:bookmarkStart w:id="76" w:name="_Toc501712747"/>
      <w:bookmarkStart w:id="77" w:name="_Toc536781941"/>
      <w:bookmarkStart w:id="78" w:name="_Toc220674153"/>
      <w:bookmarkStart w:id="79" w:name="_Toc221009325"/>
      <w:bookmarkStart w:id="80" w:name="_Toc221011187"/>
      <w:bookmarkStart w:id="81" w:name="_Toc221109693"/>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75"/>
      <w:bookmarkEnd w:id="76"/>
      <w:bookmarkEnd w:id="77"/>
      <w:bookmarkEnd w:id="78"/>
      <w:bookmarkEnd w:id="79"/>
      <w:bookmarkEnd w:id="80"/>
      <w:bookmarkEnd w:id="81"/>
    </w:p>
    <w:p>
      <w:pPr>
        <w:pStyle w:val="Footnotesection"/>
      </w:pPr>
      <w:r>
        <w:tab/>
        <w:t>[Heading inserted: WA Act Sch. 1 cl. 5.]</w:t>
      </w:r>
    </w:p>
    <w:p>
      <w:pPr>
        <w:pStyle w:val="Heading5"/>
      </w:pPr>
      <w:bookmarkStart w:id="82" w:name="_Toc536781942"/>
      <w:bookmarkStart w:id="83" w:name="_Toc221109694"/>
      <w:r>
        <w:rPr>
          <w:rStyle w:val="CharSectno"/>
        </w:rPr>
        <w:lastRenderedPageBreak/>
        <w:t>20A</w:t>
      </w:r>
      <w:r>
        <w:rPr>
          <w:bCs/>
        </w:rPr>
        <w:t>.</w:t>
      </w:r>
      <w:r>
        <w:rPr>
          <w:bCs/>
        </w:rPr>
        <w:tab/>
      </w:r>
      <w:r>
        <w:t>Minister may fix day on which provisions apply</w:t>
      </w:r>
      <w:bookmarkEnd w:id="82"/>
      <w:bookmarkEnd w:id="83"/>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WA Act Sch. 1 cl. 5.]</w:t>
      </w:r>
    </w:p>
    <w:p>
      <w:pPr>
        <w:pStyle w:val="Heading3"/>
        <w:rPr>
          <w:color w:val="000000"/>
          <w:sz w:val="32"/>
          <w:szCs w:val="32"/>
        </w:rPr>
      </w:pPr>
      <w:bookmarkStart w:id="84" w:name="_Toc501633853"/>
      <w:bookmarkStart w:id="85" w:name="_Toc501712749"/>
      <w:bookmarkStart w:id="86" w:name="_Toc536781943"/>
      <w:bookmarkStart w:id="87" w:name="_Toc220674155"/>
      <w:bookmarkStart w:id="88" w:name="_Toc221009327"/>
      <w:bookmarkStart w:id="89" w:name="_Toc221011189"/>
      <w:bookmarkStart w:id="90" w:name="_Toc221109695"/>
      <w:r>
        <w:rPr>
          <w:rStyle w:val="CharDivNo"/>
        </w:rPr>
        <w:t>Part 2</w:t>
      </w:r>
      <w:r>
        <w:rPr>
          <w:color w:val="000000"/>
          <w:sz w:val="32"/>
          <w:szCs w:val="32"/>
        </w:rPr>
        <w:t xml:space="preserve"> — </w:t>
      </w:r>
      <w:r>
        <w:rPr>
          <w:rStyle w:val="CharDivText"/>
        </w:rPr>
        <w:t>Participating jurisdictions</w:t>
      </w:r>
      <w:bookmarkEnd w:id="84"/>
      <w:bookmarkEnd w:id="85"/>
      <w:bookmarkEnd w:id="86"/>
      <w:bookmarkEnd w:id="87"/>
      <w:bookmarkEnd w:id="88"/>
      <w:bookmarkEnd w:id="89"/>
      <w:bookmarkEnd w:id="90"/>
    </w:p>
    <w:p>
      <w:pPr>
        <w:pStyle w:val="Heading5"/>
      </w:pPr>
      <w:bookmarkStart w:id="91" w:name="_Toc536781944"/>
      <w:bookmarkStart w:id="92" w:name="_Toc221109696"/>
      <w:r>
        <w:rPr>
          <w:rStyle w:val="CharSectno"/>
        </w:rPr>
        <w:t>21</w:t>
      </w:r>
      <w:r>
        <w:t>.</w:t>
      </w:r>
      <w:r>
        <w:tab/>
        <w:t>Participating jurisdictions</w:t>
      </w:r>
      <w:bookmarkEnd w:id="91"/>
      <w:bookmarkEnd w:id="92"/>
    </w:p>
    <w:p>
      <w:pPr>
        <w:keepLines/>
        <w:autoSpaceDE w:val="0"/>
        <w:autoSpaceDN w:val="0"/>
        <w:adjustRightInd w:val="0"/>
        <w:spacing w:before="120"/>
        <w:ind w:left="1588"/>
        <w:rPr>
          <w:color w:val="000000"/>
          <w:sz w:val="23"/>
          <w:szCs w:val="23"/>
        </w:rPr>
      </w:pPr>
      <w:r>
        <w:rPr>
          <w:color w:val="000000"/>
          <w:sz w:val="23"/>
          <w:szCs w:val="23"/>
        </w:rPr>
        <w:t xml:space="preserve">The State of </w:t>
      </w:r>
      <w:smartTag w:uri="urn:schemas-microsoft-com:office:smarttags" w:element="State">
        <w:r>
          <w:rPr>
            <w:color w:val="000000"/>
            <w:sz w:val="23"/>
            <w:szCs w:val="23"/>
          </w:rPr>
          <w:t>South Australia</w:t>
        </w:r>
      </w:smartTag>
      <w:r>
        <w:rPr>
          <w:color w:val="000000"/>
          <w:sz w:val="23"/>
          <w:szCs w:val="23"/>
        </w:rPr>
        <w:t xml:space="preserve">, the Commonwealth, each of the States of New South Wales, </w:t>
      </w:r>
      <w:smartTag w:uri="urn:schemas-microsoft-com:office:smarttags" w:element="City">
        <w:r>
          <w:rPr>
            <w:color w:val="000000"/>
            <w:sz w:val="23"/>
            <w:szCs w:val="23"/>
          </w:rPr>
          <w:t>Victoria</w:t>
        </w:r>
      </w:smartTag>
      <w:r>
        <w:rPr>
          <w:color w:val="000000"/>
          <w:sz w:val="23"/>
          <w:szCs w:val="23"/>
        </w:rPr>
        <w:t xml:space="preserve">, </w:t>
      </w:r>
      <w:smartTag w:uri="urn:schemas-microsoft-com:office:smarttags" w:element="State">
        <w:r>
          <w:rPr>
            <w:color w:val="000000"/>
            <w:sz w:val="23"/>
            <w:szCs w:val="23"/>
          </w:rPr>
          <w:t>Queensland</w:t>
        </w:r>
      </w:smartTag>
      <w:r>
        <w:rPr>
          <w:color w:val="000000"/>
          <w:sz w:val="23"/>
          <w:szCs w:val="23"/>
        </w:rPr>
        <w:t xml:space="preserve">, </w:t>
      </w:r>
      <w:smartTag w:uri="urn:schemas-microsoft-com:office:smarttags" w:element="State">
        <w:r>
          <w:rPr>
            <w:color w:val="000000"/>
            <w:sz w:val="23"/>
            <w:szCs w:val="23"/>
          </w:rPr>
          <w:t>Western Australia</w:t>
        </w:r>
      </w:smartTag>
      <w:r>
        <w:rPr>
          <w:color w:val="000000"/>
          <w:sz w:val="23"/>
          <w:szCs w:val="23"/>
        </w:rPr>
        <w:t xml:space="preserve"> and </w:t>
      </w:r>
      <w:smartTag w:uri="urn:schemas-microsoft-com:office:smarttags" w:element="State">
        <w:r>
          <w:rPr>
            <w:color w:val="000000"/>
            <w:sz w:val="23"/>
            <w:szCs w:val="23"/>
          </w:rPr>
          <w:t>Tasmania</w:t>
        </w:r>
      </w:smartTag>
      <w:r>
        <w:rPr>
          <w:color w:val="000000"/>
          <w:sz w:val="23"/>
          <w:szCs w:val="23"/>
        </w:rPr>
        <w:t xml:space="preserve">, and the </w:t>
      </w:r>
      <w:smartTag w:uri="urn:schemas-microsoft-com:office:smarttags" w:element="State">
        <w:r>
          <w:rPr>
            <w:color w:val="000000"/>
            <w:sz w:val="23"/>
            <w:szCs w:val="23"/>
          </w:rPr>
          <w:t>Australian Capital Territory</w:t>
        </w:r>
      </w:smartTag>
      <w:r>
        <w:rPr>
          <w:color w:val="000000"/>
          <w:sz w:val="23"/>
          <w:szCs w:val="23"/>
        </w:rPr>
        <w:t xml:space="preserve"> and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 xml:space="preserve"> are participating jurisdictions for the purposes of this Law.</w:t>
      </w:r>
    </w:p>
    <w:p>
      <w:pPr>
        <w:pStyle w:val="Heading5"/>
      </w:pPr>
      <w:bookmarkStart w:id="93" w:name="_Toc536781945"/>
      <w:bookmarkStart w:id="94" w:name="_Toc221109697"/>
      <w:r>
        <w:rPr>
          <w:rStyle w:val="CharSectno"/>
        </w:rPr>
        <w:t>22</w:t>
      </w:r>
      <w:r>
        <w:rPr>
          <w:bCs/>
        </w:rPr>
        <w:t>.</w:t>
      </w:r>
      <w:r>
        <w:rPr>
          <w:bCs/>
        </w:rPr>
        <w:tab/>
      </w:r>
      <w:r>
        <w:t>Ministers of participating jurisdictions</w:t>
      </w:r>
      <w:bookmarkEnd w:id="93"/>
      <w:bookmarkEnd w:id="94"/>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w:t>
      </w:r>
      <w:r>
        <w:rPr>
          <w:color w:val="000000"/>
          <w:sz w:val="23"/>
          <w:szCs w:val="23"/>
        </w:rPr>
        <w:lastRenderedPageBreak/>
        <w:t xml:space="preserve">to Part 2 of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pStyle w:val="Heading3"/>
        <w:rPr>
          <w:color w:val="000000"/>
          <w:sz w:val="32"/>
          <w:szCs w:val="32"/>
        </w:rPr>
      </w:pPr>
      <w:bookmarkStart w:id="95" w:name="_Toc501633856"/>
      <w:bookmarkStart w:id="96" w:name="_Toc501712752"/>
      <w:bookmarkStart w:id="97" w:name="_Toc536781946"/>
      <w:bookmarkStart w:id="98" w:name="_Toc220674158"/>
      <w:bookmarkStart w:id="99" w:name="_Toc221009330"/>
      <w:bookmarkStart w:id="100" w:name="_Toc221011192"/>
      <w:bookmarkStart w:id="101" w:name="_Toc221109698"/>
      <w:r>
        <w:rPr>
          <w:rStyle w:val="CharDivNo"/>
        </w:rPr>
        <w:t>Part 3</w:t>
      </w:r>
      <w:r>
        <w:rPr>
          <w:color w:val="000000"/>
          <w:sz w:val="32"/>
          <w:szCs w:val="32"/>
        </w:rPr>
        <w:t xml:space="preserve"> — </w:t>
      </w:r>
      <w:r>
        <w:rPr>
          <w:rStyle w:val="CharDivText"/>
        </w:rPr>
        <w:t>National gas objective and principles</w:t>
      </w:r>
      <w:bookmarkEnd w:id="95"/>
      <w:bookmarkEnd w:id="96"/>
      <w:bookmarkEnd w:id="97"/>
      <w:bookmarkEnd w:id="98"/>
      <w:bookmarkEnd w:id="99"/>
      <w:bookmarkEnd w:id="100"/>
      <w:bookmarkEnd w:id="101"/>
    </w:p>
    <w:p>
      <w:pPr>
        <w:pStyle w:val="Heading4"/>
      </w:pPr>
      <w:bookmarkStart w:id="102" w:name="_Toc501633857"/>
      <w:bookmarkStart w:id="103" w:name="_Toc501712753"/>
      <w:bookmarkStart w:id="104" w:name="_Toc536781947"/>
      <w:bookmarkStart w:id="105" w:name="_Toc220674159"/>
      <w:bookmarkStart w:id="106" w:name="_Toc221009331"/>
      <w:bookmarkStart w:id="107" w:name="_Toc221011193"/>
      <w:bookmarkStart w:id="108" w:name="_Toc221109699"/>
      <w:r>
        <w:t>Division 1 — National gas objective</w:t>
      </w:r>
      <w:bookmarkEnd w:id="102"/>
      <w:bookmarkEnd w:id="103"/>
      <w:bookmarkEnd w:id="104"/>
      <w:bookmarkEnd w:id="105"/>
      <w:bookmarkEnd w:id="106"/>
      <w:bookmarkEnd w:id="107"/>
      <w:bookmarkEnd w:id="108"/>
    </w:p>
    <w:p>
      <w:pPr>
        <w:pStyle w:val="Heading5"/>
      </w:pPr>
      <w:bookmarkStart w:id="109" w:name="_Toc536781948"/>
      <w:bookmarkStart w:id="110" w:name="_Toc221109700"/>
      <w:r>
        <w:rPr>
          <w:rStyle w:val="CharSectno"/>
        </w:rPr>
        <w:t>23</w:t>
      </w:r>
      <w:r>
        <w:t>.</w:t>
      </w:r>
      <w:r>
        <w:tab/>
        <w:t>National gas objective</w:t>
      </w:r>
      <w:bookmarkEnd w:id="109"/>
      <w:bookmarkEnd w:id="110"/>
    </w:p>
    <w:p>
      <w:pPr>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111" w:name="_Toc501633859"/>
      <w:bookmarkStart w:id="112" w:name="_Toc501712755"/>
      <w:bookmarkStart w:id="113" w:name="_Toc536781949"/>
      <w:bookmarkStart w:id="114" w:name="_Toc220674161"/>
      <w:bookmarkStart w:id="115" w:name="_Toc221009333"/>
      <w:bookmarkStart w:id="116" w:name="_Toc221011195"/>
      <w:bookmarkStart w:id="117" w:name="_Toc221109701"/>
      <w:r>
        <w:t>Division 2 — Revenue and pricing principles</w:t>
      </w:r>
      <w:bookmarkEnd w:id="111"/>
      <w:bookmarkEnd w:id="112"/>
      <w:bookmarkEnd w:id="113"/>
      <w:bookmarkEnd w:id="114"/>
      <w:bookmarkEnd w:id="115"/>
      <w:bookmarkEnd w:id="116"/>
      <w:bookmarkEnd w:id="117"/>
    </w:p>
    <w:p>
      <w:pPr>
        <w:pStyle w:val="Heading5"/>
      </w:pPr>
      <w:bookmarkStart w:id="118" w:name="_Toc536781950"/>
      <w:bookmarkStart w:id="119" w:name="_Toc221109702"/>
      <w:r>
        <w:rPr>
          <w:rStyle w:val="CharSectno"/>
        </w:rPr>
        <w:t>24</w:t>
      </w:r>
      <w:r>
        <w:rPr>
          <w:bCs/>
        </w:rPr>
        <w:t>.</w:t>
      </w:r>
      <w:r>
        <w:rPr>
          <w:bCs/>
        </w:rPr>
        <w:tab/>
      </w:r>
      <w:r>
        <w:t>Revenue and pricing principles</w:t>
      </w:r>
      <w:bookmarkEnd w:id="118"/>
      <w:bookmarkEnd w:id="1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120" w:name="_Toc501633861"/>
      <w:bookmarkStart w:id="121" w:name="_Toc501712757"/>
      <w:bookmarkStart w:id="122" w:name="_Toc536781951"/>
      <w:bookmarkStart w:id="123" w:name="_Toc220674163"/>
      <w:bookmarkStart w:id="124" w:name="_Toc221009335"/>
      <w:bookmarkStart w:id="125" w:name="_Toc221011197"/>
      <w:bookmarkStart w:id="126" w:name="_Toc221109703"/>
      <w:r>
        <w:t>Division 3 — MCE policy principles</w:t>
      </w:r>
      <w:bookmarkEnd w:id="120"/>
      <w:bookmarkEnd w:id="121"/>
      <w:bookmarkEnd w:id="122"/>
      <w:bookmarkEnd w:id="123"/>
      <w:bookmarkEnd w:id="124"/>
      <w:bookmarkEnd w:id="125"/>
      <w:bookmarkEnd w:id="126"/>
    </w:p>
    <w:p>
      <w:pPr>
        <w:pStyle w:val="Heading5"/>
      </w:pPr>
      <w:bookmarkStart w:id="127" w:name="_Toc536781952"/>
      <w:bookmarkStart w:id="128" w:name="_Toc221109704"/>
      <w:r>
        <w:rPr>
          <w:rStyle w:val="CharSectno"/>
        </w:rPr>
        <w:t>25</w:t>
      </w:r>
      <w:r>
        <w:rPr>
          <w:bCs/>
        </w:rPr>
        <w:t>.</w:t>
      </w:r>
      <w:r>
        <w:rPr>
          <w:bCs/>
        </w:rPr>
        <w:tab/>
      </w:r>
      <w:r>
        <w:t>MCE statements of policy principles</w:t>
      </w:r>
      <w:bookmarkEnd w:id="127"/>
      <w:bookmarkEnd w:id="1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129" w:name="_Toc501633863"/>
      <w:bookmarkStart w:id="130" w:name="_Toc501712759"/>
      <w:bookmarkStart w:id="131" w:name="_Toc536781953"/>
      <w:bookmarkStart w:id="132" w:name="_Toc220674165"/>
      <w:bookmarkStart w:id="133" w:name="_Toc221009337"/>
      <w:bookmarkStart w:id="134" w:name="_Toc221011199"/>
      <w:bookmarkStart w:id="135" w:name="_Toc221109705"/>
      <w:r>
        <w:rPr>
          <w:rStyle w:val="CharDivNo"/>
        </w:rPr>
        <w:t>Part 4</w:t>
      </w:r>
      <w:r>
        <w:t xml:space="preserve"> — </w:t>
      </w:r>
      <w:r>
        <w:rPr>
          <w:rStyle w:val="CharDivText"/>
        </w:rPr>
        <w:t>Operation and effect of National Gas Rules</w:t>
      </w:r>
      <w:bookmarkEnd w:id="129"/>
      <w:bookmarkEnd w:id="130"/>
      <w:bookmarkEnd w:id="131"/>
      <w:bookmarkEnd w:id="132"/>
      <w:bookmarkEnd w:id="133"/>
      <w:bookmarkEnd w:id="134"/>
      <w:bookmarkEnd w:id="135"/>
    </w:p>
    <w:p>
      <w:pPr>
        <w:pStyle w:val="Heading5"/>
      </w:pPr>
      <w:bookmarkStart w:id="136" w:name="_Toc536781954"/>
      <w:bookmarkStart w:id="137" w:name="_Toc221109706"/>
      <w:r>
        <w:rPr>
          <w:rStyle w:val="CharSectno"/>
        </w:rPr>
        <w:t>26</w:t>
      </w:r>
      <w:r>
        <w:t>.</w:t>
      </w:r>
      <w:r>
        <w:rPr>
          <w:rStyle w:val="CharSectno"/>
        </w:rPr>
        <w:tab/>
      </w:r>
      <w:r>
        <w:t>National Gas Rules to have force of law</w:t>
      </w:r>
      <w:bookmarkEnd w:id="136"/>
      <w:bookmarkEnd w:id="137"/>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138" w:name="_Toc501633865"/>
      <w:bookmarkStart w:id="139" w:name="_Toc501712761"/>
      <w:bookmarkStart w:id="140" w:name="_Toc536781955"/>
      <w:bookmarkStart w:id="141" w:name="_Toc220674167"/>
      <w:bookmarkStart w:id="142" w:name="_Toc221009339"/>
      <w:bookmarkStart w:id="143" w:name="_Toc221011201"/>
      <w:bookmarkStart w:id="144" w:name="_Toc221109707"/>
      <w:r>
        <w:rPr>
          <w:rStyle w:val="CharPartNo"/>
        </w:rPr>
        <w:lastRenderedPageBreak/>
        <w:t>Chapter 2</w:t>
      </w:r>
      <w:r>
        <w:t xml:space="preserve"> — </w:t>
      </w:r>
      <w:r>
        <w:rPr>
          <w:rStyle w:val="CharPartText"/>
        </w:rPr>
        <w:t>Functions and powers of gas market regulatory entities</w:t>
      </w:r>
      <w:bookmarkEnd w:id="138"/>
      <w:bookmarkEnd w:id="139"/>
      <w:bookmarkEnd w:id="140"/>
      <w:bookmarkEnd w:id="141"/>
      <w:bookmarkEnd w:id="142"/>
      <w:bookmarkEnd w:id="143"/>
      <w:bookmarkEnd w:id="144"/>
    </w:p>
    <w:p>
      <w:pPr>
        <w:pStyle w:val="Heading3"/>
      </w:pPr>
      <w:bookmarkStart w:id="145" w:name="_Toc501633866"/>
      <w:bookmarkStart w:id="146" w:name="_Toc501712762"/>
      <w:bookmarkStart w:id="147" w:name="_Toc536781956"/>
      <w:bookmarkStart w:id="148" w:name="_Toc220674168"/>
      <w:bookmarkStart w:id="149" w:name="_Toc221009340"/>
      <w:bookmarkStart w:id="150" w:name="_Toc221011202"/>
      <w:bookmarkStart w:id="151" w:name="_Toc221109708"/>
      <w:r>
        <w:rPr>
          <w:rStyle w:val="CharDivNo"/>
        </w:rPr>
        <w:t>Part 1</w:t>
      </w:r>
      <w:r>
        <w:t xml:space="preserve"> — </w:t>
      </w:r>
      <w:r>
        <w:rPr>
          <w:rStyle w:val="CharDivText"/>
        </w:rPr>
        <w:t>Functions and powers of the Australian Energy Regulator</w:t>
      </w:r>
      <w:bookmarkEnd w:id="145"/>
      <w:bookmarkEnd w:id="146"/>
      <w:bookmarkEnd w:id="147"/>
      <w:bookmarkEnd w:id="148"/>
      <w:bookmarkEnd w:id="149"/>
      <w:bookmarkEnd w:id="150"/>
      <w:bookmarkEnd w:id="151"/>
    </w:p>
    <w:p>
      <w:pPr>
        <w:pStyle w:val="Heading4"/>
        <w:rPr>
          <w:szCs w:val="28"/>
        </w:rPr>
      </w:pPr>
      <w:bookmarkStart w:id="152" w:name="_Toc501633867"/>
      <w:bookmarkStart w:id="153" w:name="_Toc501712763"/>
      <w:bookmarkStart w:id="154" w:name="_Toc536781957"/>
      <w:bookmarkStart w:id="155" w:name="_Toc220674169"/>
      <w:bookmarkStart w:id="156" w:name="_Toc221009341"/>
      <w:bookmarkStart w:id="157" w:name="_Toc221011203"/>
      <w:bookmarkStart w:id="158" w:name="_Toc221109709"/>
      <w:r>
        <w:rPr>
          <w:szCs w:val="28"/>
        </w:rPr>
        <w:t>Division 1</w:t>
      </w:r>
      <w:r>
        <w:rPr>
          <w:rStyle w:val="CharSDivNo"/>
        </w:rPr>
        <w:t xml:space="preserve"> </w:t>
      </w:r>
      <w:r>
        <w:rPr>
          <w:szCs w:val="28"/>
        </w:rPr>
        <w:t>—</w:t>
      </w:r>
      <w:r>
        <w:t xml:space="preserve"> </w:t>
      </w:r>
      <w:r>
        <w:rPr>
          <w:szCs w:val="28"/>
        </w:rPr>
        <w:t>General</w:t>
      </w:r>
      <w:bookmarkEnd w:id="152"/>
      <w:bookmarkEnd w:id="153"/>
      <w:bookmarkEnd w:id="154"/>
      <w:bookmarkEnd w:id="155"/>
      <w:bookmarkEnd w:id="156"/>
      <w:bookmarkEnd w:id="157"/>
      <w:bookmarkEnd w:id="158"/>
    </w:p>
    <w:p>
      <w:pPr>
        <w:pStyle w:val="Heading5"/>
      </w:pPr>
      <w:bookmarkStart w:id="159" w:name="_Toc536781958"/>
      <w:bookmarkStart w:id="160" w:name="_Toc221109710"/>
      <w:r>
        <w:rPr>
          <w:rStyle w:val="CharSectno"/>
        </w:rPr>
        <w:t>27</w:t>
      </w:r>
      <w:r>
        <w:t>.</w:t>
      </w:r>
      <w:r>
        <w:rPr>
          <w:bCs/>
        </w:rPr>
        <w:tab/>
      </w:r>
      <w:r>
        <w:t>Functions and powers of the AER</w:t>
      </w:r>
      <w:bookmarkEnd w:id="159"/>
      <w:bookmarkEnd w:id="1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Heading5"/>
      </w:pPr>
      <w:bookmarkStart w:id="161" w:name="_Toc536781959"/>
      <w:bookmarkStart w:id="162" w:name="_Toc221109711"/>
      <w:r>
        <w:rPr>
          <w:rStyle w:val="CharSectno"/>
        </w:rPr>
        <w:t>28</w:t>
      </w:r>
      <w:r>
        <w:t>.</w:t>
      </w:r>
      <w:r>
        <w:tab/>
        <w:t>Manner in which AER must perform or exercise AER economic regulatory functions or powers</w:t>
      </w:r>
      <w:bookmarkEnd w:id="161"/>
      <w:bookmarkEnd w:id="1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lastRenderedPageBreak/>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w:t>
      </w:r>
    </w:p>
    <w:p>
      <w:pPr>
        <w:pStyle w:val="Heading5"/>
        <w:keepLines w:val="0"/>
      </w:pPr>
      <w:bookmarkStart w:id="163" w:name="_Toc536781960"/>
      <w:bookmarkStart w:id="164" w:name="_Toc221109712"/>
      <w:r>
        <w:rPr>
          <w:rStyle w:val="CharSectno"/>
        </w:rPr>
        <w:t>29</w:t>
      </w:r>
      <w:r>
        <w:t>.</w:t>
      </w:r>
      <w:r>
        <w:tab/>
        <w:t>Delegations</w:t>
      </w:r>
      <w:bookmarkEnd w:id="163"/>
      <w:bookmarkEnd w:id="164"/>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WA Act Sch. 1 cl. 6.]</w:t>
      </w:r>
    </w:p>
    <w:p>
      <w:pPr>
        <w:pStyle w:val="Heading5"/>
      </w:pPr>
      <w:bookmarkStart w:id="165" w:name="_Toc536781961"/>
      <w:bookmarkStart w:id="166" w:name="_Toc221109713"/>
      <w:r>
        <w:rPr>
          <w:rStyle w:val="CharSectno"/>
        </w:rPr>
        <w:t>30</w:t>
      </w:r>
      <w:r>
        <w:t>.</w:t>
      </w:r>
      <w:r>
        <w:tab/>
        <w:t>Confidentiality</w:t>
      </w:r>
      <w:bookmarkEnd w:id="165"/>
      <w:bookmarkEnd w:id="1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lastRenderedPageBreak/>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 WA Act Sch. 1 cl. 7.]</w:t>
      </w:r>
    </w:p>
    <w:p>
      <w:pPr>
        <w:pStyle w:val="Heading4"/>
        <w:rPr>
          <w:szCs w:val="28"/>
        </w:rPr>
      </w:pPr>
      <w:bookmarkStart w:id="167" w:name="_Toc501633872"/>
      <w:bookmarkStart w:id="168" w:name="_Toc501712768"/>
      <w:bookmarkStart w:id="169" w:name="_Toc536781962"/>
      <w:bookmarkStart w:id="170" w:name="_Toc220674174"/>
      <w:bookmarkStart w:id="171" w:name="_Toc221009346"/>
      <w:bookmarkStart w:id="172" w:name="_Toc221011208"/>
      <w:bookmarkStart w:id="173" w:name="_Toc221109714"/>
      <w:r>
        <w:rPr>
          <w:szCs w:val="28"/>
        </w:rPr>
        <w:t>Division 2 — Search warrants</w:t>
      </w:r>
      <w:bookmarkEnd w:id="167"/>
      <w:bookmarkEnd w:id="168"/>
      <w:bookmarkEnd w:id="169"/>
      <w:bookmarkEnd w:id="170"/>
      <w:bookmarkEnd w:id="171"/>
      <w:bookmarkEnd w:id="172"/>
      <w:bookmarkEnd w:id="173"/>
    </w:p>
    <w:p>
      <w:pPr>
        <w:pStyle w:val="Heading5"/>
      </w:pPr>
      <w:bookmarkStart w:id="174" w:name="_Toc536781963"/>
      <w:bookmarkStart w:id="175" w:name="_Toc221109715"/>
      <w:r>
        <w:rPr>
          <w:rStyle w:val="CharSectno"/>
        </w:rPr>
        <w:t>31</w:t>
      </w:r>
      <w:r>
        <w:t>.</w:t>
      </w:r>
      <w:r>
        <w:tab/>
        <w:t>Definitions</w:t>
      </w:r>
      <w:bookmarkEnd w:id="174"/>
      <w:bookmarkEnd w:id="175"/>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176" w:name="_Toc536781964"/>
      <w:bookmarkStart w:id="177" w:name="_Toc221109716"/>
      <w:r>
        <w:rPr>
          <w:rStyle w:val="CharSectno"/>
        </w:rPr>
        <w:t>32</w:t>
      </w:r>
      <w:r>
        <w:t>.</w:t>
      </w:r>
      <w:r>
        <w:tab/>
        <w:t>Authorised person</w:t>
      </w:r>
      <w:bookmarkEnd w:id="176"/>
      <w:bookmarkEnd w:id="1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178" w:name="_Toc536781965"/>
      <w:bookmarkStart w:id="179" w:name="_Toc221109717"/>
      <w:r>
        <w:rPr>
          <w:rStyle w:val="CharSectno"/>
        </w:rPr>
        <w:lastRenderedPageBreak/>
        <w:t>33</w:t>
      </w:r>
      <w:r>
        <w:t>.</w:t>
      </w:r>
      <w:r>
        <w:tab/>
        <w:t>Identity cards</w:t>
      </w:r>
      <w:bookmarkEnd w:id="178"/>
      <w:bookmarkEnd w:id="1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180" w:name="_Toc536781966"/>
      <w:bookmarkStart w:id="181" w:name="_Toc221109718"/>
      <w:r>
        <w:rPr>
          <w:rStyle w:val="CharSectno"/>
        </w:rPr>
        <w:t>34</w:t>
      </w:r>
      <w:r>
        <w:t>.</w:t>
      </w:r>
      <w:r>
        <w:tab/>
        <w:t>Return of identity cards</w:t>
      </w:r>
      <w:bookmarkEnd w:id="180"/>
      <w:bookmarkEnd w:id="181"/>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182" w:name="_Toc536781967"/>
      <w:bookmarkStart w:id="183" w:name="_Toc221109719"/>
      <w:r>
        <w:rPr>
          <w:rStyle w:val="CharSectno"/>
        </w:rPr>
        <w:t>35</w:t>
      </w:r>
      <w:r>
        <w:t>.</w:t>
      </w:r>
      <w:r>
        <w:tab/>
        <w:t>Search warrant</w:t>
      </w:r>
      <w:bookmarkEnd w:id="182"/>
      <w:bookmarkEnd w:id="1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184" w:name="_Toc536781968"/>
      <w:bookmarkStart w:id="185" w:name="_Toc221109720"/>
      <w:r>
        <w:rPr>
          <w:rStyle w:val="CharSectno"/>
        </w:rPr>
        <w:t>36</w:t>
      </w:r>
      <w:r>
        <w:t>.</w:t>
      </w:r>
      <w:r>
        <w:tab/>
        <w:t>Announcement of entry and details of warrant to be given to occupier or other person at premises</w:t>
      </w:r>
      <w:bookmarkEnd w:id="184"/>
      <w:bookmarkEnd w:id="1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186" w:name="_Toc536781969"/>
      <w:bookmarkStart w:id="187" w:name="_Toc221109721"/>
      <w:r>
        <w:rPr>
          <w:rStyle w:val="CharSectno"/>
        </w:rPr>
        <w:t>37</w:t>
      </w:r>
      <w:r>
        <w:t>.</w:t>
      </w:r>
      <w:r>
        <w:tab/>
        <w:t>Immediate entry permitted in certain cases</w:t>
      </w:r>
      <w:bookmarkEnd w:id="186"/>
      <w:bookmarkEnd w:id="187"/>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that the effective execution of the search warrant is not frustrated.</w:t>
      </w:r>
    </w:p>
    <w:p>
      <w:pPr>
        <w:pStyle w:val="Heading5"/>
      </w:pPr>
      <w:bookmarkStart w:id="188" w:name="_Toc536781970"/>
      <w:bookmarkStart w:id="189" w:name="_Toc221109722"/>
      <w:r>
        <w:rPr>
          <w:rStyle w:val="CharSectno"/>
        </w:rPr>
        <w:t>38</w:t>
      </w:r>
      <w:r>
        <w:t>.</w:t>
      </w:r>
      <w:r>
        <w:tab/>
        <w:t>Copies of seized documents</w:t>
      </w:r>
      <w:bookmarkEnd w:id="188"/>
      <w:bookmarkEnd w:id="1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190" w:name="_Toc536781971"/>
      <w:bookmarkStart w:id="191" w:name="_Toc221109723"/>
      <w:r>
        <w:rPr>
          <w:rStyle w:val="CharSectno"/>
        </w:rPr>
        <w:t>39</w:t>
      </w:r>
      <w:r>
        <w:t>.</w:t>
      </w:r>
      <w:r>
        <w:tab/>
        <w:t>Retention and return of seized documents or things</w:t>
      </w:r>
      <w:bookmarkEnd w:id="190"/>
      <w:bookmarkEnd w:id="19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192" w:name="_Toc536781972"/>
      <w:bookmarkStart w:id="193" w:name="_Toc221109724"/>
      <w:r>
        <w:rPr>
          <w:rStyle w:val="CharSectno"/>
        </w:rPr>
        <w:lastRenderedPageBreak/>
        <w:t>40</w:t>
      </w:r>
      <w:r>
        <w:t>.</w:t>
      </w:r>
      <w:r>
        <w:tab/>
        <w:t>Extension of period of retention of documents or things seized</w:t>
      </w:r>
      <w:bookmarkEnd w:id="192"/>
      <w:bookmarkEnd w:id="1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194" w:name="_Toc536781973"/>
      <w:bookmarkStart w:id="195" w:name="_Toc221109725"/>
      <w:r>
        <w:rPr>
          <w:rStyle w:val="CharSectno"/>
        </w:rPr>
        <w:t>41</w:t>
      </w:r>
      <w:r>
        <w:t>.</w:t>
      </w:r>
      <w:r>
        <w:tab/>
        <w:t>Obstruction of persons authorised to enter</w:t>
      </w:r>
      <w:bookmarkEnd w:id="194"/>
      <w:bookmarkEnd w:id="195"/>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196" w:name="_Toc501633884"/>
      <w:bookmarkStart w:id="197" w:name="_Toc501712780"/>
      <w:bookmarkStart w:id="198" w:name="_Toc536781974"/>
      <w:bookmarkStart w:id="199" w:name="_Toc220674186"/>
      <w:bookmarkStart w:id="200" w:name="_Toc221009358"/>
      <w:bookmarkStart w:id="201" w:name="_Toc221011220"/>
      <w:bookmarkStart w:id="202" w:name="_Toc221109726"/>
      <w:r>
        <w:t>Division 3 — General information gathering powers</w:t>
      </w:r>
      <w:bookmarkEnd w:id="196"/>
      <w:bookmarkEnd w:id="197"/>
      <w:bookmarkEnd w:id="198"/>
      <w:bookmarkEnd w:id="199"/>
      <w:bookmarkEnd w:id="200"/>
      <w:bookmarkEnd w:id="201"/>
      <w:bookmarkEnd w:id="202"/>
    </w:p>
    <w:p>
      <w:pPr>
        <w:pStyle w:val="Heading5"/>
      </w:pPr>
      <w:bookmarkStart w:id="203" w:name="_Toc536781975"/>
      <w:bookmarkStart w:id="204" w:name="_Toc221109727"/>
      <w:r>
        <w:rPr>
          <w:rStyle w:val="CharSectno"/>
        </w:rPr>
        <w:t>42</w:t>
      </w:r>
      <w:r>
        <w:t>.</w:t>
      </w:r>
      <w:r>
        <w:tab/>
        <w:t>Power to obtain information and documents in relation to performance and exercise of functions and powers</w:t>
      </w:r>
      <w:bookmarkEnd w:id="203"/>
      <w:bookmarkEnd w:id="2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lastRenderedPageBreak/>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205" w:name="_Toc501633886"/>
      <w:bookmarkStart w:id="206" w:name="_Toc501712782"/>
      <w:bookmarkStart w:id="207" w:name="_Toc536781976"/>
      <w:bookmarkStart w:id="208" w:name="_Toc220674188"/>
      <w:bookmarkStart w:id="209" w:name="_Toc221009360"/>
      <w:bookmarkStart w:id="210" w:name="_Toc221011222"/>
      <w:bookmarkStart w:id="211" w:name="_Toc221109728"/>
      <w:r>
        <w:t>Division 4 — Regulatory information notices and general regulatory information orders</w:t>
      </w:r>
      <w:bookmarkEnd w:id="205"/>
      <w:bookmarkEnd w:id="206"/>
      <w:bookmarkEnd w:id="207"/>
      <w:bookmarkEnd w:id="208"/>
      <w:bookmarkEnd w:id="209"/>
      <w:bookmarkEnd w:id="210"/>
      <w:bookmarkEnd w:id="211"/>
    </w:p>
    <w:p>
      <w:pPr>
        <w:pStyle w:val="Heading4"/>
      </w:pPr>
      <w:bookmarkStart w:id="212" w:name="_Toc501633887"/>
      <w:bookmarkStart w:id="213" w:name="_Toc501712783"/>
      <w:bookmarkStart w:id="214" w:name="_Toc536781977"/>
      <w:bookmarkStart w:id="215" w:name="_Toc220674189"/>
      <w:bookmarkStart w:id="216" w:name="_Toc221009361"/>
      <w:bookmarkStart w:id="217" w:name="_Toc221011223"/>
      <w:bookmarkStart w:id="218" w:name="_Toc221109729"/>
      <w:r>
        <w:t>Subdivision 1 — Interpretation</w:t>
      </w:r>
      <w:bookmarkEnd w:id="212"/>
      <w:bookmarkEnd w:id="213"/>
      <w:bookmarkEnd w:id="214"/>
      <w:bookmarkEnd w:id="215"/>
      <w:bookmarkEnd w:id="216"/>
      <w:bookmarkEnd w:id="217"/>
      <w:bookmarkEnd w:id="218"/>
    </w:p>
    <w:p>
      <w:pPr>
        <w:pStyle w:val="Heading5"/>
      </w:pPr>
      <w:bookmarkStart w:id="219" w:name="_Toc536781978"/>
      <w:bookmarkStart w:id="220" w:name="_Toc221109730"/>
      <w:r>
        <w:rPr>
          <w:rStyle w:val="CharSectno"/>
        </w:rPr>
        <w:t>43</w:t>
      </w:r>
      <w:r>
        <w:t>.</w:t>
      </w:r>
      <w:r>
        <w:tab/>
        <w:t>Definitions</w:t>
      </w:r>
      <w:bookmarkEnd w:id="219"/>
      <w:bookmarkEnd w:id="22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lastRenderedPageBreak/>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221" w:name="_Toc536781979"/>
      <w:bookmarkStart w:id="222" w:name="_Toc221109731"/>
      <w:r>
        <w:rPr>
          <w:rStyle w:val="CharSectno"/>
        </w:rPr>
        <w:t>44</w:t>
      </w:r>
      <w:r>
        <w:t>.</w:t>
      </w:r>
      <w:r>
        <w:tab/>
        <w:t>Meaning of contributing service</w:t>
      </w:r>
      <w:bookmarkEnd w:id="221"/>
      <w:bookmarkEnd w:id="2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223" w:name="_Toc536781980"/>
      <w:bookmarkStart w:id="224" w:name="_Toc221109732"/>
      <w:r>
        <w:rPr>
          <w:rStyle w:val="CharSectno"/>
        </w:rPr>
        <w:t>45</w:t>
      </w:r>
      <w:r>
        <w:t>.</w:t>
      </w:r>
      <w:r>
        <w:tab/>
        <w:t>Meaning of general regulatory information order</w:t>
      </w:r>
      <w:bookmarkEnd w:id="223"/>
      <w:bookmarkEnd w:id="224"/>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225" w:name="_Toc536781981"/>
      <w:bookmarkStart w:id="226" w:name="_Toc221109733"/>
      <w:r>
        <w:rPr>
          <w:rStyle w:val="CharSectno"/>
        </w:rPr>
        <w:t>46</w:t>
      </w:r>
      <w:r>
        <w:t>.</w:t>
      </w:r>
      <w:r>
        <w:tab/>
        <w:t>Meaning of regulatory information notice</w:t>
      </w:r>
      <w:bookmarkEnd w:id="225"/>
      <w:bookmarkEnd w:id="226"/>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227" w:name="_Toc536781982"/>
      <w:bookmarkStart w:id="228" w:name="_Toc221109734"/>
      <w:r>
        <w:rPr>
          <w:rStyle w:val="CharSectno"/>
        </w:rPr>
        <w:t>47</w:t>
      </w:r>
      <w:r>
        <w:t>.</w:t>
      </w:r>
      <w:r>
        <w:tab/>
        <w:t>Division does not limit operation of information gathering powers under Division 3</w:t>
      </w:r>
      <w:bookmarkEnd w:id="227"/>
      <w:bookmarkEnd w:id="228"/>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229" w:name="_Toc501633893"/>
      <w:bookmarkStart w:id="230" w:name="_Toc501712789"/>
      <w:bookmarkStart w:id="231" w:name="_Toc536781983"/>
      <w:bookmarkStart w:id="232" w:name="_Toc220674195"/>
      <w:bookmarkStart w:id="233" w:name="_Toc221009367"/>
      <w:bookmarkStart w:id="234" w:name="_Toc221011229"/>
      <w:bookmarkStart w:id="235" w:name="_Toc221109735"/>
      <w:r>
        <w:lastRenderedPageBreak/>
        <w:t>Subdivision 2 — Serving and making of regulatory information instruments</w:t>
      </w:r>
      <w:bookmarkEnd w:id="229"/>
      <w:bookmarkEnd w:id="230"/>
      <w:bookmarkEnd w:id="231"/>
      <w:bookmarkEnd w:id="232"/>
      <w:bookmarkEnd w:id="233"/>
      <w:bookmarkEnd w:id="234"/>
      <w:bookmarkEnd w:id="235"/>
    </w:p>
    <w:p>
      <w:pPr>
        <w:pStyle w:val="Heading5"/>
      </w:pPr>
      <w:bookmarkStart w:id="236" w:name="_Toc536781984"/>
      <w:bookmarkStart w:id="237" w:name="_Toc221109736"/>
      <w:r>
        <w:rPr>
          <w:rStyle w:val="CharSectno"/>
        </w:rPr>
        <w:t>48</w:t>
      </w:r>
      <w:r>
        <w:t>.</w:t>
      </w:r>
      <w:r>
        <w:tab/>
        <w:t>Service and making of regulatory information instrument</w:t>
      </w:r>
      <w:bookmarkEnd w:id="236"/>
      <w:bookmarkEnd w:id="2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238" w:name="_Toc536781985"/>
      <w:bookmarkStart w:id="239" w:name="_Toc221109737"/>
      <w:r>
        <w:rPr>
          <w:rStyle w:val="CharSectno"/>
        </w:rPr>
        <w:t>49</w:t>
      </w:r>
      <w:r>
        <w:t>.</w:t>
      </w:r>
      <w:r>
        <w:tab/>
        <w:t>Additional matters to be considered for related provider regulatory information instruments</w:t>
      </w:r>
      <w:bookmarkEnd w:id="238"/>
      <w:bookmarkEnd w:id="2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240" w:name="_Toc536781986"/>
      <w:bookmarkStart w:id="241" w:name="_Toc221109738"/>
      <w:r>
        <w:rPr>
          <w:rStyle w:val="CharSectno"/>
        </w:rPr>
        <w:lastRenderedPageBreak/>
        <w:t>50</w:t>
      </w:r>
      <w:r>
        <w:t>.</w:t>
      </w:r>
      <w:r>
        <w:tab/>
        <w:t>AER must consult before publishing a general regulatory information order</w:t>
      </w:r>
      <w:bookmarkEnd w:id="240"/>
      <w:bookmarkEnd w:id="241"/>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242" w:name="_Toc536781987"/>
      <w:bookmarkStart w:id="243" w:name="_Toc221109739"/>
      <w:r>
        <w:rPr>
          <w:rStyle w:val="CharSectno"/>
        </w:rPr>
        <w:t>51</w:t>
      </w:r>
      <w:r>
        <w:t>.</w:t>
      </w:r>
      <w:r>
        <w:tab/>
        <w:t>Publication requirements for general regulatory information orders</w:t>
      </w:r>
      <w:bookmarkEnd w:id="242"/>
      <w:bookmarkEnd w:id="2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Notice of the making of a general regulatory information order must be published in a newspaper circulating generally throughout </w:t>
      </w:r>
      <w:smartTag w:uri="urn:schemas-microsoft-com:office:smarttags" w:element="country-region">
        <w:r>
          <w:rPr>
            <w:color w:val="000000"/>
            <w:sz w:val="23"/>
            <w:szCs w:val="23"/>
          </w:rPr>
          <w:t>Australia</w:t>
        </w:r>
      </w:smartTag>
      <w:r>
        <w:rPr>
          <w:color w:val="000000"/>
          <w:sz w:val="23"/>
          <w:szCs w:val="23"/>
        </w:rPr>
        <w:t xml:space="preserve"> as soon as practicable after it is made.</w:t>
      </w:r>
    </w:p>
    <w:p>
      <w:pPr>
        <w:pStyle w:val="Heading5"/>
      </w:pPr>
      <w:bookmarkStart w:id="244" w:name="_Toc536781988"/>
      <w:bookmarkStart w:id="245" w:name="_Toc221109740"/>
      <w:r>
        <w:rPr>
          <w:rStyle w:val="CharSectno"/>
        </w:rPr>
        <w:t>52</w:t>
      </w:r>
      <w:r>
        <w:t>.</w:t>
      </w:r>
      <w:r>
        <w:tab/>
      </w:r>
      <w:smartTag w:uri="urn:schemas-microsoft-com:office:smarttags" w:element="place">
        <w:r>
          <w:t>Opportunity</w:t>
        </w:r>
      </w:smartTag>
      <w:r>
        <w:t xml:space="preserve"> to be heard before regulatory information notice is served</w:t>
      </w:r>
      <w:bookmarkEnd w:id="244"/>
      <w:bookmarkEnd w:id="2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Heading4"/>
      </w:pPr>
      <w:bookmarkStart w:id="246" w:name="_Toc501633899"/>
      <w:bookmarkStart w:id="247" w:name="_Toc501712795"/>
      <w:bookmarkStart w:id="248" w:name="_Toc536781989"/>
      <w:bookmarkStart w:id="249" w:name="_Toc220674201"/>
      <w:bookmarkStart w:id="250" w:name="_Toc221009373"/>
      <w:bookmarkStart w:id="251" w:name="_Toc221011235"/>
      <w:bookmarkStart w:id="252" w:name="_Toc221109741"/>
      <w:r>
        <w:t>Subdivision 3 — Form and content of regulatory information instruments</w:t>
      </w:r>
      <w:bookmarkEnd w:id="246"/>
      <w:bookmarkEnd w:id="247"/>
      <w:bookmarkEnd w:id="248"/>
      <w:bookmarkEnd w:id="249"/>
      <w:bookmarkEnd w:id="250"/>
      <w:bookmarkEnd w:id="251"/>
      <w:bookmarkEnd w:id="252"/>
    </w:p>
    <w:p>
      <w:pPr>
        <w:pStyle w:val="Heading5"/>
      </w:pPr>
      <w:bookmarkStart w:id="253" w:name="_Toc536781990"/>
      <w:bookmarkStart w:id="254" w:name="_Toc221109742"/>
      <w:r>
        <w:rPr>
          <w:rStyle w:val="CharSectno"/>
        </w:rPr>
        <w:t>53</w:t>
      </w:r>
      <w:r>
        <w:t>.</w:t>
      </w:r>
      <w:r>
        <w:tab/>
        <w:t>Form and content of regulatory information instrument</w:t>
      </w:r>
      <w:bookmarkEnd w:id="253"/>
      <w:bookmarkEnd w:id="2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255" w:name="_Toc536781991"/>
      <w:bookmarkStart w:id="256" w:name="_Toc221109743"/>
      <w:r>
        <w:rPr>
          <w:rStyle w:val="CharSectno"/>
        </w:rPr>
        <w:t>54</w:t>
      </w:r>
      <w:r>
        <w:t>.</w:t>
      </w:r>
      <w:r>
        <w:tab/>
        <w:t>Further provision about the information that may be described in a regulatory information instrument</w:t>
      </w:r>
      <w:bookmarkEnd w:id="255"/>
      <w:bookmarkEnd w:id="256"/>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257" w:name="_Toc536781992"/>
      <w:bookmarkStart w:id="258" w:name="_Toc221109744"/>
      <w:r>
        <w:rPr>
          <w:rStyle w:val="CharSectno"/>
        </w:rPr>
        <w:lastRenderedPageBreak/>
        <w:t>55</w:t>
      </w:r>
      <w:r>
        <w:t>.</w:t>
      </w:r>
      <w:r>
        <w:tab/>
        <w:t>Further provision about manner in which information must be provided to AER or kept</w:t>
      </w:r>
      <w:bookmarkEnd w:id="257"/>
      <w:bookmarkEnd w:id="258"/>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259" w:name="_Toc501633903"/>
      <w:bookmarkStart w:id="260" w:name="_Toc501712799"/>
      <w:bookmarkStart w:id="261" w:name="_Toc536781993"/>
      <w:bookmarkStart w:id="262" w:name="_Toc220674205"/>
      <w:bookmarkStart w:id="263" w:name="_Toc221009377"/>
      <w:bookmarkStart w:id="264" w:name="_Toc221011239"/>
      <w:bookmarkStart w:id="265" w:name="_Toc221109745"/>
      <w:r>
        <w:t>Subdivision 4 — Compliance with regulatory information instruments</w:t>
      </w:r>
      <w:bookmarkEnd w:id="259"/>
      <w:bookmarkEnd w:id="260"/>
      <w:bookmarkEnd w:id="261"/>
      <w:bookmarkEnd w:id="262"/>
      <w:bookmarkEnd w:id="263"/>
      <w:bookmarkEnd w:id="264"/>
      <w:bookmarkEnd w:id="265"/>
    </w:p>
    <w:p>
      <w:pPr>
        <w:pStyle w:val="Heading5"/>
      </w:pPr>
      <w:bookmarkStart w:id="266" w:name="_Toc536781994"/>
      <w:bookmarkStart w:id="267" w:name="_Toc221109746"/>
      <w:r>
        <w:rPr>
          <w:rStyle w:val="CharSectno"/>
        </w:rPr>
        <w:t>56</w:t>
      </w:r>
      <w:r>
        <w:t>.</w:t>
      </w:r>
      <w:r>
        <w:tab/>
        <w:t>Compliance with regulatory information notice that is served</w:t>
      </w:r>
      <w:bookmarkEnd w:id="266"/>
      <w:bookmarkEnd w:id="267"/>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268" w:name="_Toc536781995"/>
      <w:bookmarkStart w:id="269" w:name="_Toc221109747"/>
      <w:r>
        <w:rPr>
          <w:rStyle w:val="CharSectno"/>
        </w:rPr>
        <w:t>57</w:t>
      </w:r>
      <w:r>
        <w:t>.</w:t>
      </w:r>
      <w:r>
        <w:tab/>
        <w:t>Compliance with general regulatory information order</w:t>
      </w:r>
      <w:bookmarkEnd w:id="268"/>
      <w:bookmarkEnd w:id="2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270" w:name="_Toc536781996"/>
      <w:bookmarkStart w:id="271" w:name="_Toc221109748"/>
      <w:r>
        <w:rPr>
          <w:rStyle w:val="CharSectno"/>
        </w:rPr>
        <w:t>58</w:t>
      </w:r>
      <w:r>
        <w:t>.</w:t>
      </w:r>
      <w:r>
        <w:tab/>
        <w:t>Exemptions from compliance with general regulatory information order</w:t>
      </w:r>
      <w:bookmarkEnd w:id="270"/>
      <w:bookmarkEnd w:id="2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272" w:name="_Toc536781997"/>
      <w:bookmarkStart w:id="273" w:name="_Toc221109749"/>
      <w:r>
        <w:rPr>
          <w:rStyle w:val="CharSectno"/>
        </w:rPr>
        <w:lastRenderedPageBreak/>
        <w:t>59</w:t>
      </w:r>
      <w:r>
        <w:t>.</w:t>
      </w:r>
      <w:r>
        <w:tab/>
        <w:t>Assumptions where there is non</w:t>
      </w:r>
      <w:r>
        <w:noBreakHyphen/>
        <w:t>compliance with regulatory information instrument</w:t>
      </w:r>
      <w:bookmarkEnd w:id="272"/>
      <w:bookmarkEnd w:id="2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on the basis of the information the AER has at the time it makes that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making that decision,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Heading4"/>
      </w:pPr>
      <w:bookmarkStart w:id="274" w:name="_Toc501633908"/>
      <w:bookmarkStart w:id="275" w:name="_Toc501712804"/>
      <w:bookmarkStart w:id="276" w:name="_Toc536781998"/>
      <w:bookmarkStart w:id="277" w:name="_Toc220674210"/>
      <w:bookmarkStart w:id="278" w:name="_Toc221009382"/>
      <w:bookmarkStart w:id="279" w:name="_Toc221011244"/>
      <w:bookmarkStart w:id="280" w:name="_Toc221109750"/>
      <w:r>
        <w:t>Subdivision 5 — General</w:t>
      </w:r>
      <w:bookmarkEnd w:id="274"/>
      <w:bookmarkEnd w:id="275"/>
      <w:bookmarkEnd w:id="276"/>
      <w:bookmarkEnd w:id="277"/>
      <w:bookmarkEnd w:id="278"/>
      <w:bookmarkEnd w:id="279"/>
      <w:bookmarkEnd w:id="280"/>
    </w:p>
    <w:p>
      <w:pPr>
        <w:pStyle w:val="Heading5"/>
      </w:pPr>
      <w:bookmarkStart w:id="281" w:name="_Toc536781999"/>
      <w:bookmarkStart w:id="282" w:name="_Toc221109751"/>
      <w:r>
        <w:rPr>
          <w:rStyle w:val="CharSectno"/>
        </w:rPr>
        <w:t>60</w:t>
      </w:r>
      <w:r>
        <w:t>.</w:t>
      </w:r>
      <w:r>
        <w:tab/>
        <w:t>Providing to AER false and misleading information</w:t>
      </w:r>
      <w:bookmarkEnd w:id="281"/>
      <w:bookmarkEnd w:id="282"/>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283" w:name="_Toc536782000"/>
      <w:bookmarkStart w:id="284" w:name="_Toc221109752"/>
      <w:r>
        <w:rPr>
          <w:rStyle w:val="CharSectno"/>
        </w:rPr>
        <w:t>61</w:t>
      </w:r>
      <w:r>
        <w:t>.</w:t>
      </w:r>
      <w:r>
        <w:tab/>
        <w:t>Person cannot rely on duty of confidence to avoid compliance with regulatory information instrument</w:t>
      </w:r>
      <w:bookmarkEnd w:id="283"/>
      <w:bookmarkEnd w:id="2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285" w:name="_Toc536782001"/>
      <w:bookmarkStart w:id="286" w:name="_Toc221109753"/>
      <w:r>
        <w:rPr>
          <w:rStyle w:val="CharSectno"/>
        </w:rPr>
        <w:t>62</w:t>
      </w:r>
      <w:r>
        <w:t>.</w:t>
      </w:r>
      <w:r>
        <w:tab/>
        <w:t>Legal professional privilege not affected</w:t>
      </w:r>
      <w:bookmarkEnd w:id="285"/>
      <w:bookmarkEnd w:id="286"/>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produce a document to the AER the production of which would disclose information that is the subject of legal professional privilege.</w:t>
      </w:r>
    </w:p>
    <w:p>
      <w:pPr>
        <w:pStyle w:val="Heading5"/>
      </w:pPr>
      <w:bookmarkStart w:id="287" w:name="_Toc536782002"/>
      <w:bookmarkStart w:id="288" w:name="_Toc221109754"/>
      <w:r>
        <w:rPr>
          <w:rStyle w:val="CharSectno"/>
        </w:rPr>
        <w:t>63</w:t>
      </w:r>
      <w:r>
        <w:t>.</w:t>
      </w:r>
      <w:r>
        <w:tab/>
        <w:t>Protection against self</w:t>
      </w:r>
      <w:r>
        <w:noBreakHyphen/>
        <w:t>incrimination</w:t>
      </w:r>
      <w:bookmarkEnd w:id="287"/>
      <w:bookmarkEnd w:id="2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289" w:name="_Toc501633913"/>
      <w:bookmarkStart w:id="290" w:name="_Toc501712809"/>
      <w:bookmarkStart w:id="291" w:name="_Toc536782003"/>
      <w:bookmarkStart w:id="292" w:name="_Toc220674215"/>
      <w:bookmarkStart w:id="293" w:name="_Toc221009387"/>
      <w:bookmarkStart w:id="294" w:name="_Toc221011249"/>
      <w:bookmarkStart w:id="295" w:name="_Toc221109755"/>
      <w:r>
        <w:t>Division 5 — Service provider performance reports</w:t>
      </w:r>
      <w:bookmarkEnd w:id="289"/>
      <w:bookmarkEnd w:id="290"/>
      <w:bookmarkEnd w:id="291"/>
      <w:bookmarkEnd w:id="292"/>
      <w:bookmarkEnd w:id="293"/>
      <w:bookmarkEnd w:id="294"/>
      <w:bookmarkEnd w:id="295"/>
    </w:p>
    <w:p>
      <w:pPr>
        <w:pStyle w:val="Heading5"/>
      </w:pPr>
      <w:bookmarkStart w:id="296" w:name="_Toc536782004"/>
      <w:bookmarkStart w:id="297" w:name="_Toc221109756"/>
      <w:r>
        <w:rPr>
          <w:rStyle w:val="CharSectno"/>
        </w:rPr>
        <w:t>64</w:t>
      </w:r>
      <w:r>
        <w:t>.</w:t>
      </w:r>
      <w:r>
        <w:tab/>
        <w:t>Preparation of service provider performance reports</w:t>
      </w:r>
      <w:bookmarkEnd w:id="296"/>
      <w:bookmarkEnd w:id="2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298" w:name="_Toc501633915"/>
      <w:bookmarkStart w:id="299" w:name="_Toc501712811"/>
      <w:bookmarkStart w:id="300" w:name="_Toc536782005"/>
      <w:bookmarkStart w:id="301" w:name="_Toc220674217"/>
      <w:bookmarkStart w:id="302" w:name="_Toc221009389"/>
      <w:bookmarkStart w:id="303" w:name="_Toc221011251"/>
      <w:bookmarkStart w:id="304" w:name="_Toc221109757"/>
      <w:r>
        <w:lastRenderedPageBreak/>
        <w:t>Division 6 — Miscellaneous matters</w:t>
      </w:r>
      <w:bookmarkEnd w:id="298"/>
      <w:bookmarkEnd w:id="299"/>
      <w:bookmarkEnd w:id="300"/>
      <w:bookmarkEnd w:id="301"/>
      <w:bookmarkEnd w:id="302"/>
      <w:bookmarkEnd w:id="303"/>
      <w:bookmarkEnd w:id="304"/>
    </w:p>
    <w:p>
      <w:pPr>
        <w:pStyle w:val="Heading5"/>
      </w:pPr>
      <w:bookmarkStart w:id="305" w:name="_Toc536782006"/>
      <w:bookmarkStart w:id="306" w:name="_Toc221109758"/>
      <w:r>
        <w:rPr>
          <w:rStyle w:val="CharSectno"/>
        </w:rPr>
        <w:t>65</w:t>
      </w:r>
      <w:r>
        <w:t>.</w:t>
      </w:r>
      <w:r>
        <w:tab/>
        <w:t>Consideration by the AER of submissions or comments made to it under this Law or the Rules</w:t>
      </w:r>
      <w:bookmarkEnd w:id="305"/>
      <w:bookmarkEnd w:id="306"/>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307" w:name="_Toc536782007"/>
      <w:bookmarkStart w:id="308" w:name="_Toc221109759"/>
      <w:r>
        <w:rPr>
          <w:rStyle w:val="CharSectno"/>
        </w:rPr>
        <w:t>66</w:t>
      </w:r>
      <w:r>
        <w:t>.</w:t>
      </w:r>
      <w:r>
        <w:tab/>
        <w:t>Use of information provided under a notice under Division 3 or a regulatory information instrument</w:t>
      </w:r>
      <w:bookmarkEnd w:id="307"/>
      <w:bookmarkEnd w:id="308"/>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309" w:name="_Toc536782008"/>
      <w:bookmarkStart w:id="310" w:name="_Toc221109760"/>
      <w:r>
        <w:rPr>
          <w:rStyle w:val="CharSectno"/>
        </w:rPr>
        <w:t>67</w:t>
      </w:r>
      <w:r>
        <w:t>.</w:t>
      </w:r>
      <w:r>
        <w:tab/>
        <w:t>AER to inform certain persons of decisions not to investigate breaches, institute proceedings or serve infringement notices</w:t>
      </w:r>
      <w:bookmarkEnd w:id="309"/>
      <w:bookmarkEnd w:id="3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311" w:name="_Toc536782009"/>
      <w:bookmarkStart w:id="312" w:name="_Toc221109761"/>
      <w:r>
        <w:rPr>
          <w:rStyle w:val="CharSectno"/>
        </w:rPr>
        <w:t>68</w:t>
      </w:r>
      <w:r>
        <w:t>.</w:t>
      </w:r>
      <w:r>
        <w:tab/>
        <w:t>AER enforcement guidelines</w:t>
      </w:r>
      <w:bookmarkEnd w:id="311"/>
      <w:bookmarkEnd w:id="3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5"/>
      </w:pPr>
      <w:bookmarkStart w:id="313" w:name="_Toc536782010"/>
      <w:bookmarkStart w:id="314" w:name="_Toc221109762"/>
      <w:r>
        <w:rPr>
          <w:rStyle w:val="CharSectno"/>
        </w:rPr>
        <w:t>68C</w:t>
      </w:r>
      <w:r>
        <w:t>.</w:t>
      </w:r>
      <w:r>
        <w:tab/>
        <w:t>Record of designated reviewable regulatory decisions</w:t>
      </w:r>
      <w:bookmarkEnd w:id="313"/>
      <w:bookmarkEnd w:id="31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315" w:name="_Toc501633921"/>
      <w:bookmarkStart w:id="316" w:name="_Toc501712817"/>
      <w:bookmarkStart w:id="317" w:name="_Toc536782011"/>
      <w:bookmarkStart w:id="318" w:name="_Toc220674223"/>
      <w:bookmarkStart w:id="319" w:name="_Toc221009395"/>
      <w:bookmarkStart w:id="320" w:name="_Toc221011257"/>
      <w:bookmarkStart w:id="321" w:name="_Toc221109763"/>
      <w:r>
        <w:rPr>
          <w:rStyle w:val="CharDivNo"/>
        </w:rPr>
        <w:lastRenderedPageBreak/>
        <w:t>Part 1A</w:t>
      </w:r>
      <w:r>
        <w:t xml:space="preserve"> — </w:t>
      </w:r>
      <w:r>
        <w:rPr>
          <w:rStyle w:val="CharDivText"/>
        </w:rPr>
        <w:t>Functions and powers of WA arbitrator</w:t>
      </w:r>
      <w:bookmarkEnd w:id="315"/>
      <w:bookmarkEnd w:id="316"/>
      <w:bookmarkEnd w:id="317"/>
      <w:bookmarkEnd w:id="318"/>
      <w:bookmarkEnd w:id="319"/>
      <w:bookmarkEnd w:id="320"/>
      <w:bookmarkEnd w:id="321"/>
    </w:p>
    <w:p>
      <w:pPr>
        <w:pStyle w:val="Footnotesection"/>
        <w:keepNext/>
      </w:pPr>
      <w:r>
        <w:tab/>
        <w:t>[Heading inserted: WA Act Sch. 1 cl. 8.]</w:t>
      </w:r>
    </w:p>
    <w:p>
      <w:pPr>
        <w:pStyle w:val="Heading5"/>
      </w:pPr>
      <w:bookmarkStart w:id="322" w:name="_Toc536782012"/>
      <w:bookmarkStart w:id="323" w:name="_Toc221109764"/>
      <w:r>
        <w:rPr>
          <w:rStyle w:val="CharSectno"/>
        </w:rPr>
        <w:t>68A</w:t>
      </w:r>
      <w:r>
        <w:t>.</w:t>
      </w:r>
      <w:r>
        <w:tab/>
        <w:t>Manner in which WA arbitrator must perform or exercise certain functions or powers</w:t>
      </w:r>
      <w:bookmarkEnd w:id="322"/>
      <w:bookmarkEnd w:id="3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WA Act Sch. 1 cl. 8.]</w:t>
      </w:r>
    </w:p>
    <w:p>
      <w:pPr>
        <w:pStyle w:val="Heading3"/>
      </w:pPr>
      <w:bookmarkStart w:id="324" w:name="_Toc501633923"/>
      <w:bookmarkStart w:id="325" w:name="_Toc501712819"/>
      <w:bookmarkStart w:id="326" w:name="_Toc536782013"/>
      <w:bookmarkStart w:id="327" w:name="_Toc220674225"/>
      <w:bookmarkStart w:id="328" w:name="_Toc221009397"/>
      <w:bookmarkStart w:id="329" w:name="_Toc221011259"/>
      <w:bookmarkStart w:id="330" w:name="_Toc221109765"/>
      <w:r>
        <w:rPr>
          <w:rStyle w:val="CharDivNo"/>
        </w:rPr>
        <w:t>Part 2</w:t>
      </w:r>
      <w:r>
        <w:t xml:space="preserve"> — </w:t>
      </w:r>
      <w:r>
        <w:rPr>
          <w:rStyle w:val="CharDivText"/>
        </w:rPr>
        <w:t>Functions and powers of the Australian Energy Market Commission</w:t>
      </w:r>
      <w:bookmarkEnd w:id="324"/>
      <w:bookmarkEnd w:id="325"/>
      <w:bookmarkEnd w:id="326"/>
      <w:bookmarkEnd w:id="327"/>
      <w:bookmarkEnd w:id="328"/>
      <w:bookmarkEnd w:id="329"/>
      <w:bookmarkEnd w:id="330"/>
    </w:p>
    <w:p>
      <w:pPr>
        <w:pStyle w:val="Heading4"/>
      </w:pPr>
      <w:bookmarkStart w:id="331" w:name="_Toc501633924"/>
      <w:bookmarkStart w:id="332" w:name="_Toc501712820"/>
      <w:bookmarkStart w:id="333" w:name="_Toc536782014"/>
      <w:bookmarkStart w:id="334" w:name="_Toc220674226"/>
      <w:bookmarkStart w:id="335" w:name="_Toc221009398"/>
      <w:bookmarkStart w:id="336" w:name="_Toc221011260"/>
      <w:bookmarkStart w:id="337" w:name="_Toc221109766"/>
      <w:r>
        <w:t>Division 1 — General</w:t>
      </w:r>
      <w:bookmarkEnd w:id="331"/>
      <w:bookmarkEnd w:id="332"/>
      <w:bookmarkEnd w:id="333"/>
      <w:bookmarkEnd w:id="334"/>
      <w:bookmarkEnd w:id="335"/>
      <w:bookmarkEnd w:id="336"/>
      <w:bookmarkEnd w:id="337"/>
    </w:p>
    <w:p>
      <w:pPr>
        <w:pStyle w:val="Heading5"/>
      </w:pPr>
      <w:bookmarkStart w:id="338" w:name="_Toc536782015"/>
      <w:bookmarkStart w:id="339" w:name="_Toc221109767"/>
      <w:r>
        <w:rPr>
          <w:rStyle w:val="CharSectno"/>
        </w:rPr>
        <w:t>69</w:t>
      </w:r>
      <w:r>
        <w:t>.</w:t>
      </w:r>
      <w:r>
        <w:tab/>
        <w:t>Functions and powers of the AEMC</w:t>
      </w:r>
      <w:bookmarkEnd w:id="338"/>
      <w:bookmarkEnd w:id="3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340" w:name="_Toc536782016"/>
      <w:bookmarkStart w:id="341" w:name="_Toc221109768"/>
      <w:r>
        <w:rPr>
          <w:rStyle w:val="CharSectno"/>
        </w:rPr>
        <w:t>70</w:t>
      </w:r>
      <w:r>
        <w:t>.</w:t>
      </w:r>
      <w:r>
        <w:tab/>
        <w:t>Delegations</w:t>
      </w:r>
      <w:bookmarkEnd w:id="340"/>
      <w:bookmarkEnd w:id="341"/>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extends to, and has effect for the purposes of, this Law, the Regulations and the Rules.</w:t>
      </w:r>
    </w:p>
    <w:p>
      <w:pPr>
        <w:pStyle w:val="Heading5"/>
      </w:pPr>
      <w:bookmarkStart w:id="342" w:name="_Toc536782017"/>
      <w:bookmarkStart w:id="343" w:name="_Toc221109769"/>
      <w:r>
        <w:rPr>
          <w:rStyle w:val="CharSectno"/>
        </w:rPr>
        <w:t>71</w:t>
      </w:r>
      <w:r>
        <w:t>.</w:t>
      </w:r>
      <w:r>
        <w:tab/>
        <w:t>Confidentiality</w:t>
      </w:r>
      <w:bookmarkEnd w:id="342"/>
      <w:bookmarkEnd w:id="343"/>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344" w:name="_Toc536782018"/>
      <w:bookmarkStart w:id="345" w:name="_Toc221109770"/>
      <w:r>
        <w:rPr>
          <w:rStyle w:val="CharSectno"/>
        </w:rPr>
        <w:t>72</w:t>
      </w:r>
      <w:r>
        <w:t>.</w:t>
      </w:r>
      <w:r>
        <w:tab/>
        <w:t>AEMC must have regard to national gas objective</w:t>
      </w:r>
      <w:bookmarkEnd w:id="344"/>
      <w:bookmarkEnd w:id="345"/>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pPr>
      <w:bookmarkStart w:id="346" w:name="_Toc536782019"/>
      <w:bookmarkStart w:id="347" w:name="_Toc221109771"/>
      <w:r>
        <w:rPr>
          <w:rStyle w:val="CharSectno"/>
        </w:rPr>
        <w:t>73</w:t>
      </w:r>
      <w:r>
        <w:t>.</w:t>
      </w:r>
      <w:r>
        <w:tab/>
        <w:t>AEMC must have regard to MCE statements of policy principles in relation to Rule making and reviews</w:t>
      </w:r>
      <w:bookmarkEnd w:id="346"/>
      <w:bookmarkEnd w:id="347"/>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348" w:name="_Toc501633930"/>
      <w:bookmarkStart w:id="349" w:name="_Toc501712826"/>
      <w:bookmarkStart w:id="350" w:name="_Toc536782020"/>
      <w:bookmarkStart w:id="351" w:name="_Toc220674232"/>
      <w:bookmarkStart w:id="352" w:name="_Toc221009404"/>
      <w:bookmarkStart w:id="353" w:name="_Toc221011266"/>
      <w:bookmarkStart w:id="354" w:name="_Toc221109772"/>
      <w:r>
        <w:lastRenderedPageBreak/>
        <w:t>Division 2 — Rule making functions and powers of the AEMC</w:t>
      </w:r>
      <w:bookmarkEnd w:id="348"/>
      <w:bookmarkEnd w:id="349"/>
      <w:bookmarkEnd w:id="350"/>
      <w:bookmarkEnd w:id="351"/>
      <w:bookmarkEnd w:id="352"/>
      <w:bookmarkEnd w:id="353"/>
      <w:bookmarkEnd w:id="354"/>
    </w:p>
    <w:p>
      <w:pPr>
        <w:pStyle w:val="Heading5"/>
      </w:pPr>
      <w:bookmarkStart w:id="355" w:name="_Toc536782021"/>
      <w:bookmarkStart w:id="356" w:name="_Toc221109773"/>
      <w:r>
        <w:rPr>
          <w:rStyle w:val="CharSectno"/>
        </w:rPr>
        <w:t>74</w:t>
      </w:r>
      <w:r>
        <w:t>.</w:t>
      </w:r>
      <w:r>
        <w:tab/>
        <w:t>Subject matter for National Gas Rules</w:t>
      </w:r>
      <w:bookmarkEnd w:id="355"/>
      <w:bookmarkEnd w:id="3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357" w:name="_Toc536782022"/>
      <w:bookmarkStart w:id="358" w:name="_Toc221109774"/>
      <w:r>
        <w:rPr>
          <w:rStyle w:val="CharSectno"/>
        </w:rPr>
        <w:t>75</w:t>
      </w:r>
      <w:r>
        <w:t>.</w:t>
      </w:r>
      <w:r>
        <w:tab/>
        <w:t>Rules relating to MCE or Ministers of participating jurisdictions require MCE consent</w:t>
      </w:r>
      <w:bookmarkEnd w:id="357"/>
      <w:bookmarkEnd w:id="358"/>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359" w:name="_Toc536782023"/>
      <w:bookmarkStart w:id="360" w:name="_Toc221109775"/>
      <w:r>
        <w:rPr>
          <w:rStyle w:val="CharSectno"/>
        </w:rPr>
        <w:t>76</w:t>
      </w:r>
      <w:r>
        <w:t>.</w:t>
      </w:r>
      <w:r>
        <w:tab/>
        <w:t>AEMC must not make Rules that create criminal offences or impose civil penalties for breaches</w:t>
      </w:r>
      <w:bookmarkEnd w:id="359"/>
      <w:bookmarkEnd w:id="360"/>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361" w:name="_Toc536782024"/>
      <w:bookmarkStart w:id="362" w:name="_Toc221109776"/>
      <w:r>
        <w:rPr>
          <w:rStyle w:val="CharSectno"/>
        </w:rPr>
        <w:lastRenderedPageBreak/>
        <w:t>77</w:t>
      </w:r>
      <w:r>
        <w:t>.</w:t>
      </w:r>
      <w:r>
        <w:tab/>
        <w:t>Documents etc applied, adopted and incorporated by Rules to be publicly available</w:t>
      </w:r>
      <w:bookmarkEnd w:id="361"/>
      <w:bookmarkEnd w:id="3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363" w:name="_Toc501633935"/>
      <w:bookmarkStart w:id="364" w:name="_Toc501712831"/>
      <w:bookmarkStart w:id="365" w:name="_Toc536782025"/>
      <w:bookmarkStart w:id="366" w:name="_Toc220674237"/>
      <w:bookmarkStart w:id="367" w:name="_Toc221009409"/>
      <w:bookmarkStart w:id="368" w:name="_Toc221011271"/>
      <w:bookmarkStart w:id="369" w:name="_Toc221109777"/>
      <w:r>
        <w:t>Division 3 — Committees, panels and working groups of the AEMC</w:t>
      </w:r>
      <w:bookmarkEnd w:id="363"/>
      <w:bookmarkEnd w:id="364"/>
      <w:bookmarkEnd w:id="365"/>
      <w:bookmarkEnd w:id="366"/>
      <w:bookmarkEnd w:id="367"/>
      <w:bookmarkEnd w:id="368"/>
      <w:bookmarkEnd w:id="369"/>
    </w:p>
    <w:p>
      <w:pPr>
        <w:pStyle w:val="Heading5"/>
      </w:pPr>
      <w:bookmarkStart w:id="370" w:name="_Toc536782026"/>
      <w:bookmarkStart w:id="371" w:name="_Toc221109778"/>
      <w:r>
        <w:rPr>
          <w:rStyle w:val="CharSectno"/>
        </w:rPr>
        <w:t>78</w:t>
      </w:r>
      <w:r>
        <w:t>.</w:t>
      </w:r>
      <w:r>
        <w:tab/>
        <w:t>Establishment of committees, panels and working groups</w:t>
      </w:r>
      <w:bookmarkEnd w:id="370"/>
      <w:bookmarkEnd w:id="371"/>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undertake any other activity in relation to the AEMC’s functions as is specified by the AEMC.</w:t>
      </w:r>
    </w:p>
    <w:p>
      <w:pPr>
        <w:pStyle w:val="Heading4"/>
      </w:pPr>
      <w:bookmarkStart w:id="372" w:name="_Toc501633937"/>
      <w:bookmarkStart w:id="373" w:name="_Toc501712833"/>
      <w:bookmarkStart w:id="374" w:name="_Toc536782027"/>
      <w:bookmarkStart w:id="375" w:name="_Toc220674239"/>
      <w:bookmarkStart w:id="376" w:name="_Toc221009411"/>
      <w:bookmarkStart w:id="377" w:name="_Toc221011273"/>
      <w:bookmarkStart w:id="378" w:name="_Toc221109779"/>
      <w:r>
        <w:t>Division 4 — MCE directed reviews</w:t>
      </w:r>
      <w:bookmarkEnd w:id="372"/>
      <w:bookmarkEnd w:id="373"/>
      <w:bookmarkEnd w:id="374"/>
      <w:bookmarkEnd w:id="375"/>
      <w:bookmarkEnd w:id="376"/>
      <w:bookmarkEnd w:id="377"/>
      <w:bookmarkEnd w:id="378"/>
    </w:p>
    <w:p>
      <w:pPr>
        <w:pStyle w:val="Heading5"/>
      </w:pPr>
      <w:bookmarkStart w:id="379" w:name="_Toc536782028"/>
      <w:bookmarkStart w:id="380" w:name="_Toc221109780"/>
      <w:r>
        <w:rPr>
          <w:rStyle w:val="CharSectno"/>
        </w:rPr>
        <w:t>79</w:t>
      </w:r>
      <w:r>
        <w:t>.</w:t>
      </w:r>
      <w:r>
        <w:tab/>
        <w:t>MCE directions</w:t>
      </w:r>
      <w:bookmarkEnd w:id="379"/>
      <w:bookmarkEnd w:id="3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381" w:name="_Toc536782029"/>
      <w:bookmarkStart w:id="382" w:name="_Toc221109781"/>
      <w:r>
        <w:rPr>
          <w:rStyle w:val="CharSectno"/>
        </w:rPr>
        <w:t>80</w:t>
      </w:r>
      <w:r>
        <w:t>.</w:t>
      </w:r>
      <w:r>
        <w:tab/>
        <w:t>Terms of reference</w:t>
      </w:r>
      <w:bookmarkEnd w:id="381"/>
      <w:bookmarkEnd w:id="3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lastRenderedPageBreak/>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383" w:name="_Toc536782030"/>
      <w:bookmarkStart w:id="384" w:name="_Toc221109782"/>
      <w:r>
        <w:rPr>
          <w:rStyle w:val="CharSectno"/>
        </w:rPr>
        <w:t>81</w:t>
      </w:r>
      <w:r>
        <w:t>.</w:t>
      </w:r>
      <w:r>
        <w:tab/>
        <w:t>Notice of MCE directed review</w:t>
      </w:r>
      <w:bookmarkEnd w:id="383"/>
      <w:bookmarkEnd w:id="3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AEMC must publish notice of a MCE directed review on its website and 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385" w:name="_Toc536782031"/>
      <w:bookmarkStart w:id="386" w:name="_Toc221109783"/>
      <w:r>
        <w:rPr>
          <w:rStyle w:val="CharSectno"/>
        </w:rPr>
        <w:t>82</w:t>
      </w:r>
      <w:r>
        <w:t>.</w:t>
      </w:r>
      <w:r>
        <w:tab/>
        <w:t>Conduct of MCE directed review</w:t>
      </w:r>
      <w:bookmarkEnd w:id="385"/>
      <w:bookmarkEnd w:id="386"/>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387" w:name="_Toc501633942"/>
      <w:bookmarkStart w:id="388" w:name="_Toc501712838"/>
      <w:bookmarkStart w:id="389" w:name="_Toc536782032"/>
      <w:bookmarkStart w:id="390" w:name="_Toc220674244"/>
      <w:bookmarkStart w:id="391" w:name="_Toc221009416"/>
      <w:bookmarkStart w:id="392" w:name="_Toc221011278"/>
      <w:bookmarkStart w:id="393" w:name="_Toc221109784"/>
      <w:r>
        <w:t>Division 5 — Other reviews</w:t>
      </w:r>
      <w:bookmarkEnd w:id="387"/>
      <w:bookmarkEnd w:id="388"/>
      <w:bookmarkEnd w:id="389"/>
      <w:bookmarkEnd w:id="390"/>
      <w:bookmarkEnd w:id="391"/>
      <w:bookmarkEnd w:id="392"/>
      <w:bookmarkEnd w:id="393"/>
    </w:p>
    <w:p>
      <w:pPr>
        <w:pStyle w:val="Heading5"/>
      </w:pPr>
      <w:bookmarkStart w:id="394" w:name="_Toc536782033"/>
      <w:bookmarkStart w:id="395" w:name="_Toc221109785"/>
      <w:r>
        <w:rPr>
          <w:rStyle w:val="CharSectno"/>
        </w:rPr>
        <w:t>83</w:t>
      </w:r>
      <w:r>
        <w:t>.</w:t>
      </w:r>
      <w:r>
        <w:tab/>
        <w:t>Rule reviews by the AEMC</w:t>
      </w:r>
      <w:bookmarkEnd w:id="394"/>
      <w:bookmarkEnd w:id="3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396" w:name="_Toc501633944"/>
      <w:bookmarkStart w:id="397" w:name="_Toc501712840"/>
      <w:bookmarkStart w:id="398" w:name="_Toc536782034"/>
      <w:bookmarkStart w:id="399" w:name="_Toc220674246"/>
      <w:bookmarkStart w:id="400" w:name="_Toc221009418"/>
      <w:bookmarkStart w:id="401" w:name="_Toc221011280"/>
      <w:bookmarkStart w:id="402" w:name="_Toc221109786"/>
      <w:r>
        <w:t>Division 6 — Miscellaneous matters</w:t>
      </w:r>
      <w:bookmarkEnd w:id="396"/>
      <w:bookmarkEnd w:id="397"/>
      <w:bookmarkEnd w:id="398"/>
      <w:bookmarkEnd w:id="399"/>
      <w:bookmarkEnd w:id="400"/>
      <w:bookmarkEnd w:id="401"/>
      <w:bookmarkEnd w:id="402"/>
    </w:p>
    <w:p>
      <w:pPr>
        <w:pStyle w:val="Heading5"/>
      </w:pPr>
      <w:bookmarkStart w:id="403" w:name="_Toc536782035"/>
      <w:bookmarkStart w:id="404" w:name="_Toc221109787"/>
      <w:r>
        <w:rPr>
          <w:rStyle w:val="CharSectno"/>
        </w:rPr>
        <w:t>83A</w:t>
      </w:r>
      <w:r>
        <w:t>.</w:t>
      </w:r>
      <w:r>
        <w:tab/>
        <w:t>Special information and transparency requirements relating to non</w:t>
      </w:r>
      <w:r>
        <w:noBreakHyphen/>
        <w:t>scheme pipelines</w:t>
      </w:r>
      <w:bookmarkEnd w:id="403"/>
      <w:bookmarkEnd w:id="4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section—</w:t>
      </w:r>
    </w:p>
    <w:p>
      <w:pPr>
        <w:keepLines/>
        <w:autoSpaceDE w:val="0"/>
        <w:autoSpaceDN w:val="0"/>
        <w:adjustRightInd w:val="0"/>
        <w:spacing w:before="120"/>
        <w:ind w:left="1588"/>
        <w:rPr>
          <w:color w:val="000000"/>
          <w:sz w:val="23"/>
          <w:szCs w:val="23"/>
        </w:rPr>
      </w:pPr>
      <w:r>
        <w:rPr>
          <w:b/>
          <w:bCs/>
          <w:i/>
          <w:iCs/>
          <w:color w:val="000000"/>
          <w:sz w:val="23"/>
          <w:szCs w:val="23"/>
        </w:rPr>
        <w:t>non-scheme pipeline</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405" w:name="id16e1e13e_cfde_4d18_b3fc_94e5a9dfd8"/>
      <w:r>
        <w:rPr>
          <w:color w:val="000000"/>
          <w:sz w:val="23"/>
          <w:szCs w:val="23"/>
        </w:rPr>
        <w:tab/>
        <w:t>(2)</w:t>
      </w:r>
      <w:r>
        <w:rPr>
          <w:color w:val="000000"/>
          <w:sz w:val="23"/>
          <w:szCs w:val="23"/>
        </w:rPr>
        <w:tab/>
        <w:t>Without limiting any other provision, the Rules may provide for such things as—</w:t>
      </w:r>
      <w:bookmarkEnd w:id="405"/>
    </w:p>
    <w:p>
      <w:pPr>
        <w:keepLines/>
        <w:tabs>
          <w:tab w:val="center" w:pos="1985"/>
          <w:tab w:val="left" w:pos="2382"/>
        </w:tabs>
        <w:autoSpaceDE w:val="0"/>
        <w:autoSpaceDN w:val="0"/>
        <w:adjustRightInd w:val="0"/>
        <w:spacing w:before="120"/>
        <w:ind w:left="2382" w:hanging="794"/>
        <w:rPr>
          <w:color w:val="000000"/>
          <w:sz w:val="23"/>
          <w:szCs w:val="23"/>
        </w:rPr>
      </w:pPr>
      <w:bookmarkStart w:id="406" w:name="ide1523334_7c87_472c_83af_88551bd104"/>
      <w:r>
        <w:rPr>
          <w:color w:val="000000"/>
          <w:sz w:val="23"/>
          <w:szCs w:val="23"/>
        </w:rPr>
        <w:tab/>
        <w:t>(a)</w:t>
      </w:r>
      <w:r>
        <w:rPr>
          <w:color w:val="000000"/>
          <w:sz w:val="23"/>
          <w:szCs w:val="23"/>
        </w:rPr>
        <w:tab/>
        <w:t>the collection, disclosure, verification, management and publication of information in relation to services that may be provided by a non</w:t>
      </w:r>
      <w:r>
        <w:rPr>
          <w:color w:val="000000"/>
          <w:sz w:val="23"/>
          <w:szCs w:val="23"/>
        </w:rPr>
        <w:noBreakHyphen/>
        <w:t>scheme pipeline; and</w:t>
      </w:r>
      <w:bookmarkEnd w:id="406"/>
    </w:p>
    <w:p>
      <w:pPr>
        <w:keepLines/>
        <w:tabs>
          <w:tab w:val="center" w:pos="1985"/>
          <w:tab w:val="left" w:pos="2382"/>
        </w:tabs>
        <w:autoSpaceDE w:val="0"/>
        <w:autoSpaceDN w:val="0"/>
        <w:adjustRightInd w:val="0"/>
        <w:spacing w:before="120"/>
        <w:ind w:left="2382" w:hanging="794"/>
        <w:rPr>
          <w:color w:val="000000"/>
          <w:sz w:val="23"/>
          <w:szCs w:val="23"/>
        </w:rPr>
      </w:pPr>
      <w:bookmarkStart w:id="407" w:name="id86211e6a_ed2c_46fe_a639_95bd47e520"/>
      <w:r>
        <w:rPr>
          <w:color w:val="000000"/>
          <w:sz w:val="23"/>
          <w:szCs w:val="23"/>
        </w:rPr>
        <w:lastRenderedPageBreak/>
        <w:tab/>
        <w:t>(b)</w:t>
      </w:r>
      <w:r>
        <w:rPr>
          <w:color w:val="000000"/>
          <w:sz w:val="23"/>
          <w:szCs w:val="23"/>
        </w:rPr>
        <w:tab/>
        <w:t xml:space="preserve">without limiting </w:t>
      </w:r>
      <w:hyperlink w:anchor="ide1523334_7c87_472c_83af_88551bd104" w:history="1">
        <w:r>
          <w:rPr>
            <w:color w:val="000000"/>
            <w:sz w:val="23"/>
            <w:szCs w:val="23"/>
          </w:rPr>
          <w:t>paragraph (a)</w:t>
        </w:r>
      </w:hyperlink>
      <w:r>
        <w:rPr>
          <w:color w:val="000000"/>
          <w:sz w:val="23"/>
          <w:szCs w:val="23"/>
        </w:rPr>
        <w:t>, requirements about the information that must be provided by service providers in relation to access (or potential access) to services provided by means of any non</w:t>
      </w:r>
      <w:r>
        <w:rPr>
          <w:color w:val="000000"/>
          <w:sz w:val="23"/>
          <w:szCs w:val="23"/>
        </w:rPr>
        <w:noBreakHyphen/>
        <w:t>scheme pipeline, including information about—</w:t>
      </w:r>
      <w:bookmarkEnd w:id="407"/>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terms and conditions on which the service provider is prepared to make a non</w:t>
      </w:r>
      <w:r>
        <w:rPr>
          <w:color w:val="000000"/>
          <w:sz w:val="23"/>
          <w:szCs w:val="23"/>
        </w:rPr>
        <w:noBreakHyphen/>
        <w:t>scheme pipeline available for use by others;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procedures that the service provider will apply in determining a proposal for access to a non</w:t>
      </w:r>
      <w:r>
        <w:rPr>
          <w:color w:val="000000"/>
          <w:sz w:val="23"/>
          <w:szCs w:val="23"/>
        </w:rPr>
        <w:noBreakHyphen/>
        <w:t>scheme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relevant prices, costs and methodologies associated with gaining access to (and using) a non</w:t>
      </w:r>
      <w:r>
        <w:rPr>
          <w:color w:val="000000"/>
          <w:sz w:val="23"/>
          <w:szCs w:val="23"/>
        </w:rPr>
        <w:noBreakHyphen/>
        <w:t>scheme pipeline and relevant or related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access contracts and arrangements used (or required to be used) by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without limiting </w:t>
      </w:r>
      <w:hyperlink w:anchor="ide1523334_7c87_472c_83af_88551bd104" w:history="1">
        <w:r>
          <w:rPr>
            <w:color w:val="000000"/>
            <w:sz w:val="23"/>
            <w:szCs w:val="23"/>
          </w:rPr>
          <w:t>paragraphs (a)</w:t>
        </w:r>
      </w:hyperlink>
      <w:r>
        <w:rPr>
          <w:color w:val="000000"/>
          <w:sz w:val="23"/>
          <w:szCs w:val="23"/>
        </w:rPr>
        <w:t xml:space="preserve"> and </w:t>
      </w:r>
      <w:hyperlink w:anchor="id86211e6a_ed2c_46fe_a639_95bd47e520" w:history="1">
        <w:r>
          <w:rPr>
            <w:color w:val="000000"/>
            <w:sz w:val="23"/>
            <w:szCs w:val="23"/>
          </w:rPr>
          <w:t>(b)</w:t>
        </w:r>
      </w:hyperlink>
      <w:r>
        <w:rPr>
          <w:color w:val="000000"/>
          <w:sz w:val="23"/>
          <w:szCs w:val="23"/>
        </w:rPr>
        <w:t>, information to be provided by a service provider in response to a request for access to services provided by means of a non</w:t>
      </w:r>
      <w:r>
        <w:rPr>
          <w:color w:val="000000"/>
          <w:sz w:val="23"/>
          <w:szCs w:val="23"/>
        </w:rPr>
        <w:noBreakHyphen/>
        <w:t>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requirements to ensure that information is accurate and complete;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color w:val="000000"/>
          <w:sz w:val="23"/>
          <w:szCs w:val="23"/>
        </w:rPr>
        <w:noBreakHyphen/>
        <w:t>scheme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(f)</w:t>
      </w:r>
      <w:r>
        <w:rPr>
          <w:color w:val="000000"/>
          <w:sz w:val="23"/>
          <w:szCs w:val="23"/>
        </w:rPr>
        <w:tab/>
        <w:t>the imposition or recovery of costs associated with any matter referred to in a preceding paragraph or otherwise associated with facilitating access (or potential access) to services provided by means of a non</w:t>
      </w:r>
      <w:r>
        <w:rPr>
          <w:color w:val="000000"/>
          <w:sz w:val="23"/>
          <w:szCs w:val="23"/>
        </w:rPr>
        <w:noBreakHyphen/>
        <w:t>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Nothing in </w:t>
      </w:r>
      <w:hyperlink w:anchor="id16e1e13e_cfde_4d18_b3fc_94e5a9dfd8" w:history="1">
        <w:r>
          <w:rPr>
            <w:color w:val="000000"/>
            <w:sz w:val="23"/>
            <w:szCs w:val="23"/>
          </w:rPr>
          <w:t>subsection (2)</w:t>
        </w:r>
      </w:hyperlink>
      <w:r>
        <w:rPr>
          <w:color w:val="000000"/>
          <w:sz w:val="23"/>
          <w:szCs w:val="23"/>
        </w:rPr>
        <w:t xml:space="preserve"> limits any power to grant an exemption from complying with a provision, or part of a provision,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 reference in </w:t>
      </w:r>
      <w:hyperlink w:anchor="id16e1e13e_cfde_4d18_b3fc_94e5a9dfd8" w:history="1">
        <w:r>
          <w:rPr>
            <w:color w:val="000000"/>
            <w:sz w:val="23"/>
            <w:szCs w:val="23"/>
          </w:rPr>
          <w:t>subsection (2)</w:t>
        </w:r>
      </w:hyperlink>
      <w:r>
        <w:rPr>
          <w:color w:val="000000"/>
          <w:sz w:val="23"/>
          <w:szCs w:val="23"/>
        </w:rPr>
        <w:t xml:space="preserve"> with respect to gaining access (or potential access) to services provided by means of a non</w:t>
      </w:r>
      <w:r>
        <w:rPr>
          <w:color w:val="000000"/>
          <w:sz w:val="23"/>
          <w:szCs w:val="23"/>
        </w:rPr>
        <w:noBreakHyphen/>
        <w:t>scheme pipeline includes a reference to services that will require an extension to, or expansion of the capacity of, a non</w:t>
      </w:r>
      <w:r>
        <w:rPr>
          <w:color w:val="000000"/>
          <w:sz w:val="23"/>
          <w:szCs w:val="23"/>
        </w:rPr>
        <w:noBreakHyphen/>
        <w:t>scheme pipeline.</w:t>
      </w:r>
    </w:p>
    <w:p>
      <w:pPr>
        <w:pStyle w:val="Footnotesection"/>
      </w:pPr>
      <w:r>
        <w:tab/>
        <w:t>[Section 83A inserted: see SA Act No. 23 of 2017 s. 4 and WA Gazette 22 Dec 2017 p. 5984.]</w:t>
      </w:r>
    </w:p>
    <w:p>
      <w:pPr>
        <w:pStyle w:val="Heading5"/>
      </w:pPr>
      <w:bookmarkStart w:id="408" w:name="_Toc536782036"/>
      <w:bookmarkStart w:id="409" w:name="_Toc221109788"/>
      <w:r>
        <w:rPr>
          <w:rStyle w:val="CharSectno"/>
        </w:rPr>
        <w:t>84</w:t>
      </w:r>
      <w:r>
        <w:t>.</w:t>
      </w:r>
      <w:r>
        <w:tab/>
        <w:t>AEMC must publish and make available up to date versions of Rules</w:t>
      </w:r>
      <w:bookmarkEnd w:id="408"/>
      <w:bookmarkEnd w:id="409"/>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410" w:name="_Toc536782037"/>
      <w:bookmarkStart w:id="411" w:name="_Toc221109789"/>
      <w:r>
        <w:rPr>
          <w:rStyle w:val="CharSectno"/>
        </w:rPr>
        <w:t>85</w:t>
      </w:r>
      <w:r>
        <w:t>.</w:t>
      </w:r>
      <w:r>
        <w:tab/>
        <w:t>Fees</w:t>
      </w:r>
      <w:bookmarkEnd w:id="410"/>
      <w:bookmarkEnd w:id="4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412" w:name="_Toc536782038"/>
      <w:bookmarkStart w:id="413" w:name="_Toc221109790"/>
      <w:r>
        <w:rPr>
          <w:rStyle w:val="CharSectno"/>
        </w:rPr>
        <w:lastRenderedPageBreak/>
        <w:t>86</w:t>
      </w:r>
      <w:r>
        <w:t>.</w:t>
      </w:r>
      <w:r>
        <w:tab/>
        <w:t>Immunity from personal liability of AEMC officials</w:t>
      </w:r>
      <w:bookmarkEnd w:id="412"/>
      <w:bookmarkEnd w:id="4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414" w:name="_Toc501633948"/>
      <w:bookmarkStart w:id="415" w:name="_Toc501712844"/>
      <w:bookmarkStart w:id="416" w:name="_Toc536782039"/>
      <w:bookmarkStart w:id="417" w:name="_Toc220674251"/>
      <w:bookmarkStart w:id="418" w:name="_Toc221009423"/>
      <w:bookmarkStart w:id="419" w:name="_Toc221011285"/>
      <w:bookmarkStart w:id="420" w:name="_Toc221109791"/>
      <w:r>
        <w:rPr>
          <w:rStyle w:val="CharDivNo"/>
        </w:rPr>
        <w:t>Part 3</w:t>
      </w:r>
      <w:r>
        <w:t xml:space="preserve"> — </w:t>
      </w:r>
      <w:r>
        <w:rPr>
          <w:rStyle w:val="CharDivText"/>
        </w:rPr>
        <w:t>Functions and powers of Ministers of participating jurisdictions</w:t>
      </w:r>
      <w:bookmarkEnd w:id="414"/>
      <w:bookmarkEnd w:id="415"/>
      <w:bookmarkEnd w:id="416"/>
      <w:bookmarkEnd w:id="417"/>
      <w:bookmarkEnd w:id="418"/>
      <w:bookmarkEnd w:id="419"/>
      <w:bookmarkEnd w:id="420"/>
    </w:p>
    <w:p>
      <w:pPr>
        <w:pStyle w:val="Heading5"/>
      </w:pPr>
      <w:bookmarkStart w:id="421" w:name="_Toc536782040"/>
      <w:bookmarkStart w:id="422" w:name="_Toc221109792"/>
      <w:r>
        <w:rPr>
          <w:rStyle w:val="CharSectno"/>
        </w:rPr>
        <w:t>87</w:t>
      </w:r>
      <w:r>
        <w:t>.</w:t>
      </w:r>
      <w:r>
        <w:tab/>
        <w:t>Functions and powers of Minister of this participating jurisdiction under this Law</w:t>
      </w:r>
      <w:bookmarkEnd w:id="421"/>
      <w:bookmarkEnd w:id="4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423" w:name="_Toc536782041"/>
      <w:bookmarkStart w:id="424" w:name="_Toc221109793"/>
      <w:r>
        <w:rPr>
          <w:rStyle w:val="CharSectno"/>
        </w:rPr>
        <w:lastRenderedPageBreak/>
        <w:t>88</w:t>
      </w:r>
      <w:r>
        <w:t>.</w:t>
      </w:r>
      <w:r>
        <w:tab/>
        <w:t>Functions and powers of Commonwealth Minister under this Law</w:t>
      </w:r>
      <w:bookmarkEnd w:id="423"/>
      <w:bookmarkEnd w:id="4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425" w:name="_Toc501633951"/>
      <w:bookmarkStart w:id="426" w:name="_Toc501712847"/>
      <w:bookmarkStart w:id="427" w:name="_Toc536782042"/>
      <w:bookmarkStart w:id="428" w:name="_Toc220674254"/>
      <w:bookmarkStart w:id="429" w:name="_Toc221009426"/>
      <w:bookmarkStart w:id="430" w:name="_Toc221011288"/>
      <w:bookmarkStart w:id="431" w:name="_Toc221109794"/>
      <w:r>
        <w:rPr>
          <w:rStyle w:val="CharDivNo"/>
        </w:rPr>
        <w:t>Part 4</w:t>
      </w:r>
      <w:r>
        <w:t xml:space="preserve"> — </w:t>
      </w:r>
      <w:r>
        <w:rPr>
          <w:rStyle w:val="CharDivText"/>
        </w:rPr>
        <w:t>Functions and powers of the NCC</w:t>
      </w:r>
      <w:bookmarkEnd w:id="425"/>
      <w:bookmarkEnd w:id="426"/>
      <w:bookmarkEnd w:id="427"/>
      <w:bookmarkEnd w:id="428"/>
      <w:bookmarkEnd w:id="429"/>
      <w:bookmarkEnd w:id="430"/>
      <w:bookmarkEnd w:id="431"/>
    </w:p>
    <w:p>
      <w:pPr>
        <w:pStyle w:val="Heading5"/>
      </w:pPr>
      <w:bookmarkStart w:id="432" w:name="_Toc536782043"/>
      <w:bookmarkStart w:id="433" w:name="_Toc221109795"/>
      <w:r>
        <w:rPr>
          <w:rStyle w:val="CharSectno"/>
        </w:rPr>
        <w:t>89</w:t>
      </w:r>
      <w:r>
        <w:t>.</w:t>
      </w:r>
      <w:r>
        <w:tab/>
        <w:t>Functions and powers of NCC under this Law</w:t>
      </w:r>
      <w:bookmarkEnd w:id="432"/>
      <w:bookmarkEnd w:id="4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434" w:name="_Toc536782044"/>
      <w:bookmarkStart w:id="435" w:name="_Toc221109796"/>
      <w:r>
        <w:rPr>
          <w:rStyle w:val="CharSectno"/>
        </w:rPr>
        <w:t>90</w:t>
      </w:r>
      <w:r>
        <w:t>.</w:t>
      </w:r>
      <w:r>
        <w:tab/>
        <w:t>Confidentiality</w:t>
      </w:r>
      <w:bookmarkEnd w:id="434"/>
      <w:bookmarkEnd w:id="4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436" w:name="_Toc501633954"/>
      <w:bookmarkStart w:id="437" w:name="_Toc501712850"/>
      <w:bookmarkStart w:id="438" w:name="_Toc536782045"/>
      <w:bookmarkStart w:id="439" w:name="_Toc220674257"/>
      <w:bookmarkStart w:id="440" w:name="_Toc221009429"/>
      <w:bookmarkStart w:id="441" w:name="_Toc221011291"/>
      <w:bookmarkStart w:id="442" w:name="_Toc221109797"/>
      <w:r>
        <w:rPr>
          <w:rStyle w:val="CharDivNo"/>
        </w:rPr>
        <w:t>Part 5</w:t>
      </w:r>
      <w:r>
        <w:t xml:space="preserve"> — </w:t>
      </w:r>
      <w:r>
        <w:rPr>
          <w:rStyle w:val="CharDivText"/>
        </w:rPr>
        <w:t>Functions and powers of Tribunal</w:t>
      </w:r>
      <w:bookmarkEnd w:id="436"/>
      <w:bookmarkEnd w:id="437"/>
      <w:bookmarkEnd w:id="438"/>
      <w:bookmarkEnd w:id="439"/>
      <w:bookmarkEnd w:id="440"/>
      <w:bookmarkEnd w:id="441"/>
      <w:bookmarkEnd w:id="442"/>
    </w:p>
    <w:p>
      <w:pPr>
        <w:pStyle w:val="Heading5"/>
      </w:pPr>
      <w:bookmarkStart w:id="443" w:name="_Toc536782046"/>
      <w:bookmarkStart w:id="444" w:name="_Toc221109798"/>
      <w:r>
        <w:rPr>
          <w:rStyle w:val="CharSectno"/>
        </w:rPr>
        <w:t>91</w:t>
      </w:r>
      <w:r>
        <w:t>.</w:t>
      </w:r>
      <w:r>
        <w:tab/>
        <w:t>Functions and powers of Tribunal under this Law</w:t>
      </w:r>
      <w:bookmarkEnd w:id="443"/>
      <w:bookmarkEnd w:id="4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445" w:name="_Toc501633956"/>
      <w:bookmarkStart w:id="446" w:name="_Toc501712852"/>
      <w:bookmarkStart w:id="447" w:name="_Toc536782047"/>
      <w:bookmarkStart w:id="448" w:name="_Toc220674259"/>
      <w:bookmarkStart w:id="449" w:name="_Toc221009431"/>
      <w:bookmarkStart w:id="450" w:name="_Toc221011293"/>
      <w:bookmarkStart w:id="451" w:name="_Toc221109799"/>
      <w:r>
        <w:rPr>
          <w:rStyle w:val="CharPartNo"/>
        </w:rPr>
        <w:lastRenderedPageBreak/>
        <w:t>Chapter 3</w:t>
      </w:r>
      <w:r>
        <w:t xml:space="preserve"> — </w:t>
      </w:r>
      <w:r>
        <w:rPr>
          <w:rStyle w:val="CharPartText"/>
        </w:rPr>
        <w:t>Coverage and classification of pipelines</w:t>
      </w:r>
      <w:bookmarkEnd w:id="445"/>
      <w:bookmarkEnd w:id="446"/>
      <w:bookmarkEnd w:id="447"/>
      <w:bookmarkEnd w:id="448"/>
      <w:bookmarkEnd w:id="449"/>
      <w:bookmarkEnd w:id="450"/>
      <w:bookmarkEnd w:id="451"/>
    </w:p>
    <w:p>
      <w:pPr>
        <w:pStyle w:val="Heading3"/>
      </w:pPr>
      <w:bookmarkStart w:id="452" w:name="_Toc501633957"/>
      <w:bookmarkStart w:id="453" w:name="_Toc501712853"/>
      <w:bookmarkStart w:id="454" w:name="_Toc536782048"/>
      <w:bookmarkStart w:id="455" w:name="_Toc220674260"/>
      <w:bookmarkStart w:id="456" w:name="_Toc221009432"/>
      <w:bookmarkStart w:id="457" w:name="_Toc221011294"/>
      <w:bookmarkStart w:id="458" w:name="_Toc221109800"/>
      <w:r>
        <w:rPr>
          <w:rStyle w:val="CharDivNo"/>
        </w:rPr>
        <w:t>Part 1</w:t>
      </w:r>
      <w:r>
        <w:t xml:space="preserve"> — </w:t>
      </w:r>
      <w:r>
        <w:rPr>
          <w:rStyle w:val="CharDivText"/>
        </w:rPr>
        <w:t>Coverage of pipelines</w:t>
      </w:r>
      <w:bookmarkEnd w:id="452"/>
      <w:bookmarkEnd w:id="453"/>
      <w:bookmarkEnd w:id="454"/>
      <w:bookmarkEnd w:id="455"/>
      <w:bookmarkEnd w:id="456"/>
      <w:bookmarkEnd w:id="457"/>
      <w:bookmarkEnd w:id="458"/>
    </w:p>
    <w:p>
      <w:pPr>
        <w:pStyle w:val="Heading4"/>
      </w:pPr>
      <w:bookmarkStart w:id="459" w:name="_Toc501633958"/>
      <w:bookmarkStart w:id="460" w:name="_Toc501712854"/>
      <w:bookmarkStart w:id="461" w:name="_Toc536782049"/>
      <w:bookmarkStart w:id="462" w:name="_Toc220674261"/>
      <w:bookmarkStart w:id="463" w:name="_Toc221009433"/>
      <w:bookmarkStart w:id="464" w:name="_Toc221011295"/>
      <w:bookmarkStart w:id="465" w:name="_Toc221109801"/>
      <w:r>
        <w:t>Division 1 — Coverage determinations</w:t>
      </w:r>
      <w:bookmarkEnd w:id="459"/>
      <w:bookmarkEnd w:id="460"/>
      <w:bookmarkEnd w:id="461"/>
      <w:bookmarkEnd w:id="462"/>
      <w:bookmarkEnd w:id="463"/>
      <w:bookmarkEnd w:id="464"/>
      <w:bookmarkEnd w:id="465"/>
    </w:p>
    <w:p>
      <w:pPr>
        <w:pStyle w:val="Heading5"/>
      </w:pPr>
      <w:bookmarkStart w:id="466" w:name="_Toc536782050"/>
      <w:bookmarkStart w:id="467" w:name="_Toc221109802"/>
      <w:r>
        <w:rPr>
          <w:rStyle w:val="CharSectno"/>
        </w:rPr>
        <w:t>92</w:t>
      </w:r>
      <w:r>
        <w:t>.</w:t>
      </w:r>
      <w:r>
        <w:tab/>
        <w:t>Application for recommendation that a pipeline be a covered pipeline</w:t>
      </w:r>
      <w:bookmarkEnd w:id="466"/>
      <w:bookmarkEnd w:id="4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468" w:name="_Toc536782051"/>
      <w:bookmarkStart w:id="469" w:name="_Toc221109803"/>
      <w:r>
        <w:rPr>
          <w:rStyle w:val="CharSectno"/>
        </w:rPr>
        <w:t>93</w:t>
      </w:r>
      <w:r>
        <w:t>.</w:t>
      </w:r>
      <w:r>
        <w:tab/>
        <w:t>Application to be dealt with in accordance with the Rules</w:t>
      </w:r>
      <w:bookmarkEnd w:id="468"/>
      <w:bookmarkEnd w:id="469"/>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470" w:name="_Toc536782052"/>
      <w:bookmarkStart w:id="471" w:name="_Toc221109804"/>
      <w:r>
        <w:rPr>
          <w:rStyle w:val="CharSectno"/>
        </w:rPr>
        <w:t>94</w:t>
      </w:r>
      <w:r>
        <w:t>.</w:t>
      </w:r>
      <w:r>
        <w:tab/>
        <w:t>NCC may defer consideration of application in</w:t>
      </w:r>
      <w:r>
        <w:rPr>
          <w:bCs/>
          <w:color w:val="000000"/>
          <w:sz w:val="26"/>
          <w:szCs w:val="26"/>
        </w:rPr>
        <w:t xml:space="preserve"> certain cases</w:t>
      </w:r>
      <w:bookmarkEnd w:id="470"/>
      <w:bookmarkEnd w:id="47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472" w:name="_Toc536782053"/>
      <w:bookmarkStart w:id="473" w:name="_Toc221109805"/>
      <w:r>
        <w:rPr>
          <w:rStyle w:val="CharSectno"/>
        </w:rPr>
        <w:t>95</w:t>
      </w:r>
      <w:r>
        <w:t>.</w:t>
      </w:r>
      <w:r>
        <w:tab/>
        <w:t>NCC coverage recommendation</w:t>
      </w:r>
      <w:bookmarkEnd w:id="472"/>
      <w:bookmarkEnd w:id="4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474" w:name="_Toc536782054"/>
      <w:bookmarkStart w:id="475" w:name="_Toc221109806"/>
      <w:r>
        <w:rPr>
          <w:rStyle w:val="CharSectno"/>
        </w:rPr>
        <w:t>96</w:t>
      </w:r>
      <w:r>
        <w:t>.</w:t>
      </w:r>
      <w:r>
        <w:tab/>
        <w:t>NCC must not make coverage recommendation if tender approval decision becomes irrevocable</w:t>
      </w:r>
      <w:bookmarkEnd w:id="474"/>
      <w:bookmarkEnd w:id="475"/>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476" w:name="_Toc536782055"/>
      <w:bookmarkStart w:id="477" w:name="_Toc221109807"/>
      <w:r>
        <w:rPr>
          <w:rStyle w:val="CharSectno"/>
        </w:rPr>
        <w:t>97</w:t>
      </w:r>
      <w:r>
        <w:t>.</w:t>
      </w:r>
      <w:r>
        <w:tab/>
        <w:t>Principles governing the making of a coverage recommendation</w:t>
      </w:r>
      <w:bookmarkEnd w:id="476"/>
      <w:bookmarkEnd w:id="4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478" w:name="_Toc536782056"/>
      <w:bookmarkStart w:id="479" w:name="_Toc221109808"/>
      <w:r>
        <w:rPr>
          <w:rStyle w:val="CharSectno"/>
        </w:rPr>
        <w:t>98</w:t>
      </w:r>
      <w:r>
        <w:t>.</w:t>
      </w:r>
      <w:r>
        <w:tab/>
        <w:t>Initial classification decision to be made as part of recommendation</w:t>
      </w:r>
      <w:bookmarkEnd w:id="478"/>
      <w:bookmarkEnd w:id="4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480" w:name="_Toc536782057"/>
      <w:bookmarkStart w:id="481" w:name="_Toc221109809"/>
      <w:r>
        <w:rPr>
          <w:rStyle w:val="CharSectno"/>
        </w:rPr>
        <w:lastRenderedPageBreak/>
        <w:t>99</w:t>
      </w:r>
      <w:r>
        <w:t>.</w:t>
      </w:r>
      <w:r>
        <w:tab/>
        <w:t>Relevant Minister’s determination on application</w:t>
      </w:r>
      <w:bookmarkEnd w:id="480"/>
      <w:bookmarkEnd w:id="4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lastRenderedPageBreak/>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482" w:name="_Toc536782058"/>
      <w:bookmarkStart w:id="483" w:name="_Toc221109810"/>
      <w:r>
        <w:rPr>
          <w:rStyle w:val="CharSectno"/>
        </w:rPr>
        <w:t>100</w:t>
      </w:r>
      <w:r>
        <w:t>.</w:t>
      </w:r>
      <w:r>
        <w:tab/>
        <w:t>Principles governing the making of a coverage determination or decision not to do so</w:t>
      </w:r>
      <w:bookmarkEnd w:id="482"/>
      <w:bookmarkEnd w:id="48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484" w:name="_Toc536782059"/>
      <w:bookmarkStart w:id="485" w:name="_Toc221109811"/>
      <w:r>
        <w:rPr>
          <w:rStyle w:val="CharSectno"/>
        </w:rPr>
        <w:t>101</w:t>
      </w:r>
      <w:r>
        <w:t>.</w:t>
      </w:r>
      <w:r>
        <w:tab/>
        <w:t>Operation and effect of coverage determination</w:t>
      </w:r>
      <w:bookmarkEnd w:id="484"/>
      <w:bookmarkEnd w:id="485"/>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486" w:name="_Toc501633969"/>
      <w:bookmarkStart w:id="487" w:name="_Toc501712865"/>
      <w:bookmarkStart w:id="488" w:name="_Toc536782060"/>
      <w:bookmarkStart w:id="489" w:name="_Toc220674272"/>
      <w:bookmarkStart w:id="490" w:name="_Toc221009444"/>
      <w:bookmarkStart w:id="491" w:name="_Toc221011306"/>
      <w:bookmarkStart w:id="492" w:name="_Toc221109812"/>
      <w:r>
        <w:t>Division 2 — Coverage revocation determinations</w:t>
      </w:r>
      <w:bookmarkEnd w:id="486"/>
      <w:bookmarkEnd w:id="487"/>
      <w:bookmarkEnd w:id="488"/>
      <w:bookmarkEnd w:id="489"/>
      <w:bookmarkEnd w:id="490"/>
      <w:bookmarkEnd w:id="491"/>
      <w:bookmarkEnd w:id="492"/>
    </w:p>
    <w:p>
      <w:pPr>
        <w:pStyle w:val="Heading5"/>
      </w:pPr>
      <w:bookmarkStart w:id="493" w:name="_Toc536782061"/>
      <w:bookmarkStart w:id="494" w:name="_Toc221109813"/>
      <w:r>
        <w:rPr>
          <w:rStyle w:val="CharSectno"/>
        </w:rPr>
        <w:t>102</w:t>
      </w:r>
      <w:r>
        <w:t>.</w:t>
      </w:r>
      <w:r>
        <w:tab/>
        <w:t>Application for a determination that a pipeline no longer be a covered pipeline</w:t>
      </w:r>
      <w:bookmarkEnd w:id="493"/>
      <w:bookmarkEnd w:id="4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495" w:name="_Toc536782062"/>
      <w:bookmarkStart w:id="496" w:name="_Toc221109814"/>
      <w:r>
        <w:rPr>
          <w:rStyle w:val="CharSectno"/>
        </w:rPr>
        <w:t>103</w:t>
      </w:r>
      <w:r>
        <w:t>.</w:t>
      </w:r>
      <w:r>
        <w:tab/>
        <w:t>Application to be dealt with in accordance with the Rules</w:t>
      </w:r>
      <w:bookmarkEnd w:id="495"/>
      <w:bookmarkEnd w:id="496"/>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497" w:name="_Toc536782063"/>
      <w:bookmarkStart w:id="498" w:name="_Toc221109815"/>
      <w:r>
        <w:rPr>
          <w:rStyle w:val="CharSectno"/>
        </w:rPr>
        <w:lastRenderedPageBreak/>
        <w:t>104</w:t>
      </w:r>
      <w:r>
        <w:t>.</w:t>
      </w:r>
      <w:r>
        <w:tab/>
        <w:t>NCC coverage revocation recommendation</w:t>
      </w:r>
      <w:bookmarkEnd w:id="497"/>
      <w:bookmarkEnd w:id="49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499" w:name="_Toc536782064"/>
      <w:bookmarkStart w:id="500" w:name="_Toc221109816"/>
      <w:r>
        <w:rPr>
          <w:rStyle w:val="CharSectno"/>
        </w:rPr>
        <w:lastRenderedPageBreak/>
        <w:t>105</w:t>
      </w:r>
      <w:r>
        <w:t>.</w:t>
      </w:r>
      <w:r>
        <w:tab/>
        <w:t>Principles governing the making of a coverage revocation recommendation</w:t>
      </w:r>
      <w:bookmarkEnd w:id="499"/>
      <w:bookmarkEnd w:id="5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501" w:name="_Toc536782065"/>
      <w:bookmarkStart w:id="502" w:name="_Toc221109817"/>
      <w:r>
        <w:rPr>
          <w:rStyle w:val="CharSectno"/>
        </w:rPr>
        <w:t>106</w:t>
      </w:r>
      <w:r>
        <w:t>.</w:t>
      </w:r>
      <w:r>
        <w:tab/>
        <w:t>Relevant Minister’s determination on application</w:t>
      </w:r>
      <w:bookmarkEnd w:id="501"/>
      <w:bookmarkEnd w:id="5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503" w:name="_Toc536782066"/>
      <w:bookmarkStart w:id="504" w:name="_Toc221109818"/>
      <w:r>
        <w:rPr>
          <w:rStyle w:val="CharSectno"/>
        </w:rPr>
        <w:t>107</w:t>
      </w:r>
      <w:r>
        <w:t>.</w:t>
      </w:r>
      <w:r>
        <w:tab/>
        <w:t>Principles governing the making of a coverage revocation determination or decision not to do so</w:t>
      </w:r>
      <w:bookmarkEnd w:id="503"/>
      <w:bookmarkEnd w:id="50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505" w:name="_Toc536782067"/>
      <w:bookmarkStart w:id="506" w:name="_Toc221109819"/>
      <w:r>
        <w:rPr>
          <w:rStyle w:val="CharSectno"/>
        </w:rPr>
        <w:t>108</w:t>
      </w:r>
      <w:r>
        <w:t>.</w:t>
      </w:r>
      <w:r>
        <w:tab/>
        <w:t>Operation and effect of coverage revocation determination</w:t>
      </w:r>
      <w:bookmarkEnd w:id="505"/>
      <w:bookmarkEnd w:id="506"/>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507" w:name="_Toc501633977"/>
      <w:bookmarkStart w:id="508" w:name="_Toc501712873"/>
      <w:bookmarkStart w:id="509" w:name="_Toc536782068"/>
      <w:bookmarkStart w:id="510" w:name="_Toc220674280"/>
      <w:bookmarkStart w:id="511" w:name="_Toc221009452"/>
      <w:bookmarkStart w:id="512" w:name="_Toc221011314"/>
      <w:bookmarkStart w:id="513" w:name="_Toc221109820"/>
      <w:r>
        <w:rPr>
          <w:rStyle w:val="CharDivNo"/>
        </w:rPr>
        <w:lastRenderedPageBreak/>
        <w:t>Part 2</w:t>
      </w:r>
      <w:r>
        <w:t xml:space="preserve"> — </w:t>
      </w:r>
      <w:r>
        <w:rPr>
          <w:rStyle w:val="CharDivText"/>
        </w:rPr>
        <w:t>Light regulation of covered pipeline services</w:t>
      </w:r>
      <w:bookmarkEnd w:id="507"/>
      <w:bookmarkEnd w:id="508"/>
      <w:bookmarkEnd w:id="509"/>
      <w:bookmarkEnd w:id="510"/>
      <w:bookmarkEnd w:id="511"/>
      <w:bookmarkEnd w:id="512"/>
      <w:bookmarkEnd w:id="513"/>
    </w:p>
    <w:p>
      <w:pPr>
        <w:pStyle w:val="Heading4"/>
      </w:pPr>
      <w:bookmarkStart w:id="514" w:name="_Toc501633978"/>
      <w:bookmarkStart w:id="515" w:name="_Toc501712874"/>
      <w:bookmarkStart w:id="516" w:name="_Toc536782069"/>
      <w:bookmarkStart w:id="517" w:name="_Toc220674281"/>
      <w:bookmarkStart w:id="518" w:name="_Toc221009453"/>
      <w:bookmarkStart w:id="519" w:name="_Toc221011315"/>
      <w:bookmarkStart w:id="520" w:name="_Toc221109821"/>
      <w:r>
        <w:t>Division 1 — Making of light regulation determinations</w:t>
      </w:r>
      <w:bookmarkEnd w:id="514"/>
      <w:bookmarkEnd w:id="515"/>
      <w:bookmarkEnd w:id="516"/>
      <w:bookmarkEnd w:id="517"/>
      <w:bookmarkEnd w:id="518"/>
      <w:bookmarkEnd w:id="519"/>
      <w:bookmarkEnd w:id="520"/>
    </w:p>
    <w:p>
      <w:pPr>
        <w:pStyle w:val="Heading4"/>
      </w:pPr>
      <w:bookmarkStart w:id="521" w:name="_Toc501633979"/>
      <w:bookmarkStart w:id="522" w:name="_Toc501712875"/>
      <w:bookmarkStart w:id="523" w:name="_Toc536782070"/>
      <w:bookmarkStart w:id="524" w:name="_Toc220674282"/>
      <w:bookmarkStart w:id="525" w:name="_Toc221009454"/>
      <w:bookmarkStart w:id="526" w:name="_Toc221011316"/>
      <w:bookmarkStart w:id="527" w:name="_Toc221109822"/>
      <w:r>
        <w:t>Subdivision 1 — Decisions when pipeline is not a covered pipeline</w:t>
      </w:r>
      <w:bookmarkEnd w:id="521"/>
      <w:bookmarkEnd w:id="522"/>
      <w:bookmarkEnd w:id="523"/>
      <w:bookmarkEnd w:id="524"/>
      <w:bookmarkEnd w:id="525"/>
      <w:bookmarkEnd w:id="526"/>
      <w:bookmarkEnd w:id="527"/>
    </w:p>
    <w:p>
      <w:pPr>
        <w:pStyle w:val="Heading5"/>
      </w:pPr>
      <w:bookmarkStart w:id="528" w:name="_Toc536782071"/>
      <w:bookmarkStart w:id="529" w:name="_Toc221109823"/>
      <w:r>
        <w:rPr>
          <w:rStyle w:val="CharSectno"/>
        </w:rPr>
        <w:t>109</w:t>
      </w:r>
      <w:r>
        <w:t>.</w:t>
      </w:r>
      <w:r>
        <w:tab/>
        <w:t>Application of Subdivision</w:t>
      </w:r>
      <w:bookmarkEnd w:id="528"/>
      <w:bookmarkEnd w:id="529"/>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530" w:name="_Toc536782072"/>
      <w:bookmarkStart w:id="531" w:name="_Toc221109824"/>
      <w:r>
        <w:rPr>
          <w:rStyle w:val="CharSectno"/>
        </w:rPr>
        <w:t>110</w:t>
      </w:r>
      <w:r>
        <w:t>.</w:t>
      </w:r>
      <w:r>
        <w:tab/>
        <w:t>NCC’s decision on light regulation of pipeline services</w:t>
      </w:r>
      <w:bookmarkEnd w:id="530"/>
      <w:bookmarkEnd w:id="5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lastRenderedPageBreak/>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532" w:name="_Toc501633982"/>
      <w:bookmarkStart w:id="533" w:name="_Toc501712878"/>
      <w:bookmarkStart w:id="534" w:name="_Toc536782073"/>
      <w:bookmarkStart w:id="535" w:name="_Toc220674285"/>
      <w:bookmarkStart w:id="536" w:name="_Toc221009457"/>
      <w:bookmarkStart w:id="537" w:name="_Toc221011319"/>
      <w:bookmarkStart w:id="538" w:name="_Toc221109825"/>
      <w:r>
        <w:t>Subdivision 2 — Decisions when pipeline is a covered pipeline</w:t>
      </w:r>
      <w:bookmarkEnd w:id="532"/>
      <w:bookmarkEnd w:id="533"/>
      <w:bookmarkEnd w:id="534"/>
      <w:bookmarkEnd w:id="535"/>
      <w:bookmarkEnd w:id="536"/>
      <w:bookmarkEnd w:id="537"/>
      <w:bookmarkEnd w:id="538"/>
    </w:p>
    <w:p>
      <w:pPr>
        <w:pStyle w:val="Heading5"/>
      </w:pPr>
      <w:bookmarkStart w:id="539" w:name="_Toc536782074"/>
      <w:bookmarkStart w:id="540" w:name="_Toc221109826"/>
      <w:r>
        <w:rPr>
          <w:rStyle w:val="CharSectno"/>
        </w:rPr>
        <w:t>111</w:t>
      </w:r>
      <w:r>
        <w:t>.</w:t>
      </w:r>
      <w:r>
        <w:tab/>
        <w:t>Application of Subdivision</w:t>
      </w:r>
      <w:bookmarkEnd w:id="539"/>
      <w:bookmarkEnd w:id="540"/>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541" w:name="_Toc536782075"/>
      <w:bookmarkStart w:id="542" w:name="_Toc221109827"/>
      <w:r>
        <w:rPr>
          <w:rStyle w:val="CharSectno"/>
        </w:rPr>
        <w:t>112</w:t>
      </w:r>
      <w:r>
        <w:t>.</w:t>
      </w:r>
      <w:r>
        <w:tab/>
        <w:t>Application</w:t>
      </w:r>
      <w:bookmarkEnd w:id="541"/>
      <w:bookmarkEnd w:id="5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543" w:name="_Toc536782076"/>
      <w:bookmarkStart w:id="544" w:name="_Toc221109828"/>
      <w:r>
        <w:rPr>
          <w:rStyle w:val="CharSectno"/>
        </w:rPr>
        <w:t>113</w:t>
      </w:r>
      <w:r>
        <w:t>.</w:t>
      </w:r>
      <w:r>
        <w:tab/>
        <w:t>Application to be dealt with in accordance with the Rules</w:t>
      </w:r>
      <w:bookmarkEnd w:id="543"/>
      <w:bookmarkEnd w:id="544"/>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545" w:name="_Toc536782077"/>
      <w:bookmarkStart w:id="546" w:name="_Toc221109829"/>
      <w:r>
        <w:rPr>
          <w:rStyle w:val="CharSectno"/>
        </w:rPr>
        <w:lastRenderedPageBreak/>
        <w:t>114</w:t>
      </w:r>
      <w:r>
        <w:t>.</w:t>
      </w:r>
      <w:r>
        <w:tab/>
        <w:t>NCC’s decision on light regulation of pipeline services</w:t>
      </w:r>
      <w:bookmarkEnd w:id="545"/>
      <w:bookmarkEnd w:id="5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547" w:name="_Toc501633987"/>
      <w:bookmarkStart w:id="548" w:name="_Toc501712883"/>
      <w:bookmarkStart w:id="549" w:name="_Toc536782078"/>
      <w:bookmarkStart w:id="550" w:name="_Toc220674290"/>
      <w:bookmarkStart w:id="551" w:name="_Toc221009462"/>
      <w:bookmarkStart w:id="552" w:name="_Toc221011324"/>
      <w:bookmarkStart w:id="553" w:name="_Toc221109830"/>
      <w:r>
        <w:t>Subdivision 3 — Operation and effect of light regulation determinations</w:t>
      </w:r>
      <w:bookmarkEnd w:id="547"/>
      <w:bookmarkEnd w:id="548"/>
      <w:bookmarkEnd w:id="549"/>
      <w:bookmarkEnd w:id="550"/>
      <w:bookmarkEnd w:id="551"/>
      <w:bookmarkEnd w:id="552"/>
      <w:bookmarkEnd w:id="553"/>
    </w:p>
    <w:p>
      <w:pPr>
        <w:pStyle w:val="Heading5"/>
      </w:pPr>
      <w:bookmarkStart w:id="554" w:name="_Toc536782079"/>
      <w:bookmarkStart w:id="555" w:name="_Toc221109831"/>
      <w:r>
        <w:rPr>
          <w:rStyle w:val="CharSectno"/>
        </w:rPr>
        <w:t>115</w:t>
      </w:r>
      <w:r>
        <w:t>.</w:t>
      </w:r>
      <w:r>
        <w:tab/>
        <w:t>When light regulation determinations take effect</w:t>
      </w:r>
      <w:bookmarkEnd w:id="554"/>
      <w:bookmarkEnd w:id="5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556" w:name="_Toc536782080"/>
      <w:bookmarkStart w:id="557" w:name="_Toc221109832"/>
      <w:r>
        <w:rPr>
          <w:rStyle w:val="CharSectno"/>
        </w:rPr>
        <w:t>116</w:t>
      </w:r>
      <w:r>
        <w:t>.</w:t>
      </w:r>
      <w:r>
        <w:tab/>
        <w:t>Submission of limited access arrangement for light regulation services</w:t>
      </w:r>
      <w:bookmarkEnd w:id="556"/>
      <w:bookmarkEnd w:id="5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558" w:name="_Toc501633990"/>
      <w:bookmarkStart w:id="559" w:name="_Toc501712886"/>
      <w:bookmarkStart w:id="560" w:name="_Toc536782081"/>
      <w:bookmarkStart w:id="561" w:name="_Toc220674293"/>
      <w:bookmarkStart w:id="562" w:name="_Toc221009465"/>
      <w:bookmarkStart w:id="563" w:name="_Toc221011327"/>
      <w:bookmarkStart w:id="564" w:name="_Toc221109833"/>
      <w:r>
        <w:lastRenderedPageBreak/>
        <w:t>Division 2 — Revocation of light regulation determinations</w:t>
      </w:r>
      <w:bookmarkEnd w:id="558"/>
      <w:bookmarkEnd w:id="559"/>
      <w:bookmarkEnd w:id="560"/>
      <w:bookmarkEnd w:id="561"/>
      <w:bookmarkEnd w:id="562"/>
      <w:bookmarkEnd w:id="563"/>
      <w:bookmarkEnd w:id="564"/>
    </w:p>
    <w:p>
      <w:pPr>
        <w:pStyle w:val="Heading4"/>
      </w:pPr>
      <w:bookmarkStart w:id="565" w:name="_Toc501633991"/>
      <w:bookmarkStart w:id="566" w:name="_Toc501712887"/>
      <w:bookmarkStart w:id="567" w:name="_Toc536782082"/>
      <w:bookmarkStart w:id="568" w:name="_Toc220674294"/>
      <w:bookmarkStart w:id="569" w:name="_Toc221009466"/>
      <w:bookmarkStart w:id="570" w:name="_Toc221011328"/>
      <w:bookmarkStart w:id="571" w:name="_Toc221109834"/>
      <w:r>
        <w:t>Subdivision 1 — On advice from service providers</w:t>
      </w:r>
      <w:bookmarkEnd w:id="565"/>
      <w:bookmarkEnd w:id="566"/>
      <w:bookmarkEnd w:id="567"/>
      <w:bookmarkEnd w:id="568"/>
      <w:bookmarkEnd w:id="569"/>
      <w:bookmarkEnd w:id="570"/>
      <w:bookmarkEnd w:id="571"/>
    </w:p>
    <w:p>
      <w:pPr>
        <w:pStyle w:val="Heading5"/>
      </w:pPr>
      <w:bookmarkStart w:id="572" w:name="_Toc536782083"/>
      <w:bookmarkStart w:id="573" w:name="_Toc221109835"/>
      <w:r>
        <w:rPr>
          <w:rStyle w:val="CharSectno"/>
        </w:rPr>
        <w:t>117</w:t>
      </w:r>
      <w:r>
        <w:t>.</w:t>
      </w:r>
      <w:r>
        <w:tab/>
        <w:t>Advice by service provider that light regulation services should cease to be light regulation services</w:t>
      </w:r>
      <w:bookmarkEnd w:id="572"/>
      <w:bookmarkEnd w:id="5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574" w:name="_Toc501633993"/>
      <w:bookmarkStart w:id="575" w:name="_Toc501712889"/>
      <w:bookmarkStart w:id="576" w:name="_Toc536782084"/>
      <w:bookmarkStart w:id="577" w:name="_Toc220674296"/>
      <w:bookmarkStart w:id="578" w:name="_Toc221009468"/>
      <w:bookmarkStart w:id="579" w:name="_Toc221011330"/>
      <w:bookmarkStart w:id="580" w:name="_Toc221109836"/>
      <w:r>
        <w:lastRenderedPageBreak/>
        <w:t>Subdivision 2 — On application by persons other than service providers</w:t>
      </w:r>
      <w:bookmarkEnd w:id="574"/>
      <w:bookmarkEnd w:id="575"/>
      <w:bookmarkEnd w:id="576"/>
      <w:bookmarkEnd w:id="577"/>
      <w:bookmarkEnd w:id="578"/>
      <w:bookmarkEnd w:id="579"/>
      <w:bookmarkEnd w:id="580"/>
    </w:p>
    <w:p>
      <w:pPr>
        <w:pStyle w:val="Heading5"/>
      </w:pPr>
      <w:bookmarkStart w:id="581" w:name="_Toc536782085"/>
      <w:bookmarkStart w:id="582" w:name="_Toc221109837"/>
      <w:r>
        <w:rPr>
          <w:rStyle w:val="CharSectno"/>
        </w:rPr>
        <w:t>118</w:t>
      </w:r>
      <w:r>
        <w:t>.</w:t>
      </w:r>
      <w:r>
        <w:tab/>
        <w:t>Application (other than by service provider) for revocation of light regulation determinations</w:t>
      </w:r>
      <w:bookmarkEnd w:id="581"/>
      <w:bookmarkEnd w:id="5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583" w:name="_Toc536782086"/>
      <w:bookmarkStart w:id="584" w:name="_Toc221109838"/>
      <w:r>
        <w:rPr>
          <w:rStyle w:val="CharSectno"/>
        </w:rPr>
        <w:t>119</w:t>
      </w:r>
      <w:r>
        <w:t>.</w:t>
      </w:r>
      <w:r>
        <w:tab/>
        <w:t>Decisions on applications made around time of applications for coverage revocation determinations</w:t>
      </w:r>
      <w:bookmarkEnd w:id="583"/>
      <w:bookmarkEnd w:id="5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585" w:name="_Toc536782087"/>
      <w:bookmarkStart w:id="586" w:name="_Toc221109839"/>
      <w:r>
        <w:rPr>
          <w:rStyle w:val="CharSectno"/>
        </w:rPr>
        <w:t>120</w:t>
      </w:r>
      <w:r>
        <w:t>.</w:t>
      </w:r>
      <w:r>
        <w:tab/>
        <w:t>NCC decision on application where no application for a coverage revocation recommendation</w:t>
      </w:r>
      <w:bookmarkEnd w:id="585"/>
      <w:bookmarkEnd w:id="5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587" w:name="_Toc536782088"/>
      <w:bookmarkStart w:id="588" w:name="_Toc221109840"/>
      <w:r>
        <w:rPr>
          <w:rStyle w:val="CharSectno"/>
        </w:rPr>
        <w:t>121</w:t>
      </w:r>
      <w:r>
        <w:t>.</w:t>
      </w:r>
      <w:r>
        <w:tab/>
        <w:t>Operation and effect of decision of NCC under this Division</w:t>
      </w:r>
      <w:bookmarkEnd w:id="587"/>
      <w:bookmarkEnd w:id="588"/>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589" w:name="_Toc501633998"/>
      <w:bookmarkStart w:id="590" w:name="_Toc501712894"/>
      <w:bookmarkStart w:id="591" w:name="_Toc536782089"/>
      <w:bookmarkStart w:id="592" w:name="_Toc220674301"/>
      <w:bookmarkStart w:id="593" w:name="_Toc221009473"/>
      <w:bookmarkStart w:id="594" w:name="_Toc221011335"/>
      <w:bookmarkStart w:id="595" w:name="_Toc221109841"/>
      <w:r>
        <w:t>Division 3 — Principles governing light regulation determinations</w:t>
      </w:r>
      <w:bookmarkEnd w:id="589"/>
      <w:bookmarkEnd w:id="590"/>
      <w:bookmarkEnd w:id="591"/>
      <w:bookmarkEnd w:id="592"/>
      <w:bookmarkEnd w:id="593"/>
      <w:bookmarkEnd w:id="594"/>
      <w:bookmarkEnd w:id="595"/>
    </w:p>
    <w:p>
      <w:pPr>
        <w:pStyle w:val="Heading5"/>
      </w:pPr>
      <w:bookmarkStart w:id="596" w:name="_Toc536782090"/>
      <w:bookmarkStart w:id="597" w:name="_Toc221109842"/>
      <w:r>
        <w:rPr>
          <w:rStyle w:val="CharSectno"/>
        </w:rPr>
        <w:t>122</w:t>
      </w:r>
      <w:r>
        <w:t>.</w:t>
      </w:r>
      <w:r>
        <w:tab/>
        <w:t>Principles governing the making or revoking of light regulation determinations</w:t>
      </w:r>
      <w:bookmarkEnd w:id="596"/>
      <w:bookmarkEnd w:id="5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lastRenderedPageBreak/>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598" w:name="_Toc501634000"/>
      <w:bookmarkStart w:id="599" w:name="_Toc501712896"/>
      <w:bookmarkStart w:id="600" w:name="_Toc536782091"/>
      <w:bookmarkStart w:id="601" w:name="_Toc220674303"/>
      <w:bookmarkStart w:id="602" w:name="_Toc221009475"/>
      <w:bookmarkStart w:id="603" w:name="_Toc221011337"/>
      <w:bookmarkStart w:id="604" w:name="_Toc221109843"/>
      <w:r>
        <w:t>Division 4 — Revocation if coverage determination not made</w:t>
      </w:r>
      <w:bookmarkEnd w:id="598"/>
      <w:bookmarkEnd w:id="599"/>
      <w:bookmarkEnd w:id="600"/>
      <w:bookmarkEnd w:id="601"/>
      <w:bookmarkEnd w:id="602"/>
      <w:bookmarkEnd w:id="603"/>
      <w:bookmarkEnd w:id="604"/>
    </w:p>
    <w:p>
      <w:pPr>
        <w:pStyle w:val="Heading5"/>
      </w:pPr>
      <w:bookmarkStart w:id="605" w:name="_Toc536782092"/>
      <w:bookmarkStart w:id="606" w:name="_Toc221109844"/>
      <w:r>
        <w:rPr>
          <w:rStyle w:val="CharSectno"/>
        </w:rPr>
        <w:t>123</w:t>
      </w:r>
      <w:r>
        <w:t>.</w:t>
      </w:r>
      <w:r>
        <w:tab/>
        <w:t>Light regulation determination revoked if coverage determination not made</w:t>
      </w:r>
      <w:bookmarkEnd w:id="605"/>
      <w:bookmarkEnd w:id="6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607" w:name="_Toc501634002"/>
      <w:bookmarkStart w:id="608" w:name="_Toc501712898"/>
      <w:bookmarkStart w:id="609" w:name="_Toc536782093"/>
      <w:bookmarkStart w:id="610" w:name="_Toc220674305"/>
      <w:bookmarkStart w:id="611" w:name="_Toc221009477"/>
      <w:bookmarkStart w:id="612" w:name="_Toc221011339"/>
      <w:bookmarkStart w:id="613" w:name="_Toc221109845"/>
      <w:r>
        <w:lastRenderedPageBreak/>
        <w:t>Division 5 — Effect of pipeline ceasing to be covered pipeline</w:t>
      </w:r>
      <w:bookmarkEnd w:id="607"/>
      <w:bookmarkEnd w:id="608"/>
      <w:bookmarkEnd w:id="609"/>
      <w:bookmarkEnd w:id="610"/>
      <w:bookmarkEnd w:id="611"/>
      <w:bookmarkEnd w:id="612"/>
      <w:bookmarkEnd w:id="613"/>
    </w:p>
    <w:p>
      <w:pPr>
        <w:pStyle w:val="Heading5"/>
      </w:pPr>
      <w:bookmarkStart w:id="614" w:name="_Toc536782094"/>
      <w:bookmarkStart w:id="615" w:name="_Toc221109846"/>
      <w:r>
        <w:rPr>
          <w:rStyle w:val="CharSectno"/>
        </w:rPr>
        <w:t>124</w:t>
      </w:r>
      <w:r>
        <w:t>.</w:t>
      </w:r>
      <w:r>
        <w:tab/>
        <w:t>Light regulation services cease to be such services on cessation of coverage of pipeline</w:t>
      </w:r>
      <w:bookmarkEnd w:id="614"/>
      <w:bookmarkEnd w:id="615"/>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616" w:name="_Toc501634004"/>
      <w:bookmarkStart w:id="617" w:name="_Toc501712900"/>
      <w:bookmarkStart w:id="618" w:name="_Toc536782095"/>
      <w:bookmarkStart w:id="619" w:name="_Toc220674307"/>
      <w:bookmarkStart w:id="620" w:name="_Toc221009479"/>
      <w:bookmarkStart w:id="621" w:name="_Toc221011341"/>
      <w:bookmarkStart w:id="622" w:name="_Toc221109847"/>
      <w:r>
        <w:t>Division 6 — AER reviews into designated pipelines</w:t>
      </w:r>
      <w:bookmarkEnd w:id="616"/>
      <w:bookmarkEnd w:id="617"/>
      <w:bookmarkEnd w:id="618"/>
      <w:bookmarkEnd w:id="619"/>
      <w:bookmarkEnd w:id="620"/>
      <w:bookmarkEnd w:id="621"/>
      <w:bookmarkEnd w:id="622"/>
    </w:p>
    <w:p>
      <w:pPr>
        <w:pStyle w:val="Heading5"/>
      </w:pPr>
      <w:bookmarkStart w:id="623" w:name="_Toc536782096"/>
      <w:bookmarkStart w:id="624" w:name="_Toc221109848"/>
      <w:r>
        <w:rPr>
          <w:rStyle w:val="CharSectno"/>
        </w:rPr>
        <w:t>125</w:t>
      </w:r>
      <w:r>
        <w:t>.</w:t>
      </w:r>
      <w:r>
        <w:tab/>
        <w:t>AER reviews</w:t>
      </w:r>
      <w:bookmarkEnd w:id="623"/>
      <w:bookmarkEnd w:id="6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625" w:name="_Toc501634006"/>
      <w:bookmarkStart w:id="626" w:name="_Toc501712902"/>
      <w:bookmarkStart w:id="627" w:name="_Toc536782097"/>
      <w:bookmarkStart w:id="628" w:name="_Toc220674309"/>
      <w:bookmarkStart w:id="629" w:name="_Toc221009481"/>
      <w:bookmarkStart w:id="630" w:name="_Toc221011343"/>
      <w:bookmarkStart w:id="631" w:name="_Toc221109849"/>
      <w:r>
        <w:rPr>
          <w:rStyle w:val="CharDivNo"/>
        </w:rPr>
        <w:t>Part 3</w:t>
      </w:r>
      <w:r>
        <w:t xml:space="preserve"> — </w:t>
      </w:r>
      <w:r>
        <w:rPr>
          <w:rStyle w:val="CharDivText"/>
        </w:rPr>
        <w:t>Coverage of pipelines the subject of tender process</w:t>
      </w:r>
      <w:bookmarkEnd w:id="625"/>
      <w:bookmarkEnd w:id="626"/>
      <w:bookmarkEnd w:id="627"/>
      <w:bookmarkEnd w:id="628"/>
      <w:bookmarkEnd w:id="629"/>
      <w:bookmarkEnd w:id="630"/>
      <w:bookmarkEnd w:id="631"/>
    </w:p>
    <w:p>
      <w:pPr>
        <w:pStyle w:val="Heading5"/>
      </w:pPr>
      <w:bookmarkStart w:id="632" w:name="_Toc536782098"/>
      <w:bookmarkStart w:id="633" w:name="_Toc221109850"/>
      <w:r>
        <w:rPr>
          <w:rStyle w:val="CharSectno"/>
        </w:rPr>
        <w:t>126</w:t>
      </w:r>
      <w:r>
        <w:t>.</w:t>
      </w:r>
      <w:r>
        <w:tab/>
        <w:t>Tender approval pipelines deemed to be covered pipelines</w:t>
      </w:r>
      <w:bookmarkEnd w:id="632"/>
      <w:bookmarkEnd w:id="6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lastRenderedPageBreak/>
        <w:tab/>
        <w:t>(b)</w:t>
      </w:r>
      <w:r>
        <w:rPr>
          <w:color w:val="000000"/>
          <w:sz w:val="20"/>
        </w:rPr>
        <w:tab/>
        <w:t>determine the relevant Minister for the purposes of that pipeline.</w:t>
      </w:r>
    </w:p>
    <w:p>
      <w:pPr>
        <w:pStyle w:val="Heading3"/>
      </w:pPr>
      <w:bookmarkStart w:id="634" w:name="_Toc501634008"/>
      <w:bookmarkStart w:id="635" w:name="_Toc501712904"/>
      <w:bookmarkStart w:id="636" w:name="_Toc536782099"/>
      <w:bookmarkStart w:id="637" w:name="_Toc220674311"/>
      <w:bookmarkStart w:id="638" w:name="_Toc221009483"/>
      <w:bookmarkStart w:id="639" w:name="_Toc221011345"/>
      <w:bookmarkStart w:id="640" w:name="_Toc221109851"/>
      <w:r>
        <w:rPr>
          <w:rStyle w:val="CharDivNo"/>
        </w:rPr>
        <w:t>Part 4</w:t>
      </w:r>
      <w:r>
        <w:t xml:space="preserve"> — </w:t>
      </w:r>
      <w:r>
        <w:rPr>
          <w:rStyle w:val="CharDivText"/>
        </w:rPr>
        <w:t>Coverage following approval of voluntary access arrangement</w:t>
      </w:r>
      <w:bookmarkEnd w:id="634"/>
      <w:bookmarkEnd w:id="635"/>
      <w:bookmarkEnd w:id="636"/>
      <w:bookmarkEnd w:id="637"/>
      <w:bookmarkEnd w:id="638"/>
      <w:bookmarkEnd w:id="639"/>
      <w:bookmarkEnd w:id="640"/>
    </w:p>
    <w:p>
      <w:pPr>
        <w:pStyle w:val="Heading5"/>
      </w:pPr>
      <w:bookmarkStart w:id="641" w:name="_Toc536782100"/>
      <w:bookmarkStart w:id="642" w:name="_Toc221109852"/>
      <w:r>
        <w:rPr>
          <w:rStyle w:val="CharSectno"/>
        </w:rPr>
        <w:t>127</w:t>
      </w:r>
      <w:r>
        <w:t>.</w:t>
      </w:r>
      <w:r>
        <w:tab/>
        <w:t>Certain pipelines become covered pipelines on approval of voluntary access arrangement</w:t>
      </w:r>
      <w:bookmarkEnd w:id="641"/>
      <w:bookmarkEnd w:id="6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643" w:name="_Toc501634010"/>
      <w:bookmarkStart w:id="644" w:name="_Toc501712906"/>
      <w:bookmarkStart w:id="645" w:name="_Toc536782101"/>
      <w:bookmarkStart w:id="646" w:name="_Toc220674313"/>
      <w:bookmarkStart w:id="647" w:name="_Toc221009485"/>
      <w:bookmarkStart w:id="648" w:name="_Toc221011347"/>
      <w:bookmarkStart w:id="649" w:name="_Toc221109853"/>
      <w:r>
        <w:rPr>
          <w:rStyle w:val="CharDivNo"/>
        </w:rPr>
        <w:lastRenderedPageBreak/>
        <w:t>Part 5</w:t>
      </w:r>
      <w:r>
        <w:t xml:space="preserve"> — </w:t>
      </w:r>
      <w:r>
        <w:rPr>
          <w:rStyle w:val="CharDivText"/>
        </w:rPr>
        <w:t>Reclassification of pipelines</w:t>
      </w:r>
      <w:bookmarkEnd w:id="643"/>
      <w:bookmarkEnd w:id="644"/>
      <w:bookmarkEnd w:id="645"/>
      <w:bookmarkEnd w:id="646"/>
      <w:bookmarkEnd w:id="647"/>
      <w:bookmarkEnd w:id="648"/>
      <w:bookmarkEnd w:id="649"/>
    </w:p>
    <w:p>
      <w:pPr>
        <w:pStyle w:val="Heading5"/>
      </w:pPr>
      <w:bookmarkStart w:id="650" w:name="_Toc536782102"/>
      <w:bookmarkStart w:id="651" w:name="_Toc221109854"/>
      <w:r>
        <w:rPr>
          <w:rStyle w:val="CharSectno"/>
        </w:rPr>
        <w:t>128</w:t>
      </w:r>
      <w:r>
        <w:t>.</w:t>
      </w:r>
      <w:r>
        <w:tab/>
        <w:t>Service provider may apply for reclassification of pipeline</w:t>
      </w:r>
      <w:bookmarkEnd w:id="650"/>
      <w:bookmarkEnd w:id="6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652" w:name="_Toc536782103"/>
      <w:bookmarkStart w:id="653" w:name="_Toc221109855"/>
      <w:r>
        <w:rPr>
          <w:rStyle w:val="CharSectno"/>
        </w:rPr>
        <w:t>129</w:t>
      </w:r>
      <w:r>
        <w:t>.</w:t>
      </w:r>
      <w:r>
        <w:tab/>
        <w:t>Reclassification decision</w:t>
      </w:r>
      <w:bookmarkEnd w:id="652"/>
      <w:bookmarkEnd w:id="6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654" w:name="_Toc536782104"/>
      <w:bookmarkStart w:id="655" w:name="_Toc221109856"/>
      <w:r>
        <w:rPr>
          <w:rStyle w:val="CharSectno"/>
        </w:rPr>
        <w:t>130</w:t>
      </w:r>
      <w:r>
        <w:t>.</w:t>
      </w:r>
      <w:r>
        <w:tab/>
        <w:t>Effect of reclassification decision</w:t>
      </w:r>
      <w:bookmarkEnd w:id="654"/>
      <w:bookmarkEnd w:id="655"/>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656" w:name="_Toc501634014"/>
      <w:bookmarkStart w:id="657" w:name="_Toc501712910"/>
      <w:bookmarkStart w:id="658" w:name="_Toc536782105"/>
      <w:bookmarkStart w:id="659" w:name="_Toc220674317"/>
      <w:bookmarkStart w:id="660" w:name="_Toc221009489"/>
      <w:bookmarkStart w:id="661" w:name="_Toc221011351"/>
      <w:bookmarkStart w:id="662" w:name="_Toc221109857"/>
      <w:r>
        <w:rPr>
          <w:rStyle w:val="CharPartNo"/>
        </w:rPr>
        <w:lastRenderedPageBreak/>
        <w:t>Chapter 4</w:t>
      </w:r>
      <w:r>
        <w:t xml:space="preserve"> — </w:t>
      </w:r>
      <w:r>
        <w:rPr>
          <w:rStyle w:val="CharPartText"/>
        </w:rPr>
        <w:t>General requirements for provision of covered pipeline services</w:t>
      </w:r>
      <w:bookmarkEnd w:id="656"/>
      <w:bookmarkEnd w:id="657"/>
      <w:bookmarkEnd w:id="658"/>
      <w:bookmarkEnd w:id="659"/>
      <w:bookmarkEnd w:id="660"/>
      <w:bookmarkEnd w:id="661"/>
      <w:bookmarkEnd w:id="662"/>
    </w:p>
    <w:p>
      <w:pPr>
        <w:pStyle w:val="Heading3"/>
        <w:spacing w:before="120"/>
      </w:pPr>
      <w:bookmarkStart w:id="663" w:name="_Toc501634015"/>
      <w:bookmarkStart w:id="664" w:name="_Toc501712911"/>
      <w:bookmarkStart w:id="665" w:name="_Toc536782106"/>
      <w:bookmarkStart w:id="666" w:name="_Toc220674318"/>
      <w:bookmarkStart w:id="667" w:name="_Toc221009490"/>
      <w:bookmarkStart w:id="668" w:name="_Toc221011352"/>
      <w:bookmarkStart w:id="669" w:name="_Toc221109858"/>
      <w:r>
        <w:rPr>
          <w:rStyle w:val="CharDivNo"/>
        </w:rPr>
        <w:t>Part 1</w:t>
      </w:r>
      <w:r>
        <w:t xml:space="preserve"> — </w:t>
      </w:r>
      <w:r>
        <w:rPr>
          <w:rStyle w:val="CharDivText"/>
        </w:rPr>
        <w:t>General duties for provision of pipeline services by covered pipelines</w:t>
      </w:r>
      <w:bookmarkEnd w:id="663"/>
      <w:bookmarkEnd w:id="664"/>
      <w:bookmarkEnd w:id="665"/>
      <w:bookmarkEnd w:id="666"/>
      <w:bookmarkEnd w:id="667"/>
      <w:bookmarkEnd w:id="668"/>
      <w:bookmarkEnd w:id="669"/>
    </w:p>
    <w:p>
      <w:pPr>
        <w:pStyle w:val="Heading5"/>
        <w:spacing w:before="120"/>
      </w:pPr>
      <w:bookmarkStart w:id="670" w:name="_Toc536782107"/>
      <w:bookmarkStart w:id="671" w:name="_Toc221109859"/>
      <w:r>
        <w:rPr>
          <w:rStyle w:val="CharSectno"/>
        </w:rPr>
        <w:t>131</w:t>
      </w:r>
      <w:r>
        <w:t>.</w:t>
      </w:r>
      <w:r>
        <w:tab/>
        <w:t>Service provider must be legal entity of a specified kind to provide pipeline services by covered pipeline</w:t>
      </w:r>
      <w:bookmarkEnd w:id="670"/>
      <w:bookmarkEnd w:id="671"/>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672" w:name="_Toc536782108"/>
      <w:bookmarkStart w:id="673" w:name="_Toc221109860"/>
      <w:r>
        <w:rPr>
          <w:rStyle w:val="CharSectno"/>
        </w:rPr>
        <w:t>132</w:t>
      </w:r>
      <w:r>
        <w:t>.</w:t>
      </w:r>
      <w:r>
        <w:tab/>
        <w:t>Submission of full access arrangement or revisions to applicable full access arrangements</w:t>
      </w:r>
      <w:bookmarkEnd w:id="672"/>
      <w:bookmarkEnd w:id="67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674" w:name="_Toc536782109"/>
      <w:bookmarkStart w:id="675" w:name="_Toc221109861"/>
      <w:r>
        <w:rPr>
          <w:rStyle w:val="CharSectno"/>
        </w:rPr>
        <w:t>133</w:t>
      </w:r>
      <w:r>
        <w:t>.</w:t>
      </w:r>
      <w:r>
        <w:tab/>
        <w:t>Preventing or hindering access</w:t>
      </w:r>
      <w:bookmarkEnd w:id="674"/>
      <w:bookmarkEnd w:id="6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lastRenderedPageBreak/>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676" w:name="_Toc536782110"/>
      <w:bookmarkStart w:id="677" w:name="_Toc221109862"/>
      <w:r>
        <w:rPr>
          <w:rStyle w:val="CharSectno"/>
        </w:rPr>
        <w:t>134</w:t>
      </w:r>
      <w:r>
        <w:t>.</w:t>
      </w:r>
      <w:r>
        <w:tab/>
        <w:t>Supply and haulage of natural gas</w:t>
      </w:r>
      <w:bookmarkEnd w:id="676"/>
      <w:bookmarkEnd w:id="6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678" w:name="_Toc536782111"/>
      <w:bookmarkStart w:id="679" w:name="_Toc221109863"/>
      <w:r>
        <w:rPr>
          <w:rStyle w:val="CharSectno"/>
        </w:rPr>
        <w:t>135</w:t>
      </w:r>
      <w:r>
        <w:t>.</w:t>
      </w:r>
      <w:r>
        <w:tab/>
        <w:t>Covered pipeline service provider must comply with queuing requirements</w:t>
      </w:r>
      <w:bookmarkEnd w:id="678"/>
      <w:bookmarkEnd w:id="679"/>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680" w:name="_Toc536782112"/>
      <w:bookmarkStart w:id="681" w:name="_Toc221109864"/>
      <w:r>
        <w:rPr>
          <w:rStyle w:val="CharSectno"/>
        </w:rPr>
        <w:lastRenderedPageBreak/>
        <w:t>136</w:t>
      </w:r>
      <w:r>
        <w:t>.</w:t>
      </w:r>
      <w:r>
        <w:tab/>
        <w:t>Covered pipeline service provider providing light regulation services must not price discriminate</w:t>
      </w:r>
      <w:bookmarkEnd w:id="680"/>
      <w:bookmarkEnd w:id="68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682" w:name="_Toc501634022"/>
      <w:bookmarkStart w:id="683" w:name="_Toc501712918"/>
      <w:bookmarkStart w:id="684" w:name="_Toc536782113"/>
      <w:bookmarkStart w:id="685" w:name="_Toc220674325"/>
      <w:bookmarkStart w:id="686" w:name="_Toc221009497"/>
      <w:bookmarkStart w:id="687" w:name="_Toc221011359"/>
      <w:bookmarkStart w:id="688" w:name="_Toc221109865"/>
      <w:r>
        <w:rPr>
          <w:rStyle w:val="CharDivNo"/>
        </w:rPr>
        <w:t>Part 2</w:t>
      </w:r>
      <w:r>
        <w:t xml:space="preserve"> — </w:t>
      </w:r>
      <w:r>
        <w:rPr>
          <w:rStyle w:val="CharDivText"/>
        </w:rPr>
        <w:t>Structural and operational separation requirements (ring fencing)</w:t>
      </w:r>
      <w:bookmarkEnd w:id="682"/>
      <w:bookmarkEnd w:id="683"/>
      <w:bookmarkEnd w:id="684"/>
      <w:bookmarkEnd w:id="685"/>
      <w:bookmarkEnd w:id="686"/>
      <w:bookmarkEnd w:id="687"/>
      <w:bookmarkEnd w:id="688"/>
    </w:p>
    <w:p>
      <w:pPr>
        <w:pStyle w:val="Heading4"/>
      </w:pPr>
      <w:bookmarkStart w:id="689" w:name="_Toc501634023"/>
      <w:bookmarkStart w:id="690" w:name="_Toc501712919"/>
      <w:bookmarkStart w:id="691" w:name="_Toc536782114"/>
      <w:bookmarkStart w:id="692" w:name="_Toc220674326"/>
      <w:bookmarkStart w:id="693" w:name="_Toc221009498"/>
      <w:bookmarkStart w:id="694" w:name="_Toc221011360"/>
      <w:bookmarkStart w:id="695" w:name="_Toc221109866"/>
      <w:r>
        <w:t>Division 1 — Interpretation</w:t>
      </w:r>
      <w:bookmarkEnd w:id="689"/>
      <w:bookmarkEnd w:id="690"/>
      <w:bookmarkEnd w:id="691"/>
      <w:bookmarkEnd w:id="692"/>
      <w:bookmarkEnd w:id="693"/>
      <w:bookmarkEnd w:id="694"/>
      <w:bookmarkEnd w:id="695"/>
    </w:p>
    <w:p>
      <w:pPr>
        <w:pStyle w:val="Heading5"/>
      </w:pPr>
      <w:bookmarkStart w:id="696" w:name="_Toc536782115"/>
      <w:bookmarkStart w:id="697" w:name="_Toc221109867"/>
      <w:r>
        <w:rPr>
          <w:rStyle w:val="CharSectno"/>
        </w:rPr>
        <w:t>137</w:t>
      </w:r>
      <w:r>
        <w:t>.</w:t>
      </w:r>
      <w:r>
        <w:tab/>
        <w:t>Definitions</w:t>
      </w:r>
      <w:bookmarkEnd w:id="696"/>
      <w:bookmarkEnd w:id="697"/>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698" w:name="_Toc536782116"/>
      <w:bookmarkStart w:id="699" w:name="_Toc221109868"/>
      <w:r>
        <w:rPr>
          <w:rStyle w:val="CharSectno"/>
        </w:rPr>
        <w:lastRenderedPageBreak/>
        <w:t>138</w:t>
      </w:r>
      <w:r>
        <w:t>.</w:t>
      </w:r>
      <w:r>
        <w:tab/>
        <w:t>Meaning of marketing staff</w:t>
      </w:r>
      <w:bookmarkEnd w:id="698"/>
      <w:bookmarkEnd w:id="6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700" w:name="_Toc501634026"/>
      <w:bookmarkStart w:id="701" w:name="_Toc501712922"/>
      <w:bookmarkStart w:id="702" w:name="_Toc536782117"/>
      <w:bookmarkStart w:id="703" w:name="_Toc220674329"/>
      <w:bookmarkStart w:id="704" w:name="_Toc221009501"/>
      <w:bookmarkStart w:id="705" w:name="_Toc221011363"/>
      <w:bookmarkStart w:id="706" w:name="_Toc221109869"/>
      <w:r>
        <w:t>Division 2 — Minimum ring fencing requirements</w:t>
      </w:r>
      <w:bookmarkEnd w:id="700"/>
      <w:bookmarkEnd w:id="701"/>
      <w:bookmarkEnd w:id="702"/>
      <w:bookmarkEnd w:id="703"/>
      <w:bookmarkEnd w:id="704"/>
      <w:bookmarkEnd w:id="705"/>
      <w:bookmarkEnd w:id="706"/>
    </w:p>
    <w:p>
      <w:pPr>
        <w:pStyle w:val="Heading5"/>
      </w:pPr>
      <w:bookmarkStart w:id="707" w:name="_Toc536782118"/>
      <w:bookmarkStart w:id="708" w:name="_Toc221109870"/>
      <w:r>
        <w:rPr>
          <w:rStyle w:val="CharSectno"/>
        </w:rPr>
        <w:t>139</w:t>
      </w:r>
      <w:r>
        <w:t>.</w:t>
      </w:r>
      <w:r>
        <w:tab/>
        <w:t>Carrying on of related businesses prohibited</w:t>
      </w:r>
      <w:bookmarkEnd w:id="707"/>
      <w:bookmarkEnd w:id="708"/>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709" w:name="_Toc536782119"/>
      <w:bookmarkStart w:id="710" w:name="_Toc221109871"/>
      <w:r>
        <w:rPr>
          <w:rStyle w:val="CharSectno"/>
        </w:rPr>
        <w:t>140</w:t>
      </w:r>
      <w:r>
        <w:t>.</w:t>
      </w:r>
      <w:r>
        <w:tab/>
        <w:t>Marketing staff and the taking part in related businesses</w:t>
      </w:r>
      <w:bookmarkEnd w:id="709"/>
      <w:bookmarkEnd w:id="7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711" w:name="_Toc536782120"/>
      <w:bookmarkStart w:id="712" w:name="_Toc221109872"/>
      <w:r>
        <w:rPr>
          <w:rStyle w:val="CharSectno"/>
        </w:rPr>
        <w:lastRenderedPageBreak/>
        <w:t>141</w:t>
      </w:r>
      <w:r>
        <w:t>.</w:t>
      </w:r>
      <w:r>
        <w:tab/>
        <w:t>Accounts that must be prepared, maintained and kept</w:t>
      </w:r>
      <w:bookmarkEnd w:id="711"/>
      <w:bookmarkEnd w:id="712"/>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713" w:name="_Toc501634030"/>
      <w:bookmarkStart w:id="714" w:name="_Toc501712926"/>
      <w:bookmarkStart w:id="715" w:name="_Toc536782121"/>
      <w:bookmarkStart w:id="716" w:name="_Toc220674333"/>
      <w:bookmarkStart w:id="717" w:name="_Toc221009505"/>
      <w:bookmarkStart w:id="718" w:name="_Toc221011367"/>
      <w:bookmarkStart w:id="719" w:name="_Toc221109873"/>
      <w:r>
        <w:t>Division 3 — Additional ring fencing requirements</w:t>
      </w:r>
      <w:bookmarkEnd w:id="713"/>
      <w:bookmarkEnd w:id="714"/>
      <w:bookmarkEnd w:id="715"/>
      <w:bookmarkEnd w:id="716"/>
      <w:bookmarkEnd w:id="717"/>
      <w:bookmarkEnd w:id="718"/>
      <w:bookmarkEnd w:id="719"/>
    </w:p>
    <w:p>
      <w:pPr>
        <w:pStyle w:val="Heading5"/>
      </w:pPr>
      <w:bookmarkStart w:id="720" w:name="_Toc536782122"/>
      <w:bookmarkStart w:id="721" w:name="_Toc221109874"/>
      <w:r>
        <w:rPr>
          <w:rStyle w:val="CharSectno"/>
        </w:rPr>
        <w:t>142</w:t>
      </w:r>
      <w:r>
        <w:t>.</w:t>
      </w:r>
      <w:r>
        <w:tab/>
        <w:t>Division does not limit operation of Division 2</w:t>
      </w:r>
      <w:bookmarkEnd w:id="720"/>
      <w:bookmarkEnd w:id="721"/>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722" w:name="_Toc536782123"/>
      <w:bookmarkStart w:id="723" w:name="_Toc221109875"/>
      <w:r>
        <w:t>143.</w:t>
      </w:r>
      <w:r>
        <w:tab/>
        <w:t>AER ring fencing determinations</w:t>
      </w:r>
      <w:bookmarkEnd w:id="722"/>
      <w:bookmarkEnd w:id="7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724" w:name="_Toc536782124"/>
      <w:bookmarkStart w:id="725" w:name="_Toc221109876"/>
      <w:r>
        <w:rPr>
          <w:rStyle w:val="CharSectno"/>
        </w:rPr>
        <w:lastRenderedPageBreak/>
        <w:t>144</w:t>
      </w:r>
      <w:r>
        <w:t>.</w:t>
      </w:r>
      <w:r>
        <w:tab/>
        <w:t>AER to have regard to likely compliance costs of additional ring fencing requirements</w:t>
      </w:r>
      <w:bookmarkEnd w:id="724"/>
      <w:bookmarkEnd w:id="725"/>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726" w:name="_Toc536782125"/>
      <w:bookmarkStart w:id="727" w:name="_Toc221109877"/>
      <w:r>
        <w:rPr>
          <w:rStyle w:val="CharSectno"/>
        </w:rPr>
        <w:t>145</w:t>
      </w:r>
      <w:r>
        <w:t>.</w:t>
      </w:r>
      <w:r>
        <w:tab/>
        <w:t>Types of ring fencing requirements that may be specified in an AER ring fencing determination</w:t>
      </w:r>
      <w:bookmarkEnd w:id="726"/>
      <w:bookmarkEnd w:id="727"/>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lastRenderedPageBreak/>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728" w:name="_Toc501634035"/>
      <w:bookmarkStart w:id="729" w:name="_Toc501712931"/>
      <w:bookmarkStart w:id="730" w:name="_Toc536782126"/>
      <w:bookmarkStart w:id="731" w:name="_Toc220674338"/>
      <w:bookmarkStart w:id="732" w:name="_Toc221009510"/>
      <w:bookmarkStart w:id="733" w:name="_Toc221011372"/>
      <w:bookmarkStart w:id="734" w:name="_Toc221109878"/>
      <w:r>
        <w:t>Division 4 — AER ring fencing exemptions</w:t>
      </w:r>
      <w:bookmarkEnd w:id="728"/>
      <w:bookmarkEnd w:id="729"/>
      <w:bookmarkEnd w:id="730"/>
      <w:bookmarkEnd w:id="731"/>
      <w:bookmarkEnd w:id="732"/>
      <w:bookmarkEnd w:id="733"/>
      <w:bookmarkEnd w:id="734"/>
    </w:p>
    <w:p>
      <w:pPr>
        <w:pStyle w:val="Heading5"/>
      </w:pPr>
      <w:bookmarkStart w:id="735" w:name="_Toc536782127"/>
      <w:bookmarkStart w:id="736" w:name="_Toc221109879"/>
      <w:r>
        <w:rPr>
          <w:rStyle w:val="CharSectno"/>
        </w:rPr>
        <w:t>146</w:t>
      </w:r>
      <w:r>
        <w:t>.</w:t>
      </w:r>
      <w:r>
        <w:tab/>
        <w:t>Exemptions from minimum ring fencing requirements</w:t>
      </w:r>
      <w:bookmarkEnd w:id="735"/>
      <w:bookmarkEnd w:id="7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737" w:name="_Toc501634037"/>
      <w:bookmarkStart w:id="738" w:name="_Toc501712933"/>
      <w:bookmarkStart w:id="739" w:name="_Toc536782128"/>
      <w:bookmarkStart w:id="740" w:name="_Toc220674340"/>
      <w:bookmarkStart w:id="741" w:name="_Toc221009512"/>
      <w:bookmarkStart w:id="742" w:name="_Toc221011374"/>
      <w:bookmarkStart w:id="743" w:name="_Toc221109880"/>
      <w:r>
        <w:lastRenderedPageBreak/>
        <w:t>Division 5 — Associate contracts</w:t>
      </w:r>
      <w:bookmarkEnd w:id="737"/>
      <w:bookmarkEnd w:id="738"/>
      <w:bookmarkEnd w:id="739"/>
      <w:bookmarkEnd w:id="740"/>
      <w:bookmarkEnd w:id="741"/>
      <w:bookmarkEnd w:id="742"/>
      <w:bookmarkEnd w:id="743"/>
    </w:p>
    <w:p>
      <w:pPr>
        <w:pStyle w:val="Heading5"/>
      </w:pPr>
      <w:bookmarkStart w:id="744" w:name="_Toc536782129"/>
      <w:bookmarkStart w:id="745" w:name="_Toc221109881"/>
      <w:r>
        <w:rPr>
          <w:rStyle w:val="CharSectno"/>
        </w:rPr>
        <w:t>147</w:t>
      </w:r>
      <w:r>
        <w:t>.</w:t>
      </w:r>
      <w:r>
        <w:tab/>
        <w:t>Service provider must not enter into or give effect to associate contracts that have anti</w:t>
      </w:r>
      <w:r>
        <w:noBreakHyphen/>
        <w:t>competitive effect</w:t>
      </w:r>
      <w:bookmarkEnd w:id="744"/>
      <w:bookmarkEnd w:id="745"/>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746" w:name="_Toc536782130"/>
      <w:bookmarkStart w:id="747" w:name="_Toc221109882"/>
      <w:r>
        <w:rPr>
          <w:rStyle w:val="CharSectno"/>
        </w:rPr>
        <w:t>148</w:t>
      </w:r>
      <w:r>
        <w:t>.</w:t>
      </w:r>
      <w:r>
        <w:tab/>
        <w:t>Service provider must not enter into or give effect to associate contracts inconsistent with competitive parity rule</w:t>
      </w:r>
      <w:bookmarkEnd w:id="746"/>
      <w:bookmarkEnd w:id="7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748" w:name="_Toc501634040"/>
      <w:bookmarkStart w:id="749" w:name="_Toc501712936"/>
      <w:bookmarkStart w:id="750" w:name="_Toc536782131"/>
      <w:bookmarkStart w:id="751" w:name="_Toc220674343"/>
      <w:bookmarkStart w:id="752" w:name="_Toc221009515"/>
      <w:bookmarkStart w:id="753" w:name="_Toc221011377"/>
      <w:bookmarkStart w:id="754" w:name="_Toc221109883"/>
      <w:r>
        <w:rPr>
          <w:rStyle w:val="CharPartNo"/>
        </w:rPr>
        <w:lastRenderedPageBreak/>
        <w:t>Chapter 5</w:t>
      </w:r>
      <w:r>
        <w:t xml:space="preserve"> — </w:t>
      </w:r>
      <w:r>
        <w:rPr>
          <w:rStyle w:val="CharPartText"/>
        </w:rPr>
        <w:t>Greenfields pipeline incentives</w:t>
      </w:r>
      <w:bookmarkEnd w:id="748"/>
      <w:bookmarkEnd w:id="749"/>
      <w:bookmarkEnd w:id="750"/>
      <w:bookmarkEnd w:id="751"/>
      <w:bookmarkEnd w:id="752"/>
      <w:bookmarkEnd w:id="753"/>
      <w:bookmarkEnd w:id="754"/>
    </w:p>
    <w:p>
      <w:pPr>
        <w:pStyle w:val="Heading3"/>
      </w:pPr>
      <w:bookmarkStart w:id="755" w:name="_Toc501634041"/>
      <w:bookmarkStart w:id="756" w:name="_Toc501712937"/>
      <w:bookmarkStart w:id="757" w:name="_Toc536782132"/>
      <w:bookmarkStart w:id="758" w:name="_Toc220674344"/>
      <w:bookmarkStart w:id="759" w:name="_Toc221009516"/>
      <w:bookmarkStart w:id="760" w:name="_Toc221011378"/>
      <w:bookmarkStart w:id="761" w:name="_Toc221109884"/>
      <w:r>
        <w:rPr>
          <w:rStyle w:val="CharDivNo"/>
        </w:rPr>
        <w:t>Part 1</w:t>
      </w:r>
      <w:r>
        <w:t xml:space="preserve"> — </w:t>
      </w:r>
      <w:r>
        <w:rPr>
          <w:rStyle w:val="CharDivText"/>
        </w:rPr>
        <w:t>Interpretation</w:t>
      </w:r>
      <w:bookmarkEnd w:id="755"/>
      <w:bookmarkEnd w:id="756"/>
      <w:bookmarkEnd w:id="757"/>
      <w:bookmarkEnd w:id="758"/>
      <w:bookmarkEnd w:id="759"/>
      <w:bookmarkEnd w:id="760"/>
      <w:bookmarkEnd w:id="761"/>
    </w:p>
    <w:p>
      <w:pPr>
        <w:pStyle w:val="Heading5"/>
      </w:pPr>
      <w:bookmarkStart w:id="762" w:name="_Toc536782133"/>
      <w:bookmarkStart w:id="763" w:name="_Toc221109885"/>
      <w:r>
        <w:rPr>
          <w:rStyle w:val="CharSectno"/>
        </w:rPr>
        <w:t>149</w:t>
      </w:r>
      <w:r>
        <w:t>.</w:t>
      </w:r>
      <w:r>
        <w:tab/>
        <w:t>Definitions</w:t>
      </w:r>
      <w:bookmarkEnd w:id="762"/>
      <w:bookmarkEnd w:id="763"/>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764" w:name="_Toc536782134"/>
      <w:bookmarkStart w:id="765" w:name="_Toc221109886"/>
      <w:r>
        <w:rPr>
          <w:rStyle w:val="CharSectno"/>
        </w:rPr>
        <w:t>150</w:t>
      </w:r>
      <w:r>
        <w:t>.</w:t>
      </w:r>
      <w:r>
        <w:tab/>
        <w:t>International pipeline to be a transmission pipeline for purposes of Chapter</w:t>
      </w:r>
      <w:bookmarkEnd w:id="764"/>
      <w:bookmarkEnd w:id="765"/>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766" w:name="_Toc501634044"/>
      <w:bookmarkStart w:id="767" w:name="_Toc501712940"/>
      <w:bookmarkStart w:id="768" w:name="_Toc536782135"/>
      <w:bookmarkStart w:id="769" w:name="_Toc220674347"/>
      <w:bookmarkStart w:id="770" w:name="_Toc221009519"/>
      <w:bookmarkStart w:id="771" w:name="_Toc221011381"/>
      <w:bookmarkStart w:id="772" w:name="_Toc221109887"/>
      <w:r>
        <w:rPr>
          <w:rStyle w:val="CharDivNo"/>
        </w:rPr>
        <w:lastRenderedPageBreak/>
        <w:t>Part 2</w:t>
      </w:r>
      <w:r>
        <w:t xml:space="preserve"> — </w:t>
      </w:r>
      <w:r>
        <w:rPr>
          <w:rStyle w:val="CharDivText"/>
        </w:rPr>
        <w:t>15</w:t>
      </w:r>
      <w:r>
        <w:rPr>
          <w:rStyle w:val="CharDivText"/>
        </w:rPr>
        <w:noBreakHyphen/>
        <w:t>year no</w:t>
      </w:r>
      <w:r>
        <w:rPr>
          <w:rStyle w:val="CharDivText"/>
        </w:rPr>
        <w:noBreakHyphen/>
        <w:t>coverage determinations</w:t>
      </w:r>
      <w:bookmarkEnd w:id="766"/>
      <w:bookmarkEnd w:id="767"/>
      <w:bookmarkEnd w:id="768"/>
      <w:bookmarkEnd w:id="769"/>
      <w:bookmarkEnd w:id="770"/>
      <w:bookmarkEnd w:id="771"/>
      <w:bookmarkEnd w:id="772"/>
    </w:p>
    <w:p>
      <w:pPr>
        <w:pStyle w:val="Heading5"/>
      </w:pPr>
      <w:bookmarkStart w:id="773" w:name="_Toc536782136"/>
      <w:bookmarkStart w:id="774" w:name="_Toc221109888"/>
      <w:r>
        <w:rPr>
          <w:rStyle w:val="CharSectno"/>
        </w:rPr>
        <w:t>151</w:t>
      </w:r>
      <w:r>
        <w:t>.</w:t>
      </w:r>
      <w:r>
        <w:tab/>
        <w:t>Application for 15</w:t>
      </w:r>
      <w:r>
        <w:noBreakHyphen/>
        <w:t>year no</w:t>
      </w:r>
      <w:r>
        <w:noBreakHyphen/>
        <w:t>coverage determination for proposed pipeline</w:t>
      </w:r>
      <w:bookmarkEnd w:id="773"/>
      <w:bookmarkEnd w:id="7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775" w:name="_Toc536782137"/>
      <w:bookmarkStart w:id="776" w:name="_Toc221109889"/>
      <w:r>
        <w:rPr>
          <w:rStyle w:val="CharSectno"/>
        </w:rPr>
        <w:lastRenderedPageBreak/>
        <w:t>152</w:t>
      </w:r>
      <w:r>
        <w:t>.</w:t>
      </w:r>
      <w:r>
        <w:tab/>
        <w:t>Application to be dealt with in accordance with the Rules</w:t>
      </w:r>
      <w:bookmarkEnd w:id="775"/>
      <w:bookmarkEnd w:id="776"/>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777" w:name="_Toc536782138"/>
      <w:bookmarkStart w:id="778" w:name="_Toc221109890"/>
      <w:r>
        <w:rPr>
          <w:rStyle w:val="CharSectno"/>
        </w:rPr>
        <w:t>153</w:t>
      </w:r>
      <w:r>
        <w:t>.</w:t>
      </w:r>
      <w:r>
        <w:tab/>
        <w:t>No</w:t>
      </w:r>
      <w:r>
        <w:noBreakHyphen/>
        <w:t>coverage recommendation</w:t>
      </w:r>
      <w:bookmarkEnd w:id="777"/>
      <w:bookmarkEnd w:id="7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779" w:name="_Toc536782139"/>
      <w:bookmarkStart w:id="780" w:name="_Toc221109891"/>
      <w:r>
        <w:rPr>
          <w:rStyle w:val="CharSectno"/>
        </w:rPr>
        <w:lastRenderedPageBreak/>
        <w:t>154</w:t>
      </w:r>
      <w:r>
        <w:t>.</w:t>
      </w:r>
      <w:r>
        <w:tab/>
        <w:t>Principles governing the making of a no</w:t>
      </w:r>
      <w:r>
        <w:noBreakHyphen/>
        <w:t>coverage recommendation</w:t>
      </w:r>
      <w:bookmarkEnd w:id="779"/>
      <w:bookmarkEnd w:id="7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781" w:name="_Toc536782140"/>
      <w:bookmarkStart w:id="782" w:name="_Toc221109892"/>
      <w:r>
        <w:rPr>
          <w:rStyle w:val="CharSectno"/>
        </w:rPr>
        <w:t>155</w:t>
      </w:r>
      <w:r>
        <w:t>.</w:t>
      </w:r>
      <w:r>
        <w:tab/>
        <w:t>Initial classification decision to be made as part of recommendation</w:t>
      </w:r>
      <w:bookmarkEnd w:id="781"/>
      <w:bookmarkEnd w:id="7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783" w:name="_Toc536782141"/>
      <w:bookmarkStart w:id="784" w:name="_Toc221109893"/>
      <w:r>
        <w:rPr>
          <w:rStyle w:val="CharSectno"/>
        </w:rPr>
        <w:t>156</w:t>
      </w:r>
      <w:r>
        <w:t>.</w:t>
      </w:r>
      <w:r>
        <w:tab/>
        <w:t>Relevant Minister’s determination on application</w:t>
      </w:r>
      <w:bookmarkEnd w:id="783"/>
      <w:bookmarkEnd w:id="7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785" w:name="_Toc536782142"/>
      <w:bookmarkStart w:id="786" w:name="_Toc221109894"/>
      <w:r>
        <w:rPr>
          <w:rStyle w:val="CharSectno"/>
        </w:rPr>
        <w:t>157</w:t>
      </w:r>
      <w:r>
        <w:t>.</w:t>
      </w:r>
      <w:r>
        <w:tab/>
        <w:t>Principles governing the making of a 15</w:t>
      </w:r>
      <w:r>
        <w:noBreakHyphen/>
        <w:t>year no</w:t>
      </w:r>
      <w:r>
        <w:noBreakHyphen/>
        <w:t>coverage determination or decision not to do so</w:t>
      </w:r>
      <w:bookmarkEnd w:id="785"/>
      <w:bookmarkEnd w:id="7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787" w:name="_Toc536782143"/>
      <w:bookmarkStart w:id="788" w:name="_Toc221109895"/>
      <w:r>
        <w:rPr>
          <w:rStyle w:val="CharSectno"/>
        </w:rPr>
        <w:t>158</w:t>
      </w:r>
      <w:r>
        <w:t>.</w:t>
      </w:r>
      <w:r>
        <w:tab/>
        <w:t>Effect of 15</w:t>
      </w:r>
      <w:r>
        <w:noBreakHyphen/>
        <w:t>year no</w:t>
      </w:r>
      <w:r>
        <w:noBreakHyphen/>
        <w:t>coverage determination</w:t>
      </w:r>
      <w:bookmarkEnd w:id="787"/>
      <w:bookmarkEnd w:id="788"/>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789" w:name="_Toc536782144"/>
      <w:bookmarkStart w:id="790" w:name="_Toc221109896"/>
      <w:r>
        <w:rPr>
          <w:rStyle w:val="CharSectno"/>
        </w:rPr>
        <w:t>159</w:t>
      </w:r>
      <w:r>
        <w:t>.</w:t>
      </w:r>
      <w:r>
        <w:tab/>
        <w:t>Consequences of Minister deciding against making 15</w:t>
      </w:r>
      <w:r>
        <w:noBreakHyphen/>
        <w:t>year no</w:t>
      </w:r>
      <w:r>
        <w:noBreakHyphen/>
        <w:t>coverage determination for international pipeline</w:t>
      </w:r>
      <w:bookmarkEnd w:id="789"/>
      <w:bookmarkEnd w:id="7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791" w:name="_Toc501634054"/>
      <w:bookmarkStart w:id="792" w:name="_Toc501712950"/>
      <w:bookmarkStart w:id="793" w:name="_Toc536782145"/>
      <w:bookmarkStart w:id="794" w:name="_Toc220674357"/>
      <w:bookmarkStart w:id="795" w:name="_Toc221009529"/>
      <w:bookmarkStart w:id="796" w:name="_Toc221011391"/>
      <w:bookmarkStart w:id="797" w:name="_Toc221109897"/>
      <w:r>
        <w:rPr>
          <w:rStyle w:val="CharDivNo"/>
        </w:rPr>
        <w:t>Part 3</w:t>
      </w:r>
      <w:r>
        <w:t xml:space="preserve"> — </w:t>
      </w:r>
      <w:r>
        <w:rPr>
          <w:rStyle w:val="CharDivText"/>
        </w:rPr>
        <w:t>Price regulation exemptions</w:t>
      </w:r>
      <w:bookmarkEnd w:id="791"/>
      <w:bookmarkEnd w:id="792"/>
      <w:bookmarkEnd w:id="793"/>
      <w:bookmarkEnd w:id="794"/>
      <w:bookmarkEnd w:id="795"/>
      <w:bookmarkEnd w:id="796"/>
      <w:bookmarkEnd w:id="797"/>
    </w:p>
    <w:p>
      <w:pPr>
        <w:pStyle w:val="Heading4"/>
      </w:pPr>
      <w:bookmarkStart w:id="798" w:name="_Toc501634055"/>
      <w:bookmarkStart w:id="799" w:name="_Toc501712951"/>
      <w:bookmarkStart w:id="800" w:name="_Toc536782146"/>
      <w:bookmarkStart w:id="801" w:name="_Toc220674358"/>
      <w:bookmarkStart w:id="802" w:name="_Toc221009530"/>
      <w:bookmarkStart w:id="803" w:name="_Toc221011392"/>
      <w:bookmarkStart w:id="804" w:name="_Toc221109898"/>
      <w:r>
        <w:t>Division 1 — Application for price regulation exemption</w:t>
      </w:r>
      <w:bookmarkEnd w:id="798"/>
      <w:bookmarkEnd w:id="799"/>
      <w:bookmarkEnd w:id="800"/>
      <w:bookmarkEnd w:id="801"/>
      <w:bookmarkEnd w:id="802"/>
      <w:bookmarkEnd w:id="803"/>
      <w:bookmarkEnd w:id="804"/>
    </w:p>
    <w:p>
      <w:pPr>
        <w:pStyle w:val="Heading5"/>
      </w:pPr>
      <w:bookmarkStart w:id="805" w:name="_Toc536782147"/>
      <w:bookmarkStart w:id="806" w:name="_Toc221109899"/>
      <w:r>
        <w:rPr>
          <w:rStyle w:val="CharSectno"/>
        </w:rPr>
        <w:t>160</w:t>
      </w:r>
      <w:r>
        <w:t>.</w:t>
      </w:r>
      <w:r>
        <w:tab/>
        <w:t>Application for price regulation exemption</w:t>
      </w:r>
      <w:bookmarkEnd w:id="805"/>
      <w:bookmarkEnd w:id="8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807" w:name="_Toc501634057"/>
      <w:bookmarkStart w:id="808" w:name="_Toc501712953"/>
      <w:bookmarkStart w:id="809" w:name="_Toc536782148"/>
      <w:bookmarkStart w:id="810" w:name="_Toc220674360"/>
      <w:bookmarkStart w:id="811" w:name="_Toc221009532"/>
      <w:bookmarkStart w:id="812" w:name="_Toc221011394"/>
      <w:bookmarkStart w:id="813" w:name="_Toc221109900"/>
      <w:r>
        <w:t>Division 2 — Recommendations by NCC</w:t>
      </w:r>
      <w:bookmarkEnd w:id="807"/>
      <w:bookmarkEnd w:id="808"/>
      <w:bookmarkEnd w:id="809"/>
      <w:bookmarkEnd w:id="810"/>
      <w:bookmarkEnd w:id="811"/>
      <w:bookmarkEnd w:id="812"/>
      <w:bookmarkEnd w:id="813"/>
    </w:p>
    <w:p>
      <w:pPr>
        <w:pStyle w:val="Heading5"/>
        <w:spacing w:before="120"/>
      </w:pPr>
      <w:bookmarkStart w:id="814" w:name="_Toc536782149"/>
      <w:bookmarkStart w:id="815" w:name="_Toc221109901"/>
      <w:r>
        <w:rPr>
          <w:rStyle w:val="CharSectno"/>
        </w:rPr>
        <w:t>161</w:t>
      </w:r>
      <w:r>
        <w:t>.</w:t>
      </w:r>
      <w:r>
        <w:tab/>
        <w:t>Application to be dealt with in accordance with the Rules</w:t>
      </w:r>
      <w:bookmarkEnd w:id="814"/>
      <w:bookmarkEnd w:id="815"/>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816" w:name="_Toc536782150"/>
      <w:bookmarkStart w:id="817" w:name="_Toc221109902"/>
      <w:r>
        <w:rPr>
          <w:rStyle w:val="CharSectno"/>
        </w:rPr>
        <w:t>162</w:t>
      </w:r>
      <w:r>
        <w:t>.</w:t>
      </w:r>
      <w:r>
        <w:tab/>
        <w:t>NCC’s recommendation</w:t>
      </w:r>
      <w:bookmarkEnd w:id="816"/>
      <w:bookmarkEnd w:id="8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818" w:name="_Toc536782151"/>
      <w:bookmarkStart w:id="819" w:name="_Toc221109903"/>
      <w:r>
        <w:rPr>
          <w:rStyle w:val="CharSectno"/>
        </w:rPr>
        <w:t>163</w:t>
      </w:r>
      <w:r>
        <w:t>.</w:t>
      </w:r>
      <w:r>
        <w:tab/>
        <w:t>General principle governing NCC’s recommendation</w:t>
      </w:r>
      <w:bookmarkEnd w:id="818"/>
      <w:bookmarkEnd w:id="8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820" w:name="_Toc501634061"/>
      <w:bookmarkStart w:id="821" w:name="_Toc501712957"/>
      <w:bookmarkStart w:id="822" w:name="_Toc536782152"/>
      <w:bookmarkStart w:id="823" w:name="_Toc220674364"/>
      <w:bookmarkStart w:id="824" w:name="_Toc221009536"/>
      <w:bookmarkStart w:id="825" w:name="_Toc221011398"/>
      <w:bookmarkStart w:id="826" w:name="_Toc221109904"/>
      <w:r>
        <w:t>Division 3 — Making and effect of price regulation exemption</w:t>
      </w:r>
      <w:bookmarkEnd w:id="820"/>
      <w:bookmarkEnd w:id="821"/>
      <w:bookmarkEnd w:id="822"/>
      <w:bookmarkEnd w:id="823"/>
      <w:bookmarkEnd w:id="824"/>
      <w:bookmarkEnd w:id="825"/>
      <w:bookmarkEnd w:id="826"/>
    </w:p>
    <w:p>
      <w:pPr>
        <w:pStyle w:val="Heading5"/>
      </w:pPr>
      <w:bookmarkStart w:id="827" w:name="_Toc536782153"/>
      <w:bookmarkStart w:id="828" w:name="_Toc221109905"/>
      <w:r>
        <w:rPr>
          <w:rStyle w:val="CharSectno"/>
        </w:rPr>
        <w:t>164</w:t>
      </w:r>
      <w:r>
        <w:t>.</w:t>
      </w:r>
      <w:r>
        <w:tab/>
        <w:t>Making of price regulation exemption</w:t>
      </w:r>
      <w:bookmarkEnd w:id="827"/>
      <w:bookmarkEnd w:id="8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829" w:name="_Toc536782154"/>
      <w:bookmarkStart w:id="830" w:name="_Toc221109906"/>
      <w:r>
        <w:rPr>
          <w:rStyle w:val="CharSectno"/>
        </w:rPr>
        <w:lastRenderedPageBreak/>
        <w:t>165</w:t>
      </w:r>
      <w:r>
        <w:t>.</w:t>
      </w:r>
      <w:r>
        <w:tab/>
        <w:t>Principles governing the making of a price regulation exemption</w:t>
      </w:r>
      <w:bookmarkEnd w:id="829"/>
      <w:bookmarkEnd w:id="8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831" w:name="_Toc536782155"/>
      <w:bookmarkStart w:id="832" w:name="_Toc221109907"/>
      <w:r>
        <w:rPr>
          <w:rStyle w:val="CharSectno"/>
        </w:rPr>
        <w:t>166</w:t>
      </w:r>
      <w:r>
        <w:t>.</w:t>
      </w:r>
      <w:r>
        <w:tab/>
        <w:t>Conditions applying to a price regulation exemption</w:t>
      </w:r>
      <w:bookmarkEnd w:id="831"/>
      <w:bookmarkEnd w:id="832"/>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833" w:name="_Toc536782156"/>
      <w:bookmarkStart w:id="834" w:name="_Toc221109908"/>
      <w:r>
        <w:rPr>
          <w:rStyle w:val="CharSectno"/>
        </w:rPr>
        <w:t>167</w:t>
      </w:r>
      <w:r>
        <w:t>.</w:t>
      </w:r>
      <w:r>
        <w:tab/>
        <w:t>Effect of price regulation exemption</w:t>
      </w:r>
      <w:bookmarkEnd w:id="833"/>
      <w:bookmarkEnd w:id="8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835" w:name="_Toc501634066"/>
      <w:bookmarkStart w:id="836" w:name="_Toc501712962"/>
      <w:bookmarkStart w:id="837" w:name="_Toc536782157"/>
      <w:bookmarkStart w:id="838" w:name="_Toc220674369"/>
      <w:bookmarkStart w:id="839" w:name="_Toc221009541"/>
      <w:bookmarkStart w:id="840" w:name="_Toc221011403"/>
      <w:bookmarkStart w:id="841" w:name="_Toc221109909"/>
      <w:r>
        <w:t>Division 4 — Limited access arrangements</w:t>
      </w:r>
      <w:bookmarkEnd w:id="835"/>
      <w:bookmarkEnd w:id="836"/>
      <w:bookmarkEnd w:id="837"/>
      <w:bookmarkEnd w:id="838"/>
      <w:bookmarkEnd w:id="839"/>
      <w:bookmarkEnd w:id="840"/>
      <w:bookmarkEnd w:id="841"/>
    </w:p>
    <w:p>
      <w:pPr>
        <w:pStyle w:val="Heading5"/>
        <w:keepNext w:val="0"/>
        <w:keepLines w:val="0"/>
      </w:pPr>
      <w:bookmarkStart w:id="842" w:name="_Toc536782158"/>
      <w:bookmarkStart w:id="843" w:name="_Toc221109910"/>
      <w:r>
        <w:rPr>
          <w:rStyle w:val="CharSectno"/>
        </w:rPr>
        <w:t>168</w:t>
      </w:r>
      <w:r>
        <w:t>.</w:t>
      </w:r>
      <w:r>
        <w:tab/>
        <w:t>Limited access arrangements for pipeline services provided by international pipeline to which a price regulation exemption applies</w:t>
      </w:r>
      <w:bookmarkEnd w:id="842"/>
      <w:bookmarkEnd w:id="84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844" w:name="_Toc501634068"/>
      <w:bookmarkStart w:id="845" w:name="_Toc501712964"/>
      <w:bookmarkStart w:id="846" w:name="_Toc536782159"/>
      <w:bookmarkStart w:id="847" w:name="_Toc220674371"/>
      <w:bookmarkStart w:id="848" w:name="_Toc221009543"/>
      <w:bookmarkStart w:id="849" w:name="_Toc221011405"/>
      <w:bookmarkStart w:id="850" w:name="_Toc221109911"/>
      <w:r>
        <w:t>Division 5 — Other matters</w:t>
      </w:r>
      <w:bookmarkEnd w:id="844"/>
      <w:bookmarkEnd w:id="845"/>
      <w:bookmarkEnd w:id="846"/>
      <w:bookmarkEnd w:id="847"/>
      <w:bookmarkEnd w:id="848"/>
      <w:bookmarkEnd w:id="849"/>
      <w:bookmarkEnd w:id="850"/>
    </w:p>
    <w:p>
      <w:pPr>
        <w:pStyle w:val="Heading5"/>
      </w:pPr>
      <w:bookmarkStart w:id="851" w:name="_Toc536782160"/>
      <w:bookmarkStart w:id="852" w:name="_Toc221109912"/>
      <w:r>
        <w:rPr>
          <w:rStyle w:val="CharSectno"/>
        </w:rPr>
        <w:t>169</w:t>
      </w:r>
      <w:r>
        <w:t>.</w:t>
      </w:r>
      <w:r>
        <w:tab/>
        <w:t>Other obligations to which service provider is subject</w:t>
      </w:r>
      <w:bookmarkEnd w:id="851"/>
      <w:bookmarkEnd w:id="8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853" w:name="_Toc536782161"/>
      <w:bookmarkStart w:id="854" w:name="_Toc221109913"/>
      <w:r>
        <w:rPr>
          <w:rStyle w:val="CharSectno"/>
        </w:rPr>
        <w:t>170</w:t>
      </w:r>
      <w:r>
        <w:t>.</w:t>
      </w:r>
      <w:r>
        <w:tab/>
        <w:t>Service provider must not price discriminate in providing international pipeline services</w:t>
      </w:r>
      <w:bookmarkEnd w:id="853"/>
      <w:bookmarkEnd w:id="8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855" w:name="_Toc501634071"/>
      <w:bookmarkStart w:id="856" w:name="_Toc501712967"/>
      <w:bookmarkStart w:id="857" w:name="_Toc536782162"/>
      <w:bookmarkStart w:id="858" w:name="_Toc220674374"/>
      <w:bookmarkStart w:id="859" w:name="_Toc221009546"/>
      <w:bookmarkStart w:id="860" w:name="_Toc221011408"/>
      <w:bookmarkStart w:id="861" w:name="_Toc221109914"/>
      <w:r>
        <w:rPr>
          <w:rStyle w:val="CharDivNo"/>
        </w:rPr>
        <w:lastRenderedPageBreak/>
        <w:t>Part 4</w:t>
      </w:r>
      <w:r>
        <w:t xml:space="preserve"> — </w:t>
      </w:r>
      <w:r>
        <w:rPr>
          <w:rStyle w:val="CharDivText"/>
        </w:rPr>
        <w:t>Extended or modified application of greenfields pipeline incentive</w:t>
      </w:r>
      <w:bookmarkEnd w:id="855"/>
      <w:bookmarkEnd w:id="856"/>
      <w:bookmarkEnd w:id="857"/>
      <w:bookmarkEnd w:id="858"/>
      <w:bookmarkEnd w:id="859"/>
      <w:bookmarkEnd w:id="860"/>
      <w:bookmarkEnd w:id="861"/>
    </w:p>
    <w:p>
      <w:pPr>
        <w:pStyle w:val="Heading5"/>
      </w:pPr>
      <w:bookmarkStart w:id="862" w:name="_Toc536782163"/>
      <w:bookmarkStart w:id="863" w:name="_Toc221109915"/>
      <w:r>
        <w:rPr>
          <w:rStyle w:val="CharSectno"/>
        </w:rPr>
        <w:t>171</w:t>
      </w:r>
      <w:r>
        <w:t>.</w:t>
      </w:r>
      <w:r>
        <w:tab/>
        <w:t>Requirement for conformity between pipeline description and pipeline as constructed</w:t>
      </w:r>
      <w:bookmarkEnd w:id="862"/>
      <w:bookmarkEnd w:id="8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864" w:name="_Toc536782164"/>
      <w:bookmarkStart w:id="865" w:name="_Toc221109916"/>
      <w:r>
        <w:rPr>
          <w:rStyle w:val="CharSectno"/>
        </w:rPr>
        <w:t>172</w:t>
      </w:r>
      <w:r>
        <w:t>.</w:t>
      </w:r>
      <w:r>
        <w:tab/>
        <w:t>Power of relevant Minister to amend pipeline description</w:t>
      </w:r>
      <w:bookmarkEnd w:id="864"/>
      <w:bookmarkEnd w:id="8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866" w:name="_Toc501634074"/>
      <w:bookmarkStart w:id="867" w:name="_Toc501712970"/>
      <w:bookmarkStart w:id="868" w:name="_Toc536782165"/>
      <w:bookmarkStart w:id="869" w:name="_Toc220674377"/>
      <w:bookmarkStart w:id="870" w:name="_Toc221009549"/>
      <w:bookmarkStart w:id="871" w:name="_Toc221011411"/>
      <w:bookmarkStart w:id="872" w:name="_Toc221109917"/>
      <w:r>
        <w:rPr>
          <w:rStyle w:val="CharDivNo"/>
        </w:rPr>
        <w:t>Part 5</w:t>
      </w:r>
      <w:r>
        <w:t xml:space="preserve"> — </w:t>
      </w:r>
      <w:r>
        <w:rPr>
          <w:rStyle w:val="CharDivText"/>
        </w:rPr>
        <w:t>Early termination of greenfields pipeline incentive</w:t>
      </w:r>
      <w:bookmarkEnd w:id="866"/>
      <w:bookmarkEnd w:id="867"/>
      <w:bookmarkEnd w:id="868"/>
      <w:bookmarkEnd w:id="869"/>
      <w:bookmarkEnd w:id="870"/>
      <w:bookmarkEnd w:id="871"/>
      <w:bookmarkEnd w:id="872"/>
    </w:p>
    <w:p>
      <w:pPr>
        <w:pStyle w:val="Heading5"/>
      </w:pPr>
      <w:bookmarkStart w:id="873" w:name="_Toc536782166"/>
      <w:bookmarkStart w:id="874" w:name="_Toc221109918"/>
      <w:r>
        <w:rPr>
          <w:rStyle w:val="CharSectno"/>
        </w:rPr>
        <w:t>173</w:t>
      </w:r>
      <w:r>
        <w:t>.</w:t>
      </w:r>
      <w:r>
        <w:tab/>
        <w:t>Greenfields pipeline incentive may lapse</w:t>
      </w:r>
      <w:bookmarkEnd w:id="873"/>
      <w:bookmarkEnd w:id="8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875" w:name="_Toc536782167"/>
      <w:bookmarkStart w:id="876" w:name="_Toc221109919"/>
      <w:r>
        <w:rPr>
          <w:rStyle w:val="CharSectno"/>
        </w:rPr>
        <w:t>174</w:t>
      </w:r>
      <w:r>
        <w:t>.</w:t>
      </w:r>
      <w:r>
        <w:tab/>
        <w:t>Revocation by consent</w:t>
      </w:r>
      <w:bookmarkEnd w:id="875"/>
      <w:bookmarkEnd w:id="876"/>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877" w:name="_Toc536782168"/>
      <w:bookmarkStart w:id="878" w:name="_Toc221109920"/>
      <w:r>
        <w:rPr>
          <w:rStyle w:val="CharSectno"/>
        </w:rPr>
        <w:t>175</w:t>
      </w:r>
      <w:r>
        <w:t>.</w:t>
      </w:r>
      <w:r>
        <w:tab/>
        <w:t>Revocation for misrepresentation</w:t>
      </w:r>
      <w:bookmarkEnd w:id="877"/>
      <w:bookmarkEnd w:id="878"/>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applicant failed to disclose material information that the applicant was required to disclose under this Chapter.</w:t>
      </w:r>
    </w:p>
    <w:p>
      <w:pPr>
        <w:pStyle w:val="Heading5"/>
      </w:pPr>
      <w:bookmarkStart w:id="879" w:name="_Toc536782169"/>
      <w:bookmarkStart w:id="880" w:name="_Toc221109921"/>
      <w:r>
        <w:rPr>
          <w:rStyle w:val="CharSectno"/>
        </w:rPr>
        <w:t>176</w:t>
      </w:r>
      <w:r>
        <w:t>.</w:t>
      </w:r>
      <w:r>
        <w:tab/>
        <w:t>Revocation for breach of condition to which a price regulation exemption is subject</w:t>
      </w:r>
      <w:bookmarkEnd w:id="879"/>
      <w:bookmarkEnd w:id="880"/>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881" w:name="_Toc536782170"/>
      <w:bookmarkStart w:id="882" w:name="_Toc221109922"/>
      <w:r>
        <w:rPr>
          <w:rStyle w:val="CharSectno"/>
        </w:rPr>
        <w:t>177</w:t>
      </w:r>
      <w:r>
        <w:t>.</w:t>
      </w:r>
      <w:r>
        <w:tab/>
        <w:t>Exhaustive provision for termination of greenfields pipeline incentive</w:t>
      </w:r>
      <w:bookmarkEnd w:id="881"/>
      <w:bookmarkEnd w:id="882"/>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883" w:name="_Toc501634080"/>
      <w:bookmarkStart w:id="884" w:name="_Toc501712976"/>
      <w:bookmarkStart w:id="885" w:name="_Toc536782171"/>
      <w:bookmarkStart w:id="886" w:name="_Toc220674383"/>
      <w:bookmarkStart w:id="887" w:name="_Toc221009555"/>
      <w:bookmarkStart w:id="888" w:name="_Toc221011417"/>
      <w:bookmarkStart w:id="889" w:name="_Toc221109923"/>
      <w:r>
        <w:rPr>
          <w:rStyle w:val="CharPartNo"/>
        </w:rPr>
        <w:lastRenderedPageBreak/>
        <w:t>Chapter 6</w:t>
      </w:r>
      <w:r>
        <w:t xml:space="preserve"> — </w:t>
      </w:r>
      <w:r>
        <w:rPr>
          <w:rStyle w:val="CharPartText"/>
        </w:rPr>
        <w:t>Access disputes</w:t>
      </w:r>
      <w:bookmarkEnd w:id="883"/>
      <w:bookmarkEnd w:id="884"/>
      <w:r>
        <w:rPr>
          <w:rStyle w:val="CharPartText"/>
        </w:rPr>
        <w:t>—scheme pipelines</w:t>
      </w:r>
      <w:bookmarkEnd w:id="885"/>
      <w:bookmarkEnd w:id="886"/>
      <w:bookmarkEnd w:id="887"/>
      <w:bookmarkEnd w:id="888"/>
      <w:bookmarkEnd w:id="889"/>
    </w:p>
    <w:p>
      <w:pPr>
        <w:pStyle w:val="Footnoteheading"/>
      </w:pPr>
      <w:bookmarkStart w:id="890" w:name="_Toc501634081"/>
      <w:bookmarkStart w:id="891" w:name="_Toc501712977"/>
      <w:r>
        <w:tab/>
        <w:t>[Heading inserted: see SA Act No. 23 of 2017 s. 5 and WA Gazette 22 Dec 2017 p. 5984.]</w:t>
      </w:r>
    </w:p>
    <w:p>
      <w:pPr>
        <w:pStyle w:val="Heading3"/>
      </w:pPr>
      <w:bookmarkStart w:id="892" w:name="_Toc536782172"/>
      <w:bookmarkStart w:id="893" w:name="_Toc220674384"/>
      <w:bookmarkStart w:id="894" w:name="_Toc221009556"/>
      <w:bookmarkStart w:id="895" w:name="_Toc221011418"/>
      <w:bookmarkStart w:id="896" w:name="_Toc221109924"/>
      <w:r>
        <w:rPr>
          <w:rStyle w:val="CharDivNo"/>
        </w:rPr>
        <w:t>Part 1</w:t>
      </w:r>
      <w:r>
        <w:t xml:space="preserve"> — </w:t>
      </w:r>
      <w:r>
        <w:rPr>
          <w:rStyle w:val="CharDivText"/>
        </w:rPr>
        <w:t>Interpretation and application</w:t>
      </w:r>
      <w:bookmarkEnd w:id="890"/>
      <w:bookmarkEnd w:id="891"/>
      <w:bookmarkEnd w:id="892"/>
      <w:bookmarkEnd w:id="893"/>
      <w:bookmarkEnd w:id="894"/>
      <w:bookmarkEnd w:id="895"/>
      <w:bookmarkEnd w:id="896"/>
    </w:p>
    <w:p>
      <w:pPr>
        <w:pStyle w:val="Heading5"/>
      </w:pPr>
      <w:bookmarkStart w:id="897" w:name="_Toc536782173"/>
      <w:bookmarkStart w:id="898" w:name="_Toc221109925"/>
      <w:r>
        <w:rPr>
          <w:rStyle w:val="CharSectno"/>
        </w:rPr>
        <w:t>178</w:t>
      </w:r>
      <w:r>
        <w:t>.</w:t>
      </w:r>
      <w:r>
        <w:tab/>
        <w:t>Definitions</w:t>
      </w:r>
      <w:bookmarkEnd w:id="897"/>
      <w:bookmarkEnd w:id="898"/>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899" w:name="_Toc536782174"/>
      <w:bookmarkStart w:id="900" w:name="_Toc221109926"/>
      <w:r>
        <w:rPr>
          <w:rStyle w:val="CharSectno"/>
        </w:rPr>
        <w:t>179</w:t>
      </w:r>
      <w:r>
        <w:t>.</w:t>
      </w:r>
      <w:r>
        <w:tab/>
        <w:t>Chapter does not limit how disputes about access may be raised or dealt with</w:t>
      </w:r>
      <w:bookmarkEnd w:id="899"/>
      <w:bookmarkEnd w:id="900"/>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901" w:name="_Toc536782175"/>
      <w:bookmarkStart w:id="902" w:name="_Toc221109927"/>
      <w:r>
        <w:rPr>
          <w:rStyle w:val="CharSectno"/>
        </w:rPr>
        <w:t>180</w:t>
      </w:r>
      <w:r>
        <w:t>.</w:t>
      </w:r>
      <w:r>
        <w:tab/>
        <w:t>No price or revenue regulation for access disputes relating to international pipeline services</w:t>
      </w:r>
      <w:bookmarkEnd w:id="901"/>
      <w:bookmarkEnd w:id="902"/>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limiting the revenue to be derived by the service provider from the provision of a service.</w:t>
      </w:r>
    </w:p>
    <w:p>
      <w:pPr>
        <w:pStyle w:val="Heading3"/>
      </w:pPr>
      <w:bookmarkStart w:id="903" w:name="_Toc501634085"/>
      <w:bookmarkStart w:id="904" w:name="_Toc501712981"/>
      <w:bookmarkStart w:id="905" w:name="_Toc536782176"/>
      <w:bookmarkStart w:id="906" w:name="_Toc220674388"/>
      <w:bookmarkStart w:id="907" w:name="_Toc221009560"/>
      <w:bookmarkStart w:id="908" w:name="_Toc221011422"/>
      <w:bookmarkStart w:id="909" w:name="_Toc221109928"/>
      <w:r>
        <w:rPr>
          <w:rStyle w:val="CharDivNo"/>
        </w:rPr>
        <w:t>Part 2</w:t>
      </w:r>
      <w:r>
        <w:t xml:space="preserve"> — </w:t>
      </w:r>
      <w:r>
        <w:rPr>
          <w:rStyle w:val="CharDivText"/>
        </w:rPr>
        <w:t>Notification of access dispute</w:t>
      </w:r>
      <w:bookmarkEnd w:id="903"/>
      <w:bookmarkEnd w:id="904"/>
      <w:bookmarkEnd w:id="905"/>
      <w:bookmarkEnd w:id="906"/>
      <w:bookmarkEnd w:id="907"/>
      <w:bookmarkEnd w:id="908"/>
      <w:bookmarkEnd w:id="909"/>
    </w:p>
    <w:p>
      <w:pPr>
        <w:pStyle w:val="Heading5"/>
      </w:pPr>
      <w:bookmarkStart w:id="910" w:name="_Toc536782177"/>
      <w:bookmarkStart w:id="911" w:name="_Toc221109929"/>
      <w:r>
        <w:rPr>
          <w:rStyle w:val="CharSectno"/>
        </w:rPr>
        <w:t>181</w:t>
      </w:r>
      <w:r>
        <w:t>.</w:t>
      </w:r>
      <w:r>
        <w:tab/>
        <w:t>Notification of access dispute</w:t>
      </w:r>
      <w:bookmarkEnd w:id="910"/>
      <w:bookmarkEnd w:id="9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912" w:name="_Toc536782178"/>
      <w:bookmarkStart w:id="913" w:name="_Toc221109930"/>
      <w:r>
        <w:rPr>
          <w:rStyle w:val="CharSectno"/>
        </w:rPr>
        <w:t>181A</w:t>
      </w:r>
      <w:r>
        <w:t>.</w:t>
      </w:r>
      <w:r>
        <w:tab/>
        <w:t>Providing information for certain disputes</w:t>
      </w:r>
      <w:bookmarkEnd w:id="912"/>
      <w:bookmarkEnd w:id="9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WA Act Sch. 1 cl. 9.]</w:t>
      </w:r>
    </w:p>
    <w:p>
      <w:pPr>
        <w:pStyle w:val="Heading5"/>
      </w:pPr>
      <w:bookmarkStart w:id="914" w:name="_Toc536782179"/>
      <w:bookmarkStart w:id="915" w:name="_Toc221109931"/>
      <w:r>
        <w:rPr>
          <w:rStyle w:val="CharSectno"/>
        </w:rPr>
        <w:t>182</w:t>
      </w:r>
      <w:r>
        <w:t>.</w:t>
      </w:r>
      <w:r>
        <w:tab/>
        <w:t>Withdrawal of notification</w:t>
      </w:r>
      <w:bookmarkEnd w:id="914"/>
      <w:bookmarkEnd w:id="9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916" w:name="_Toc536782180"/>
      <w:bookmarkStart w:id="917" w:name="_Toc221109932"/>
      <w:r>
        <w:rPr>
          <w:rStyle w:val="CharSectno"/>
        </w:rPr>
        <w:t>183</w:t>
      </w:r>
      <w:r>
        <w:t>.</w:t>
      </w:r>
      <w:r>
        <w:tab/>
        <w:t>Parties to an access dispute</w:t>
      </w:r>
      <w:bookmarkEnd w:id="916"/>
      <w:bookmarkEnd w:id="917"/>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918" w:name="_Toc501634090"/>
      <w:bookmarkStart w:id="919" w:name="_Toc501712986"/>
      <w:bookmarkStart w:id="920" w:name="_Toc536782181"/>
      <w:bookmarkStart w:id="921" w:name="_Toc220674393"/>
      <w:bookmarkStart w:id="922" w:name="_Toc221009565"/>
      <w:bookmarkStart w:id="923" w:name="_Toc221011427"/>
      <w:bookmarkStart w:id="924" w:name="_Toc221109933"/>
      <w:r>
        <w:rPr>
          <w:rStyle w:val="CharDivNo"/>
        </w:rPr>
        <w:t>Part 3</w:t>
      </w:r>
      <w:r>
        <w:t xml:space="preserve"> — </w:t>
      </w:r>
      <w:r>
        <w:rPr>
          <w:rStyle w:val="CharDivText"/>
        </w:rPr>
        <w:t>Access determinations</w:t>
      </w:r>
      <w:bookmarkEnd w:id="918"/>
      <w:bookmarkEnd w:id="919"/>
      <w:bookmarkEnd w:id="920"/>
      <w:bookmarkEnd w:id="921"/>
      <w:bookmarkEnd w:id="922"/>
      <w:bookmarkEnd w:id="923"/>
      <w:bookmarkEnd w:id="924"/>
    </w:p>
    <w:p>
      <w:pPr>
        <w:pStyle w:val="Heading5"/>
      </w:pPr>
      <w:bookmarkStart w:id="925" w:name="_Toc536782182"/>
      <w:bookmarkStart w:id="926" w:name="_Toc221109934"/>
      <w:r>
        <w:rPr>
          <w:rStyle w:val="CharSectno"/>
        </w:rPr>
        <w:t>184</w:t>
      </w:r>
      <w:r>
        <w:t>.</w:t>
      </w:r>
      <w:r>
        <w:tab/>
        <w:t>Determination of access dispute</w:t>
      </w:r>
      <w:bookmarkEnd w:id="925"/>
      <w:bookmarkEnd w:id="9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927" w:name="_Toc536782183"/>
      <w:bookmarkStart w:id="928" w:name="_Toc221109935"/>
      <w:r>
        <w:rPr>
          <w:rStyle w:val="CharSectno"/>
        </w:rPr>
        <w:t>185</w:t>
      </w:r>
      <w:r>
        <w:t>.</w:t>
      </w:r>
      <w:r>
        <w:tab/>
        <w:t>Dispute resolution body may require parties to mediate, conciliate or engage in an alternative dispute resolution process</w:t>
      </w:r>
      <w:bookmarkEnd w:id="927"/>
      <w:bookmarkEnd w:id="9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929" w:name="_Toc536782184"/>
      <w:bookmarkStart w:id="930" w:name="_Toc221109936"/>
      <w:r>
        <w:rPr>
          <w:rStyle w:val="CharSectno"/>
        </w:rPr>
        <w:lastRenderedPageBreak/>
        <w:t>186</w:t>
      </w:r>
      <w:r>
        <w:t>.</w:t>
      </w:r>
      <w:r>
        <w:tab/>
        <w:t>Dispute resolution body may terminate access dispute in certain cases</w:t>
      </w:r>
      <w:bookmarkEnd w:id="929"/>
      <w:bookmarkEnd w:id="9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931" w:name="_Toc536782185"/>
      <w:bookmarkStart w:id="932" w:name="_Toc221109937"/>
      <w:r>
        <w:rPr>
          <w:rStyle w:val="CharSectno"/>
        </w:rPr>
        <w:lastRenderedPageBreak/>
        <w:t>187</w:t>
      </w:r>
      <w:r>
        <w:t>.</w:t>
      </w:r>
      <w:r>
        <w:tab/>
        <w:t>No access determination if dispute resolution body considers there is genuine competition</w:t>
      </w:r>
      <w:bookmarkEnd w:id="931"/>
      <w:bookmarkEnd w:id="932"/>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933" w:name="_Toc536782186"/>
      <w:bookmarkStart w:id="934" w:name="_Toc221109938"/>
      <w:r>
        <w:rPr>
          <w:rStyle w:val="CharSectno"/>
        </w:rPr>
        <w:t>188</w:t>
      </w:r>
      <w:r>
        <w:t>.</w:t>
      </w:r>
      <w:r>
        <w:tab/>
        <w:t>Restrictions on access determinations</w:t>
      </w:r>
      <w:bookmarkEnd w:id="933"/>
      <w:bookmarkEnd w:id="9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lastRenderedPageBreak/>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935" w:name="_Toc536782187"/>
      <w:bookmarkStart w:id="936" w:name="_Toc221109939"/>
      <w:r>
        <w:rPr>
          <w:rStyle w:val="CharSectno"/>
        </w:rPr>
        <w:t>189</w:t>
      </w:r>
      <w:r>
        <w:t>.</w:t>
      </w:r>
      <w:r>
        <w:tab/>
        <w:t>Access determination must give effect to applicable access arrangement</w:t>
      </w:r>
      <w:bookmarkEnd w:id="935"/>
      <w:bookmarkEnd w:id="936"/>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937" w:name="_Toc536782188"/>
      <w:bookmarkStart w:id="938" w:name="_Toc221109940"/>
      <w:r>
        <w:rPr>
          <w:rStyle w:val="CharSectno"/>
        </w:rPr>
        <w:t>190</w:t>
      </w:r>
      <w:r>
        <w:t>.</w:t>
      </w:r>
      <w:r>
        <w:tab/>
        <w:t>Access determinations and past contributions of capital to fund installations or the construction of new facilities</w:t>
      </w:r>
      <w:bookmarkEnd w:id="937"/>
      <w:bookmarkEnd w:id="9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939" w:name="_Toc536782189"/>
      <w:bookmarkStart w:id="940" w:name="_Toc221109941"/>
      <w:r>
        <w:rPr>
          <w:rStyle w:val="CharSectno"/>
        </w:rPr>
        <w:t>191</w:t>
      </w:r>
      <w:r>
        <w:t>.</w:t>
      </w:r>
      <w:r>
        <w:tab/>
        <w:t>Rules may allow determination that varies applicable access arrangement for installation of a new facility</w:t>
      </w:r>
      <w:bookmarkEnd w:id="939"/>
      <w:bookmarkEnd w:id="9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941" w:name="_Toc536782190"/>
      <w:bookmarkStart w:id="942" w:name="_Toc221109942"/>
      <w:r>
        <w:rPr>
          <w:rStyle w:val="CharSectno"/>
        </w:rPr>
        <w:lastRenderedPageBreak/>
        <w:t>192</w:t>
      </w:r>
      <w:r>
        <w:t>.</w:t>
      </w:r>
      <w:r>
        <w:tab/>
        <w:t>Access determinations need not require the provision of a pipeline service</w:t>
      </w:r>
      <w:bookmarkEnd w:id="941"/>
      <w:bookmarkEnd w:id="942"/>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943" w:name="_Toc536782191"/>
      <w:bookmarkStart w:id="944" w:name="_Toc221109943"/>
      <w:r>
        <w:rPr>
          <w:rStyle w:val="CharSectno"/>
        </w:rPr>
        <w:t>193</w:t>
      </w:r>
      <w:r>
        <w:t>.</w:t>
      </w:r>
      <w:r>
        <w:tab/>
        <w:t>Content of access determinations</w:t>
      </w:r>
      <w:bookmarkEnd w:id="943"/>
      <w:bookmarkEnd w:id="944"/>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945" w:name="_Toc501634101"/>
      <w:bookmarkStart w:id="946" w:name="_Toc501712997"/>
      <w:bookmarkStart w:id="947" w:name="_Toc536782192"/>
      <w:bookmarkStart w:id="948" w:name="_Toc220674404"/>
      <w:bookmarkStart w:id="949" w:name="_Toc221009576"/>
      <w:bookmarkStart w:id="950" w:name="_Toc221011438"/>
      <w:bookmarkStart w:id="951" w:name="_Toc221109944"/>
      <w:r>
        <w:rPr>
          <w:rStyle w:val="CharDivNo"/>
        </w:rPr>
        <w:t>Part 4</w:t>
      </w:r>
      <w:r>
        <w:t xml:space="preserve"> — </w:t>
      </w:r>
      <w:r>
        <w:rPr>
          <w:rStyle w:val="CharDivText"/>
        </w:rPr>
        <w:t>Variation of access determinations</w:t>
      </w:r>
      <w:bookmarkEnd w:id="945"/>
      <w:bookmarkEnd w:id="946"/>
      <w:bookmarkEnd w:id="947"/>
      <w:bookmarkEnd w:id="948"/>
      <w:bookmarkEnd w:id="949"/>
      <w:bookmarkEnd w:id="950"/>
      <w:bookmarkEnd w:id="951"/>
    </w:p>
    <w:p>
      <w:pPr>
        <w:pStyle w:val="Heading5"/>
      </w:pPr>
      <w:bookmarkStart w:id="952" w:name="_Toc536782193"/>
      <w:bookmarkStart w:id="953" w:name="_Toc221109945"/>
      <w:r>
        <w:rPr>
          <w:rStyle w:val="CharSectno"/>
        </w:rPr>
        <w:t>194</w:t>
      </w:r>
      <w:r>
        <w:t>.</w:t>
      </w:r>
      <w:r>
        <w:tab/>
        <w:t>Variation of access determination</w:t>
      </w:r>
      <w:bookmarkEnd w:id="952"/>
      <w:bookmarkEnd w:id="9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variation were the making of an access determination in the terms of the varied determination.</w:t>
      </w:r>
    </w:p>
    <w:p>
      <w:pPr>
        <w:pStyle w:val="Heading3"/>
      </w:pPr>
      <w:bookmarkStart w:id="954" w:name="_Toc501634103"/>
      <w:bookmarkStart w:id="955" w:name="_Toc501712999"/>
      <w:bookmarkStart w:id="956" w:name="_Toc536782194"/>
      <w:bookmarkStart w:id="957" w:name="_Toc220674406"/>
      <w:bookmarkStart w:id="958" w:name="_Toc221009578"/>
      <w:bookmarkStart w:id="959" w:name="_Toc221011440"/>
      <w:bookmarkStart w:id="960" w:name="_Toc221109946"/>
      <w:r>
        <w:rPr>
          <w:rStyle w:val="CharDivNo"/>
        </w:rPr>
        <w:t>Part 5</w:t>
      </w:r>
      <w:r>
        <w:t xml:space="preserve"> — </w:t>
      </w:r>
      <w:r>
        <w:rPr>
          <w:rStyle w:val="CharDivText"/>
        </w:rPr>
        <w:t>Compliance with access determinations</w:t>
      </w:r>
      <w:bookmarkEnd w:id="954"/>
      <w:bookmarkEnd w:id="955"/>
      <w:bookmarkEnd w:id="956"/>
      <w:bookmarkEnd w:id="957"/>
      <w:bookmarkEnd w:id="958"/>
      <w:bookmarkEnd w:id="959"/>
      <w:bookmarkEnd w:id="960"/>
    </w:p>
    <w:p>
      <w:pPr>
        <w:pStyle w:val="Heading5"/>
      </w:pPr>
      <w:bookmarkStart w:id="961" w:name="_Toc536782195"/>
      <w:bookmarkStart w:id="962" w:name="_Toc221109947"/>
      <w:r>
        <w:rPr>
          <w:rStyle w:val="CharSectno"/>
        </w:rPr>
        <w:t>195</w:t>
      </w:r>
      <w:r>
        <w:t>.</w:t>
      </w:r>
      <w:r>
        <w:tab/>
        <w:t>Compliance with access determination</w:t>
      </w:r>
      <w:bookmarkEnd w:id="961"/>
      <w:bookmarkEnd w:id="962"/>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963" w:name="_Toc501634105"/>
      <w:bookmarkStart w:id="964" w:name="_Toc501713001"/>
      <w:bookmarkStart w:id="965" w:name="_Toc536782196"/>
      <w:bookmarkStart w:id="966" w:name="_Toc220674408"/>
      <w:bookmarkStart w:id="967" w:name="_Toc221009580"/>
      <w:bookmarkStart w:id="968" w:name="_Toc221011442"/>
      <w:bookmarkStart w:id="969" w:name="_Toc221109948"/>
      <w:r>
        <w:rPr>
          <w:rStyle w:val="CharDivNo"/>
        </w:rPr>
        <w:t>Part 6</w:t>
      </w:r>
      <w:r>
        <w:t xml:space="preserve"> — </w:t>
      </w:r>
      <w:r>
        <w:rPr>
          <w:rStyle w:val="CharDivText"/>
        </w:rPr>
        <w:t>Access dispute hearing procedure</w:t>
      </w:r>
      <w:bookmarkEnd w:id="963"/>
      <w:bookmarkEnd w:id="964"/>
      <w:bookmarkEnd w:id="965"/>
      <w:bookmarkEnd w:id="966"/>
      <w:bookmarkEnd w:id="967"/>
      <w:bookmarkEnd w:id="968"/>
      <w:bookmarkEnd w:id="969"/>
    </w:p>
    <w:p>
      <w:pPr>
        <w:pStyle w:val="Heading5"/>
      </w:pPr>
      <w:bookmarkStart w:id="970" w:name="_Toc536782197"/>
      <w:bookmarkStart w:id="971" w:name="_Toc221109949"/>
      <w:r>
        <w:rPr>
          <w:rStyle w:val="CharSectno"/>
        </w:rPr>
        <w:t>196</w:t>
      </w:r>
      <w:r>
        <w:t>.</w:t>
      </w:r>
      <w:r>
        <w:tab/>
        <w:t>Hearing to be in private</w:t>
      </w:r>
      <w:bookmarkEnd w:id="970"/>
      <w:bookmarkEnd w:id="9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972" w:name="_Toc536782198"/>
      <w:bookmarkStart w:id="973" w:name="_Toc221109950"/>
      <w:r>
        <w:rPr>
          <w:rStyle w:val="CharSectno"/>
        </w:rPr>
        <w:t>197</w:t>
      </w:r>
      <w:r>
        <w:t>.</w:t>
      </w:r>
      <w:r>
        <w:tab/>
        <w:t>Right to representation</w:t>
      </w:r>
      <w:bookmarkEnd w:id="972"/>
      <w:bookmarkEnd w:id="973"/>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974" w:name="_Toc536782199"/>
      <w:bookmarkStart w:id="975" w:name="_Toc221109951"/>
      <w:r>
        <w:rPr>
          <w:rStyle w:val="CharSectno"/>
        </w:rPr>
        <w:t>198</w:t>
      </w:r>
      <w:r>
        <w:t>.</w:t>
      </w:r>
      <w:r>
        <w:tab/>
        <w:t>Procedure of dispute resolution body</w:t>
      </w:r>
      <w:bookmarkEnd w:id="974"/>
      <w:bookmarkEnd w:id="9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976" w:name="_Toc536782200"/>
      <w:bookmarkStart w:id="977" w:name="_Toc221109952"/>
      <w:r>
        <w:rPr>
          <w:rStyle w:val="CharSectno"/>
        </w:rPr>
        <w:t>199</w:t>
      </w:r>
      <w:r>
        <w:t>.</w:t>
      </w:r>
      <w:r>
        <w:tab/>
        <w:t>Particular powers of dispute resolution body in a hearing</w:t>
      </w:r>
      <w:bookmarkEnd w:id="976"/>
      <w:bookmarkEnd w:id="9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978" w:name="_Toc536782201"/>
      <w:bookmarkStart w:id="979" w:name="_Toc221109953"/>
      <w:r>
        <w:rPr>
          <w:rStyle w:val="CharSectno"/>
        </w:rPr>
        <w:t>200</w:t>
      </w:r>
      <w:r>
        <w:t>.</w:t>
      </w:r>
      <w:r>
        <w:tab/>
        <w:t>Disclosure of information</w:t>
      </w:r>
      <w:bookmarkEnd w:id="978"/>
      <w:bookmarkEnd w:id="9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980" w:name="_Toc536782202"/>
      <w:bookmarkStart w:id="981" w:name="_Toc221109954"/>
      <w:r>
        <w:rPr>
          <w:rStyle w:val="CharSectno"/>
        </w:rPr>
        <w:t>201</w:t>
      </w:r>
      <w:r>
        <w:t>.</w:t>
      </w:r>
      <w:r>
        <w:tab/>
        <w:t>Power to take evidence on oath or affirmation</w:t>
      </w:r>
      <w:bookmarkEnd w:id="980"/>
      <w:bookmarkEnd w:id="9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982" w:name="_Toc536782203"/>
      <w:bookmarkStart w:id="983" w:name="_Toc221109955"/>
      <w:r>
        <w:rPr>
          <w:rStyle w:val="CharSectno"/>
        </w:rPr>
        <w:lastRenderedPageBreak/>
        <w:t>202</w:t>
      </w:r>
      <w:r>
        <w:t>.</w:t>
      </w:r>
      <w:r>
        <w:tab/>
        <w:t>Failing to attend as a witness</w:t>
      </w:r>
      <w:bookmarkEnd w:id="982"/>
      <w:bookmarkEnd w:id="983"/>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984" w:name="_Toc536782204"/>
      <w:bookmarkStart w:id="985" w:name="_Toc221109956"/>
      <w:r>
        <w:rPr>
          <w:rStyle w:val="CharSectno"/>
        </w:rPr>
        <w:t>203</w:t>
      </w:r>
      <w:r>
        <w:t>.</w:t>
      </w:r>
      <w:r>
        <w:tab/>
        <w:t>Failing to answer questions etc</w:t>
      </w:r>
      <w:bookmarkEnd w:id="984"/>
      <w:bookmarkEnd w:id="9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986" w:name="_Toc536782205"/>
      <w:bookmarkStart w:id="987" w:name="_Toc221109957"/>
      <w:r>
        <w:rPr>
          <w:rStyle w:val="CharSectno"/>
        </w:rPr>
        <w:lastRenderedPageBreak/>
        <w:t>204</w:t>
      </w:r>
      <w:r>
        <w:t>.</w:t>
      </w:r>
      <w:r>
        <w:tab/>
        <w:t>Intimidation etc</w:t>
      </w:r>
      <w:bookmarkEnd w:id="986"/>
      <w:bookmarkEnd w:id="987"/>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988" w:name="_Toc536782206"/>
      <w:bookmarkStart w:id="989" w:name="_Toc221109958"/>
      <w:r>
        <w:rPr>
          <w:rStyle w:val="CharSectno"/>
        </w:rPr>
        <w:t>205</w:t>
      </w:r>
      <w:r>
        <w:t>.</w:t>
      </w:r>
      <w:r>
        <w:tab/>
        <w:t>Party may request dispute resolution body to treat material as confidential</w:t>
      </w:r>
      <w:bookmarkEnd w:id="988"/>
      <w:bookmarkEnd w:id="9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990" w:name="_Toc536782207"/>
      <w:bookmarkStart w:id="991" w:name="_Toc221109959"/>
      <w:r>
        <w:rPr>
          <w:rStyle w:val="CharSectno"/>
        </w:rPr>
        <w:t>206</w:t>
      </w:r>
      <w:r>
        <w:t>.</w:t>
      </w:r>
      <w:r>
        <w:tab/>
        <w:t>Costs</w:t>
      </w:r>
      <w:bookmarkEnd w:id="990"/>
      <w:bookmarkEnd w:id="9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992" w:name="_Toc536782208"/>
      <w:bookmarkStart w:id="993" w:name="_Toc221109960"/>
      <w:r>
        <w:t>207.</w:t>
      </w:r>
      <w:r>
        <w:tab/>
        <w:t>Outstanding costs are a debt due to party awarded the costs</w:t>
      </w:r>
      <w:bookmarkEnd w:id="992"/>
      <w:bookmarkEnd w:id="993"/>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994" w:name="_Toc501634118"/>
      <w:bookmarkStart w:id="995" w:name="_Toc501713014"/>
      <w:bookmarkStart w:id="996" w:name="_Toc536782209"/>
      <w:bookmarkStart w:id="997" w:name="_Toc220674421"/>
      <w:bookmarkStart w:id="998" w:name="_Toc221009593"/>
      <w:bookmarkStart w:id="999" w:name="_Toc221011455"/>
      <w:bookmarkStart w:id="1000" w:name="_Toc221109961"/>
      <w:r>
        <w:rPr>
          <w:rStyle w:val="CharDivNo"/>
        </w:rPr>
        <w:t>Part 7</w:t>
      </w:r>
      <w:r>
        <w:t xml:space="preserve"> — </w:t>
      </w:r>
      <w:r>
        <w:rPr>
          <w:rStyle w:val="CharDivText"/>
        </w:rPr>
        <w:t>Joint access dispute hearings</w:t>
      </w:r>
      <w:bookmarkEnd w:id="994"/>
      <w:bookmarkEnd w:id="995"/>
      <w:bookmarkEnd w:id="996"/>
      <w:bookmarkEnd w:id="997"/>
      <w:bookmarkEnd w:id="998"/>
      <w:bookmarkEnd w:id="999"/>
      <w:bookmarkEnd w:id="1000"/>
    </w:p>
    <w:p>
      <w:pPr>
        <w:pStyle w:val="Heading5"/>
      </w:pPr>
      <w:bookmarkStart w:id="1001" w:name="_Toc536782210"/>
      <w:bookmarkStart w:id="1002" w:name="_Toc221109962"/>
      <w:r>
        <w:rPr>
          <w:rStyle w:val="CharSectno"/>
        </w:rPr>
        <w:t>208</w:t>
      </w:r>
      <w:r>
        <w:t>.</w:t>
      </w:r>
      <w:r>
        <w:tab/>
        <w:t>Definition</w:t>
      </w:r>
      <w:bookmarkEnd w:id="1001"/>
      <w:bookmarkEnd w:id="1002"/>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1003" w:name="_Toc536782211"/>
      <w:bookmarkStart w:id="1004" w:name="_Toc221109963"/>
      <w:r>
        <w:rPr>
          <w:rStyle w:val="CharSectno"/>
        </w:rPr>
        <w:t>209</w:t>
      </w:r>
      <w:r>
        <w:t>.</w:t>
      </w:r>
      <w:r>
        <w:tab/>
        <w:t>Joint dispute hearing</w:t>
      </w:r>
      <w:bookmarkEnd w:id="1003"/>
      <w:bookmarkEnd w:id="10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1005" w:name="_Toc536782212"/>
      <w:bookmarkStart w:id="1006" w:name="_Toc221109964"/>
      <w:r>
        <w:rPr>
          <w:rStyle w:val="CharSectno"/>
        </w:rPr>
        <w:t>210</w:t>
      </w:r>
      <w:r>
        <w:t>.</w:t>
      </w:r>
      <w:r>
        <w:tab/>
        <w:t>Consulting the parties</w:t>
      </w:r>
      <w:bookmarkEnd w:id="1005"/>
      <w:bookmarkEnd w:id="10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1007" w:name="_Toc536782213"/>
      <w:bookmarkStart w:id="1008" w:name="_Toc221109965"/>
      <w:r>
        <w:rPr>
          <w:rStyle w:val="CharSectno"/>
        </w:rPr>
        <w:t>211</w:t>
      </w:r>
      <w:r>
        <w:t>.</w:t>
      </w:r>
      <w:r>
        <w:tab/>
        <w:t>Constitution and procedure of dispute resolution body for joint dispute hearings</w:t>
      </w:r>
      <w:bookmarkEnd w:id="1007"/>
      <w:bookmarkEnd w:id="1008"/>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1009" w:name="_Toc536782214"/>
      <w:bookmarkStart w:id="1010" w:name="_Toc221109966"/>
      <w:r>
        <w:rPr>
          <w:rStyle w:val="CharSectno"/>
        </w:rPr>
        <w:t>212</w:t>
      </w:r>
      <w:r>
        <w:t>.</w:t>
      </w:r>
      <w:r>
        <w:tab/>
        <w:t>Record of proceedings etc</w:t>
      </w:r>
      <w:bookmarkEnd w:id="1009"/>
      <w:bookmarkEnd w:id="101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1011" w:name="_Toc501634124"/>
      <w:bookmarkStart w:id="1012" w:name="_Toc501713020"/>
      <w:bookmarkStart w:id="1013" w:name="_Toc536782215"/>
      <w:bookmarkStart w:id="1014" w:name="_Toc220674427"/>
      <w:bookmarkStart w:id="1015" w:name="_Toc221009599"/>
      <w:bookmarkStart w:id="1016" w:name="_Toc221011461"/>
      <w:bookmarkStart w:id="1017" w:name="_Toc221109967"/>
      <w:r>
        <w:rPr>
          <w:rStyle w:val="CharDivNo"/>
        </w:rPr>
        <w:t>Part 8</w:t>
      </w:r>
      <w:r>
        <w:t> — </w:t>
      </w:r>
      <w:r>
        <w:rPr>
          <w:rStyle w:val="CharDivText"/>
        </w:rPr>
        <w:t>Miscellaneous matters</w:t>
      </w:r>
      <w:bookmarkEnd w:id="1011"/>
      <w:bookmarkEnd w:id="1012"/>
      <w:bookmarkEnd w:id="1013"/>
      <w:bookmarkEnd w:id="1014"/>
      <w:bookmarkEnd w:id="1015"/>
      <w:bookmarkEnd w:id="1016"/>
      <w:bookmarkEnd w:id="1017"/>
    </w:p>
    <w:p>
      <w:pPr>
        <w:pStyle w:val="Heading5"/>
      </w:pPr>
      <w:bookmarkStart w:id="1018" w:name="_Toc536782216"/>
      <w:bookmarkStart w:id="1019" w:name="_Toc221109968"/>
      <w:r>
        <w:rPr>
          <w:rStyle w:val="CharSectno"/>
        </w:rPr>
        <w:t>213</w:t>
      </w:r>
      <w:r>
        <w:t>.</w:t>
      </w:r>
      <w:r>
        <w:tab/>
        <w:t>Correction of access determinations for clerical mistakes etc</w:t>
      </w:r>
      <w:bookmarkEnd w:id="1018"/>
      <w:bookmarkEnd w:id="1019"/>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1020" w:name="_Toc536782217"/>
      <w:bookmarkStart w:id="1021" w:name="_Toc221109969"/>
      <w:r>
        <w:rPr>
          <w:rStyle w:val="CharSectno"/>
        </w:rPr>
        <w:t>214</w:t>
      </w:r>
      <w:r>
        <w:t>.</w:t>
      </w:r>
      <w:r>
        <w:tab/>
        <w:t>Reservation of capacity during an access dispute</w:t>
      </w:r>
      <w:bookmarkEnd w:id="1020"/>
      <w:bookmarkEnd w:id="1021"/>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1022" w:name="_Toc536782218"/>
      <w:bookmarkStart w:id="1023" w:name="_Toc221109970"/>
      <w:r>
        <w:rPr>
          <w:rStyle w:val="CharSectno"/>
        </w:rPr>
        <w:lastRenderedPageBreak/>
        <w:t>215</w:t>
      </w:r>
      <w:r>
        <w:t>.</w:t>
      </w:r>
      <w:r>
        <w:tab/>
        <w:t>Subsequent service providers bound by access determinations</w:t>
      </w:r>
      <w:bookmarkEnd w:id="1022"/>
      <w:bookmarkEnd w:id="10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1024" w:name="_Toc536782219"/>
      <w:bookmarkStart w:id="1025" w:name="_Toc221109971"/>
      <w:r>
        <w:rPr>
          <w:rStyle w:val="CharSectno"/>
        </w:rPr>
        <w:t>216</w:t>
      </w:r>
      <w:r>
        <w:t>.</w:t>
      </w:r>
      <w:r>
        <w:tab/>
        <w:t>Regulations about the costs to be paid by parties to access dispute</w:t>
      </w:r>
      <w:bookmarkEnd w:id="1024"/>
      <w:bookmarkEnd w:id="1025"/>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1026" w:name="_Toc536782220"/>
      <w:bookmarkStart w:id="1027" w:name="_Toc220674432"/>
      <w:bookmarkStart w:id="1028" w:name="_Toc221009604"/>
      <w:bookmarkStart w:id="1029" w:name="_Toc221011466"/>
      <w:bookmarkStart w:id="1030" w:name="_Toc221109972"/>
      <w:bookmarkStart w:id="1031" w:name="_Toc501634129"/>
      <w:bookmarkStart w:id="1032" w:name="_Toc501713025"/>
      <w:r>
        <w:rPr>
          <w:rStyle w:val="CharPartNo"/>
        </w:rPr>
        <w:lastRenderedPageBreak/>
        <w:t>Chapter 6A</w:t>
      </w:r>
      <w:r>
        <w:t>—</w:t>
      </w:r>
      <w:r>
        <w:rPr>
          <w:rStyle w:val="CharPartText"/>
        </w:rPr>
        <w:t>Access disputes—non-scheme pipelines</w:t>
      </w:r>
      <w:bookmarkEnd w:id="1026"/>
      <w:bookmarkEnd w:id="1027"/>
      <w:bookmarkEnd w:id="1028"/>
      <w:bookmarkEnd w:id="1029"/>
      <w:bookmarkEnd w:id="1030"/>
    </w:p>
    <w:p>
      <w:pPr>
        <w:pStyle w:val="Footnoteheading"/>
      </w:pPr>
      <w:r>
        <w:tab/>
        <w:t>[Heading inserted: see SA Act No. 23 of 2017 s. 6 and WA Gazette 22 Dec 2017 p. 5984.]</w:t>
      </w:r>
    </w:p>
    <w:p>
      <w:pPr>
        <w:pStyle w:val="Heading3"/>
      </w:pPr>
      <w:bookmarkStart w:id="1033" w:name="_Toc536782221"/>
      <w:bookmarkStart w:id="1034" w:name="_Toc220674433"/>
      <w:bookmarkStart w:id="1035" w:name="_Toc221009605"/>
      <w:bookmarkStart w:id="1036" w:name="_Toc221011467"/>
      <w:bookmarkStart w:id="1037" w:name="_Toc221109973"/>
      <w:r>
        <w:rPr>
          <w:rStyle w:val="CharDivNo"/>
        </w:rPr>
        <w:t>Part 1</w:t>
      </w:r>
      <w:r>
        <w:t>—</w:t>
      </w:r>
      <w:r>
        <w:rPr>
          <w:rStyle w:val="CharDivText"/>
        </w:rPr>
        <w:t>Interpretation and application</w:t>
      </w:r>
      <w:bookmarkEnd w:id="1033"/>
      <w:bookmarkEnd w:id="1034"/>
      <w:bookmarkEnd w:id="1035"/>
      <w:bookmarkEnd w:id="1036"/>
      <w:bookmarkEnd w:id="1037"/>
    </w:p>
    <w:p>
      <w:pPr>
        <w:pStyle w:val="Footnoteheading"/>
      </w:pPr>
      <w:r>
        <w:tab/>
        <w:t>[Heading inserted: see SA Act No. 23 of 2017 s. 6 and WA Gazette 22 Dec 2017 p. 5984.]</w:t>
      </w:r>
    </w:p>
    <w:p>
      <w:pPr>
        <w:pStyle w:val="Heading5"/>
      </w:pPr>
      <w:bookmarkStart w:id="1038" w:name="_Toc536782222"/>
      <w:bookmarkStart w:id="1039" w:name="_Toc221109974"/>
      <w:r>
        <w:rPr>
          <w:rStyle w:val="CharSectno"/>
        </w:rPr>
        <w:t>216A</w:t>
      </w:r>
      <w:r>
        <w:t>.</w:t>
      </w:r>
      <w:r>
        <w:tab/>
        <w:t>Definitions</w:t>
      </w:r>
      <w:bookmarkEnd w:id="1038"/>
      <w:bookmarkEnd w:id="10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In this Chapter—</w:t>
      </w:r>
    </w:p>
    <w:p>
      <w:pPr>
        <w:keepLines/>
        <w:autoSpaceDE w:val="0"/>
        <w:autoSpaceDN w:val="0"/>
        <w:adjustRightInd w:val="0"/>
        <w:spacing w:before="120"/>
        <w:ind w:left="1588"/>
        <w:rPr>
          <w:color w:val="000000"/>
          <w:sz w:val="23"/>
          <w:szCs w:val="23"/>
        </w:rPr>
      </w:pPr>
      <w:r>
        <w:rPr>
          <w:rStyle w:val="CharDefText"/>
        </w:rPr>
        <w:t>access determination</w:t>
      </w:r>
      <w:r>
        <w:rPr>
          <w:color w:val="000000"/>
          <w:sz w:val="23"/>
          <w:szCs w:val="23"/>
        </w:rPr>
        <w:t xml:space="preserve"> means a determination of an arbitrator under </w:t>
      </w:r>
      <w:hyperlink w:anchor="idba65a7ed_fd82_4b20_88b9_904b318ba9" w:history="1">
        <w:r>
          <w:rPr>
            <w:color w:val="000000"/>
            <w:sz w:val="23"/>
            <w:szCs w:val="23"/>
          </w:rPr>
          <w:t>Part 3</w:t>
        </w:r>
      </w:hyperlink>
      <w:r>
        <w:rPr>
          <w:color w:val="000000"/>
          <w:sz w:val="23"/>
          <w:szCs w:val="23"/>
        </w:rPr>
        <w:t xml:space="preserve"> and includes a variation under </w:t>
      </w:r>
      <w:hyperlink w:anchor="id9d474823_dac0_4d5a_80a9_511a82a3dd" w:history="1">
        <w:r>
          <w:rPr>
            <w:color w:val="000000"/>
            <w:sz w:val="23"/>
            <w:szCs w:val="23"/>
          </w:rPr>
          <w:t>Part 5</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rPr>
        <w:t xml:space="preserve">access dispute </w:t>
      </w:r>
      <w:r>
        <w:rPr>
          <w:color w:val="000000"/>
          <w:sz w:val="23"/>
          <w:szCs w:val="23"/>
        </w:rPr>
        <w:t>means a dispute between a user or prospective user and a service provider about 1 or more aspects of access to a pipeline service provided by means of a non</w:t>
      </w:r>
      <w:r>
        <w:rPr>
          <w:color w:val="000000"/>
          <w:sz w:val="23"/>
          <w:szCs w:val="23"/>
        </w:rPr>
        <w:noBreakHyphen/>
        <w:t xml:space="preserve">scheme pipeline (subject to the operation of </w:t>
      </w:r>
      <w:hyperlink w:anchor="idca11615c_5180_4211_b24e_974f7b7973" w:history="1">
        <w:r>
          <w:rPr>
            <w:color w:val="000000"/>
            <w:sz w:val="23"/>
            <w:szCs w:val="23"/>
          </w:rPr>
          <w:t>section 216C(2)</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rPr>
        <w:t>dispute hearing</w:t>
      </w:r>
      <w:r>
        <w:rPr>
          <w:color w:val="000000"/>
          <w:sz w:val="23"/>
          <w:szCs w:val="23"/>
        </w:rPr>
        <w:t xml:space="preserve"> means a hearing conducted by an arbitrator under this Chapter for the purpose of making an access determination;</w:t>
      </w:r>
    </w:p>
    <w:p>
      <w:pPr>
        <w:keepLines/>
        <w:autoSpaceDE w:val="0"/>
        <w:autoSpaceDN w:val="0"/>
        <w:adjustRightInd w:val="0"/>
        <w:spacing w:before="120"/>
        <w:ind w:left="1588"/>
        <w:rPr>
          <w:color w:val="000000"/>
          <w:sz w:val="23"/>
          <w:szCs w:val="23"/>
        </w:rPr>
      </w:pPr>
      <w:r>
        <w:rPr>
          <w:rStyle w:val="CharDefText"/>
        </w:rPr>
        <w:t>distribution pipeline</w:t>
      </w:r>
      <w:r>
        <w:rPr>
          <w:color w:val="000000"/>
          <w:sz w:val="23"/>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rPr>
        <w:t>non</w:t>
      </w:r>
      <w:r>
        <w:rPr>
          <w:rStyle w:val="CharDefText"/>
        </w:rPr>
        <w:noBreakHyphen/>
        <w:t>scheme pipeline</w:t>
      </w:r>
      <w:r>
        <w:rPr>
          <w:color w:val="000000"/>
          <w:sz w:val="23"/>
          <w:szCs w:val="23"/>
        </w:rPr>
        <w:t xml:space="preserve"> means a pipeline to which this Chapter applies by operation of </w:t>
      </w:r>
      <w:hyperlink w:anchor="idb185bbdd_eb39_4556_8fab_e211a16ce7" w:history="1">
        <w:r>
          <w:rPr>
            <w:color w:val="000000"/>
            <w:sz w:val="23"/>
            <w:szCs w:val="23"/>
          </w:rPr>
          <w:t>section 216C</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rPr>
        <w:t>party</w:t>
      </w:r>
      <w:r>
        <w:rPr>
          <w:color w:val="000000"/>
          <w:sz w:val="23"/>
          <w:szCs w:val="23"/>
        </w:rPr>
        <w:t xml:space="preserve">, in relation to an access dispute, has the meaning given by </w:t>
      </w:r>
      <w:hyperlink w:anchor="id51ae116f_36db_4e33_a54f_3440a6b614" w:history="1">
        <w:r>
          <w:rPr>
            <w:color w:val="000000"/>
            <w:sz w:val="23"/>
            <w:szCs w:val="23"/>
          </w:rPr>
          <w:t>section 216I</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rPr>
        <w:t xml:space="preserve">prospective user </w:t>
      </w:r>
      <w:r>
        <w:rPr>
          <w:color w:val="000000"/>
          <w:sz w:val="23"/>
          <w:szCs w:val="23"/>
        </w:rPr>
        <w:t xml:space="preserve">has the meaning given by </w:t>
      </w:r>
      <w:hyperlink w:anchor="id31a9f6b6_3b8b_463d_93d6_ecf15c2876" w:history="1">
        <w:r>
          <w:rPr>
            <w:color w:val="000000"/>
            <w:sz w:val="23"/>
            <w:szCs w:val="23"/>
          </w:rPr>
          <w:t>section 216B</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rPr>
        <w:lastRenderedPageBreak/>
        <w:t>scheme administrator</w:t>
      </w:r>
      <w:r>
        <w:rPr>
          <w:color w:val="000000"/>
          <w:sz w:val="23"/>
          <w:szCs w:val="23"/>
        </w:rPr>
        <w:t xml:space="preserve"> means the AER;</w:t>
      </w:r>
    </w:p>
    <w:p>
      <w:pPr>
        <w:keepLines/>
        <w:autoSpaceDE w:val="0"/>
        <w:autoSpaceDN w:val="0"/>
        <w:adjustRightInd w:val="0"/>
        <w:spacing w:before="120"/>
        <w:ind w:left="1588"/>
        <w:rPr>
          <w:color w:val="000000"/>
          <w:sz w:val="23"/>
          <w:szCs w:val="23"/>
        </w:rPr>
      </w:pPr>
      <w:r>
        <w:rPr>
          <w:rStyle w:val="CharDefText"/>
        </w:rPr>
        <w:t>transmission pipeline</w:t>
      </w:r>
      <w:r>
        <w:rPr>
          <w:color w:val="000000"/>
          <w:sz w:val="23"/>
          <w:szCs w:val="23"/>
        </w:rPr>
        <w: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non</w:t>
      </w:r>
      <w:r>
        <w:rPr>
          <w:color w:val="000000"/>
          <w:sz w:val="23"/>
          <w:szCs w:val="23"/>
        </w:rPr>
        <w:noBreakHyphen/>
        <w:t>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non</w:t>
      </w:r>
      <w:r>
        <w:rPr>
          <w:color w:val="000000"/>
          <w:sz w:val="23"/>
          <w:szCs w:val="23"/>
        </w:rPr>
        <w:noBreakHyphen/>
        <w:t>scheme pipeline.</w:t>
      </w:r>
    </w:p>
    <w:p>
      <w:pPr>
        <w:pStyle w:val="Footnotesection"/>
      </w:pPr>
      <w:r>
        <w:tab/>
        <w:t>[Section 216A inserted: see SA Act No. 23 of 2017 s. 6 and WA Gazette 22 Dec 2017 p. 5984.]</w:t>
      </w:r>
    </w:p>
    <w:p>
      <w:pPr>
        <w:pStyle w:val="Heading5"/>
      </w:pPr>
      <w:bookmarkStart w:id="1040" w:name="_Toc536782223"/>
      <w:bookmarkStart w:id="1041" w:name="_Toc221109975"/>
      <w:r>
        <w:rPr>
          <w:rStyle w:val="CharSectno"/>
        </w:rPr>
        <w:t>216B</w:t>
      </w:r>
      <w:r>
        <w:t>.</w:t>
      </w:r>
      <w:r>
        <w:tab/>
        <w:t>Meaning of prospective user</w:t>
      </w:r>
      <w:bookmarkEnd w:id="1040"/>
      <w:bookmarkEnd w:id="10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Chapter, a prospective user is a person who seeks or wishes to be provided with a pipeline service by means of a non</w:t>
      </w:r>
      <w:r>
        <w:rPr>
          <w:color w:val="000000"/>
          <w:sz w:val="23"/>
          <w:szCs w:val="23"/>
        </w:rPr>
        <w:noBreakHyphen/>
        <w:t>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1042" w:name="id5acd68d1_0864_4e4d_a80e_5f04c21cf9"/>
      <w:r>
        <w:rPr>
          <w:color w:val="000000"/>
          <w:sz w:val="23"/>
          <w:szCs w:val="23"/>
        </w:rPr>
        <w:tab/>
        <w:t>(2)</w:t>
      </w:r>
      <w:r>
        <w:rPr>
          <w:color w:val="000000"/>
          <w:sz w:val="23"/>
          <w:szCs w:val="23"/>
        </w:rPr>
        <w:tab/>
        <w:t>To avoid doubt, a user is also a prospective user for the purposes of this Chapter if the user seeks or wishes to be provided with a pipeline service by means of a non</w:t>
      </w:r>
      <w:r>
        <w:rPr>
          <w:color w:val="000000"/>
          <w:sz w:val="23"/>
          <w:szCs w:val="23"/>
        </w:rPr>
        <w:noBreakHyphen/>
        <w:t>scheme pipeline other than a pipeline service already provided to them under—</w:t>
      </w:r>
      <w:bookmarkEnd w:id="1042"/>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bookmarkStart w:id="1043" w:name="id4d2e09fa_9ebd_4b6e_a77c_6881a24ff6"/>
      <w:r>
        <w:rPr>
          <w:color w:val="000000"/>
          <w:sz w:val="23"/>
          <w:szCs w:val="23"/>
        </w:rPr>
        <w:tab/>
        <w:t>(b)</w:t>
      </w:r>
      <w:r>
        <w:rPr>
          <w:color w:val="000000"/>
          <w:sz w:val="23"/>
          <w:szCs w:val="23"/>
        </w:rPr>
        <w:tab/>
        <w:t>an access determination.</w:t>
      </w:r>
      <w:bookmarkEnd w:id="10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r>
      <w:hyperlink w:anchor="id4d2e09fa_9ebd_4b6e_a77c_6881a24ff6" w:history="1">
        <w:r>
          <w:rPr>
            <w:color w:val="000000"/>
            <w:sz w:val="23"/>
            <w:szCs w:val="23"/>
          </w:rPr>
          <w:t>Subsection (2)(b)</w:t>
        </w:r>
      </w:hyperlink>
      <w:r>
        <w:rPr>
          <w:color w:val="000000"/>
          <w:sz w:val="23"/>
          <w:szCs w:val="23"/>
        </w:rPr>
        <w:t xml:space="preserve"> does not limit the operation of </w:t>
      </w:r>
      <w:hyperlink w:anchor="id9d474823_dac0_4d5a_80a9_511a82a3dd" w:history="1">
        <w:r>
          <w:rPr>
            <w:color w:val="000000"/>
            <w:sz w:val="23"/>
            <w:szCs w:val="23"/>
          </w:rPr>
          <w:t>Part 5</w:t>
        </w:r>
      </w:hyperlink>
      <w:r>
        <w:rPr>
          <w:color w:val="000000"/>
          <w:sz w:val="23"/>
          <w:szCs w:val="23"/>
        </w:rPr>
        <w:t>.</w:t>
      </w:r>
    </w:p>
    <w:p>
      <w:pPr>
        <w:pStyle w:val="Footnotesection"/>
      </w:pPr>
      <w:r>
        <w:tab/>
        <w:t>[Section 216B inserted: see SA Act No. 23 of 2017 s. 6 and WA Gazette 22 Dec 2017 p. 5984.]</w:t>
      </w:r>
    </w:p>
    <w:p>
      <w:pPr>
        <w:pStyle w:val="Heading5"/>
      </w:pPr>
      <w:bookmarkStart w:id="1044" w:name="_Toc536782224"/>
      <w:bookmarkStart w:id="1045" w:name="_Toc221109976"/>
      <w:r>
        <w:rPr>
          <w:rStyle w:val="CharSectno"/>
        </w:rPr>
        <w:lastRenderedPageBreak/>
        <w:t>216C</w:t>
      </w:r>
      <w:r>
        <w:t>.</w:t>
      </w:r>
      <w:r>
        <w:tab/>
        <w:t>Application of Chapter</w:t>
      </w:r>
      <w:bookmarkEnd w:id="1044"/>
      <w:bookmarkEnd w:id="10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w:t>
      </w:r>
      <w:hyperlink w:anchor="idca11615c_5180_4211_b24e_974f7b7973" w:history="1">
        <w:r>
          <w:rPr>
            <w:color w:val="000000"/>
            <w:sz w:val="23"/>
            <w:szCs w:val="23"/>
          </w:rPr>
          <w:t>subsection (2)</w:t>
        </w:r>
      </w:hyperlink>
      <w:r>
        <w:rPr>
          <w:color w:val="000000"/>
          <w:sz w:val="23"/>
          <w:szCs w:val="23"/>
        </w:rPr>
        <w:t>, this Chapter applies to and in relation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1046" w:name="idca11615c_5180_4211_b24e_974f7b7973"/>
      <w:r>
        <w:rPr>
          <w:color w:val="000000"/>
          <w:sz w:val="23"/>
          <w:szCs w:val="23"/>
        </w:rPr>
        <w:tab/>
        <w:t>(2)</w:t>
      </w:r>
      <w:r>
        <w:rPr>
          <w:color w:val="000000"/>
          <w:sz w:val="23"/>
          <w:szCs w:val="23"/>
        </w:rPr>
        <w:tab/>
        <w:t>This Chapter does not apply to or in relation to—</w:t>
      </w:r>
      <w:bookmarkEnd w:id="1046"/>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part of a pipeline,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within a class or group of pipelines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pipeline service (including in relation to a specific pipeline, or part of a specific pipeline) excluded from the operation of this Chapter by the Rules.</w:t>
      </w:r>
    </w:p>
    <w:p>
      <w:pPr>
        <w:pStyle w:val="Footnotesection"/>
      </w:pPr>
      <w:r>
        <w:tab/>
        <w:t>[Section 216C inserted: see SA Act No. 23 of 2017 s. 6 and WA Gazette 22 Dec 2017 p. 5984.]</w:t>
      </w:r>
    </w:p>
    <w:p>
      <w:pPr>
        <w:pStyle w:val="Heading5"/>
      </w:pPr>
      <w:bookmarkStart w:id="1047" w:name="_Toc536782225"/>
      <w:bookmarkStart w:id="1048" w:name="_Toc221109977"/>
      <w:r>
        <w:rPr>
          <w:rStyle w:val="CharSectno"/>
        </w:rPr>
        <w:t>216D</w:t>
      </w:r>
      <w:r>
        <w:t>.</w:t>
      </w:r>
      <w:r>
        <w:tab/>
        <w:t>Application of this Chapter to disputes arising under Rules</w:t>
      </w:r>
      <w:bookmarkEnd w:id="1047"/>
      <w:bookmarkEnd w:id="10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p>
    <w:p>
      <w:pPr>
        <w:pStyle w:val="Footnotesection"/>
      </w:pPr>
      <w:r>
        <w:tab/>
        <w:t>[Section 216D inserted: see SA Act No. 23 of 2017 s. 6 and WA Gazette 22 Dec 2017 p. 5984.]</w:t>
      </w:r>
    </w:p>
    <w:p>
      <w:pPr>
        <w:pStyle w:val="Heading5"/>
      </w:pPr>
      <w:bookmarkStart w:id="1049" w:name="_Toc536782226"/>
      <w:bookmarkStart w:id="1050" w:name="_Toc221109978"/>
      <w:r>
        <w:rPr>
          <w:rStyle w:val="CharSectno"/>
        </w:rPr>
        <w:lastRenderedPageBreak/>
        <w:t>216E</w:t>
      </w:r>
      <w:r>
        <w:t>.</w:t>
      </w:r>
      <w:r>
        <w:tab/>
        <w:t>Chapter does not limit how disputes about access may be raised or dealt with</w:t>
      </w:r>
      <w:bookmarkEnd w:id="1049"/>
      <w:bookmarkEnd w:id="10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This Chapter is not to be taken to limit how a dispute about access to a pipeline service may be raised or dealt with.</w:t>
      </w:r>
    </w:p>
    <w:p>
      <w:pPr>
        <w:pStyle w:val="Footnotesection"/>
      </w:pPr>
      <w:r>
        <w:tab/>
        <w:t>[Section 216E inserted: see SA Act No. 23 of 2017 s. 6 and WA Gazette 22 Dec 2017 p. 5984.]</w:t>
      </w:r>
    </w:p>
    <w:p>
      <w:pPr>
        <w:pStyle w:val="Heading3"/>
      </w:pPr>
      <w:bookmarkStart w:id="1051" w:name="_Toc536782227"/>
      <w:bookmarkStart w:id="1052" w:name="_Toc220674439"/>
      <w:bookmarkStart w:id="1053" w:name="_Toc221009611"/>
      <w:bookmarkStart w:id="1054" w:name="_Toc221011473"/>
      <w:bookmarkStart w:id="1055" w:name="_Toc221109979"/>
      <w:r>
        <w:rPr>
          <w:rStyle w:val="CharDivNo"/>
        </w:rPr>
        <w:t>Part 2</w:t>
      </w:r>
      <w:r>
        <w:t>—</w:t>
      </w:r>
      <w:r>
        <w:rPr>
          <w:rStyle w:val="CharDivText"/>
        </w:rPr>
        <w:t>Negotiation of access</w:t>
      </w:r>
      <w:bookmarkEnd w:id="1051"/>
      <w:bookmarkEnd w:id="1052"/>
      <w:bookmarkEnd w:id="1053"/>
      <w:bookmarkEnd w:id="1054"/>
      <w:bookmarkEnd w:id="1055"/>
    </w:p>
    <w:p>
      <w:pPr>
        <w:pStyle w:val="Footnoteheading"/>
      </w:pPr>
      <w:r>
        <w:tab/>
        <w:t>[Heading inserted: see SA Act No. 23 of 2017 s. 6 and WA Gazette 22 Dec 2017 p. 5984.]</w:t>
      </w:r>
    </w:p>
    <w:p>
      <w:pPr>
        <w:pStyle w:val="Heading5"/>
      </w:pPr>
      <w:bookmarkStart w:id="1056" w:name="_Toc536782228"/>
      <w:bookmarkStart w:id="1057" w:name="_Toc221109980"/>
      <w:r>
        <w:rPr>
          <w:rStyle w:val="CharSectno"/>
        </w:rPr>
        <w:t>216F</w:t>
      </w:r>
      <w:r>
        <w:t>.</w:t>
      </w:r>
      <w:r>
        <w:tab/>
        <w:t>Access proposals</w:t>
      </w:r>
      <w:bookmarkEnd w:id="1056"/>
      <w:bookmarkEnd w:id="10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contain provisions for or with respect to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w:t>
      </w:r>
    </w:p>
    <w:p>
      <w:pPr>
        <w:pStyle w:val="Footnotesection"/>
      </w:pPr>
      <w:r>
        <w:tab/>
        <w:t>[Section 216F inserted: see SA Act No. 23 of 2017 s. 6 and WA Gazette 22 Dec 2017 p. 5984.]</w:t>
      </w:r>
    </w:p>
    <w:p>
      <w:pPr>
        <w:pStyle w:val="Heading5"/>
      </w:pPr>
      <w:bookmarkStart w:id="1058" w:name="_Toc536782229"/>
      <w:bookmarkStart w:id="1059" w:name="_Toc221109981"/>
      <w:r>
        <w:rPr>
          <w:rStyle w:val="CharSectno"/>
        </w:rPr>
        <w:t>216G</w:t>
      </w:r>
      <w:r>
        <w:t>.</w:t>
      </w:r>
      <w:r>
        <w:tab/>
        <w:t>Duty to negotiate in good faith</w:t>
      </w:r>
      <w:bookmarkEnd w:id="1058"/>
      <w:bookmarkEnd w:id="10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prospective user or user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 and the service provider for the relevant non</w:t>
      </w:r>
      <w:r>
        <w:rPr>
          <w:color w:val="000000"/>
          <w:sz w:val="23"/>
          <w:szCs w:val="23"/>
        </w:rPr>
        <w:noBreakHyphen/>
        <w:t>scheme pipeline, must negotiate in good faith with each other about whether access can be granted and, if so, the terms and conditions for the provision of access to the prospective user or user (as the case requires).</w:t>
      </w:r>
    </w:p>
    <w:p>
      <w:pPr>
        <w:pStyle w:val="Footnotesection"/>
      </w:pPr>
      <w:r>
        <w:tab/>
        <w:t>[Section 216G inserted: see SA Act No. 23 of 2017 s. 6 and WA Gazette 22 Dec 2017 p. 5984.]</w:t>
      </w:r>
    </w:p>
    <w:p>
      <w:pPr>
        <w:pStyle w:val="Heading5"/>
      </w:pPr>
      <w:bookmarkStart w:id="1060" w:name="_Toc536782230"/>
      <w:bookmarkStart w:id="1061" w:name="_Toc221109982"/>
      <w:r>
        <w:rPr>
          <w:rStyle w:val="CharSectno"/>
        </w:rPr>
        <w:lastRenderedPageBreak/>
        <w:t>216H</w:t>
      </w:r>
      <w:r>
        <w:t>.</w:t>
      </w:r>
      <w:r>
        <w:tab/>
        <w:t>Notification of access dispute</w:t>
      </w:r>
      <w:bookmarkEnd w:id="1060"/>
      <w:bookmarkEnd w:id="1061"/>
    </w:p>
    <w:p>
      <w:pPr>
        <w:tabs>
          <w:tab w:val="center" w:pos="1191"/>
          <w:tab w:val="left" w:pos="1588"/>
        </w:tabs>
        <w:autoSpaceDE w:val="0"/>
        <w:autoSpaceDN w:val="0"/>
        <w:adjustRightInd w:val="0"/>
        <w:spacing w:before="120"/>
        <w:ind w:left="1588" w:hanging="794"/>
        <w:rPr>
          <w:color w:val="000000"/>
          <w:sz w:val="23"/>
          <w:szCs w:val="23"/>
        </w:rPr>
      </w:pPr>
      <w:bookmarkStart w:id="1062" w:name="id1252043a_7393_493f_a585_47e04b32aa"/>
      <w:r>
        <w:rPr>
          <w:color w:val="000000"/>
          <w:sz w:val="23"/>
          <w:szCs w:val="23"/>
        </w:rPr>
        <w:tab/>
        <w:t>(1)</w:t>
      </w:r>
      <w:r>
        <w:rPr>
          <w:color w:val="000000"/>
          <w:sz w:val="23"/>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106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include, in accordance with the Rules, information about—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matters (if any) on which agreement has been reached;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matters that are in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 specified by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notification must be accompanied by the fee set by the Rules (if any).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notification cannot be made under this section if the access dispute relates to a matter excluded from arbitration under this Chapter by the Rules.</w:t>
      </w:r>
    </w:p>
    <w:p>
      <w:pPr>
        <w:pStyle w:val="Footnotesection"/>
      </w:pPr>
      <w:r>
        <w:tab/>
        <w:t>[Section 216H inserted: see SA Act No. 23 of 2017 s. 6 and WA Gazette 22 Dec 2017 p. 5984.]</w:t>
      </w:r>
    </w:p>
    <w:p>
      <w:pPr>
        <w:pStyle w:val="Heading5"/>
      </w:pPr>
      <w:bookmarkStart w:id="1063" w:name="_Toc536782231"/>
      <w:bookmarkStart w:id="1064" w:name="_Toc221109983"/>
      <w:r>
        <w:rPr>
          <w:rStyle w:val="CharSectno"/>
        </w:rPr>
        <w:t>216I</w:t>
      </w:r>
      <w:r>
        <w:t>.</w:t>
      </w:r>
      <w:r>
        <w:tab/>
        <w:t>Parties to an access dispute</w:t>
      </w:r>
      <w:bookmarkEnd w:id="1063"/>
      <w:bookmarkEnd w:id="10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parties to the negotiations that gave rise to the access dispute under </w:t>
      </w:r>
      <w:hyperlink w:anchor="id1252043a_7393_493f_a585_47e04b32aa" w:history="1">
        <w:r>
          <w:rPr>
            <w:color w:val="000000"/>
            <w:sz w:val="23"/>
            <w:szCs w:val="23"/>
          </w:rPr>
          <w:t>section 216H(1)</w:t>
        </w:r>
      </w:hyperlink>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scheme administrator is of the opinion that the resolution of the access dispute may involve requiring another person to do something and that it is appropriate that the person be joined as a party—that other person.</w:t>
      </w:r>
    </w:p>
    <w:p>
      <w:pPr>
        <w:pStyle w:val="Footnotesection"/>
      </w:pPr>
      <w:r>
        <w:tab/>
        <w:t>[Section 216I inserted: see SA Act No. 23 of 2017 s. 6 and WA Gazette 22 Dec 2017 p. 5984.]</w:t>
      </w:r>
    </w:p>
    <w:p>
      <w:pPr>
        <w:pStyle w:val="Heading3"/>
      </w:pPr>
      <w:bookmarkStart w:id="1065" w:name="_Toc536782232"/>
      <w:bookmarkStart w:id="1066" w:name="_Toc220674444"/>
      <w:bookmarkStart w:id="1067" w:name="_Toc221009616"/>
      <w:bookmarkStart w:id="1068" w:name="_Toc221011478"/>
      <w:bookmarkStart w:id="1069" w:name="_Toc221109984"/>
      <w:r>
        <w:rPr>
          <w:rStyle w:val="CharDivNo"/>
        </w:rPr>
        <w:lastRenderedPageBreak/>
        <w:t>Part 3</w:t>
      </w:r>
      <w:r>
        <w:t>—</w:t>
      </w:r>
      <w:r>
        <w:rPr>
          <w:rStyle w:val="CharDivText"/>
        </w:rPr>
        <w:t>Reference of dispute to arbitration</w:t>
      </w:r>
      <w:bookmarkEnd w:id="1065"/>
      <w:bookmarkEnd w:id="1066"/>
      <w:bookmarkEnd w:id="1067"/>
      <w:bookmarkEnd w:id="1068"/>
      <w:bookmarkEnd w:id="1069"/>
    </w:p>
    <w:p>
      <w:pPr>
        <w:pStyle w:val="Footnoteheading"/>
        <w:keepNext/>
      </w:pPr>
      <w:r>
        <w:tab/>
        <w:t>[Heading inserted: see SA Act No. 23 of 2017 s. 6 and WA Gazette 22 Dec 2017 p. 5984.]</w:t>
      </w:r>
    </w:p>
    <w:p>
      <w:pPr>
        <w:pStyle w:val="Heading5"/>
      </w:pPr>
      <w:bookmarkStart w:id="1070" w:name="_Toc536782233"/>
      <w:bookmarkStart w:id="1071" w:name="_Toc221109985"/>
      <w:r>
        <w:rPr>
          <w:rStyle w:val="CharSectno"/>
        </w:rPr>
        <w:t>216J</w:t>
      </w:r>
      <w:r>
        <w:t>.</w:t>
      </w:r>
      <w:r>
        <w:tab/>
        <w:t>Reference of dispute</w:t>
      </w:r>
      <w:bookmarkEnd w:id="1070"/>
      <w:bookmarkEnd w:id="10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scheme administrator receives notification of an access dispute under </w:t>
      </w:r>
      <w:hyperlink w:anchor="idf13f2df7_6ecf_44a6_a1e2_a97c983d6e" w:history="1">
        <w:r>
          <w:rPr>
            <w:color w:val="000000"/>
            <w:sz w:val="23"/>
            <w:szCs w:val="23"/>
          </w:rPr>
          <w:t>Part 2</w:t>
        </w:r>
      </w:hyperlink>
      <w:r>
        <w:rPr>
          <w:color w:val="000000"/>
          <w:sz w:val="23"/>
          <w:szCs w:val="23"/>
        </w:rPr>
        <w:t>, the dispute must be referred to arbitration.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scheme administrator must give notice of the referral of an access dispute to arbitration to the parties to the negotiations that gave rise to the access dispute and, if relevant, to any other person who will be a party to the access dispute.</w:t>
      </w:r>
    </w:p>
    <w:p>
      <w:pPr>
        <w:pStyle w:val="Footnotesection"/>
      </w:pPr>
      <w:r>
        <w:tab/>
        <w:t>[Section 216J inserted: see SA Act No. 23 of 2017 s. 6 and WA Gazette 22 Dec 2017 p. 5984.]</w:t>
      </w:r>
    </w:p>
    <w:p>
      <w:pPr>
        <w:pStyle w:val="Heading5"/>
      </w:pPr>
      <w:bookmarkStart w:id="1072" w:name="_Toc536782234"/>
      <w:bookmarkStart w:id="1073" w:name="_Toc221109986"/>
      <w:r>
        <w:rPr>
          <w:rStyle w:val="CharSectno"/>
        </w:rPr>
        <w:t>216K</w:t>
      </w:r>
      <w:r>
        <w:t>.</w:t>
      </w:r>
      <w:r>
        <w:tab/>
        <w:t>Selection of arbitrator</w:t>
      </w:r>
      <w:bookmarkEnd w:id="1072"/>
      <w:bookmarkEnd w:id="10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parties to an access dispute may agree to appoint, in accordance with the Rules, the arbitrator for the purposes of an access dispute that is to be referred to arbitration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do not agree to the appointment of an arbitrator within a period specified by the Rules, the arbitrator will be a person selected by the scheme administrator after consultation with the parties to the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arbitrator must be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independent of the parties to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properly qualified to act in the resolution of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has no direct or indirect interest in the outcome of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p>
    <w:p>
      <w:pPr>
        <w:pStyle w:val="Footnotesection"/>
      </w:pPr>
      <w:r>
        <w:tab/>
        <w:t>[Section 216K inserted: see SA Act No. 23 of 2017 s. 6 and WA Gazette 22 Dec 2017 p. 5984.]</w:t>
      </w:r>
    </w:p>
    <w:p>
      <w:pPr>
        <w:pStyle w:val="Heading5"/>
      </w:pPr>
      <w:bookmarkStart w:id="1074" w:name="_Toc536782235"/>
      <w:bookmarkStart w:id="1075" w:name="_Toc221109987"/>
      <w:r>
        <w:rPr>
          <w:rStyle w:val="CharSectno"/>
        </w:rPr>
        <w:t>216L</w:t>
      </w:r>
      <w:r>
        <w:t>.</w:t>
      </w:r>
      <w:r>
        <w:tab/>
        <w:t>Determination of access dispute</w:t>
      </w:r>
      <w:bookmarkEnd w:id="1074"/>
      <w:bookmarkEnd w:id="10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Rules may also, in connection with the making of an access determination, contain provisions for or with respect to such things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of any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content of any determination, including as to the giving of reasons;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time within which a determination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process for making a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when a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giving of notice of the making of a determination.</w:t>
      </w:r>
    </w:p>
    <w:p>
      <w:pPr>
        <w:pStyle w:val="Footnotesection"/>
      </w:pPr>
      <w:r>
        <w:lastRenderedPageBreak/>
        <w:tab/>
        <w:t>[Section 216L inserted: see SA Act No. 23 of 2017 s. 6 and WA Gazette 22 Dec 2017 p. 5984.]</w:t>
      </w:r>
    </w:p>
    <w:p>
      <w:pPr>
        <w:pStyle w:val="Heading5"/>
      </w:pPr>
      <w:bookmarkStart w:id="1076" w:name="_Toc536782236"/>
      <w:bookmarkStart w:id="1077" w:name="_Toc221109988"/>
      <w:r>
        <w:rPr>
          <w:rStyle w:val="CharSectno"/>
        </w:rPr>
        <w:t>216M</w:t>
      </w:r>
      <w:r>
        <w:t>.</w:t>
      </w:r>
      <w:r>
        <w:tab/>
        <w:t>Principles to be taken into account</w:t>
      </w:r>
      <w:bookmarkEnd w:id="1076"/>
      <w:bookmarkEnd w:id="10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arbitrator must, when making a determination on access, take into account any pricing or other principle specified in the Rules.</w:t>
      </w:r>
    </w:p>
    <w:p>
      <w:pPr>
        <w:pStyle w:val="Footnotesection"/>
      </w:pPr>
      <w:r>
        <w:tab/>
        <w:t>[Section 216M inserted: see SA Act No. 23 of 2017 s. 6 and WA Gazette 22 Dec 2017 p. 5984.]</w:t>
      </w:r>
    </w:p>
    <w:p>
      <w:pPr>
        <w:pStyle w:val="Heading5"/>
      </w:pPr>
      <w:bookmarkStart w:id="1078" w:name="_Toc536782237"/>
      <w:bookmarkStart w:id="1079" w:name="_Toc221109989"/>
      <w:r>
        <w:rPr>
          <w:rStyle w:val="CharSectno"/>
        </w:rPr>
        <w:t>216N</w:t>
      </w:r>
      <w:r>
        <w:t>.</w:t>
      </w:r>
      <w:r>
        <w:tab/>
        <w:t>Restrictions on access determinations</w:t>
      </w:r>
      <w:bookmarkEnd w:id="1078"/>
      <w:bookmarkEnd w:id="10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arbitrator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that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pre-notification right</w:t>
      </w:r>
      <w:r>
        <w:rPr>
          <w:color w:val="000000"/>
          <w:sz w:val="23"/>
          <w:szCs w:val="23"/>
        </w:rPr>
        <w:t xml:space="preserve"> means a right under a contract, or under an access determination, that was in force at the time when the access dispute was notified under </w:t>
      </w:r>
      <w:hyperlink w:anchor="id23b988d0_d14f_4868_8c32_fd1cf0f40c" w:history="1">
        <w:r>
          <w:rPr>
            <w:color w:val="000000"/>
            <w:sz w:val="23"/>
            <w:szCs w:val="23"/>
          </w:rPr>
          <w:t>section 216H</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bCs/>
          <w:iCs/>
          <w:sz w:val="23"/>
        </w:rPr>
        <w:t>relevant exclusivity right</w:t>
      </w:r>
      <w:r>
        <w:rPr>
          <w:color w:val="000000"/>
          <w:sz w:val="23"/>
          <w:szCs w:val="23"/>
        </w:rPr>
        <w:t xml:space="preserve"> means an express contractual right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iCs/>
          <w:sz w:val="23"/>
        </w:rPr>
        <w:t xml:space="preserve">relevant protected contractual right </w:t>
      </w:r>
      <w:r>
        <w:rPr>
          <w:color w:val="000000"/>
          <w:sz w:val="23"/>
          <w:szCs w:val="23"/>
        </w:rPr>
        <w:t xml:space="preserve">means a right under a contract (other than a relevant exclusivity right) that was in force immediately before notification of an access dispute under </w:t>
      </w:r>
      <w:hyperlink w:anchor="id23b988d0_d14f_4868_8c32_fd1cf0f40c" w:history="1">
        <w:r>
          <w:rPr>
            <w:color w:val="000000"/>
            <w:sz w:val="23"/>
            <w:szCs w:val="23"/>
          </w:rPr>
          <w:t>section 216H</w:t>
        </w:r>
      </w:hyperlink>
      <w:r>
        <w:rPr>
          <w:color w:val="000000"/>
          <w:sz w:val="23"/>
          <w:szCs w:val="23"/>
        </w:rPr>
        <w:t>.</w:t>
      </w:r>
    </w:p>
    <w:p>
      <w:pPr>
        <w:pStyle w:val="Footnotesection"/>
      </w:pPr>
      <w:r>
        <w:tab/>
        <w:t>[Section 216N inserted: see SA Act No. 23 of 2017 s. 6 and WA Gazette 22 Dec 2017 p. 5984.]</w:t>
      </w:r>
    </w:p>
    <w:p>
      <w:pPr>
        <w:pStyle w:val="Heading5"/>
      </w:pPr>
      <w:bookmarkStart w:id="1080" w:name="_Toc536782238"/>
      <w:bookmarkStart w:id="1081" w:name="_Toc221109990"/>
      <w:r>
        <w:rPr>
          <w:rStyle w:val="CharSectno"/>
        </w:rPr>
        <w:t>216O</w:t>
      </w:r>
      <w:r>
        <w:t>.</w:t>
      </w:r>
      <w:r>
        <w:tab/>
        <w:t>Arbitrator's power to terminate arbitration</w:t>
      </w:r>
      <w:bookmarkEnd w:id="1080"/>
      <w:bookmarkEnd w:id="10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arbitrator may determine not to proceed with an arbitration (and terminate the proceedings under this Chapter)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did not negotiate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there is some other good reason why the arbitration should not proceed.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Furthermore, the arbitrator may at any time terminate an arbitration without making an access determination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or user seeking access is not engaging in the arbitration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terms and conditions on which access is to be granted should be governed by an existing contract or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1082" w:name="id2e84f1b4_b9d4_4b7b_9037_edad614264"/>
      <w:r>
        <w:rPr>
          <w:color w:val="000000"/>
          <w:sz w:val="23"/>
          <w:szCs w:val="23"/>
        </w:rPr>
        <w:lastRenderedPageBreak/>
        <w:tab/>
        <w:t>(3)</w:t>
      </w:r>
      <w:r>
        <w:rPr>
          <w:color w:val="000000"/>
          <w:sz w:val="23"/>
          <w:szCs w:val="23"/>
        </w:rPr>
        <w:tab/>
        <w:t>The arbitrator may also at any time terminate an arbitration if the arbitrator considers that a specified dispute termination circumstance has occurred.</w:t>
      </w:r>
      <w:bookmarkEnd w:id="10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In </w:t>
      </w:r>
      <w:hyperlink w:anchor="id2e84f1b4_b9d4_4b7b_9037_edad614264" w:history="1">
        <w:r>
          <w:rPr>
            <w:color w:val="000000"/>
            <w:sz w:val="23"/>
            <w:szCs w:val="23"/>
          </w:rPr>
          <w:t>subsection (3)</w:t>
        </w:r>
      </w:hyperlink>
      <w:r>
        <w:rPr>
          <w:color w:val="000000"/>
          <w:sz w:val="23"/>
          <w:szCs w:val="23"/>
        </w:rPr>
        <w:t xml:space="preserve">, a </w:t>
      </w:r>
      <w:r>
        <w:rPr>
          <w:b/>
          <w:bCs/>
          <w:i/>
          <w:iCs/>
          <w:color w:val="000000"/>
          <w:sz w:val="23"/>
          <w:szCs w:val="23"/>
        </w:rPr>
        <w:t>specified dispute termination circumstance</w:t>
      </w:r>
      <w:r>
        <w:rPr>
          <w:color w:val="000000"/>
          <w:sz w:val="23"/>
          <w:szCs w:val="23"/>
        </w:rPr>
        <w:t xml:space="preserve"> is a circumstance specified by the Rules as being a circumstance, the occurrence of which, entitles the arbitrator to terminate an access dispute without any further step being taken.</w:t>
      </w:r>
    </w:p>
    <w:p>
      <w:pPr>
        <w:pStyle w:val="Footnotesection"/>
      </w:pPr>
      <w:r>
        <w:tab/>
        <w:t>[Section 216O inserted: see SA Act No. 23 of 2017 s. 6 and WA Gazette 22 Dec 2017 p. 5984.]</w:t>
      </w:r>
    </w:p>
    <w:p>
      <w:pPr>
        <w:pStyle w:val="Heading5"/>
      </w:pPr>
      <w:bookmarkStart w:id="1083" w:name="_Toc536782239"/>
      <w:bookmarkStart w:id="1084" w:name="_Toc221109991"/>
      <w:r>
        <w:rPr>
          <w:rStyle w:val="CharSectno"/>
        </w:rPr>
        <w:t>216P</w:t>
      </w:r>
      <w:r>
        <w:t>.</w:t>
      </w:r>
      <w:r>
        <w:tab/>
        <w:t>Access seeker's right to terminate arbitration</w:t>
      </w:r>
      <w:bookmarkEnd w:id="1083"/>
      <w:bookmarkEnd w:id="10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prospective user or user seeking access to pipelines services under this Chapter may terminate the arbitration before an access determination is made by the arbitrator.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arbitration is terminated under this section by giving notice of termination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arbitrator;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other parties to the arbitration;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scheme administrator.</w:t>
      </w:r>
    </w:p>
    <w:p>
      <w:pPr>
        <w:pStyle w:val="Footnotesection"/>
      </w:pPr>
      <w:r>
        <w:tab/>
        <w:t>[Section 216P inserted: see SA Act No. 23 of 2017 s. 6 and WA Gazette 22 Dec 2017 p. 5984.]</w:t>
      </w:r>
    </w:p>
    <w:p>
      <w:pPr>
        <w:pStyle w:val="Heading3"/>
      </w:pPr>
      <w:bookmarkStart w:id="1085" w:name="_Toc536782240"/>
      <w:bookmarkStart w:id="1086" w:name="_Toc220674452"/>
      <w:bookmarkStart w:id="1087" w:name="_Toc221009624"/>
      <w:bookmarkStart w:id="1088" w:name="_Toc221011486"/>
      <w:bookmarkStart w:id="1089" w:name="_Toc221109992"/>
      <w:r>
        <w:rPr>
          <w:rStyle w:val="CharDivNo"/>
        </w:rPr>
        <w:t>Part 4</w:t>
      </w:r>
      <w:r>
        <w:t>—</w:t>
      </w:r>
      <w:r>
        <w:rPr>
          <w:rStyle w:val="CharDivText"/>
        </w:rPr>
        <w:t>Compliance with access determinations</w:t>
      </w:r>
      <w:bookmarkEnd w:id="1085"/>
      <w:bookmarkEnd w:id="1086"/>
      <w:bookmarkEnd w:id="1087"/>
      <w:bookmarkEnd w:id="1088"/>
      <w:bookmarkEnd w:id="1089"/>
    </w:p>
    <w:p>
      <w:pPr>
        <w:pStyle w:val="Footnoteheading"/>
      </w:pPr>
      <w:r>
        <w:tab/>
        <w:t>[Heading inserted: see SA Act No. 23 of 2017 s. 6 and WA Gazette 22 Dec 2017 p. 5984.]</w:t>
      </w:r>
    </w:p>
    <w:p>
      <w:pPr>
        <w:pStyle w:val="Heading5"/>
      </w:pPr>
      <w:bookmarkStart w:id="1090" w:name="_Toc536782241"/>
      <w:bookmarkStart w:id="1091" w:name="_Toc221109993"/>
      <w:r>
        <w:rPr>
          <w:rStyle w:val="CharSectno"/>
        </w:rPr>
        <w:t>216Q</w:t>
      </w:r>
      <w:r>
        <w:t>.</w:t>
      </w:r>
      <w:r>
        <w:tab/>
        <w:t>Compliance with access determinations</w:t>
      </w:r>
      <w:bookmarkEnd w:id="1090"/>
      <w:bookmarkEnd w:id="10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the Rules and to </w:t>
      </w:r>
      <w:hyperlink w:anchor="ida8dd6fe7_9b1d_4302_b895_0e06afdd64" w:history="1">
        <w:r>
          <w:rPr>
            <w:color w:val="000000"/>
            <w:sz w:val="23"/>
            <w:szCs w:val="23"/>
          </w:rPr>
          <w:t>subsection (2)</w:t>
        </w:r>
      </w:hyperlink>
      <w:r>
        <w:rPr>
          <w:color w:val="000000"/>
          <w:sz w:val="23"/>
          <w:szCs w:val="23"/>
        </w:rPr>
        <w:t>, an access determination is enforceable as if it were a contract between the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1092" w:name="ida8dd6fe7_9b1d_4302_b895_0e06afdd64"/>
      <w:r>
        <w:rPr>
          <w:color w:val="000000"/>
          <w:sz w:val="23"/>
          <w:szCs w:val="23"/>
        </w:rPr>
        <w:lastRenderedPageBreak/>
        <w:tab/>
        <w:t>(2)</w:t>
      </w:r>
      <w:r>
        <w:rPr>
          <w:color w:val="000000"/>
          <w:sz w:val="23"/>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1092"/>
    </w:p>
    <w:p>
      <w:pPr>
        <w:pStyle w:val="Footnotesection"/>
      </w:pPr>
      <w:r>
        <w:tab/>
        <w:t>[Section 216Q inserted: see SA Act No. 23 of 2017 s. 6 and WA Gazette 22 Dec 2017 p. 5984.]</w:t>
      </w:r>
    </w:p>
    <w:p>
      <w:pPr>
        <w:pStyle w:val="Heading3"/>
      </w:pPr>
      <w:bookmarkStart w:id="1093" w:name="_Toc536782242"/>
      <w:bookmarkStart w:id="1094" w:name="_Toc220674454"/>
      <w:bookmarkStart w:id="1095" w:name="_Toc221009626"/>
      <w:bookmarkStart w:id="1096" w:name="_Toc221011488"/>
      <w:bookmarkStart w:id="1097" w:name="_Toc221109994"/>
      <w:r>
        <w:rPr>
          <w:rStyle w:val="CharDivNo"/>
        </w:rPr>
        <w:t>Part 5</w:t>
      </w:r>
      <w:r>
        <w:t>—</w:t>
      </w:r>
      <w:r>
        <w:rPr>
          <w:rStyle w:val="CharDivText"/>
        </w:rPr>
        <w:t>Variation of access determinations</w:t>
      </w:r>
      <w:bookmarkEnd w:id="1093"/>
      <w:bookmarkEnd w:id="1094"/>
      <w:bookmarkEnd w:id="1095"/>
      <w:bookmarkEnd w:id="1096"/>
      <w:bookmarkEnd w:id="1097"/>
    </w:p>
    <w:p>
      <w:pPr>
        <w:pStyle w:val="Footnoteheading"/>
      </w:pPr>
      <w:r>
        <w:tab/>
        <w:t>[Heading inserted: see SA Act No. 23 of 2017 s. 6 and WA Gazette 22 Dec 2017 p. 5984.]</w:t>
      </w:r>
    </w:p>
    <w:p>
      <w:pPr>
        <w:pStyle w:val="Heading5"/>
      </w:pPr>
      <w:bookmarkStart w:id="1098" w:name="_Toc536782243"/>
      <w:bookmarkStart w:id="1099" w:name="_Toc221109995"/>
      <w:r>
        <w:rPr>
          <w:rStyle w:val="CharSectno"/>
        </w:rPr>
        <w:t>216R</w:t>
      </w:r>
      <w:r>
        <w:t>.</w:t>
      </w:r>
      <w:r>
        <w:tab/>
        <w:t>Variation of access determinations</w:t>
      </w:r>
      <w:bookmarkEnd w:id="1098"/>
      <w:bookmarkEnd w:id="10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may be varied by agreement between all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also contain provisions with respect to seeking variations to an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provisions of this Chapter about the arbitration of an access dispute apply with necessary modifications to a proposal under the Rules to vary an access determination or to a dispute arising out of such a proposal.</w:t>
      </w:r>
    </w:p>
    <w:p>
      <w:pPr>
        <w:pStyle w:val="Footnotesection"/>
      </w:pPr>
      <w:r>
        <w:tab/>
        <w:t>[Section 216R inserted: see SA Act No. 23 of 2017 s. 6 and WA Gazette 22 Dec 2017 p. 5984.]</w:t>
      </w:r>
    </w:p>
    <w:p>
      <w:pPr>
        <w:pStyle w:val="Heading3"/>
      </w:pPr>
      <w:bookmarkStart w:id="1100" w:name="_Toc536782244"/>
      <w:bookmarkStart w:id="1101" w:name="_Toc220674456"/>
      <w:bookmarkStart w:id="1102" w:name="_Toc221009628"/>
      <w:bookmarkStart w:id="1103" w:name="_Toc221011490"/>
      <w:bookmarkStart w:id="1104" w:name="_Toc221109996"/>
      <w:r>
        <w:rPr>
          <w:rStyle w:val="CharDivNo"/>
        </w:rPr>
        <w:t>Part 6</w:t>
      </w:r>
      <w:r>
        <w:t>—</w:t>
      </w:r>
      <w:r>
        <w:rPr>
          <w:rStyle w:val="CharDivText"/>
        </w:rPr>
        <w:t>Hearing procedures</w:t>
      </w:r>
      <w:bookmarkEnd w:id="1100"/>
      <w:bookmarkEnd w:id="1101"/>
      <w:bookmarkEnd w:id="1102"/>
      <w:bookmarkEnd w:id="1103"/>
      <w:bookmarkEnd w:id="1104"/>
    </w:p>
    <w:p>
      <w:pPr>
        <w:pStyle w:val="Footnoteheading"/>
      </w:pPr>
      <w:r>
        <w:tab/>
        <w:t>[Heading inserted: see SA Act No. 23 of 2017 s. 6 and WA Gazette 22 Dec 2017 p. 5984.]</w:t>
      </w:r>
    </w:p>
    <w:p>
      <w:pPr>
        <w:pStyle w:val="Heading5"/>
      </w:pPr>
      <w:bookmarkStart w:id="1105" w:name="_Toc536782245"/>
      <w:bookmarkStart w:id="1106" w:name="_Toc221109997"/>
      <w:r>
        <w:rPr>
          <w:rStyle w:val="CharSectno"/>
        </w:rPr>
        <w:t>216S</w:t>
      </w:r>
      <w:r>
        <w:t>.</w:t>
      </w:r>
      <w:r>
        <w:tab/>
        <w:t>Hearing procedures</w:t>
      </w:r>
      <w:bookmarkEnd w:id="1105"/>
      <w:bookmarkEnd w:id="11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Chapter 6 Part 6 applies to an arbitration under this Chapter—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as if—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a reference in that Part to a dispute hearing were a reference to a hearing conducted by an arbitrator for the purposes of making an access determination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reference in that Part to a party or parties were a reference to a party or the parties to an arbitration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reference in that Part to the dispute resolution body were a reference to an arbitrator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reference in that Part to an access dispute were a reference to an access dispute under this Chapter;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subject to the exclusion of sections 206 and 207, and subject to any other exclusion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subject to any modifications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with such other necessary alterations and modifications.</w:t>
      </w:r>
    </w:p>
    <w:p>
      <w:pPr>
        <w:pStyle w:val="Footnotesection"/>
      </w:pPr>
      <w:r>
        <w:tab/>
        <w:t>[Section 216S inserted: see SA Act No. 23 of 2017 s. 6 and WA Gazette 22 Dec 2017 p. 5984.]</w:t>
      </w:r>
    </w:p>
    <w:p>
      <w:pPr>
        <w:pStyle w:val="Heading3"/>
      </w:pPr>
      <w:bookmarkStart w:id="1107" w:name="_Toc536782246"/>
      <w:bookmarkStart w:id="1108" w:name="_Toc220674458"/>
      <w:bookmarkStart w:id="1109" w:name="_Toc221009630"/>
      <w:bookmarkStart w:id="1110" w:name="_Toc221011492"/>
      <w:bookmarkStart w:id="1111" w:name="_Toc221109998"/>
      <w:r>
        <w:rPr>
          <w:rStyle w:val="CharDivNo"/>
        </w:rPr>
        <w:t>Part 7</w:t>
      </w:r>
      <w:r>
        <w:t>—</w:t>
      </w:r>
      <w:r>
        <w:rPr>
          <w:rStyle w:val="CharDivText"/>
        </w:rPr>
        <w:t>Miscellaneous matters</w:t>
      </w:r>
      <w:bookmarkEnd w:id="1107"/>
      <w:bookmarkEnd w:id="1108"/>
      <w:bookmarkEnd w:id="1109"/>
      <w:bookmarkEnd w:id="1110"/>
      <w:bookmarkEnd w:id="1111"/>
    </w:p>
    <w:p>
      <w:pPr>
        <w:pStyle w:val="Footnoteheading"/>
      </w:pPr>
      <w:r>
        <w:tab/>
        <w:t>[Heading inserted: see SA Act No. 23 of 2017 s. 6 and WA Gazette 22 Dec 2017 p. 5984.]</w:t>
      </w:r>
    </w:p>
    <w:p>
      <w:pPr>
        <w:pStyle w:val="Heading5"/>
      </w:pPr>
      <w:bookmarkStart w:id="1112" w:name="_Toc536782247"/>
      <w:bookmarkStart w:id="1113" w:name="_Toc221109999"/>
      <w:r>
        <w:rPr>
          <w:rStyle w:val="CharSectno"/>
        </w:rPr>
        <w:t>216T</w:t>
      </w:r>
      <w:r>
        <w:t>.</w:t>
      </w:r>
      <w:r>
        <w:tab/>
        <w:t>Correction of access determinations for clerical mistakes etc</w:t>
      </w:r>
      <w:bookmarkEnd w:id="1112"/>
      <w:bookmarkEnd w:id="11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make provision with respect to correcting the following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an error arising from an accidental slip or omission;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pStyle w:val="Footnotesection"/>
      </w:pPr>
      <w:r>
        <w:tab/>
        <w:t>[Section 216T inserted: see SA Act No. 23 of 2017 s. 6 and WA Gazette 22 Dec 2017 p. 5984.]</w:t>
      </w:r>
    </w:p>
    <w:p>
      <w:pPr>
        <w:pStyle w:val="Heading5"/>
      </w:pPr>
      <w:bookmarkStart w:id="1114" w:name="_Toc536782248"/>
      <w:bookmarkStart w:id="1115" w:name="_Toc221110000"/>
      <w:r>
        <w:rPr>
          <w:rStyle w:val="CharSectno"/>
        </w:rPr>
        <w:t>216U</w:t>
      </w:r>
      <w:r>
        <w:t>.</w:t>
      </w:r>
      <w:r>
        <w:tab/>
        <w:t>Reservation of capacity during an access dispute</w:t>
      </w:r>
      <w:bookmarkEnd w:id="1114"/>
      <w:bookmarkEnd w:id="11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service provider who is in an access dispute with a user must not, without the consent of the user, alter the rights that the user has to use the capacity of the non</w:t>
      </w:r>
      <w:r>
        <w:rPr>
          <w:color w:val="000000"/>
          <w:sz w:val="23"/>
          <w:szCs w:val="23"/>
        </w:rPr>
        <w:noBreakHyphen/>
        <w:t>scheme pipeline during the period of the dispute.</w:t>
      </w:r>
    </w:p>
    <w:p>
      <w:pPr>
        <w:pStyle w:val="Footnotesection"/>
      </w:pPr>
      <w:r>
        <w:tab/>
        <w:t>[Section 216U inserted: see SA Act No. 23 of 2017 s. 6 and WA Gazette 22 Dec 2017 p. 5984.]</w:t>
      </w:r>
    </w:p>
    <w:p>
      <w:pPr>
        <w:pStyle w:val="Heading5"/>
      </w:pPr>
      <w:bookmarkStart w:id="1116" w:name="_Toc536782249"/>
      <w:bookmarkStart w:id="1117" w:name="_Toc221110001"/>
      <w:r>
        <w:rPr>
          <w:rStyle w:val="CharSectno"/>
        </w:rPr>
        <w:t>216V</w:t>
      </w:r>
      <w:r>
        <w:t>.</w:t>
      </w:r>
      <w:r>
        <w:tab/>
        <w:t>Costs of arbitration</w:t>
      </w:r>
      <w:bookmarkEnd w:id="1116"/>
      <w:bookmarkEnd w:id="1117"/>
    </w:p>
    <w:p>
      <w:pPr>
        <w:keepLines/>
        <w:tabs>
          <w:tab w:val="center" w:pos="1191"/>
          <w:tab w:val="left" w:pos="1588"/>
        </w:tabs>
        <w:autoSpaceDE w:val="0"/>
        <w:autoSpaceDN w:val="0"/>
        <w:adjustRightInd w:val="0"/>
        <w:spacing w:before="120"/>
        <w:ind w:left="1588" w:hanging="794"/>
        <w:rPr>
          <w:color w:val="000000"/>
          <w:sz w:val="23"/>
          <w:szCs w:val="23"/>
        </w:rPr>
      </w:pPr>
      <w:bookmarkStart w:id="1118" w:name="id22e4cd07_6925_454f_94c4_72f206e63a"/>
      <w:r>
        <w:rPr>
          <w:color w:val="000000"/>
          <w:sz w:val="23"/>
          <w:szCs w:val="23"/>
        </w:rPr>
        <w:tab/>
        <w:t>(1)</w:t>
      </w:r>
      <w:r>
        <w:rPr>
          <w:color w:val="000000"/>
          <w:sz w:val="23"/>
          <w:szCs w:val="23"/>
        </w:rPr>
        <w:tab/>
        <w:t>Subject to this section, the costs of an arbitration under this Chapter (including costs associated with the arbitration process and the cost of the arbitrator) will be shared equally between the parties to the arbitration.</w:t>
      </w:r>
      <w:bookmarkEnd w:id="11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Rules may make provision with respect to the costs of an arbitration under this Chapter, including rules that provide for a different approach to allocating costs under </w:t>
      </w:r>
      <w:hyperlink w:anchor="id22e4cd07_6925_454f_94c4_72f206e63a" w:history="1">
        <w:r>
          <w:rPr>
            <w:color w:val="000000"/>
            <w:sz w:val="23"/>
            <w:szCs w:val="23"/>
          </w:rPr>
          <w:t>subsection (1)</w:t>
        </w:r>
      </w:hyperlink>
      <w:r>
        <w:rPr>
          <w:color w:val="000000"/>
          <w:sz w:val="23"/>
          <w:szCs w:val="23"/>
        </w:rPr>
        <w:t xml:space="preserve"> in specified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Costs payable to an arbitrator are a debt due to the arbitrator and may be recovered by the arbitrator in a court of competent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in a preceding subsection, the parties to an arbitration will bear their own costs.</w:t>
      </w:r>
    </w:p>
    <w:p>
      <w:pPr>
        <w:pStyle w:val="Footnotesection"/>
      </w:pPr>
      <w:r>
        <w:tab/>
        <w:t>[Section 216V inserted: see SA Act No. 23 of 2017 s. 6 and WA Gazette 22 Dec 2017 p. 5984.]</w:t>
      </w:r>
    </w:p>
    <w:p>
      <w:pPr>
        <w:pStyle w:val="Heading2"/>
      </w:pPr>
      <w:bookmarkStart w:id="1119" w:name="_Toc536782250"/>
      <w:bookmarkStart w:id="1120" w:name="_Toc220674462"/>
      <w:bookmarkStart w:id="1121" w:name="_Toc221009634"/>
      <w:bookmarkStart w:id="1122" w:name="_Toc221011496"/>
      <w:bookmarkStart w:id="1123" w:name="_Toc221110002"/>
      <w:r>
        <w:rPr>
          <w:rStyle w:val="CharPartNo"/>
        </w:rPr>
        <w:lastRenderedPageBreak/>
        <w:t>Chapter 7</w:t>
      </w:r>
      <w:r>
        <w:t xml:space="preserve"> — </w:t>
      </w:r>
      <w:r>
        <w:rPr>
          <w:rStyle w:val="CharPartText"/>
        </w:rPr>
        <w:t>The Natural Gas Services Bulletin Board</w:t>
      </w:r>
      <w:bookmarkEnd w:id="1031"/>
      <w:bookmarkEnd w:id="1032"/>
      <w:bookmarkEnd w:id="1119"/>
      <w:bookmarkEnd w:id="1120"/>
      <w:bookmarkEnd w:id="1121"/>
      <w:bookmarkEnd w:id="1122"/>
      <w:bookmarkEnd w:id="1123"/>
    </w:p>
    <w:p>
      <w:pPr>
        <w:pStyle w:val="Heading3"/>
      </w:pPr>
      <w:bookmarkStart w:id="1124" w:name="_Toc501634130"/>
      <w:bookmarkStart w:id="1125" w:name="_Toc501713026"/>
      <w:bookmarkStart w:id="1126" w:name="_Toc536782251"/>
      <w:bookmarkStart w:id="1127" w:name="_Toc220674463"/>
      <w:bookmarkStart w:id="1128" w:name="_Toc221009635"/>
      <w:bookmarkStart w:id="1129" w:name="_Toc221011497"/>
      <w:bookmarkStart w:id="1130" w:name="_Toc221110003"/>
      <w:r>
        <w:rPr>
          <w:rStyle w:val="CharDivNo"/>
        </w:rPr>
        <w:t>Part 1</w:t>
      </w:r>
      <w:r>
        <w:t xml:space="preserve"> — </w:t>
      </w:r>
      <w:r>
        <w:rPr>
          <w:rStyle w:val="CharDivText"/>
        </w:rPr>
        <w:t>The Bulletin Board Operator</w:t>
      </w:r>
      <w:bookmarkEnd w:id="1124"/>
      <w:bookmarkEnd w:id="1125"/>
      <w:bookmarkEnd w:id="1126"/>
      <w:bookmarkEnd w:id="1127"/>
      <w:bookmarkEnd w:id="1128"/>
      <w:bookmarkEnd w:id="1129"/>
      <w:bookmarkEnd w:id="1130"/>
    </w:p>
    <w:p>
      <w:pPr>
        <w:pStyle w:val="Heading5"/>
      </w:pPr>
      <w:bookmarkStart w:id="1131" w:name="_Toc536782252"/>
      <w:bookmarkStart w:id="1132" w:name="_Toc221110004"/>
      <w:r>
        <w:rPr>
          <w:rStyle w:val="CharSectno"/>
        </w:rPr>
        <w:t>217</w:t>
      </w:r>
      <w:r>
        <w:t>.</w:t>
      </w:r>
      <w:r>
        <w:tab/>
        <w:t>The Bulletin Board operator</w:t>
      </w:r>
      <w:bookmarkEnd w:id="1131"/>
      <w:bookmarkEnd w:id="1132"/>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1133" w:name="_Toc536782253"/>
      <w:bookmarkStart w:id="1134" w:name="_Toc221110005"/>
      <w:r>
        <w:rPr>
          <w:rStyle w:val="CharSectno"/>
        </w:rPr>
        <w:t>218</w:t>
      </w:r>
      <w:r>
        <w:t>.</w:t>
      </w:r>
      <w:r>
        <w:tab/>
        <w:t>Obligation to establish and maintain the Natural Gas Services Bulletin Board</w:t>
      </w:r>
      <w:bookmarkEnd w:id="1133"/>
      <w:bookmarkEnd w:id="11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1135" w:name="_Toc536782254"/>
      <w:bookmarkStart w:id="1136" w:name="_Toc221110006"/>
      <w:r>
        <w:rPr>
          <w:rStyle w:val="CharSectno"/>
        </w:rPr>
        <w:t>219</w:t>
      </w:r>
      <w:r>
        <w:t>.</w:t>
      </w:r>
      <w:r>
        <w:tab/>
        <w:t>Other functions of the Bulletin Board operator</w:t>
      </w:r>
      <w:bookmarkEnd w:id="1135"/>
      <w:bookmarkEnd w:id="1136"/>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1137" w:name="_Toc536782255"/>
      <w:bookmarkStart w:id="1138" w:name="_Toc221110007"/>
      <w:r>
        <w:rPr>
          <w:rStyle w:val="CharSectno"/>
        </w:rPr>
        <w:t>220</w:t>
      </w:r>
      <w:r>
        <w:t>.</w:t>
      </w:r>
      <w:r>
        <w:tab/>
        <w:t>Powers of the Bulletin Board operator</w:t>
      </w:r>
      <w:bookmarkEnd w:id="1137"/>
      <w:bookmarkEnd w:id="1138"/>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1139" w:name="_Toc536782256"/>
      <w:bookmarkStart w:id="1140" w:name="_Toc221110008"/>
      <w:r>
        <w:rPr>
          <w:rStyle w:val="CharSectno"/>
        </w:rPr>
        <w:t>221</w:t>
      </w:r>
      <w:r>
        <w:t>.</w:t>
      </w:r>
      <w:r>
        <w:tab/>
        <w:t>Immunity of the Bulletin Board operator</w:t>
      </w:r>
      <w:bookmarkEnd w:id="1139"/>
      <w:bookmarkEnd w:id="11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1141" w:name="_Toc536782257"/>
      <w:bookmarkStart w:id="1142" w:name="_Toc221110009"/>
      <w:r>
        <w:rPr>
          <w:rStyle w:val="CharSectno"/>
        </w:rPr>
        <w:t>222</w:t>
      </w:r>
      <w:r>
        <w:t>.</w:t>
      </w:r>
      <w:r>
        <w:tab/>
        <w:t>Fees for services provided</w:t>
      </w:r>
      <w:bookmarkEnd w:id="1141"/>
      <w:bookmarkEnd w:id="11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1143" w:name="_Toc501634137"/>
      <w:bookmarkStart w:id="1144" w:name="_Toc501713033"/>
      <w:bookmarkStart w:id="1145" w:name="_Toc536782258"/>
      <w:bookmarkStart w:id="1146" w:name="_Toc220674470"/>
      <w:bookmarkStart w:id="1147" w:name="_Toc221009642"/>
      <w:bookmarkStart w:id="1148" w:name="_Toc221011504"/>
      <w:bookmarkStart w:id="1149" w:name="_Toc221110010"/>
      <w:r>
        <w:rPr>
          <w:rStyle w:val="CharDivNo"/>
        </w:rPr>
        <w:t>Part 2</w:t>
      </w:r>
      <w:r>
        <w:t xml:space="preserve"> — </w:t>
      </w:r>
      <w:r>
        <w:rPr>
          <w:rStyle w:val="CharDivText"/>
        </w:rPr>
        <w:t>Bulletin Board information</w:t>
      </w:r>
      <w:bookmarkEnd w:id="1143"/>
      <w:bookmarkEnd w:id="1144"/>
      <w:bookmarkEnd w:id="1145"/>
      <w:bookmarkEnd w:id="1146"/>
      <w:bookmarkEnd w:id="1147"/>
      <w:bookmarkEnd w:id="1148"/>
      <w:bookmarkEnd w:id="1149"/>
    </w:p>
    <w:p>
      <w:pPr>
        <w:pStyle w:val="Heading5"/>
      </w:pPr>
      <w:bookmarkStart w:id="1150" w:name="_Toc536782259"/>
      <w:bookmarkStart w:id="1151" w:name="_Toc221110011"/>
      <w:r>
        <w:rPr>
          <w:rStyle w:val="CharSectno"/>
        </w:rPr>
        <w:t>223</w:t>
      </w:r>
      <w:r>
        <w:t>.</w:t>
      </w:r>
      <w:r>
        <w:tab/>
        <w:t>Obligation to give information to the Bulletin Board operator</w:t>
      </w:r>
      <w:bookmarkEnd w:id="1150"/>
      <w:bookmarkEnd w:id="1151"/>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person of the following kind who has possession or control of information in relation to natural gas services </w:t>
      </w:r>
      <w:r>
        <w:rPr>
          <w:color w:val="000000"/>
          <w:sz w:val="23"/>
          <w:szCs w:val="23"/>
        </w:rPr>
        <w:lastRenderedPageBreak/>
        <w:t>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1152" w:name="_Toc536782260"/>
      <w:bookmarkStart w:id="1153" w:name="_Toc221110012"/>
      <w:r>
        <w:rPr>
          <w:rStyle w:val="CharSectno"/>
        </w:rPr>
        <w:t>224</w:t>
      </w:r>
      <w:r>
        <w:t>.</w:t>
      </w:r>
      <w:r>
        <w:tab/>
        <w:t>Person cannot rely on duty of confidence to avoid compliance with obligation</w:t>
      </w:r>
      <w:bookmarkEnd w:id="1152"/>
      <w:bookmarkEnd w:id="1153"/>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1154" w:name="_Toc536782261"/>
      <w:bookmarkStart w:id="1155" w:name="_Toc221110013"/>
      <w:r>
        <w:rPr>
          <w:rStyle w:val="CharSectno"/>
        </w:rPr>
        <w:t>225</w:t>
      </w:r>
      <w:r>
        <w:t>.</w:t>
      </w:r>
      <w:r>
        <w:tab/>
        <w:t>Giving to Bulletin Board operator false and misleading information</w:t>
      </w:r>
      <w:bookmarkEnd w:id="1154"/>
      <w:bookmarkEnd w:id="1155"/>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1156" w:name="_Toc536782262"/>
      <w:bookmarkStart w:id="1157" w:name="_Toc221110014"/>
      <w:r>
        <w:rPr>
          <w:rStyle w:val="CharSectno"/>
        </w:rPr>
        <w:t>226</w:t>
      </w:r>
      <w:r>
        <w:t>.</w:t>
      </w:r>
      <w:r>
        <w:tab/>
        <w:t>Immunity of persons giving information to the Bulletin Board operator</w:t>
      </w:r>
      <w:bookmarkEnd w:id="1156"/>
      <w:bookmarkEnd w:id="11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1158" w:name="_Toc501634142"/>
      <w:bookmarkStart w:id="1159" w:name="_Toc501713038"/>
      <w:bookmarkStart w:id="1160" w:name="_Toc536782263"/>
      <w:bookmarkStart w:id="1161" w:name="_Toc220674475"/>
      <w:bookmarkStart w:id="1162" w:name="_Toc221009647"/>
      <w:bookmarkStart w:id="1163" w:name="_Toc221011509"/>
      <w:bookmarkStart w:id="1164" w:name="_Toc221110015"/>
      <w:r>
        <w:rPr>
          <w:rStyle w:val="CharDivNo"/>
        </w:rPr>
        <w:t>Part 3</w:t>
      </w:r>
      <w:r>
        <w:t xml:space="preserve"> — </w:t>
      </w:r>
      <w:r>
        <w:rPr>
          <w:rStyle w:val="CharDivText"/>
        </w:rPr>
        <w:t>Protection of information</w:t>
      </w:r>
      <w:bookmarkEnd w:id="1158"/>
      <w:bookmarkEnd w:id="1159"/>
      <w:bookmarkEnd w:id="1160"/>
      <w:bookmarkEnd w:id="1161"/>
      <w:bookmarkEnd w:id="1162"/>
      <w:bookmarkEnd w:id="1163"/>
      <w:bookmarkEnd w:id="1164"/>
    </w:p>
    <w:p>
      <w:pPr>
        <w:pStyle w:val="Heading5"/>
      </w:pPr>
      <w:bookmarkStart w:id="1165" w:name="_Toc536782264"/>
      <w:bookmarkStart w:id="1166" w:name="_Toc221110016"/>
      <w:r>
        <w:rPr>
          <w:rStyle w:val="CharSectno"/>
        </w:rPr>
        <w:t>227</w:t>
      </w:r>
      <w:r>
        <w:t>.</w:t>
      </w:r>
      <w:r>
        <w:tab/>
        <w:t>Protection of information by the Bulletin Board operator</w:t>
      </w:r>
      <w:bookmarkEnd w:id="1165"/>
      <w:bookmarkEnd w:id="11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1167" w:name="_Toc536782265"/>
      <w:bookmarkStart w:id="1168" w:name="_Toc221110017"/>
      <w:r>
        <w:rPr>
          <w:rStyle w:val="CharSectno"/>
        </w:rPr>
        <w:t>228</w:t>
      </w:r>
      <w:r>
        <w:t>.</w:t>
      </w:r>
      <w:r>
        <w:tab/>
        <w:t>Protection of information by employees etc of the Bulletin Board operator</w:t>
      </w:r>
      <w:bookmarkEnd w:id="1167"/>
      <w:bookmarkEnd w:id="11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lastRenderedPageBreak/>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lastRenderedPageBreak/>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1169" w:name="_Toc501634145"/>
      <w:bookmarkStart w:id="1170" w:name="_Toc501713041"/>
      <w:bookmarkStart w:id="1171" w:name="_Toc536782266"/>
      <w:bookmarkStart w:id="1172" w:name="_Toc220674478"/>
      <w:bookmarkStart w:id="1173" w:name="_Toc221009650"/>
      <w:bookmarkStart w:id="1174" w:name="_Toc221011512"/>
      <w:bookmarkStart w:id="1175" w:name="_Toc221110018"/>
      <w:r>
        <w:rPr>
          <w:rStyle w:val="CharPartNo"/>
        </w:rPr>
        <w:lastRenderedPageBreak/>
        <w:t>Chapter 8</w:t>
      </w:r>
      <w:r>
        <w:t xml:space="preserve"> — </w:t>
      </w:r>
      <w:r>
        <w:rPr>
          <w:rStyle w:val="CharPartText"/>
        </w:rPr>
        <w:t>Proceedings under the National Gas Law</w:t>
      </w:r>
      <w:bookmarkEnd w:id="1169"/>
      <w:bookmarkEnd w:id="1170"/>
      <w:bookmarkEnd w:id="1171"/>
      <w:bookmarkEnd w:id="1172"/>
      <w:bookmarkEnd w:id="1173"/>
      <w:bookmarkEnd w:id="1174"/>
      <w:bookmarkEnd w:id="1175"/>
    </w:p>
    <w:p>
      <w:pPr>
        <w:pStyle w:val="Heading3"/>
      </w:pPr>
      <w:bookmarkStart w:id="1176" w:name="_Toc501634146"/>
      <w:bookmarkStart w:id="1177" w:name="_Toc501713042"/>
      <w:bookmarkStart w:id="1178" w:name="_Toc536782267"/>
      <w:bookmarkStart w:id="1179" w:name="_Toc220674479"/>
      <w:bookmarkStart w:id="1180" w:name="_Toc221009651"/>
      <w:bookmarkStart w:id="1181" w:name="_Toc221011513"/>
      <w:bookmarkStart w:id="1182" w:name="_Toc221110019"/>
      <w:r>
        <w:rPr>
          <w:rStyle w:val="CharDivNo"/>
        </w:rPr>
        <w:t>Part 1</w:t>
      </w:r>
      <w:r>
        <w:t xml:space="preserve"> — </w:t>
      </w:r>
      <w:r>
        <w:rPr>
          <w:rStyle w:val="CharDivText"/>
        </w:rPr>
        <w:t>Proceedings generally</w:t>
      </w:r>
      <w:bookmarkEnd w:id="1176"/>
      <w:bookmarkEnd w:id="1177"/>
      <w:bookmarkEnd w:id="1178"/>
      <w:bookmarkEnd w:id="1179"/>
      <w:bookmarkEnd w:id="1180"/>
      <w:bookmarkEnd w:id="1181"/>
      <w:bookmarkEnd w:id="1182"/>
    </w:p>
    <w:p>
      <w:pPr>
        <w:pStyle w:val="Heading5"/>
      </w:pPr>
      <w:bookmarkStart w:id="1183" w:name="_Toc536782268"/>
      <w:bookmarkStart w:id="1184" w:name="_Toc221110020"/>
      <w:r>
        <w:rPr>
          <w:rStyle w:val="CharSectno"/>
        </w:rPr>
        <w:t>229</w:t>
      </w:r>
      <w:r>
        <w:t>.</w:t>
      </w:r>
      <w:r>
        <w:tab/>
        <w:t>Instituting civil proceedings under this Law</w:t>
      </w:r>
      <w:bookmarkEnd w:id="1183"/>
      <w:bookmarkEnd w:id="11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1185" w:name="_Toc536782269"/>
      <w:bookmarkStart w:id="1186" w:name="_Toc221110021"/>
      <w:r>
        <w:rPr>
          <w:rStyle w:val="CharSectno"/>
        </w:rPr>
        <w:t>230</w:t>
      </w:r>
      <w:r>
        <w:t>.</w:t>
      </w:r>
      <w:r>
        <w:tab/>
        <w:t>Time limit within which proceedings may be instituted</w:t>
      </w:r>
      <w:bookmarkEnd w:id="1185"/>
      <w:bookmarkEnd w:id="11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1187" w:name="_Toc501634149"/>
      <w:bookmarkStart w:id="1188" w:name="_Toc501713045"/>
      <w:bookmarkStart w:id="1189" w:name="_Toc536782270"/>
      <w:bookmarkStart w:id="1190" w:name="_Toc220674482"/>
      <w:bookmarkStart w:id="1191" w:name="_Toc221009654"/>
      <w:bookmarkStart w:id="1192" w:name="_Toc221011516"/>
      <w:bookmarkStart w:id="1193" w:name="_Toc221110022"/>
      <w:r>
        <w:rPr>
          <w:rStyle w:val="CharDivNo"/>
        </w:rPr>
        <w:lastRenderedPageBreak/>
        <w:t>Part 2</w:t>
      </w:r>
      <w:r>
        <w:t xml:space="preserve"> — </w:t>
      </w:r>
      <w:r>
        <w:rPr>
          <w:rStyle w:val="CharDivText"/>
        </w:rPr>
        <w:t>Proceedings for breaches of this Law, Regulations or the Rules</w:t>
      </w:r>
      <w:bookmarkEnd w:id="1187"/>
      <w:bookmarkEnd w:id="1188"/>
      <w:bookmarkEnd w:id="1189"/>
      <w:bookmarkEnd w:id="1190"/>
      <w:bookmarkEnd w:id="1191"/>
      <w:bookmarkEnd w:id="1192"/>
      <w:bookmarkEnd w:id="1193"/>
    </w:p>
    <w:p>
      <w:pPr>
        <w:pStyle w:val="Heading5"/>
      </w:pPr>
      <w:bookmarkStart w:id="1194" w:name="_Toc536782271"/>
      <w:bookmarkStart w:id="1195" w:name="_Toc221110023"/>
      <w:r>
        <w:rPr>
          <w:rStyle w:val="CharSectno"/>
        </w:rPr>
        <w:t>231</w:t>
      </w:r>
      <w:r>
        <w:t>.</w:t>
      </w:r>
      <w:r>
        <w:tab/>
        <w:t>AER proceedings for breaches of this Law, Regulations or the Rules that are not offences</w:t>
      </w:r>
      <w:bookmarkEnd w:id="1194"/>
      <w:bookmarkEnd w:id="11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WA Act Sch. 1 cl. 10.]</w:t>
      </w:r>
    </w:p>
    <w:p>
      <w:pPr>
        <w:pStyle w:val="Heading5"/>
      </w:pPr>
      <w:bookmarkStart w:id="1196" w:name="_Toc536782272"/>
      <w:bookmarkStart w:id="1197" w:name="_Toc221110024"/>
      <w:r>
        <w:rPr>
          <w:rStyle w:val="CharSectno"/>
        </w:rPr>
        <w:lastRenderedPageBreak/>
        <w:t>232</w:t>
      </w:r>
      <w:r>
        <w:t>.</w:t>
      </w:r>
      <w:r>
        <w:tab/>
        <w:t>Proceedings for declaration that a person is in breach of a conduct provision</w:t>
      </w:r>
      <w:bookmarkEnd w:id="1196"/>
      <w:bookmarkEnd w:id="11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1198" w:name="_Toc536782273"/>
      <w:bookmarkStart w:id="1199" w:name="_Toc221110025"/>
      <w:r>
        <w:rPr>
          <w:rStyle w:val="CharSectno"/>
        </w:rPr>
        <w:t>233</w:t>
      </w:r>
      <w:r>
        <w:t>.</w:t>
      </w:r>
      <w:r>
        <w:tab/>
        <w:t>Actions for damages by persons for breach of conduct provision</w:t>
      </w:r>
      <w:bookmarkEnd w:id="1198"/>
      <w:bookmarkEnd w:id="1199"/>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1200" w:name="_Toc501634153"/>
      <w:bookmarkStart w:id="1201" w:name="_Toc501713049"/>
      <w:bookmarkStart w:id="1202" w:name="_Toc536782274"/>
      <w:bookmarkStart w:id="1203" w:name="_Toc220674486"/>
      <w:bookmarkStart w:id="1204" w:name="_Toc221009658"/>
      <w:bookmarkStart w:id="1205" w:name="_Toc221011520"/>
      <w:bookmarkStart w:id="1206" w:name="_Toc221110026"/>
      <w:r>
        <w:rPr>
          <w:rStyle w:val="CharDivNo"/>
        </w:rPr>
        <w:t>Part 3</w:t>
      </w:r>
      <w:r>
        <w:t xml:space="preserve"> — </w:t>
      </w:r>
      <w:r>
        <w:rPr>
          <w:rStyle w:val="CharDivText"/>
        </w:rPr>
        <w:t>Matters relating to breaches of this Law, the Regulations or the Rules</w:t>
      </w:r>
      <w:bookmarkEnd w:id="1200"/>
      <w:bookmarkEnd w:id="1201"/>
      <w:bookmarkEnd w:id="1202"/>
      <w:bookmarkEnd w:id="1203"/>
      <w:bookmarkEnd w:id="1204"/>
      <w:bookmarkEnd w:id="1205"/>
      <w:bookmarkEnd w:id="1206"/>
    </w:p>
    <w:p>
      <w:pPr>
        <w:pStyle w:val="Heading5"/>
        <w:keepNext w:val="0"/>
        <w:keepLines w:val="0"/>
      </w:pPr>
      <w:bookmarkStart w:id="1207" w:name="_Toc536782275"/>
      <w:bookmarkStart w:id="1208" w:name="_Toc221110027"/>
      <w:r>
        <w:rPr>
          <w:rStyle w:val="CharSectno"/>
        </w:rPr>
        <w:t>234</w:t>
      </w:r>
      <w:r>
        <w:t>.</w:t>
      </w:r>
      <w:r>
        <w:tab/>
        <w:t>Matters for which there must be regard in determining amount of civil penalty</w:t>
      </w:r>
      <w:bookmarkEnd w:id="1207"/>
      <w:bookmarkEnd w:id="1208"/>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1209" w:name="_Toc536782276"/>
      <w:bookmarkStart w:id="1210" w:name="_Toc221110028"/>
      <w:r>
        <w:rPr>
          <w:rStyle w:val="CharSectno"/>
        </w:rPr>
        <w:t>235</w:t>
      </w:r>
      <w:r>
        <w:t>.</w:t>
      </w:r>
      <w:r>
        <w:tab/>
        <w:t>Breach of a civil penalty provision is not an offence</w:t>
      </w:r>
      <w:bookmarkEnd w:id="1209"/>
      <w:bookmarkEnd w:id="1210"/>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1211" w:name="_Toc536782277"/>
      <w:bookmarkStart w:id="1212" w:name="_Toc221110029"/>
      <w:r>
        <w:rPr>
          <w:rStyle w:val="CharSectno"/>
        </w:rPr>
        <w:t>236</w:t>
      </w:r>
      <w:r>
        <w:t>.</w:t>
      </w:r>
      <w:r>
        <w:tab/>
        <w:t>Breaches of civil penalty provisions involving continuing failure</w:t>
      </w:r>
      <w:bookmarkEnd w:id="1211"/>
      <w:bookmarkEnd w:id="1212"/>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1213" w:name="_Toc536782278"/>
      <w:bookmarkStart w:id="1214" w:name="_Toc221110030"/>
      <w:r>
        <w:rPr>
          <w:rStyle w:val="CharSectno"/>
        </w:rPr>
        <w:t>237</w:t>
      </w:r>
      <w:r>
        <w:t>.</w:t>
      </w:r>
      <w:r>
        <w:tab/>
        <w:t>Conduct in breach of more than 1 civil penalty provision</w:t>
      </w:r>
      <w:bookmarkEnd w:id="1213"/>
      <w:bookmarkEnd w:id="12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lastRenderedPageBreak/>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1215" w:name="_Toc536782279"/>
      <w:bookmarkStart w:id="1216" w:name="_Toc221110031"/>
      <w:r>
        <w:rPr>
          <w:rStyle w:val="CharSectno"/>
        </w:rPr>
        <w:t>238</w:t>
      </w:r>
      <w:r>
        <w:t>.</w:t>
      </w:r>
      <w:r>
        <w:tab/>
        <w:t>Persons involved in breach of civil penalty provision or conduct provision</w:t>
      </w:r>
      <w:bookmarkEnd w:id="1215"/>
      <w:bookmarkEnd w:id="12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1217" w:name="_Toc536782280"/>
      <w:bookmarkStart w:id="1218" w:name="_Toc221110032"/>
      <w:r>
        <w:rPr>
          <w:rStyle w:val="CharSectno"/>
        </w:rPr>
        <w:t>239</w:t>
      </w:r>
      <w:r>
        <w:t>.</w:t>
      </w:r>
      <w:r>
        <w:tab/>
        <w:t>Attempt to breach a civil penalty provision</w:t>
      </w:r>
      <w:bookmarkEnd w:id="1217"/>
      <w:bookmarkEnd w:id="1218"/>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1219" w:name="_Toc536782281"/>
      <w:bookmarkStart w:id="1220" w:name="_Toc221110033"/>
      <w:r>
        <w:rPr>
          <w:rStyle w:val="CharSectno"/>
        </w:rPr>
        <w:t>240</w:t>
      </w:r>
      <w:r>
        <w:t>.</w:t>
      </w:r>
      <w:r>
        <w:tab/>
        <w:t>Civil penalties payable to the Commonwealth</w:t>
      </w:r>
      <w:bookmarkEnd w:id="1219"/>
      <w:bookmarkEnd w:id="1220"/>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WA Act Sch. 1 cl. 11.]</w:t>
      </w:r>
    </w:p>
    <w:p>
      <w:pPr>
        <w:pStyle w:val="Heading3"/>
      </w:pPr>
      <w:bookmarkStart w:id="1221" w:name="_Toc501634161"/>
      <w:bookmarkStart w:id="1222" w:name="_Toc501713057"/>
      <w:bookmarkStart w:id="1223" w:name="_Toc536782282"/>
      <w:bookmarkStart w:id="1224" w:name="_Toc220674494"/>
      <w:bookmarkStart w:id="1225" w:name="_Toc221009666"/>
      <w:bookmarkStart w:id="1226" w:name="_Toc221011528"/>
      <w:bookmarkStart w:id="1227" w:name="_Toc221110034"/>
      <w:r>
        <w:rPr>
          <w:rStyle w:val="CharDivNo"/>
        </w:rPr>
        <w:lastRenderedPageBreak/>
        <w:t>Part 4</w:t>
      </w:r>
      <w:r>
        <w:t xml:space="preserve"> — </w:t>
      </w:r>
      <w:r>
        <w:rPr>
          <w:rStyle w:val="CharDivText"/>
        </w:rPr>
        <w:t>Judicial review of decisions under this Law, the Regulations and the Rules</w:t>
      </w:r>
      <w:bookmarkEnd w:id="1221"/>
      <w:bookmarkEnd w:id="1222"/>
      <w:bookmarkEnd w:id="1223"/>
      <w:bookmarkEnd w:id="1224"/>
      <w:bookmarkEnd w:id="1225"/>
      <w:bookmarkEnd w:id="1226"/>
      <w:bookmarkEnd w:id="1227"/>
    </w:p>
    <w:p>
      <w:pPr>
        <w:pStyle w:val="Heading5"/>
      </w:pPr>
      <w:bookmarkStart w:id="1228" w:name="_Toc536782283"/>
      <w:bookmarkStart w:id="1229" w:name="_Toc221110035"/>
      <w:r>
        <w:rPr>
          <w:rStyle w:val="CharSectno"/>
        </w:rPr>
        <w:t>241</w:t>
      </w:r>
      <w:r>
        <w:t>.</w:t>
      </w:r>
      <w:r>
        <w:tab/>
        <w:t>Definition</w:t>
      </w:r>
      <w:bookmarkEnd w:id="1228"/>
      <w:bookmarkEnd w:id="1229"/>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1230" w:name="_Toc536782284"/>
      <w:bookmarkStart w:id="1231" w:name="_Toc221110036"/>
      <w:r>
        <w:rPr>
          <w:rStyle w:val="CharSectno"/>
        </w:rPr>
        <w:t>242</w:t>
      </w:r>
      <w:r>
        <w:t>.</w:t>
      </w:r>
      <w:r>
        <w:tab/>
        <w:t>Applications for judicial review of decisions of the AEMC</w:t>
      </w:r>
      <w:bookmarkEnd w:id="1230"/>
      <w:bookmarkEnd w:id="12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1232" w:name="_Toc536782285"/>
      <w:bookmarkStart w:id="1233" w:name="_Toc221110037"/>
      <w:r>
        <w:rPr>
          <w:rStyle w:val="CharSectno"/>
        </w:rPr>
        <w:lastRenderedPageBreak/>
        <w:t>243</w:t>
      </w:r>
      <w:r>
        <w:t>.</w:t>
      </w:r>
      <w:r>
        <w:tab/>
        <w:t>Applications for judicial review of decisions of the Bulletin Board operator</w:t>
      </w:r>
      <w:bookmarkEnd w:id="1232"/>
      <w:bookmarkEnd w:id="12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1234" w:name="_Toc501634165"/>
      <w:bookmarkStart w:id="1235" w:name="_Toc501713061"/>
      <w:bookmarkStart w:id="1236" w:name="_Toc536782286"/>
      <w:bookmarkStart w:id="1237" w:name="_Toc220674498"/>
      <w:bookmarkStart w:id="1238" w:name="_Toc221009670"/>
      <w:bookmarkStart w:id="1239" w:name="_Toc221011532"/>
      <w:bookmarkStart w:id="1240" w:name="_Toc221110038"/>
      <w:r>
        <w:rPr>
          <w:rStyle w:val="CharDivNo"/>
        </w:rPr>
        <w:t>Part 5</w:t>
      </w:r>
      <w:r>
        <w:t xml:space="preserve"> — </w:t>
      </w:r>
      <w:r>
        <w:rPr>
          <w:rStyle w:val="CharDivText"/>
        </w:rPr>
        <w:t>Merits review and other non</w:t>
      </w:r>
      <w:r>
        <w:rPr>
          <w:rStyle w:val="CharDivText"/>
        </w:rPr>
        <w:noBreakHyphen/>
        <w:t>judicial review</w:t>
      </w:r>
      <w:bookmarkEnd w:id="1234"/>
      <w:bookmarkEnd w:id="1235"/>
      <w:bookmarkEnd w:id="1236"/>
      <w:bookmarkEnd w:id="1237"/>
      <w:bookmarkEnd w:id="1238"/>
      <w:bookmarkEnd w:id="1239"/>
      <w:bookmarkEnd w:id="1240"/>
    </w:p>
    <w:p>
      <w:pPr>
        <w:pStyle w:val="Heading4"/>
        <w:keepNext w:val="0"/>
      </w:pPr>
      <w:bookmarkStart w:id="1241" w:name="_Toc501634166"/>
      <w:bookmarkStart w:id="1242" w:name="_Toc501713062"/>
      <w:bookmarkStart w:id="1243" w:name="_Toc536782287"/>
      <w:bookmarkStart w:id="1244" w:name="_Toc220674499"/>
      <w:bookmarkStart w:id="1245" w:name="_Toc221009671"/>
      <w:bookmarkStart w:id="1246" w:name="_Toc221011533"/>
      <w:bookmarkStart w:id="1247" w:name="_Toc221110039"/>
      <w:r>
        <w:t>Division 1 — Interpretation</w:t>
      </w:r>
      <w:bookmarkEnd w:id="1241"/>
      <w:bookmarkEnd w:id="1242"/>
      <w:bookmarkEnd w:id="1243"/>
      <w:bookmarkEnd w:id="1244"/>
      <w:bookmarkEnd w:id="1245"/>
      <w:bookmarkEnd w:id="1246"/>
      <w:bookmarkEnd w:id="1247"/>
    </w:p>
    <w:p>
      <w:pPr>
        <w:pStyle w:val="Heading5"/>
        <w:keepNext w:val="0"/>
        <w:keepLines w:val="0"/>
      </w:pPr>
      <w:bookmarkStart w:id="1248" w:name="_Toc536782288"/>
      <w:bookmarkStart w:id="1249" w:name="_Toc221110040"/>
      <w:r>
        <w:rPr>
          <w:rStyle w:val="CharSectno"/>
        </w:rPr>
        <w:t>244</w:t>
      </w:r>
      <w:r>
        <w:t>.</w:t>
      </w:r>
      <w:r>
        <w:tab/>
        <w:t>Definitions</w:t>
      </w:r>
      <w:bookmarkEnd w:id="1248"/>
      <w:bookmarkEnd w:id="1249"/>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lastRenderedPageBreak/>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lastRenderedPageBreak/>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1250" w:name="_Toc501634168"/>
      <w:bookmarkStart w:id="1251" w:name="_Toc501713064"/>
      <w:bookmarkStart w:id="1252" w:name="_Toc536782289"/>
      <w:bookmarkStart w:id="1253" w:name="_Toc220674501"/>
      <w:bookmarkStart w:id="1254" w:name="_Toc221009673"/>
      <w:bookmarkStart w:id="1255" w:name="_Toc221011535"/>
      <w:bookmarkStart w:id="1256" w:name="_Toc221110041"/>
      <w:r>
        <w:lastRenderedPageBreak/>
        <w:t>Division 2 — Merits review for reviewable regulatory decisions</w:t>
      </w:r>
      <w:bookmarkEnd w:id="1250"/>
      <w:bookmarkEnd w:id="1251"/>
      <w:bookmarkEnd w:id="1252"/>
      <w:bookmarkEnd w:id="1253"/>
      <w:bookmarkEnd w:id="1254"/>
      <w:bookmarkEnd w:id="1255"/>
      <w:bookmarkEnd w:id="1256"/>
    </w:p>
    <w:p>
      <w:pPr>
        <w:pStyle w:val="Heading5"/>
      </w:pPr>
      <w:bookmarkStart w:id="1257" w:name="_Toc536782290"/>
      <w:bookmarkStart w:id="1258" w:name="_Toc221110042"/>
      <w:r>
        <w:rPr>
          <w:rStyle w:val="CharSectno"/>
        </w:rPr>
        <w:t>245</w:t>
      </w:r>
      <w:r>
        <w:t>.</w:t>
      </w:r>
      <w:r>
        <w:tab/>
        <w:t>Applications for review</w:t>
      </w:r>
      <w:bookmarkEnd w:id="1257"/>
      <w:bookmarkEnd w:id="12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1259" w:name="_Toc536782291"/>
      <w:bookmarkStart w:id="1260" w:name="_Toc221110043"/>
      <w:r>
        <w:rPr>
          <w:rStyle w:val="CharSectno"/>
        </w:rPr>
        <w:t>246</w:t>
      </w:r>
      <w:r>
        <w:t>.</w:t>
      </w:r>
      <w:r>
        <w:tab/>
        <w:t>Grounds for review</w:t>
      </w:r>
      <w:bookmarkEnd w:id="1259"/>
      <w:bookmarkEnd w:id="12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1261" w:name="_Toc536782292"/>
      <w:bookmarkStart w:id="1262" w:name="_Toc221110044"/>
      <w:r>
        <w:rPr>
          <w:rStyle w:val="CharSectno"/>
        </w:rPr>
        <w:t>247</w:t>
      </w:r>
      <w:r>
        <w:t>.</w:t>
      </w:r>
      <w:r>
        <w:tab/>
        <w:t>By when an application must be made</w:t>
      </w:r>
      <w:bookmarkEnd w:id="1261"/>
      <w:bookmarkEnd w:id="12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1263" w:name="_Toc536782293"/>
      <w:bookmarkStart w:id="1264" w:name="_Toc221110045"/>
      <w:r>
        <w:rPr>
          <w:rStyle w:val="CharSectno"/>
        </w:rPr>
        <w:lastRenderedPageBreak/>
        <w:t>248</w:t>
      </w:r>
      <w:r>
        <w:t>.</w:t>
      </w:r>
      <w:r>
        <w:tab/>
        <w:t>Tribunal must not grant leave unless serious issue to be heard and determined</w:t>
      </w:r>
      <w:bookmarkEnd w:id="1263"/>
      <w:bookmarkEnd w:id="1264"/>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1265" w:name="_Toc536782294"/>
      <w:bookmarkStart w:id="1266" w:name="_Toc221110046"/>
      <w:r>
        <w:rPr>
          <w:rStyle w:val="CharSectno"/>
        </w:rPr>
        <w:t>249</w:t>
      </w:r>
      <w:r>
        <w:t>.</w:t>
      </w:r>
      <w:r>
        <w:tab/>
        <w:t>Leave must be refused if application is about an error relating to revenue amounts below specified threshold</w:t>
      </w:r>
      <w:bookmarkEnd w:id="1265"/>
      <w:bookmarkEnd w:id="12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1267" w:name="_Toc536782295"/>
      <w:bookmarkStart w:id="1268" w:name="_Toc221110047"/>
      <w:r>
        <w:rPr>
          <w:rStyle w:val="CharSectno"/>
        </w:rPr>
        <w:t>250</w:t>
      </w:r>
      <w:r>
        <w:t>.</w:t>
      </w:r>
      <w:r>
        <w:tab/>
        <w:t>Tribunal must refuse to grant leave if submission not made or is made late</w:t>
      </w:r>
      <w:bookmarkEnd w:id="1267"/>
      <w:bookmarkEnd w:id="1268"/>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1269" w:name="_Toc536782296"/>
      <w:bookmarkStart w:id="1270" w:name="_Toc221110048"/>
      <w:r>
        <w:rPr>
          <w:rStyle w:val="CharSectno"/>
        </w:rPr>
        <w:lastRenderedPageBreak/>
        <w:t>251</w:t>
      </w:r>
      <w:r>
        <w:t>.</w:t>
      </w:r>
      <w:r>
        <w:tab/>
        <w:t>Tribunal may refuse to grant leave to service provider in certain cases</w:t>
      </w:r>
      <w:bookmarkEnd w:id="1269"/>
      <w:bookmarkEnd w:id="127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1271" w:name="_Toc536782297"/>
      <w:bookmarkStart w:id="1272" w:name="_Toc221110049"/>
      <w:r>
        <w:rPr>
          <w:rStyle w:val="CharSectno"/>
        </w:rPr>
        <w:lastRenderedPageBreak/>
        <w:t>252</w:t>
      </w:r>
      <w:r>
        <w:t>.</w:t>
      </w:r>
      <w:r>
        <w:tab/>
        <w:t>Effect of application on operation of reviewable regulatory decisions</w:t>
      </w:r>
      <w:bookmarkEnd w:id="1271"/>
      <w:bookmarkEnd w:id="1272"/>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1273" w:name="_Toc536782298"/>
      <w:bookmarkStart w:id="1274" w:name="_Toc221110050"/>
      <w:r>
        <w:rPr>
          <w:rStyle w:val="CharSectno"/>
        </w:rPr>
        <w:t>253</w:t>
      </w:r>
      <w:r>
        <w:t>.</w:t>
      </w:r>
      <w:r>
        <w:tab/>
        <w:t>Intervention by others in a review without leave</w:t>
      </w:r>
      <w:bookmarkEnd w:id="1273"/>
      <w:bookmarkEnd w:id="1274"/>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1275" w:name="_Toc536782299"/>
      <w:bookmarkStart w:id="1276" w:name="_Toc221110051"/>
      <w:r>
        <w:rPr>
          <w:rStyle w:val="CharSectno"/>
        </w:rPr>
        <w:t>254</w:t>
      </w:r>
      <w:r>
        <w:t>.</w:t>
      </w:r>
      <w:r>
        <w:tab/>
        <w:t>Leave for reviewable regulatory decision process participants</w:t>
      </w:r>
      <w:bookmarkEnd w:id="1275"/>
      <w:bookmarkEnd w:id="12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1277" w:name="_Toc536782300"/>
      <w:bookmarkStart w:id="1278" w:name="_Toc221110052"/>
      <w:r>
        <w:rPr>
          <w:rStyle w:val="CharSectno"/>
        </w:rPr>
        <w:lastRenderedPageBreak/>
        <w:t>255</w:t>
      </w:r>
      <w:r>
        <w:t>.</w:t>
      </w:r>
      <w:r>
        <w:tab/>
        <w:t>Leave for user or consumer intervener</w:t>
      </w:r>
      <w:bookmarkEnd w:id="1277"/>
      <w:bookmarkEnd w:id="12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1279" w:name="_Toc536782301"/>
      <w:bookmarkStart w:id="1280" w:name="_Toc221110053"/>
      <w:r>
        <w:rPr>
          <w:rStyle w:val="CharSectno"/>
        </w:rPr>
        <w:lastRenderedPageBreak/>
        <w:t>256</w:t>
      </w:r>
      <w:r>
        <w:t>.</w:t>
      </w:r>
      <w:r>
        <w:tab/>
        <w:t>Interveners may raise new grounds for review</w:t>
      </w:r>
      <w:bookmarkEnd w:id="1279"/>
      <w:bookmarkEnd w:id="12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1281" w:name="_Toc536782302"/>
      <w:bookmarkStart w:id="1282" w:name="_Toc221110054"/>
      <w:r>
        <w:rPr>
          <w:rStyle w:val="CharSectno"/>
        </w:rPr>
        <w:t>257</w:t>
      </w:r>
      <w:r>
        <w:t>.</w:t>
      </w:r>
      <w:r>
        <w:tab/>
        <w:t>Parties to a review under this Division</w:t>
      </w:r>
      <w:bookmarkEnd w:id="1281"/>
      <w:bookmarkEnd w:id="1282"/>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1283" w:name="_Toc536782303"/>
      <w:bookmarkStart w:id="1284" w:name="_Toc221110055"/>
      <w:r>
        <w:rPr>
          <w:rStyle w:val="CharSectno"/>
        </w:rPr>
        <w:lastRenderedPageBreak/>
        <w:t>258</w:t>
      </w:r>
      <w:r>
        <w:t>.</w:t>
      </w:r>
      <w:r>
        <w:tab/>
        <w:t>Matters that parties to a review may and may not raise in a review</w:t>
      </w:r>
      <w:bookmarkEnd w:id="1283"/>
      <w:bookmarkEnd w:id="1284"/>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1285" w:name="_Toc536782304"/>
      <w:bookmarkStart w:id="1286" w:name="_Toc221110056"/>
      <w:r>
        <w:rPr>
          <w:rStyle w:val="CharSectno"/>
        </w:rPr>
        <w:t>258A</w:t>
      </w:r>
      <w:r>
        <w:t>.</w:t>
      </w:r>
      <w:r>
        <w:tab/>
        <w:t>Matters that may and may not be raised in a review (designated reviewable regulatory decisions)</w:t>
      </w:r>
      <w:bookmarkEnd w:id="1285"/>
      <w:bookmarkEnd w:id="1286"/>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1287" w:name="_Toc536782305"/>
      <w:bookmarkStart w:id="1288" w:name="_Toc221110057"/>
      <w:r>
        <w:rPr>
          <w:rStyle w:val="CharSectno"/>
        </w:rPr>
        <w:t>259</w:t>
      </w:r>
      <w:r>
        <w:t>.</w:t>
      </w:r>
      <w:r>
        <w:tab/>
        <w:t>Tribunal must make determination</w:t>
      </w:r>
      <w:bookmarkEnd w:id="1287"/>
      <w:bookmarkEnd w:id="12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lastRenderedPageBreak/>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1289" w:name="_Toc536782306"/>
      <w:bookmarkStart w:id="1290" w:name="_Toc221110058"/>
      <w:r>
        <w:rPr>
          <w:rStyle w:val="CharSectno"/>
        </w:rPr>
        <w:lastRenderedPageBreak/>
        <w:t>260</w:t>
      </w:r>
      <w:r>
        <w:t>.</w:t>
      </w:r>
      <w:r>
        <w:tab/>
        <w:t>Target time limit for Tribunal for making a determination under this Division</w:t>
      </w:r>
      <w:bookmarkEnd w:id="1289"/>
      <w:bookmarkEnd w:id="12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1291" w:name="_Toc536782307"/>
      <w:bookmarkStart w:id="1292" w:name="_Toc221110059"/>
      <w:r>
        <w:rPr>
          <w:rStyle w:val="CharSectno"/>
        </w:rPr>
        <w:t>261</w:t>
      </w:r>
      <w:r>
        <w:t>.</w:t>
      </w:r>
      <w:r>
        <w:tab/>
        <w:t>Matters to be considered by Tribunal in making determination</w:t>
      </w:r>
      <w:bookmarkEnd w:id="1291"/>
      <w:bookmarkEnd w:id="12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lastRenderedPageBreak/>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1293" w:name="_Toc536782308"/>
      <w:bookmarkStart w:id="1294" w:name="_Toc221110060"/>
      <w:r>
        <w:rPr>
          <w:rStyle w:val="CharSectno"/>
        </w:rPr>
        <w:lastRenderedPageBreak/>
        <w:t>262</w:t>
      </w:r>
      <w:r>
        <w:t>.</w:t>
      </w:r>
      <w:r>
        <w:tab/>
        <w:t>Assistance from NCC in certain cases</w:t>
      </w:r>
      <w:bookmarkEnd w:id="1293"/>
      <w:bookmarkEnd w:id="12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1295" w:name="_Toc501634188"/>
      <w:bookmarkStart w:id="1296" w:name="_Toc501713084"/>
      <w:bookmarkStart w:id="1297" w:name="_Toc536782309"/>
      <w:bookmarkStart w:id="1298" w:name="_Toc220674521"/>
      <w:bookmarkStart w:id="1299" w:name="_Toc221009693"/>
      <w:bookmarkStart w:id="1300" w:name="_Toc221011555"/>
      <w:bookmarkStart w:id="1301" w:name="_Toc221110061"/>
      <w:r>
        <w:t>Division 3 — Tribunal review of AER information disclosure decisions under section 329</w:t>
      </w:r>
      <w:bookmarkEnd w:id="1295"/>
      <w:bookmarkEnd w:id="1296"/>
      <w:bookmarkEnd w:id="1297"/>
      <w:bookmarkEnd w:id="1298"/>
      <w:bookmarkEnd w:id="1299"/>
      <w:bookmarkEnd w:id="1300"/>
      <w:bookmarkEnd w:id="1301"/>
    </w:p>
    <w:p>
      <w:pPr>
        <w:pStyle w:val="Heading5"/>
      </w:pPr>
      <w:bookmarkStart w:id="1302" w:name="_Toc536782310"/>
      <w:bookmarkStart w:id="1303" w:name="_Toc221110062"/>
      <w:r>
        <w:rPr>
          <w:rStyle w:val="CharSectno"/>
        </w:rPr>
        <w:t>263</w:t>
      </w:r>
      <w:r>
        <w:t>.</w:t>
      </w:r>
      <w:r>
        <w:tab/>
        <w:t>Application for review</w:t>
      </w:r>
      <w:bookmarkEnd w:id="1302"/>
      <w:bookmarkEnd w:id="13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1304" w:name="_Toc536782311"/>
      <w:bookmarkStart w:id="1305" w:name="_Toc221110063"/>
      <w:r>
        <w:rPr>
          <w:rStyle w:val="CharSectno"/>
        </w:rPr>
        <w:lastRenderedPageBreak/>
        <w:t>264</w:t>
      </w:r>
      <w:r>
        <w:t>.</w:t>
      </w:r>
      <w:r>
        <w:tab/>
        <w:t>Exclusion of public in certain cases</w:t>
      </w:r>
      <w:bookmarkEnd w:id="1304"/>
      <w:bookmarkEnd w:id="1305"/>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1306" w:name="_Toc536782312"/>
      <w:bookmarkStart w:id="1307" w:name="_Toc221110064"/>
      <w:r>
        <w:rPr>
          <w:rStyle w:val="CharSectno"/>
        </w:rPr>
        <w:t>265</w:t>
      </w:r>
      <w:r>
        <w:t>.</w:t>
      </w:r>
      <w:r>
        <w:tab/>
        <w:t>Determination in the review</w:t>
      </w:r>
      <w:bookmarkEnd w:id="1306"/>
      <w:bookmarkEnd w:id="13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1308" w:name="_Toc536782313"/>
      <w:bookmarkStart w:id="1309" w:name="_Toc221110065"/>
      <w:r>
        <w:rPr>
          <w:rStyle w:val="CharSectno"/>
        </w:rPr>
        <w:t>266</w:t>
      </w:r>
      <w:r>
        <w:t>.</w:t>
      </w:r>
      <w:r>
        <w:tab/>
        <w:t>Tribunal must be taken to have affirmed decision if decision not made within time</w:t>
      </w:r>
      <w:bookmarkEnd w:id="1308"/>
      <w:bookmarkEnd w:id="13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1310" w:name="_Toc536782314"/>
      <w:bookmarkStart w:id="1311" w:name="_Toc221110066"/>
      <w:r>
        <w:rPr>
          <w:rStyle w:val="CharSectno"/>
        </w:rPr>
        <w:t>267</w:t>
      </w:r>
      <w:r>
        <w:t>.</w:t>
      </w:r>
      <w:r>
        <w:tab/>
        <w:t>Assistance from the AER in certain cases</w:t>
      </w:r>
      <w:bookmarkEnd w:id="1310"/>
      <w:bookmarkEnd w:id="1311"/>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1312" w:name="_Toc501634194"/>
      <w:bookmarkStart w:id="1313" w:name="_Toc501713090"/>
      <w:bookmarkStart w:id="1314" w:name="_Toc536782315"/>
      <w:bookmarkStart w:id="1315" w:name="_Toc220674527"/>
      <w:bookmarkStart w:id="1316" w:name="_Toc221009699"/>
      <w:bookmarkStart w:id="1317" w:name="_Toc221011561"/>
      <w:bookmarkStart w:id="1318" w:name="_Toc221110067"/>
      <w:r>
        <w:t>Division 4 — General</w:t>
      </w:r>
      <w:bookmarkEnd w:id="1312"/>
      <w:bookmarkEnd w:id="1313"/>
      <w:bookmarkEnd w:id="1314"/>
      <w:bookmarkEnd w:id="1315"/>
      <w:bookmarkEnd w:id="1316"/>
      <w:bookmarkEnd w:id="1317"/>
      <w:bookmarkEnd w:id="1318"/>
    </w:p>
    <w:p>
      <w:pPr>
        <w:pStyle w:val="Heading5"/>
      </w:pPr>
      <w:bookmarkStart w:id="1319" w:name="_Toc536782316"/>
      <w:bookmarkStart w:id="1320" w:name="_Toc221110068"/>
      <w:r>
        <w:rPr>
          <w:rStyle w:val="CharSectno"/>
        </w:rPr>
        <w:t>268</w:t>
      </w:r>
      <w:r>
        <w:t>.</w:t>
      </w:r>
      <w:r>
        <w:tab/>
        <w:t>Costs in a review</w:t>
      </w:r>
      <w:bookmarkEnd w:id="1319"/>
      <w:bookmarkEnd w:id="13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1321" w:name="_Toc536782317"/>
      <w:bookmarkStart w:id="1322" w:name="_Toc221110069"/>
      <w:r>
        <w:rPr>
          <w:rStyle w:val="CharSectno"/>
        </w:rPr>
        <w:t>269</w:t>
      </w:r>
      <w:r>
        <w:t>.</w:t>
      </w:r>
      <w:r>
        <w:tab/>
        <w:t>Amount of costs</w:t>
      </w:r>
      <w:bookmarkEnd w:id="1321"/>
      <w:bookmarkEnd w:id="13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1323" w:name="_Toc536782318"/>
      <w:bookmarkStart w:id="1324" w:name="_Toc221110070"/>
      <w:r>
        <w:rPr>
          <w:rStyle w:val="CharSectno"/>
        </w:rPr>
        <w:t>269A</w:t>
      </w:r>
      <w:r>
        <w:t>.</w:t>
      </w:r>
      <w:r>
        <w:tab/>
        <w:t>Costs not to be passed on</w:t>
      </w:r>
      <w:bookmarkEnd w:id="1323"/>
      <w:bookmarkEnd w:id="13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1325" w:name="_Toc536782319"/>
      <w:bookmarkStart w:id="1326" w:name="_Toc221110071"/>
      <w:r>
        <w:rPr>
          <w:rStyle w:val="CharSectno"/>
        </w:rPr>
        <w:t>270</w:t>
      </w:r>
      <w:r>
        <w:t>.</w:t>
      </w:r>
      <w:r>
        <w:tab/>
        <w:t>Review of Part</w:t>
      </w:r>
      <w:bookmarkEnd w:id="1325"/>
      <w:bookmarkEnd w:id="13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1327" w:name="_Toc501634199"/>
      <w:bookmarkStart w:id="1328" w:name="_Toc501713095"/>
      <w:bookmarkStart w:id="1329" w:name="_Toc536782320"/>
      <w:bookmarkStart w:id="1330" w:name="_Toc220674532"/>
      <w:bookmarkStart w:id="1331" w:name="_Toc221009704"/>
      <w:bookmarkStart w:id="1332" w:name="_Toc221011566"/>
      <w:bookmarkStart w:id="1333" w:name="_Toc221110072"/>
      <w:r>
        <w:rPr>
          <w:rStyle w:val="CharDivNo"/>
        </w:rPr>
        <w:t>Part 6</w:t>
      </w:r>
      <w:r>
        <w:t xml:space="preserve"> — </w:t>
      </w:r>
      <w:r>
        <w:rPr>
          <w:rStyle w:val="CharDivText"/>
        </w:rPr>
        <w:t>Enforcement of access determinations</w:t>
      </w:r>
      <w:bookmarkEnd w:id="1327"/>
      <w:bookmarkEnd w:id="1328"/>
      <w:bookmarkEnd w:id="1329"/>
      <w:bookmarkEnd w:id="1330"/>
      <w:bookmarkEnd w:id="1331"/>
      <w:bookmarkEnd w:id="1332"/>
      <w:bookmarkEnd w:id="1333"/>
    </w:p>
    <w:p>
      <w:pPr>
        <w:pStyle w:val="Heading5"/>
        <w:spacing w:before="120"/>
      </w:pPr>
      <w:bookmarkStart w:id="1334" w:name="_Toc536782321"/>
      <w:bookmarkStart w:id="1335" w:name="_Toc221110073"/>
      <w:r>
        <w:rPr>
          <w:rStyle w:val="CharSectno"/>
        </w:rPr>
        <w:t>271</w:t>
      </w:r>
      <w:r>
        <w:t>.</w:t>
      </w:r>
      <w:r>
        <w:tab/>
        <w:t>Enforcement of access determinations</w:t>
      </w:r>
      <w:bookmarkEnd w:id="1334"/>
      <w:bookmarkEnd w:id="13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in this section to an access determination includes a reference to an access determination under Chapter 6A.</w:t>
      </w:r>
    </w:p>
    <w:p>
      <w:pPr>
        <w:pStyle w:val="Footnotesection"/>
      </w:pPr>
      <w:r>
        <w:tab/>
        <w:t>[Section 271 amended: see SA Act No. 23 of 2017 s. 7 and WA Gazette 22 Dec 2017 p. 5984.]</w:t>
      </w:r>
    </w:p>
    <w:p>
      <w:pPr>
        <w:pStyle w:val="Heading5"/>
      </w:pPr>
      <w:bookmarkStart w:id="1336" w:name="_Toc536782322"/>
      <w:bookmarkStart w:id="1337" w:name="_Toc221110074"/>
      <w:r>
        <w:rPr>
          <w:rStyle w:val="CharSectno"/>
        </w:rPr>
        <w:t>272</w:t>
      </w:r>
      <w:r>
        <w:t>.</w:t>
      </w:r>
      <w:r>
        <w:tab/>
        <w:t>Consent injunctions</w:t>
      </w:r>
      <w:bookmarkEnd w:id="1336"/>
      <w:bookmarkEnd w:id="1337"/>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1338" w:name="_Toc536782323"/>
      <w:bookmarkStart w:id="1339" w:name="_Toc221110075"/>
      <w:r>
        <w:rPr>
          <w:rStyle w:val="CharSectno"/>
        </w:rPr>
        <w:t>273</w:t>
      </w:r>
      <w:r>
        <w:t>.</w:t>
      </w:r>
      <w:r>
        <w:tab/>
        <w:t>Interim injunctions</w:t>
      </w:r>
      <w:bookmarkEnd w:id="1338"/>
      <w:bookmarkEnd w:id="1339"/>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1340" w:name="_Toc536782324"/>
      <w:bookmarkStart w:id="1341" w:name="_Toc221110076"/>
      <w:r>
        <w:rPr>
          <w:rStyle w:val="CharSectno"/>
        </w:rPr>
        <w:lastRenderedPageBreak/>
        <w:t>274</w:t>
      </w:r>
      <w:r>
        <w:t>.</w:t>
      </w:r>
      <w:r>
        <w:tab/>
        <w:t>Factors relevant to granting a restraining injunction</w:t>
      </w:r>
      <w:bookmarkEnd w:id="1340"/>
      <w:bookmarkEnd w:id="1341"/>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1342" w:name="_Toc536782325"/>
      <w:bookmarkStart w:id="1343" w:name="_Toc221110077"/>
      <w:r>
        <w:rPr>
          <w:rStyle w:val="CharSectno"/>
        </w:rPr>
        <w:t>275</w:t>
      </w:r>
      <w:r>
        <w:t>.</w:t>
      </w:r>
      <w:r>
        <w:tab/>
        <w:t>Factors relevant to granting a mandatory injunction</w:t>
      </w:r>
      <w:bookmarkEnd w:id="1342"/>
      <w:bookmarkEnd w:id="1343"/>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1344" w:name="_Toc536782326"/>
      <w:bookmarkStart w:id="1345" w:name="_Toc221110078"/>
      <w:r>
        <w:rPr>
          <w:rStyle w:val="CharSectno"/>
        </w:rPr>
        <w:t>276</w:t>
      </w:r>
      <w:r>
        <w:t>.</w:t>
      </w:r>
      <w:r>
        <w:tab/>
        <w:t>Discharge or variation of injunction or other order</w:t>
      </w:r>
      <w:bookmarkEnd w:id="1344"/>
      <w:bookmarkEnd w:id="1345"/>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1346" w:name="_Toc501634206"/>
      <w:bookmarkStart w:id="1347" w:name="_Toc501713102"/>
      <w:bookmarkStart w:id="1348" w:name="_Toc536782327"/>
      <w:bookmarkStart w:id="1349" w:name="_Toc220674539"/>
      <w:bookmarkStart w:id="1350" w:name="_Toc221009711"/>
      <w:bookmarkStart w:id="1351" w:name="_Toc221011573"/>
      <w:bookmarkStart w:id="1352" w:name="_Toc221110079"/>
      <w:r>
        <w:rPr>
          <w:rStyle w:val="CharDivNo"/>
        </w:rPr>
        <w:lastRenderedPageBreak/>
        <w:t>Part 7</w:t>
      </w:r>
      <w:r>
        <w:t xml:space="preserve"> — </w:t>
      </w:r>
      <w:r>
        <w:rPr>
          <w:rStyle w:val="CharDivText"/>
        </w:rPr>
        <w:t>Infringement notices</w:t>
      </w:r>
      <w:bookmarkEnd w:id="1346"/>
      <w:bookmarkEnd w:id="1347"/>
      <w:bookmarkEnd w:id="1348"/>
      <w:bookmarkEnd w:id="1349"/>
      <w:bookmarkEnd w:id="1350"/>
      <w:bookmarkEnd w:id="1351"/>
      <w:bookmarkEnd w:id="1352"/>
    </w:p>
    <w:p>
      <w:pPr>
        <w:pStyle w:val="Heading5"/>
        <w:spacing w:before="120"/>
      </w:pPr>
      <w:bookmarkStart w:id="1353" w:name="_Toc536782328"/>
      <w:bookmarkStart w:id="1354" w:name="_Toc221110080"/>
      <w:r>
        <w:rPr>
          <w:rStyle w:val="CharSectno"/>
        </w:rPr>
        <w:t>277</w:t>
      </w:r>
      <w:r>
        <w:t>.</w:t>
      </w:r>
      <w:r>
        <w:tab/>
        <w:t>Power to serve notice</w:t>
      </w:r>
      <w:bookmarkEnd w:id="1353"/>
      <w:bookmarkEnd w:id="13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1355" w:name="_Toc536782329"/>
      <w:bookmarkStart w:id="1356" w:name="_Toc221110081"/>
      <w:r>
        <w:rPr>
          <w:rStyle w:val="CharSectno"/>
        </w:rPr>
        <w:t>278</w:t>
      </w:r>
      <w:r>
        <w:t>.</w:t>
      </w:r>
      <w:r>
        <w:tab/>
        <w:t>Form of notice</w:t>
      </w:r>
      <w:bookmarkEnd w:id="1355"/>
      <w:bookmarkEnd w:id="1356"/>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1357" w:name="_Toc536782330"/>
      <w:bookmarkStart w:id="1358" w:name="_Toc221110082"/>
      <w:r>
        <w:rPr>
          <w:rStyle w:val="CharSectno"/>
        </w:rPr>
        <w:t>279</w:t>
      </w:r>
      <w:r>
        <w:t>.</w:t>
      </w:r>
      <w:r>
        <w:tab/>
        <w:t>Infringement penalty</w:t>
      </w:r>
      <w:bookmarkEnd w:id="1357"/>
      <w:bookmarkEnd w:id="1358"/>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1359" w:name="_Toc536782331"/>
      <w:bookmarkStart w:id="1360" w:name="_Toc221110083"/>
      <w:r>
        <w:rPr>
          <w:rStyle w:val="CharSectno"/>
        </w:rPr>
        <w:lastRenderedPageBreak/>
        <w:t>280</w:t>
      </w:r>
      <w:r>
        <w:t>.</w:t>
      </w:r>
      <w:r>
        <w:tab/>
        <w:t>AER cannot institute proceedings while infringement notice on foot</w:t>
      </w:r>
      <w:bookmarkEnd w:id="1359"/>
      <w:bookmarkEnd w:id="1360"/>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1361" w:name="_Toc536782332"/>
      <w:bookmarkStart w:id="1362" w:name="_Toc221110084"/>
      <w:r>
        <w:rPr>
          <w:rStyle w:val="CharSectno"/>
        </w:rPr>
        <w:t>281</w:t>
      </w:r>
      <w:r>
        <w:t>.</w:t>
      </w:r>
      <w:r>
        <w:tab/>
        <w:t>Late payment of penalty</w:t>
      </w:r>
      <w:bookmarkEnd w:id="1361"/>
      <w:bookmarkEnd w:id="1362"/>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1363" w:name="_Toc536782333"/>
      <w:bookmarkStart w:id="1364" w:name="_Toc221110085"/>
      <w:r>
        <w:rPr>
          <w:rStyle w:val="CharSectno"/>
        </w:rPr>
        <w:t>282</w:t>
      </w:r>
      <w:r>
        <w:t>.</w:t>
      </w:r>
      <w:r>
        <w:tab/>
        <w:t>Withdrawal of notice</w:t>
      </w:r>
      <w:bookmarkEnd w:id="1363"/>
      <w:bookmarkEnd w:id="1364"/>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1365" w:name="_Toc536782334"/>
      <w:bookmarkStart w:id="1366" w:name="_Toc221110086"/>
      <w:r>
        <w:rPr>
          <w:rStyle w:val="CharSectno"/>
        </w:rPr>
        <w:t>283</w:t>
      </w:r>
      <w:r>
        <w:t>.</w:t>
      </w:r>
      <w:r>
        <w:tab/>
        <w:t>Refund of infringement penalty</w:t>
      </w:r>
      <w:bookmarkEnd w:id="1365"/>
      <w:bookmarkEnd w:id="1366"/>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1367" w:name="_Toc536782335"/>
      <w:bookmarkStart w:id="1368" w:name="_Toc221110087"/>
      <w:r>
        <w:rPr>
          <w:rStyle w:val="CharSectno"/>
        </w:rPr>
        <w:t>284</w:t>
      </w:r>
      <w:r>
        <w:t>.</w:t>
      </w:r>
      <w:r>
        <w:tab/>
        <w:t>Payment expiates breach of civil penalty provision</w:t>
      </w:r>
      <w:bookmarkEnd w:id="1367"/>
      <w:bookmarkEnd w:id="1368"/>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1369" w:name="_Toc536782336"/>
      <w:bookmarkStart w:id="1370" w:name="_Toc221110088"/>
      <w:r>
        <w:rPr>
          <w:rStyle w:val="CharSectno"/>
        </w:rPr>
        <w:lastRenderedPageBreak/>
        <w:t>285</w:t>
      </w:r>
      <w:r>
        <w:t>.</w:t>
      </w:r>
      <w:r>
        <w:tab/>
        <w:t>Payment not to have certain consequences</w:t>
      </w:r>
      <w:bookmarkEnd w:id="1369"/>
      <w:bookmarkEnd w:id="1370"/>
    </w:p>
    <w:p>
      <w:pPr>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1371" w:name="_Toc536782337"/>
      <w:bookmarkStart w:id="1372" w:name="_Toc221110089"/>
      <w:r>
        <w:rPr>
          <w:rStyle w:val="CharSectno"/>
        </w:rPr>
        <w:t>286</w:t>
      </w:r>
      <w:r>
        <w:t>.</w:t>
      </w:r>
      <w:r>
        <w:tab/>
        <w:t>Conduct in breach of more than 1 civil penalty provision</w:t>
      </w:r>
      <w:bookmarkEnd w:id="1371"/>
      <w:bookmarkEnd w:id="13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1373" w:name="_Toc501634217"/>
      <w:bookmarkStart w:id="1374" w:name="_Toc501713113"/>
      <w:bookmarkStart w:id="1375" w:name="_Toc536782338"/>
      <w:bookmarkStart w:id="1376" w:name="_Toc220674550"/>
      <w:bookmarkStart w:id="1377" w:name="_Toc221009722"/>
      <w:bookmarkStart w:id="1378" w:name="_Toc221011584"/>
      <w:bookmarkStart w:id="1379" w:name="_Toc221110090"/>
      <w:r>
        <w:rPr>
          <w:rStyle w:val="CharDivNo"/>
        </w:rPr>
        <w:t>Part 8</w:t>
      </w:r>
      <w:r>
        <w:t xml:space="preserve"> </w:t>
      </w:r>
      <w:r>
        <w:rPr>
          <w:szCs w:val="32"/>
        </w:rPr>
        <w:t>—</w:t>
      </w:r>
      <w:r>
        <w:t xml:space="preserve"> </w:t>
      </w:r>
      <w:r>
        <w:rPr>
          <w:rStyle w:val="CharDivText"/>
        </w:rPr>
        <w:t>Further provision for corporate liability for breaches of this Law etc</w:t>
      </w:r>
      <w:bookmarkEnd w:id="1373"/>
      <w:bookmarkEnd w:id="1374"/>
      <w:bookmarkEnd w:id="1375"/>
      <w:bookmarkEnd w:id="1376"/>
      <w:bookmarkEnd w:id="1377"/>
      <w:bookmarkEnd w:id="1378"/>
      <w:bookmarkEnd w:id="1379"/>
    </w:p>
    <w:p>
      <w:pPr>
        <w:pStyle w:val="Heading5"/>
      </w:pPr>
      <w:bookmarkStart w:id="1380" w:name="_Toc536782339"/>
      <w:bookmarkStart w:id="1381" w:name="_Toc221110091"/>
      <w:r>
        <w:rPr>
          <w:rStyle w:val="CharSectno"/>
        </w:rPr>
        <w:t>287</w:t>
      </w:r>
      <w:r>
        <w:t>.</w:t>
      </w:r>
      <w:r>
        <w:tab/>
        <w:t>Definition</w:t>
      </w:r>
      <w:bookmarkEnd w:id="1380"/>
      <w:bookmarkEnd w:id="1381"/>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1382" w:name="_Toc536782340"/>
      <w:bookmarkStart w:id="1383" w:name="_Toc221110092"/>
      <w:r>
        <w:rPr>
          <w:rStyle w:val="CharSectno"/>
        </w:rPr>
        <w:t>288</w:t>
      </w:r>
      <w:r>
        <w:t>.</w:t>
      </w:r>
      <w:r>
        <w:tab/>
        <w:t>Offences and breaches by corporations</w:t>
      </w:r>
      <w:bookmarkEnd w:id="1382"/>
      <w:bookmarkEnd w:id="13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1384" w:name="_Toc536782341"/>
      <w:bookmarkStart w:id="1385" w:name="_Toc221110093"/>
      <w:r>
        <w:rPr>
          <w:rStyle w:val="CharSectno"/>
        </w:rPr>
        <w:lastRenderedPageBreak/>
        <w:t>289</w:t>
      </w:r>
      <w:r>
        <w:t>.</w:t>
      </w:r>
      <w:r>
        <w:tab/>
        <w:t>Corporations also in breach if officers and employees are in breach</w:t>
      </w:r>
      <w:bookmarkEnd w:id="1384"/>
      <w:bookmarkEnd w:id="1385"/>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1386" w:name="_Toc501634221"/>
      <w:bookmarkStart w:id="1387" w:name="_Toc501713117"/>
      <w:bookmarkStart w:id="1388" w:name="_Toc536782342"/>
      <w:bookmarkStart w:id="1389" w:name="_Toc220674554"/>
      <w:bookmarkStart w:id="1390" w:name="_Toc221009726"/>
      <w:bookmarkStart w:id="1391" w:name="_Toc221011588"/>
      <w:bookmarkStart w:id="1392" w:name="_Toc221110094"/>
      <w:r>
        <w:rPr>
          <w:rStyle w:val="CharPartNo"/>
        </w:rPr>
        <w:lastRenderedPageBreak/>
        <w:t>Chapter 9</w:t>
      </w:r>
      <w:r>
        <w:t xml:space="preserve"> — </w:t>
      </w:r>
      <w:r>
        <w:rPr>
          <w:rStyle w:val="CharPartText"/>
        </w:rPr>
        <w:t>The making of the National Gas Rules</w:t>
      </w:r>
      <w:bookmarkEnd w:id="1386"/>
      <w:bookmarkEnd w:id="1387"/>
      <w:bookmarkEnd w:id="1388"/>
      <w:bookmarkEnd w:id="1389"/>
      <w:bookmarkEnd w:id="1390"/>
      <w:bookmarkEnd w:id="1391"/>
      <w:bookmarkEnd w:id="1392"/>
    </w:p>
    <w:p>
      <w:pPr>
        <w:pStyle w:val="Heading3"/>
      </w:pPr>
      <w:bookmarkStart w:id="1393" w:name="_Toc501634222"/>
      <w:bookmarkStart w:id="1394" w:name="_Toc501713118"/>
      <w:bookmarkStart w:id="1395" w:name="_Toc536782343"/>
      <w:bookmarkStart w:id="1396" w:name="_Toc220674555"/>
      <w:bookmarkStart w:id="1397" w:name="_Toc221009727"/>
      <w:bookmarkStart w:id="1398" w:name="_Toc221011589"/>
      <w:bookmarkStart w:id="1399" w:name="_Toc221110095"/>
      <w:r>
        <w:rPr>
          <w:rStyle w:val="CharDivNo"/>
        </w:rPr>
        <w:t>Part 1</w:t>
      </w:r>
      <w:r>
        <w:t xml:space="preserve"> — </w:t>
      </w:r>
      <w:r>
        <w:rPr>
          <w:rStyle w:val="CharDivText"/>
        </w:rPr>
        <w:t>General</w:t>
      </w:r>
      <w:bookmarkEnd w:id="1393"/>
      <w:bookmarkEnd w:id="1394"/>
      <w:bookmarkEnd w:id="1395"/>
      <w:bookmarkEnd w:id="1396"/>
      <w:bookmarkEnd w:id="1397"/>
      <w:bookmarkEnd w:id="1398"/>
      <w:bookmarkEnd w:id="1399"/>
    </w:p>
    <w:p>
      <w:pPr>
        <w:pStyle w:val="Heading4"/>
      </w:pPr>
      <w:bookmarkStart w:id="1400" w:name="_Toc501634223"/>
      <w:bookmarkStart w:id="1401" w:name="_Toc501713119"/>
      <w:bookmarkStart w:id="1402" w:name="_Toc536782344"/>
      <w:bookmarkStart w:id="1403" w:name="_Toc220674556"/>
      <w:bookmarkStart w:id="1404" w:name="_Toc221009728"/>
      <w:bookmarkStart w:id="1405" w:name="_Toc221011590"/>
      <w:bookmarkStart w:id="1406" w:name="_Toc221110096"/>
      <w:r>
        <w:t>Division 1 — Interpretation</w:t>
      </w:r>
      <w:bookmarkEnd w:id="1400"/>
      <w:bookmarkEnd w:id="1401"/>
      <w:bookmarkEnd w:id="1402"/>
      <w:bookmarkEnd w:id="1403"/>
      <w:bookmarkEnd w:id="1404"/>
      <w:bookmarkEnd w:id="1405"/>
      <w:bookmarkEnd w:id="1406"/>
    </w:p>
    <w:p>
      <w:pPr>
        <w:pStyle w:val="Heading5"/>
      </w:pPr>
      <w:bookmarkStart w:id="1407" w:name="_Toc536782345"/>
      <w:bookmarkStart w:id="1408" w:name="_Toc221110097"/>
      <w:r>
        <w:rPr>
          <w:rStyle w:val="CharSectno"/>
        </w:rPr>
        <w:t>290</w:t>
      </w:r>
      <w:r>
        <w:t>.</w:t>
      </w:r>
      <w:r>
        <w:tab/>
        <w:t>Definitions</w:t>
      </w:r>
      <w:bookmarkEnd w:id="1407"/>
      <w:bookmarkEnd w:id="1408"/>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lastRenderedPageBreak/>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lastRenderedPageBreak/>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WA Act Sch. 1 cl. 12.]</w:t>
      </w:r>
    </w:p>
    <w:p>
      <w:pPr>
        <w:pStyle w:val="Heading4"/>
      </w:pPr>
      <w:bookmarkStart w:id="1409" w:name="_Toc501634225"/>
      <w:bookmarkStart w:id="1410" w:name="_Toc501713121"/>
      <w:bookmarkStart w:id="1411" w:name="_Toc536782346"/>
      <w:bookmarkStart w:id="1412" w:name="_Toc220674558"/>
      <w:bookmarkStart w:id="1413" w:name="_Toc221009730"/>
      <w:bookmarkStart w:id="1414" w:name="_Toc221011592"/>
      <w:bookmarkStart w:id="1415" w:name="_Toc221110098"/>
      <w:r>
        <w:t>Division 2 — Rule making tests</w:t>
      </w:r>
      <w:bookmarkEnd w:id="1409"/>
      <w:bookmarkEnd w:id="1410"/>
      <w:bookmarkEnd w:id="1411"/>
      <w:bookmarkEnd w:id="1412"/>
      <w:bookmarkEnd w:id="1413"/>
      <w:bookmarkEnd w:id="1414"/>
      <w:bookmarkEnd w:id="1415"/>
    </w:p>
    <w:p>
      <w:pPr>
        <w:pStyle w:val="Heading5"/>
        <w:spacing w:before="120"/>
      </w:pPr>
      <w:bookmarkStart w:id="1416" w:name="_Toc536782347"/>
      <w:bookmarkStart w:id="1417" w:name="_Toc221110099"/>
      <w:r>
        <w:rPr>
          <w:rStyle w:val="CharSectno"/>
        </w:rPr>
        <w:t>291</w:t>
      </w:r>
      <w:r>
        <w:t>.</w:t>
      </w:r>
      <w:r>
        <w:tab/>
        <w:t>Application of national gas objective</w:t>
      </w:r>
      <w:bookmarkEnd w:id="1416"/>
      <w:bookmarkEnd w:id="14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1418" w:name="_Toc536782348"/>
      <w:bookmarkStart w:id="1419" w:name="_Toc221110100"/>
      <w:r>
        <w:t>292.</w:t>
      </w:r>
      <w:r>
        <w:tab/>
        <w:t>AEMC must take into account form of regulation factors in certain cases</w:t>
      </w:r>
      <w:bookmarkEnd w:id="1418"/>
      <w:bookmarkEnd w:id="1419"/>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1420" w:name="_Toc536782349"/>
      <w:bookmarkStart w:id="1421" w:name="_Toc221110101"/>
      <w:r>
        <w:rPr>
          <w:rStyle w:val="CharSectno"/>
        </w:rPr>
        <w:t>293</w:t>
      </w:r>
      <w:r>
        <w:t>.</w:t>
      </w:r>
      <w:r>
        <w:tab/>
        <w:t>AEMC must take into account revenue and pricing principles in certain cases</w:t>
      </w:r>
      <w:bookmarkEnd w:id="1420"/>
      <w:bookmarkEnd w:id="1421"/>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1422" w:name="_Toc501634229"/>
      <w:bookmarkStart w:id="1423" w:name="_Toc501713125"/>
      <w:bookmarkStart w:id="1424" w:name="_Toc536782350"/>
      <w:bookmarkStart w:id="1425" w:name="_Toc220674562"/>
      <w:bookmarkStart w:id="1426" w:name="_Toc221009734"/>
      <w:bookmarkStart w:id="1427" w:name="_Toc221011596"/>
      <w:bookmarkStart w:id="1428" w:name="_Toc221110102"/>
      <w:r>
        <w:rPr>
          <w:rStyle w:val="CharDivNo"/>
        </w:rPr>
        <w:t>Part 2</w:t>
      </w:r>
      <w:r>
        <w:t xml:space="preserve"> — </w:t>
      </w:r>
      <w:r>
        <w:rPr>
          <w:rStyle w:val="CharDivText"/>
        </w:rPr>
        <w:t>Initial National Gas Rules</w:t>
      </w:r>
      <w:bookmarkEnd w:id="1422"/>
      <w:bookmarkEnd w:id="1423"/>
      <w:bookmarkEnd w:id="1424"/>
      <w:bookmarkEnd w:id="1425"/>
      <w:bookmarkEnd w:id="1426"/>
      <w:bookmarkEnd w:id="1427"/>
      <w:bookmarkEnd w:id="1428"/>
    </w:p>
    <w:p>
      <w:pPr>
        <w:pStyle w:val="Heading5"/>
        <w:keepNext w:val="0"/>
      </w:pPr>
      <w:bookmarkStart w:id="1429" w:name="_Toc536782351"/>
      <w:bookmarkStart w:id="1430" w:name="_Toc221110103"/>
      <w:r>
        <w:rPr>
          <w:rStyle w:val="CharSectno"/>
        </w:rPr>
        <w:t>294</w:t>
      </w:r>
      <w:r>
        <w:t>.</w:t>
      </w:r>
      <w:r>
        <w:tab/>
        <w:t>Initial National Gas Rules for WA</w:t>
      </w:r>
      <w:bookmarkEnd w:id="1429"/>
      <w:bookmarkEnd w:id="14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rules referred to in it.</w:t>
      </w:r>
    </w:p>
    <w:p>
      <w:pPr>
        <w:pStyle w:val="Footnotesection"/>
      </w:pPr>
      <w:r>
        <w:tab/>
        <w:t>[Section 294 inserted and modified: WA Act Sch. 1 cl. 13.]</w:t>
      </w:r>
    </w:p>
    <w:p>
      <w:pPr>
        <w:pStyle w:val="Heading5"/>
      </w:pPr>
      <w:bookmarkStart w:id="1431" w:name="_Toc536782352"/>
      <w:bookmarkStart w:id="1432" w:name="_Toc221110104"/>
      <w:bookmarkStart w:id="1433" w:name="_Toc501634231"/>
      <w:bookmarkStart w:id="1434" w:name="_Toc501713127"/>
      <w:r>
        <w:rPr>
          <w:rStyle w:val="CharSectno"/>
        </w:rPr>
        <w:lastRenderedPageBreak/>
        <w:t>294F</w:t>
      </w:r>
      <w:r>
        <w:t>.</w:t>
      </w:r>
      <w:r>
        <w:tab/>
        <w:t>South Australian Minister to make initial Rules relating to access to non</w:t>
      </w:r>
      <w:r>
        <w:noBreakHyphen/>
        <w:t>scheme pipelines</w:t>
      </w:r>
      <w:bookmarkEnd w:id="1431"/>
      <w:bookmarkEnd w:id="1432"/>
    </w:p>
    <w:p>
      <w:pPr>
        <w:keepLines/>
        <w:tabs>
          <w:tab w:val="center" w:pos="1191"/>
          <w:tab w:val="left" w:pos="1588"/>
        </w:tabs>
        <w:autoSpaceDE w:val="0"/>
        <w:autoSpaceDN w:val="0"/>
        <w:adjustRightInd w:val="0"/>
        <w:spacing w:before="120"/>
        <w:ind w:left="1588" w:hanging="794"/>
        <w:rPr>
          <w:color w:val="000000"/>
          <w:sz w:val="23"/>
          <w:szCs w:val="23"/>
        </w:rPr>
      </w:pPr>
      <w:bookmarkStart w:id="1435" w:name="id2a8d962a_bad0_42dd_9386_54821ec565"/>
      <w:r>
        <w:rPr>
          <w:color w:val="000000"/>
          <w:sz w:val="23"/>
          <w:szCs w:val="23"/>
        </w:rPr>
        <w:tab/>
        <w:t>(1)</w:t>
      </w:r>
      <w:r>
        <w:rPr>
          <w:color w:val="000000"/>
          <w:sz w:val="23"/>
          <w:szCs w:val="23"/>
        </w:rPr>
        <w:tab/>
        <w:t xml:space="preserve">The Minister in right of the Crown of South Australia administering Part 2 of the </w:t>
      </w:r>
      <w:hyperlink r:id="rId21" w:history="1">
        <w:r>
          <w:rPr>
            <w:i/>
            <w:iCs/>
            <w:color w:val="000000"/>
            <w:sz w:val="23"/>
            <w:szCs w:val="23"/>
          </w:rPr>
          <w:t>National Gas (South Australia) Act 2008</w:t>
        </w:r>
      </w:hyperlink>
      <w:r>
        <w:rPr>
          <w:color w:val="000000"/>
          <w:sz w:val="23"/>
          <w:szCs w:val="23"/>
        </w:rPr>
        <w:t xml:space="preserve"> of South Australia (the </w:t>
      </w:r>
      <w:r>
        <w:rPr>
          <w:b/>
          <w:bCs/>
          <w:i/>
          <w:iCs/>
          <w:color w:val="000000"/>
          <w:sz w:val="23"/>
          <w:szCs w:val="23"/>
        </w:rPr>
        <w:t>South Australian Minister</w:t>
      </w:r>
      <w:r>
        <w:rPr>
          <w:color w:val="000000"/>
          <w:sz w:val="23"/>
          <w:szCs w:val="23"/>
        </w:rPr>
        <w:t>) may make Rules on any 1 or more of the following subjects:</w:t>
      </w:r>
      <w:bookmarkEnd w:id="1435"/>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access proposals, access disputes and arbitrations under Chapter 6A;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a new head power added to Schedule 1 by the Pipelines Access/Arbitration amendments;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subject contemplated by, or consequential on, the Pipelines Access/Arbitration amendments.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Rules may only be made under </w:t>
      </w:r>
      <w:hyperlink w:anchor="id2a8d962a_bad0_42dd_9386_54821ec565" w:history="1">
        <w:r>
          <w:rPr>
            <w:color w:val="000000"/>
            <w:sz w:val="23"/>
            <w:szCs w:val="23"/>
          </w:rPr>
          <w:t>subsection (1)</w:t>
        </w:r>
      </w:hyperlink>
      <w:r>
        <w:rPr>
          <w:color w:val="000000"/>
          <w:sz w:val="23"/>
          <w:szCs w:val="23"/>
        </w:rPr>
        <w:t xml:space="preserve">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Section 74(3) applies to Rules made under </w:t>
      </w:r>
      <w:hyperlink w:anchor="id2a8d962a_bad0_42dd_9386_54821ec565" w:history="1">
        <w:r>
          <w:rPr>
            <w:color w:val="000000"/>
            <w:sz w:val="23"/>
            <w:szCs w:val="23"/>
          </w:rPr>
          <w:t>subsection (1)</w:t>
        </w:r>
      </w:hyperlink>
      <w:r>
        <w:rPr>
          <w:color w:val="000000"/>
          <w:sz w:val="23"/>
          <w:szCs w:val="23"/>
        </w:rPr>
        <w:t xml:space="preserve"> in the same way as it applies to Rules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1436" w:name="idb626c5e9_5e85_4a57_9b3c_bc5fd5331d"/>
      <w:r>
        <w:rPr>
          <w:color w:val="000000"/>
          <w:sz w:val="23"/>
          <w:szCs w:val="23"/>
        </w:rPr>
        <w:tab/>
        <w:t>(4)</w:t>
      </w:r>
      <w:r>
        <w:rPr>
          <w:color w:val="000000"/>
          <w:sz w:val="23"/>
          <w:szCs w:val="23"/>
        </w:rPr>
        <w:tab/>
        <w:t xml:space="preserve">As soon as practicable after making Rules under </w:t>
      </w:r>
      <w:hyperlink w:anchor="id2a8d962a_bad0_42dd_9386_54821ec565" w:history="1">
        <w:r>
          <w:rPr>
            <w:color w:val="000000"/>
            <w:sz w:val="23"/>
            <w:szCs w:val="23"/>
          </w:rPr>
          <w:t>subsection (1)</w:t>
        </w:r>
      </w:hyperlink>
      <w:r>
        <w:rPr>
          <w:color w:val="000000"/>
          <w:sz w:val="23"/>
          <w:szCs w:val="23"/>
        </w:rPr>
        <w:t>, the South Australian Minister must—</w:t>
      </w:r>
      <w:bookmarkEnd w:id="1436"/>
    </w:p>
    <w:p>
      <w:pPr>
        <w:keepLines/>
        <w:tabs>
          <w:tab w:val="center" w:pos="1985"/>
          <w:tab w:val="left" w:pos="2382"/>
        </w:tabs>
        <w:autoSpaceDE w:val="0"/>
        <w:autoSpaceDN w:val="0"/>
        <w:adjustRightInd w:val="0"/>
        <w:spacing w:before="120"/>
        <w:ind w:left="2382" w:hanging="794"/>
        <w:rPr>
          <w:color w:val="000000"/>
          <w:sz w:val="23"/>
          <w:szCs w:val="23"/>
        </w:rPr>
      </w:pPr>
      <w:bookmarkStart w:id="1437" w:name="id0a8503f4_0144_4ab9_bb7b_b3c8df7780"/>
      <w:r>
        <w:rPr>
          <w:color w:val="000000"/>
          <w:sz w:val="23"/>
          <w:szCs w:val="23"/>
        </w:rPr>
        <w:tab/>
        <w:t>(a)</w:t>
      </w:r>
      <w:r>
        <w:rPr>
          <w:color w:val="000000"/>
          <w:sz w:val="23"/>
          <w:szCs w:val="23"/>
        </w:rPr>
        <w:tab/>
        <w:t>publish notice of the making of the Rules in the South Australian Government Gazette stating the date of commencement or, if they commence at different times, various dates of commencement; and</w:t>
      </w:r>
      <w:bookmarkEnd w:id="1437"/>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making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The South Australian Minister may, by a later notice published in the South Australian Government Gazette, vary a commencement date fixed under </w:t>
      </w:r>
      <w:hyperlink w:anchor="id0a8503f4_0144_4ab9_bb7b_b3c8df7780" w:history="1">
        <w:r>
          <w:rPr>
            <w:color w:val="000000"/>
            <w:sz w:val="23"/>
            <w:szCs w:val="23"/>
          </w:rPr>
          <w:t>subsection (4)(a)</w:t>
        </w:r>
      </w:hyperlink>
      <w:r>
        <w:rPr>
          <w:color w:val="000000"/>
          <w:sz w:val="23"/>
          <w:szCs w:val="23"/>
        </w:rPr>
        <w:t xml:space="preserve"> or this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 xml:space="preserve">Once the first Rules have been made under </w:t>
      </w:r>
      <w:hyperlink w:anchor="id2a8d962a_bad0_42dd_9386_54821ec565" w:history="1">
        <w:r>
          <w:rPr>
            <w:color w:val="000000"/>
            <w:sz w:val="23"/>
            <w:szCs w:val="23"/>
          </w:rPr>
          <w:t>subsection (1)</w:t>
        </w:r>
      </w:hyperlink>
      <w:r>
        <w:rPr>
          <w:color w:val="000000"/>
          <w:sz w:val="23"/>
          <w:szCs w:val="23"/>
        </w:rPr>
        <w:t>,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(7)</w:t>
      </w:r>
      <w:r>
        <w:rPr>
          <w:color w:val="000000"/>
          <w:sz w:val="23"/>
          <w:szCs w:val="23"/>
        </w:rPr>
        <w:tab/>
        <w:t>Rules in the nature of a derogation may be made under this section even though no request has been made for the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Pipelines Access/Arbitration amendments</w:t>
      </w:r>
      <w:r>
        <w:rPr>
          <w:color w:val="000000"/>
          <w:sz w:val="23"/>
          <w:szCs w:val="23"/>
        </w:rPr>
        <w:t xml:space="preserve"> means the amendments made to this Law by the </w:t>
      </w:r>
      <w:r>
        <w:rPr>
          <w:i/>
          <w:iCs/>
          <w:color w:val="000000"/>
          <w:sz w:val="23"/>
          <w:szCs w:val="23"/>
        </w:rPr>
        <w:t>National Gas (South Australia) (Pipelines Access—Arbitration) Amendment Act 2017</w:t>
      </w:r>
      <w:r>
        <w:rPr>
          <w:color w:val="000000"/>
          <w:sz w:val="23"/>
          <w:szCs w:val="23"/>
        </w:rPr>
        <w:t>.</w:t>
      </w:r>
    </w:p>
    <w:p>
      <w:pPr>
        <w:pStyle w:val="Footnotesection"/>
      </w:pPr>
      <w:r>
        <w:tab/>
        <w:t>[Section 294F inserted: see SA Act No. 23 of 2017 s. 8 and WA Gazette 22 Dec 2017 p. 5984.]</w:t>
      </w:r>
    </w:p>
    <w:p>
      <w:pPr>
        <w:pStyle w:val="Heading3"/>
      </w:pPr>
      <w:bookmarkStart w:id="1438" w:name="_Toc536782353"/>
      <w:bookmarkStart w:id="1439" w:name="_Toc220674565"/>
      <w:bookmarkStart w:id="1440" w:name="_Toc221009737"/>
      <w:bookmarkStart w:id="1441" w:name="_Toc221011599"/>
      <w:bookmarkStart w:id="1442" w:name="_Toc221110105"/>
      <w:r>
        <w:rPr>
          <w:rStyle w:val="CharDivNo"/>
        </w:rPr>
        <w:t>Part 3</w:t>
      </w:r>
      <w:r>
        <w:t> — </w:t>
      </w:r>
      <w:r>
        <w:rPr>
          <w:rStyle w:val="CharDivText"/>
        </w:rPr>
        <w:t>Procedure for the making of a Rule by the AEMC</w:t>
      </w:r>
      <w:bookmarkEnd w:id="1433"/>
      <w:bookmarkEnd w:id="1434"/>
      <w:bookmarkEnd w:id="1438"/>
      <w:bookmarkEnd w:id="1439"/>
      <w:bookmarkEnd w:id="1440"/>
      <w:bookmarkEnd w:id="1441"/>
      <w:bookmarkEnd w:id="1442"/>
    </w:p>
    <w:p>
      <w:pPr>
        <w:pStyle w:val="Heading5"/>
      </w:pPr>
      <w:bookmarkStart w:id="1443" w:name="_Toc536782354"/>
      <w:bookmarkStart w:id="1444" w:name="_Toc221110106"/>
      <w:r>
        <w:rPr>
          <w:rStyle w:val="CharSectno"/>
        </w:rPr>
        <w:t>295</w:t>
      </w:r>
      <w:r>
        <w:t>.</w:t>
      </w:r>
      <w:r>
        <w:tab/>
        <w:t>Initiation of making of a Rule</w:t>
      </w:r>
      <w:bookmarkEnd w:id="1443"/>
      <w:bookmarkEnd w:id="14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1445" w:name="_Toc536782355"/>
      <w:bookmarkStart w:id="1446" w:name="_Toc221110107"/>
      <w:r>
        <w:rPr>
          <w:rStyle w:val="CharSectno"/>
        </w:rPr>
        <w:lastRenderedPageBreak/>
        <w:t>296</w:t>
      </w:r>
      <w:r>
        <w:t>.</w:t>
      </w:r>
      <w:r>
        <w:tab/>
        <w:t>AEMC may make more preferable Rule in certain cases</w:t>
      </w:r>
      <w:bookmarkEnd w:id="1445"/>
      <w:bookmarkEnd w:id="1446"/>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1447" w:name="_Toc536782356"/>
      <w:bookmarkStart w:id="1448" w:name="_Toc221110108"/>
      <w:r>
        <w:rPr>
          <w:rStyle w:val="CharSectno"/>
        </w:rPr>
        <w:t>297</w:t>
      </w:r>
      <w:r>
        <w:t>.</w:t>
      </w:r>
      <w:r>
        <w:tab/>
        <w:t>AEMC may make Rules that are consequential to a Rule request</w:t>
      </w:r>
      <w:bookmarkEnd w:id="1447"/>
      <w:bookmarkEnd w:id="14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1449" w:name="_Toc536782357"/>
      <w:bookmarkStart w:id="1450" w:name="_Toc221110109"/>
      <w:r>
        <w:rPr>
          <w:rStyle w:val="CharSectno"/>
        </w:rPr>
        <w:t>298</w:t>
      </w:r>
      <w:r>
        <w:t>.</w:t>
      </w:r>
      <w:r>
        <w:tab/>
        <w:t>Content of requests for a Rule</w:t>
      </w:r>
      <w:bookmarkEnd w:id="1449"/>
      <w:bookmarkEnd w:id="1450"/>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1451" w:name="_Toc536782358"/>
      <w:bookmarkStart w:id="1452" w:name="_Toc221110110"/>
      <w:r>
        <w:rPr>
          <w:rStyle w:val="CharSectno"/>
        </w:rPr>
        <w:t>299</w:t>
      </w:r>
      <w:r>
        <w:t>.</w:t>
      </w:r>
      <w:r>
        <w:tab/>
        <w:t>Waiver of fee for Rule requests</w:t>
      </w:r>
      <w:bookmarkEnd w:id="1451"/>
      <w:bookmarkEnd w:id="1452"/>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1453" w:name="_Toc536782359"/>
      <w:bookmarkStart w:id="1454" w:name="_Toc221110111"/>
      <w:r>
        <w:rPr>
          <w:rStyle w:val="CharSectno"/>
        </w:rPr>
        <w:lastRenderedPageBreak/>
        <w:t>300</w:t>
      </w:r>
      <w:r>
        <w:t>.</w:t>
      </w:r>
      <w:r>
        <w:tab/>
        <w:t>Consolidation of 2 or more Rule requests</w:t>
      </w:r>
      <w:bookmarkEnd w:id="1453"/>
      <w:bookmarkEnd w:id="14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1455" w:name="_Toc536782360"/>
      <w:bookmarkStart w:id="1456" w:name="_Toc221110112"/>
      <w:r>
        <w:rPr>
          <w:rStyle w:val="CharSectno"/>
        </w:rPr>
        <w:t>301</w:t>
      </w:r>
      <w:r>
        <w:t>.</w:t>
      </w:r>
      <w:r>
        <w:tab/>
        <w:t>Initial consideration of request for Rule</w:t>
      </w:r>
      <w:bookmarkEnd w:id="1455"/>
      <w:bookmarkEnd w:id="14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1457" w:name="_Toc536782361"/>
      <w:bookmarkStart w:id="1458" w:name="_Toc221110113"/>
      <w:r>
        <w:rPr>
          <w:rStyle w:val="CharSectno"/>
        </w:rPr>
        <w:lastRenderedPageBreak/>
        <w:t>302</w:t>
      </w:r>
      <w:r>
        <w:t>.</w:t>
      </w:r>
      <w:r>
        <w:tab/>
        <w:t>AEMC may request further information from Rule proponent in certain cases</w:t>
      </w:r>
      <w:bookmarkEnd w:id="1457"/>
      <w:bookmarkEnd w:id="14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1459" w:name="_Toc536782362"/>
      <w:bookmarkStart w:id="1460" w:name="_Toc221110114"/>
      <w:r>
        <w:rPr>
          <w:rStyle w:val="CharSectno"/>
        </w:rPr>
        <w:t>303</w:t>
      </w:r>
      <w:r>
        <w:t>.</w:t>
      </w:r>
      <w:r>
        <w:tab/>
        <w:t>Notice of proposed Rule</w:t>
      </w:r>
      <w:bookmarkEnd w:id="1459"/>
      <w:bookmarkEnd w:id="14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1461" w:name="_Toc536782363"/>
      <w:bookmarkStart w:id="1462" w:name="_Toc221110115"/>
      <w:r>
        <w:rPr>
          <w:rStyle w:val="CharSectno"/>
        </w:rPr>
        <w:t>304</w:t>
      </w:r>
      <w:r>
        <w:t>.</w:t>
      </w:r>
      <w:r>
        <w:tab/>
        <w:t>Publication of non</w:t>
      </w:r>
      <w:r>
        <w:noBreakHyphen/>
        <w:t>controversial or urgent final Rule determination</w:t>
      </w:r>
      <w:bookmarkEnd w:id="1461"/>
      <w:bookmarkEnd w:id="14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6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Heading5"/>
      </w:pPr>
      <w:bookmarkStart w:id="1463" w:name="_Toc536782364"/>
      <w:bookmarkStart w:id="1464" w:name="_Toc221110116"/>
      <w:r>
        <w:rPr>
          <w:rStyle w:val="CharSectno"/>
        </w:rPr>
        <w:t>305</w:t>
      </w:r>
      <w:r>
        <w:t>.</w:t>
      </w:r>
      <w:r>
        <w:tab/>
        <w:t>“Fast track” Rules where previous public consultation by gas market regulatory body or an AEMC review</w:t>
      </w:r>
      <w:bookmarkEnd w:id="1463"/>
      <w:bookmarkEnd w:id="14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1465" w:name="_Toc536782365"/>
      <w:bookmarkStart w:id="1466" w:name="_Toc221110117"/>
      <w:r>
        <w:rPr>
          <w:rStyle w:val="CharSectno"/>
        </w:rPr>
        <w:t>306</w:t>
      </w:r>
      <w:r>
        <w:t>.</w:t>
      </w:r>
      <w:r>
        <w:tab/>
        <w:t>Right to make written submissions and comments</w:t>
      </w:r>
      <w:bookmarkEnd w:id="1465"/>
      <w:bookmarkEnd w:id="1466"/>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1467" w:name="_Toc536782366"/>
      <w:bookmarkStart w:id="1468" w:name="_Toc221110118"/>
      <w:r>
        <w:rPr>
          <w:rStyle w:val="CharSectno"/>
        </w:rPr>
        <w:t>307</w:t>
      </w:r>
      <w:r>
        <w:t>.</w:t>
      </w:r>
      <w:r>
        <w:tab/>
        <w:t>AEMC may hold public hearings before draft Rule determination</w:t>
      </w:r>
      <w:bookmarkEnd w:id="1467"/>
      <w:bookmarkEnd w:id="14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1469" w:name="_Toc536782367"/>
      <w:bookmarkStart w:id="1470" w:name="_Toc221110119"/>
      <w:r>
        <w:rPr>
          <w:rStyle w:val="CharSectno"/>
        </w:rPr>
        <w:t>308</w:t>
      </w:r>
      <w:r>
        <w:t>.</w:t>
      </w:r>
      <w:r>
        <w:tab/>
        <w:t>Draft Rule determination</w:t>
      </w:r>
      <w:bookmarkEnd w:id="1469"/>
      <w:bookmarkEnd w:id="14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1471" w:name="_Toc536782368"/>
      <w:bookmarkStart w:id="1472" w:name="_Toc221110120"/>
      <w:r>
        <w:rPr>
          <w:rStyle w:val="CharSectno"/>
        </w:rPr>
        <w:t>309</w:t>
      </w:r>
      <w:r>
        <w:t>.</w:t>
      </w:r>
      <w:r>
        <w:tab/>
        <w:t>Right to make written submissions and comments in relation to draft Rule determination</w:t>
      </w:r>
      <w:bookmarkEnd w:id="1471"/>
      <w:bookmarkEnd w:id="1472"/>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1473" w:name="_Toc536782369"/>
      <w:bookmarkStart w:id="1474" w:name="_Toc221110121"/>
      <w:r>
        <w:rPr>
          <w:rStyle w:val="CharSectno"/>
        </w:rPr>
        <w:lastRenderedPageBreak/>
        <w:t>310</w:t>
      </w:r>
      <w:r>
        <w:t>.</w:t>
      </w:r>
      <w:r>
        <w:tab/>
        <w:t>Pre</w:t>
      </w:r>
      <w:r>
        <w:noBreakHyphen/>
        <w:t>final Rule determination hearing may be held</w:t>
      </w:r>
      <w:bookmarkEnd w:id="1473"/>
      <w:bookmarkEnd w:id="14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1475" w:name="_Toc536782370"/>
      <w:bookmarkStart w:id="1476" w:name="_Toc221110122"/>
      <w:r>
        <w:rPr>
          <w:rStyle w:val="CharSectno"/>
        </w:rPr>
        <w:lastRenderedPageBreak/>
        <w:t>311</w:t>
      </w:r>
      <w:r>
        <w:t>.</w:t>
      </w:r>
      <w:r>
        <w:tab/>
        <w:t>Final Rule determination</w:t>
      </w:r>
      <w:bookmarkEnd w:id="1475"/>
      <w:bookmarkEnd w:id="14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1477" w:name="_Toc536782371"/>
      <w:bookmarkStart w:id="1478" w:name="_Toc221110123"/>
      <w:r>
        <w:rPr>
          <w:rStyle w:val="CharSectno"/>
        </w:rPr>
        <w:t>312</w:t>
      </w:r>
      <w:r>
        <w:t>.</w:t>
      </w:r>
      <w:r>
        <w:tab/>
        <w:t>Further draft Rule determination may be made where proposed Rule is a proposed more preferable Rule</w:t>
      </w:r>
      <w:bookmarkEnd w:id="1477"/>
      <w:bookmarkEnd w:id="14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1479" w:name="_Toc536782372"/>
      <w:bookmarkStart w:id="1480" w:name="_Toc221110124"/>
      <w:r>
        <w:rPr>
          <w:rStyle w:val="CharSectno"/>
        </w:rPr>
        <w:t>313</w:t>
      </w:r>
      <w:r>
        <w:t>.</w:t>
      </w:r>
      <w:r>
        <w:tab/>
        <w:t>Making of Rule</w:t>
      </w:r>
      <w:bookmarkEnd w:id="1479"/>
      <w:bookmarkEnd w:id="14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1481" w:name="_Toc536782373"/>
      <w:bookmarkStart w:id="1482" w:name="_Toc221110125"/>
      <w:r>
        <w:rPr>
          <w:rStyle w:val="CharSectno"/>
        </w:rPr>
        <w:lastRenderedPageBreak/>
        <w:t>314</w:t>
      </w:r>
      <w:r>
        <w:t>.</w:t>
      </w:r>
      <w:r>
        <w:tab/>
        <w:t>Operation and commencement of Rule</w:t>
      </w:r>
      <w:bookmarkEnd w:id="1481"/>
      <w:bookmarkEnd w:id="1482"/>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1483" w:name="_Toc536782374"/>
      <w:bookmarkStart w:id="1484" w:name="_Toc221110126"/>
      <w:r>
        <w:rPr>
          <w:rStyle w:val="CharSectno"/>
        </w:rPr>
        <w:t>315</w:t>
      </w:r>
      <w:r>
        <w:t>.</w:t>
      </w:r>
      <w:r>
        <w:tab/>
        <w:t>Rule that is made to be published on website and made available to the public</w:t>
      </w:r>
      <w:bookmarkEnd w:id="1483"/>
      <w:bookmarkEnd w:id="1484"/>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1485" w:name="_Toc536782375"/>
      <w:bookmarkStart w:id="1486" w:name="_Toc221110127"/>
      <w:r>
        <w:rPr>
          <w:rStyle w:val="CharSectno"/>
        </w:rPr>
        <w:t>316</w:t>
      </w:r>
      <w:r>
        <w:t>.</w:t>
      </w:r>
      <w:r>
        <w:tab/>
        <w:t>Evidence of the National Gas Rules</w:t>
      </w:r>
      <w:bookmarkEnd w:id="1485"/>
      <w:bookmarkEnd w:id="1486"/>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1487" w:name="_Toc501634254"/>
      <w:bookmarkStart w:id="1488" w:name="_Toc501713150"/>
      <w:bookmarkStart w:id="1489" w:name="_Toc536782376"/>
      <w:bookmarkStart w:id="1490" w:name="_Toc220674588"/>
      <w:bookmarkStart w:id="1491" w:name="_Toc221009760"/>
      <w:bookmarkStart w:id="1492" w:name="_Toc221011622"/>
      <w:bookmarkStart w:id="1493" w:name="_Toc221110128"/>
      <w:r>
        <w:rPr>
          <w:rStyle w:val="CharDivNo"/>
        </w:rPr>
        <w:lastRenderedPageBreak/>
        <w:t>Part 4</w:t>
      </w:r>
      <w:r>
        <w:t> — </w:t>
      </w:r>
      <w:r>
        <w:rPr>
          <w:rStyle w:val="CharDivText"/>
        </w:rPr>
        <w:t>Miscellaneous provisions relating to rule making by the AEMC</w:t>
      </w:r>
      <w:bookmarkEnd w:id="1487"/>
      <w:bookmarkEnd w:id="1488"/>
      <w:bookmarkEnd w:id="1489"/>
      <w:bookmarkEnd w:id="1490"/>
      <w:bookmarkEnd w:id="1491"/>
      <w:bookmarkEnd w:id="1492"/>
      <w:bookmarkEnd w:id="1493"/>
    </w:p>
    <w:p>
      <w:pPr>
        <w:pStyle w:val="Heading5"/>
      </w:pPr>
      <w:bookmarkStart w:id="1494" w:name="_Toc536782377"/>
      <w:bookmarkStart w:id="1495" w:name="_Toc221110129"/>
      <w:r>
        <w:rPr>
          <w:rStyle w:val="CharSectno"/>
        </w:rPr>
        <w:t>317</w:t>
      </w:r>
      <w:r>
        <w:t>.</w:t>
      </w:r>
      <w:r>
        <w:tab/>
        <w:t>Extension of periods of time in Rule making procedure</w:t>
      </w:r>
      <w:bookmarkEnd w:id="1494"/>
      <w:bookmarkEnd w:id="14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1496" w:name="_Toc536782378"/>
      <w:bookmarkStart w:id="1497" w:name="_Toc221110130"/>
      <w:r>
        <w:rPr>
          <w:rStyle w:val="CharSectno"/>
        </w:rPr>
        <w:t>318</w:t>
      </w:r>
      <w:r>
        <w:t>.</w:t>
      </w:r>
      <w:r>
        <w:tab/>
        <w:t>AEMC may extend period of time for making of final Rule determination for further consultation</w:t>
      </w:r>
      <w:bookmarkEnd w:id="1496"/>
      <w:bookmarkEnd w:id="14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1498" w:name="_Toc536782379"/>
      <w:bookmarkStart w:id="1499" w:name="_Toc221110131"/>
      <w:r>
        <w:rPr>
          <w:rStyle w:val="CharSectno"/>
        </w:rPr>
        <w:t>319</w:t>
      </w:r>
      <w:r>
        <w:t>.</w:t>
      </w:r>
      <w:r>
        <w:tab/>
        <w:t>AEMC may publish written submissions and comments unless confidential</w:t>
      </w:r>
      <w:bookmarkEnd w:id="1498"/>
      <w:bookmarkEnd w:id="14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1500" w:name="_Toc536782380"/>
      <w:bookmarkStart w:id="1501" w:name="_Toc221110132"/>
      <w:r>
        <w:rPr>
          <w:rStyle w:val="CharSectno"/>
        </w:rPr>
        <w:t>320</w:t>
      </w:r>
      <w:r>
        <w:t>.</w:t>
      </w:r>
      <w:r>
        <w:tab/>
        <w:t>AEMC must publicly report on Rules not made within 12 months of public notification of requests</w:t>
      </w:r>
      <w:bookmarkEnd w:id="1500"/>
      <w:bookmarkEnd w:id="15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1502" w:name="_Toc501634259"/>
      <w:bookmarkStart w:id="1503" w:name="_Toc501713155"/>
      <w:bookmarkStart w:id="1504" w:name="_Toc536782381"/>
      <w:bookmarkStart w:id="1505" w:name="_Toc220674593"/>
      <w:bookmarkStart w:id="1506" w:name="_Toc221009765"/>
      <w:bookmarkStart w:id="1507" w:name="_Toc221011627"/>
      <w:bookmarkStart w:id="1508" w:name="_Toc221110133"/>
      <w:r>
        <w:rPr>
          <w:rStyle w:val="CharPartNo"/>
        </w:rPr>
        <w:lastRenderedPageBreak/>
        <w:t>Chapter 10</w:t>
      </w:r>
      <w:r>
        <w:t xml:space="preserve"> — </w:t>
      </w:r>
      <w:r>
        <w:rPr>
          <w:rStyle w:val="CharPartText"/>
        </w:rPr>
        <w:t>General</w:t>
      </w:r>
      <w:bookmarkEnd w:id="1502"/>
      <w:bookmarkEnd w:id="1503"/>
      <w:bookmarkEnd w:id="1504"/>
      <w:bookmarkEnd w:id="1505"/>
      <w:bookmarkEnd w:id="1506"/>
      <w:bookmarkEnd w:id="1507"/>
      <w:bookmarkEnd w:id="1508"/>
    </w:p>
    <w:p>
      <w:pPr>
        <w:pStyle w:val="Heading3"/>
      </w:pPr>
      <w:bookmarkStart w:id="1509" w:name="_Toc501634260"/>
      <w:bookmarkStart w:id="1510" w:name="_Toc501713156"/>
      <w:bookmarkStart w:id="1511" w:name="_Toc536782382"/>
      <w:bookmarkStart w:id="1512" w:name="_Toc220674594"/>
      <w:bookmarkStart w:id="1513" w:name="_Toc221009766"/>
      <w:bookmarkStart w:id="1514" w:name="_Toc221011628"/>
      <w:bookmarkStart w:id="1515" w:name="_Toc221110134"/>
      <w:r>
        <w:rPr>
          <w:rStyle w:val="CharDivNo"/>
        </w:rPr>
        <w:t>Part 1</w:t>
      </w:r>
      <w:r>
        <w:t xml:space="preserve"> — </w:t>
      </w:r>
      <w:r>
        <w:rPr>
          <w:rStyle w:val="CharDivText"/>
        </w:rPr>
        <w:t>Provisions relating to applicable access arrangements</w:t>
      </w:r>
      <w:bookmarkEnd w:id="1509"/>
      <w:bookmarkEnd w:id="1510"/>
      <w:bookmarkEnd w:id="1511"/>
      <w:bookmarkEnd w:id="1512"/>
      <w:bookmarkEnd w:id="1513"/>
      <w:bookmarkEnd w:id="1514"/>
      <w:bookmarkEnd w:id="1515"/>
    </w:p>
    <w:p>
      <w:pPr>
        <w:pStyle w:val="Heading5"/>
      </w:pPr>
      <w:bookmarkStart w:id="1516" w:name="_Toc536782383"/>
      <w:bookmarkStart w:id="1517" w:name="_Toc221110135"/>
      <w:r>
        <w:rPr>
          <w:rStyle w:val="CharSectno"/>
        </w:rPr>
        <w:t>321</w:t>
      </w:r>
      <w:r>
        <w:t>.</w:t>
      </w:r>
      <w:r>
        <w:tab/>
        <w:t>Protection of certain pre</w:t>
      </w:r>
      <w:r>
        <w:noBreakHyphen/>
        <w:t>existing contractual rights</w:t>
      </w:r>
      <w:bookmarkEnd w:id="1516"/>
      <w:bookmarkEnd w:id="15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a full access arrangement was not submitted for approval as required under section 132—a right under a contract (other than a relevant exclusivity right) in </w:t>
      </w:r>
      <w:r>
        <w:rPr>
          <w:color w:val="000000"/>
          <w:sz w:val="23"/>
          <w:szCs w:val="23"/>
        </w:rPr>
        <w:lastRenderedPageBreak/>
        <w:t>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1518" w:name="_Toc536782384"/>
      <w:bookmarkStart w:id="1519" w:name="_Toc221110136"/>
      <w:r>
        <w:rPr>
          <w:rStyle w:val="CharSectno"/>
        </w:rPr>
        <w:t>322</w:t>
      </w:r>
      <w:r>
        <w:t>.</w:t>
      </w:r>
      <w:r>
        <w:tab/>
        <w:t>Service provider may enter into agreement for access different from applicable access arrangement</w:t>
      </w:r>
      <w:bookmarkEnd w:id="1518"/>
      <w:bookmarkEnd w:id="1519"/>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1520" w:name="_Toc536782385"/>
      <w:bookmarkStart w:id="1521" w:name="_Toc221110137"/>
      <w:r>
        <w:rPr>
          <w:rStyle w:val="CharSectno"/>
        </w:rPr>
        <w:t>323</w:t>
      </w:r>
      <w:r>
        <w:t>.</w:t>
      </w:r>
      <w:r>
        <w:tab/>
        <w:t>Applicable access arrangements continue to apply regardless of who provides pipeline service</w:t>
      </w:r>
      <w:bookmarkEnd w:id="1520"/>
      <w:bookmarkEnd w:id="1521"/>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1522" w:name="_Toc501634264"/>
      <w:bookmarkStart w:id="1523" w:name="_Toc501713160"/>
      <w:bookmarkStart w:id="1524" w:name="_Toc536782386"/>
      <w:bookmarkStart w:id="1525" w:name="_Toc220674598"/>
      <w:bookmarkStart w:id="1526" w:name="_Toc221009770"/>
      <w:bookmarkStart w:id="1527" w:name="_Toc221011632"/>
      <w:bookmarkStart w:id="1528" w:name="_Toc221110138"/>
      <w:r>
        <w:rPr>
          <w:rStyle w:val="CharDivNo"/>
        </w:rPr>
        <w:lastRenderedPageBreak/>
        <w:t>Part 2</w:t>
      </w:r>
      <w:r>
        <w:t xml:space="preserve"> — </w:t>
      </w:r>
      <w:r>
        <w:rPr>
          <w:rStyle w:val="CharDivText"/>
        </w:rPr>
        <w:t>Handling of confidential information</w:t>
      </w:r>
      <w:bookmarkEnd w:id="1522"/>
      <w:bookmarkEnd w:id="1523"/>
      <w:bookmarkEnd w:id="1524"/>
      <w:bookmarkEnd w:id="1525"/>
      <w:bookmarkEnd w:id="1526"/>
      <w:bookmarkEnd w:id="1527"/>
      <w:bookmarkEnd w:id="1528"/>
    </w:p>
    <w:p>
      <w:pPr>
        <w:pStyle w:val="Heading4"/>
      </w:pPr>
      <w:bookmarkStart w:id="1529" w:name="_Toc501634265"/>
      <w:bookmarkStart w:id="1530" w:name="_Toc501713161"/>
      <w:bookmarkStart w:id="1531" w:name="_Toc536782387"/>
      <w:bookmarkStart w:id="1532" w:name="_Toc220674599"/>
      <w:bookmarkStart w:id="1533" w:name="_Toc221009771"/>
      <w:bookmarkStart w:id="1534" w:name="_Toc221011633"/>
      <w:bookmarkStart w:id="1535" w:name="_Toc221110139"/>
      <w:r>
        <w:t>Division 1 — Disclosure of confidential information held by AER</w:t>
      </w:r>
      <w:bookmarkEnd w:id="1529"/>
      <w:bookmarkEnd w:id="1530"/>
      <w:bookmarkEnd w:id="1531"/>
      <w:bookmarkEnd w:id="1532"/>
      <w:bookmarkEnd w:id="1533"/>
      <w:bookmarkEnd w:id="1534"/>
      <w:bookmarkEnd w:id="1535"/>
    </w:p>
    <w:p>
      <w:pPr>
        <w:pStyle w:val="Heading5"/>
      </w:pPr>
      <w:bookmarkStart w:id="1536" w:name="_Toc536782388"/>
      <w:bookmarkStart w:id="1537" w:name="_Toc221110140"/>
      <w:r>
        <w:rPr>
          <w:rStyle w:val="CharSectno"/>
        </w:rPr>
        <w:t>324</w:t>
      </w:r>
      <w:r>
        <w:t>.</w:t>
      </w:r>
      <w:r>
        <w:tab/>
        <w:t>Authorised disclosure of information given to the AER in confidence</w:t>
      </w:r>
      <w:bookmarkEnd w:id="1536"/>
      <w:bookmarkEnd w:id="1537"/>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1538" w:name="_Toc536782389"/>
      <w:bookmarkStart w:id="1539" w:name="_Toc221110141"/>
      <w:r>
        <w:rPr>
          <w:rStyle w:val="CharSectno"/>
        </w:rPr>
        <w:t>325</w:t>
      </w:r>
      <w:r>
        <w:t>.</w:t>
      </w:r>
      <w:r>
        <w:tab/>
        <w:t>Disclosure with prior written consent is authorised</w:t>
      </w:r>
      <w:bookmarkEnd w:id="1538"/>
      <w:bookmarkEnd w:id="1539"/>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1540" w:name="_Toc536782390"/>
      <w:bookmarkStart w:id="1541" w:name="_Toc221110142"/>
      <w:r>
        <w:rPr>
          <w:rStyle w:val="CharSectno"/>
        </w:rPr>
        <w:t>326</w:t>
      </w:r>
      <w:r>
        <w:t>.</w:t>
      </w:r>
      <w:r>
        <w:tab/>
        <w:t>Disclosure for purposes of court and tribunal proceedings and to accord natural justice</w:t>
      </w:r>
      <w:bookmarkEnd w:id="1540"/>
      <w:bookmarkEnd w:id="1541"/>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for the purposes of according natural justice to a person affected by a decision (however described) of the AER under this Law or the Rules.</w:t>
      </w:r>
    </w:p>
    <w:p>
      <w:pPr>
        <w:pStyle w:val="Heading5"/>
      </w:pPr>
      <w:bookmarkStart w:id="1542" w:name="_Toc536782391"/>
      <w:bookmarkStart w:id="1543" w:name="_Toc221110143"/>
      <w:r>
        <w:rPr>
          <w:rStyle w:val="CharSectno"/>
        </w:rPr>
        <w:t>327</w:t>
      </w:r>
      <w:r>
        <w:t>.</w:t>
      </w:r>
      <w:r>
        <w:tab/>
        <w:t>Disclosure of information given to the AER with confidential information omitted</w:t>
      </w:r>
      <w:bookmarkEnd w:id="1542"/>
      <w:bookmarkEnd w:id="15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1544" w:name="_Toc536782392"/>
      <w:bookmarkStart w:id="1545" w:name="_Toc221110144"/>
      <w:r>
        <w:rPr>
          <w:rStyle w:val="CharSectno"/>
        </w:rPr>
        <w:t>328</w:t>
      </w:r>
      <w:r>
        <w:t>.</w:t>
      </w:r>
      <w:r>
        <w:tab/>
        <w:t>Disclosure of information given in confidence does not identify anyone</w:t>
      </w:r>
      <w:bookmarkEnd w:id="1544"/>
      <w:bookmarkEnd w:id="1545"/>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lastRenderedPageBreak/>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1546" w:name="_Toc536782393"/>
      <w:bookmarkStart w:id="1547" w:name="_Toc221110145"/>
      <w:r>
        <w:rPr>
          <w:rStyle w:val="CharSectno"/>
        </w:rPr>
        <w:t>329</w:t>
      </w:r>
      <w:r>
        <w:t>.</w:t>
      </w:r>
      <w:r>
        <w:tab/>
        <w:t>Disclosure of confidential information authorised if detriment does not outweigh public benefit</w:t>
      </w:r>
      <w:bookmarkEnd w:id="1546"/>
      <w:bookmarkEnd w:id="15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1548" w:name="_Toc501634272"/>
      <w:bookmarkStart w:id="1549" w:name="_Toc501713168"/>
      <w:bookmarkStart w:id="1550" w:name="_Toc536782394"/>
      <w:bookmarkStart w:id="1551" w:name="_Toc220674606"/>
      <w:bookmarkStart w:id="1552" w:name="_Toc221009778"/>
      <w:bookmarkStart w:id="1553" w:name="_Toc221011640"/>
      <w:bookmarkStart w:id="1554" w:name="_Toc221110146"/>
      <w:r>
        <w:lastRenderedPageBreak/>
        <w:t>Division 2 — Disclosure of confidential information held by relevant Ministers, NCC and AEMC</w:t>
      </w:r>
      <w:bookmarkEnd w:id="1548"/>
      <w:bookmarkEnd w:id="1549"/>
      <w:bookmarkEnd w:id="1550"/>
      <w:bookmarkEnd w:id="1551"/>
      <w:bookmarkEnd w:id="1552"/>
      <w:bookmarkEnd w:id="1553"/>
      <w:bookmarkEnd w:id="1554"/>
    </w:p>
    <w:p>
      <w:pPr>
        <w:pStyle w:val="Heading5"/>
      </w:pPr>
      <w:bookmarkStart w:id="1555" w:name="_Toc536782395"/>
      <w:bookmarkStart w:id="1556" w:name="_Toc221110147"/>
      <w:r>
        <w:rPr>
          <w:rStyle w:val="CharSectno"/>
        </w:rPr>
        <w:t>330</w:t>
      </w:r>
      <w:r>
        <w:t>.</w:t>
      </w:r>
      <w:r>
        <w:tab/>
        <w:t>Definitions</w:t>
      </w:r>
      <w:bookmarkEnd w:id="1555"/>
      <w:bookmarkEnd w:id="1556"/>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in the case of the AEMC, an MCE directed review or a review conducted by the AEMC under section 83.</w:t>
      </w:r>
    </w:p>
    <w:p>
      <w:pPr>
        <w:pStyle w:val="Heading5"/>
      </w:pPr>
      <w:bookmarkStart w:id="1557" w:name="_Toc536782396"/>
      <w:bookmarkStart w:id="1558" w:name="_Toc221110148"/>
      <w:r>
        <w:rPr>
          <w:rStyle w:val="CharSectno"/>
        </w:rPr>
        <w:t>331</w:t>
      </w:r>
      <w:r>
        <w:t>.</w:t>
      </w:r>
      <w:r>
        <w:tab/>
        <w:t>Confidentiality of information received for scheme procedure purpose and for making of scheme decision</w:t>
      </w:r>
      <w:bookmarkEnd w:id="1557"/>
      <w:bookmarkEnd w:id="15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1559" w:name="_Toc501634275"/>
      <w:bookmarkStart w:id="1560" w:name="_Toc501713171"/>
      <w:bookmarkStart w:id="1561" w:name="_Toc536782397"/>
      <w:bookmarkStart w:id="1562" w:name="_Toc220674609"/>
      <w:bookmarkStart w:id="1563" w:name="_Toc221009781"/>
      <w:bookmarkStart w:id="1564" w:name="_Toc221011643"/>
      <w:bookmarkStart w:id="1565" w:name="_Toc221110149"/>
      <w:r>
        <w:rPr>
          <w:rStyle w:val="CharDivNo"/>
        </w:rPr>
        <w:t>Part 3</w:t>
      </w:r>
      <w:r>
        <w:t xml:space="preserve"> — </w:t>
      </w:r>
      <w:r>
        <w:rPr>
          <w:rStyle w:val="CharDivText"/>
        </w:rPr>
        <w:t>Miscellaneous</w:t>
      </w:r>
      <w:bookmarkEnd w:id="1559"/>
      <w:bookmarkEnd w:id="1560"/>
      <w:bookmarkEnd w:id="1561"/>
      <w:bookmarkEnd w:id="1562"/>
      <w:bookmarkEnd w:id="1563"/>
      <w:bookmarkEnd w:id="1564"/>
      <w:bookmarkEnd w:id="1565"/>
    </w:p>
    <w:p>
      <w:pPr>
        <w:pStyle w:val="Heading5"/>
      </w:pPr>
      <w:bookmarkStart w:id="1566" w:name="_Toc536782398"/>
      <w:bookmarkStart w:id="1567" w:name="_Toc221110150"/>
      <w:r>
        <w:rPr>
          <w:rStyle w:val="CharSectno"/>
        </w:rPr>
        <w:t>332</w:t>
      </w:r>
      <w:r>
        <w:t>.</w:t>
      </w:r>
      <w:r>
        <w:tab/>
        <w:t>Failure to make a decision under this Law or the Rules within time does not invalidate the decision</w:t>
      </w:r>
      <w:bookmarkEnd w:id="1566"/>
      <w:bookmarkEnd w:id="15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1568" w:name="_Toc536782399"/>
      <w:bookmarkStart w:id="1569" w:name="_Toc221110151"/>
      <w:r>
        <w:rPr>
          <w:rStyle w:val="CharSectno"/>
        </w:rPr>
        <w:t>333</w:t>
      </w:r>
      <w:r>
        <w:t>.</w:t>
      </w:r>
      <w:r>
        <w:tab/>
        <w:t>Withdrawal of applications relating to coverage or reclassification</w:t>
      </w:r>
      <w:bookmarkEnd w:id="1568"/>
      <w:bookmarkEnd w:id="15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(d)</w:t>
      </w:r>
      <w:r>
        <w:rPr>
          <w:color w:val="000000"/>
          <w:sz w:val="23"/>
          <w:szCs w:val="23"/>
        </w:rPr>
        <w:tab/>
        <w:t>a decision of the NCC relating to the making or revoking of a light regulation determination under Chapter 3 Part 2.</w:t>
      </w:r>
    </w:p>
    <w:p>
      <w:pPr>
        <w:pStyle w:val="Heading5"/>
      </w:pPr>
      <w:bookmarkStart w:id="1570" w:name="_Toc536782400"/>
      <w:bookmarkStart w:id="1571" w:name="_Toc221110152"/>
      <w:r>
        <w:rPr>
          <w:rStyle w:val="CharSectno"/>
        </w:rPr>
        <w:t>334</w:t>
      </w:r>
      <w:r>
        <w:t>.</w:t>
      </w:r>
      <w:r>
        <w:tab/>
        <w:t>Notification of Ministers of participating jurisdictions of receipt of application</w:t>
      </w:r>
      <w:bookmarkEnd w:id="1570"/>
      <w:bookmarkEnd w:id="1571"/>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1572" w:name="_Toc536782401"/>
      <w:bookmarkStart w:id="1573" w:name="_Toc221110153"/>
      <w:r>
        <w:rPr>
          <w:rStyle w:val="CharSectno"/>
        </w:rPr>
        <w:t>335</w:t>
      </w:r>
      <w:r>
        <w:t>.</w:t>
      </w:r>
      <w:r>
        <w:tab/>
        <w:t>Relevant Minister may request NCC to give information or assistance</w:t>
      </w:r>
      <w:bookmarkEnd w:id="1572"/>
      <w:bookmarkEnd w:id="15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1574" w:name="_Toc536782402"/>
      <w:bookmarkStart w:id="1575" w:name="_Toc221110154"/>
      <w:r>
        <w:rPr>
          <w:rStyle w:val="CharSectno"/>
        </w:rPr>
        <w:t>336</w:t>
      </w:r>
      <w:r>
        <w:t>.</w:t>
      </w:r>
      <w:r>
        <w:tab/>
        <w:t>Savings and transitionals</w:t>
      </w:r>
      <w:bookmarkEnd w:id="1574"/>
      <w:bookmarkEnd w:id="1575"/>
    </w:p>
    <w:p>
      <w:pPr>
        <w:rPr>
          <w:snapToGrid w:val="0"/>
        </w:rPr>
      </w:pPr>
      <w:r>
        <w:rPr>
          <w:color w:val="000000"/>
          <w:sz w:val="23"/>
          <w:szCs w:val="23"/>
        </w:rPr>
        <w:t>Schedule 3 to this Law has effect.</w:t>
      </w:r>
    </w:p>
    <w:p>
      <w:pPr>
        <w:rPr>
          <w:snapToGrid w:val="0"/>
        </w:rPr>
      </w:pPr>
    </w:p>
    <w:p>
      <w:pPr>
        <w:rPr>
          <w:snapToGrid w:val="0"/>
        </w:rPr>
        <w:sectPr>
          <w:headerReference w:type="even" r:id="rId22"/>
          <w:headerReference w:type="default" r:id="rId23"/>
          <w:headerReference w:type="first" r:id="rId24"/>
          <w:pgSz w:w="11907" w:h="16840" w:code="9"/>
          <w:pgMar w:top="2381" w:right="2409" w:bottom="3543" w:left="2409" w:header="720" w:footer="3544" w:gutter="0"/>
          <w:pgNumType w:start="1"/>
          <w:cols w:space="720"/>
          <w:noEndnote/>
          <w:titlePg/>
          <w:docGrid w:linePitch="326"/>
        </w:sectPr>
      </w:pPr>
    </w:p>
    <w:p>
      <w:pPr>
        <w:pStyle w:val="Heading2"/>
      </w:pPr>
      <w:bookmarkStart w:id="1576" w:name="_Toc501634281"/>
      <w:bookmarkStart w:id="1577" w:name="_Toc501713177"/>
      <w:bookmarkStart w:id="1578" w:name="_Toc536782403"/>
      <w:bookmarkStart w:id="1579" w:name="_Toc220674615"/>
      <w:bookmarkStart w:id="1580" w:name="_Toc221009787"/>
      <w:bookmarkStart w:id="1581" w:name="_Toc221011649"/>
      <w:bookmarkStart w:id="1582" w:name="_Toc221110155"/>
      <w:bookmarkEnd w:id="28"/>
      <w:bookmarkEnd w:id="29"/>
      <w:bookmarkEnd w:id="30"/>
      <w:bookmarkEnd w:id="31"/>
      <w:r>
        <w:rPr>
          <w:rStyle w:val="CharSchNo"/>
        </w:rPr>
        <w:lastRenderedPageBreak/>
        <w:t>Schedule 1</w:t>
      </w:r>
      <w:r>
        <w:rPr>
          <w:rStyle w:val="CharDivNo"/>
        </w:rPr>
        <w:t> </w:t>
      </w:r>
      <w:r>
        <w:t>—</w:t>
      </w:r>
      <w:r>
        <w:rPr>
          <w:rStyle w:val="CharDivText"/>
        </w:rPr>
        <w:t> </w:t>
      </w:r>
      <w:r>
        <w:rPr>
          <w:rStyle w:val="CharSchText"/>
        </w:rPr>
        <w:t>Subject matter for the National Gas Rules</w:t>
      </w:r>
      <w:bookmarkEnd w:id="1576"/>
      <w:bookmarkEnd w:id="1577"/>
      <w:bookmarkEnd w:id="1578"/>
      <w:bookmarkEnd w:id="1579"/>
      <w:bookmarkEnd w:id="1580"/>
      <w:bookmarkEnd w:id="1581"/>
      <w:bookmarkEnd w:id="1582"/>
    </w:p>
    <w:p>
      <w:pPr>
        <w:keepNext/>
        <w:keepLines/>
        <w:autoSpaceDE w:val="0"/>
        <w:autoSpaceDN w:val="0"/>
        <w:adjustRightInd w:val="0"/>
        <w:spacing w:before="120"/>
        <w:ind w:left="794"/>
        <w:jc w:val="right"/>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 under Chapter 6 or 6A.</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 under Chapter 6 or an arbitrator to make an access determination under Chapter 6A.</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under Chapter 6 or 6A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rate of return on assets.</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autoSpaceDE w:val="0"/>
              <w:autoSpaceDN w:val="0"/>
              <w:adjustRightInd w:val="0"/>
              <w:spacing w:before="120"/>
              <w:rPr>
                <w:color w:val="000000"/>
                <w:sz w:val="20"/>
              </w:rPr>
            </w:pPr>
          </w:p>
        </w:tc>
        <w:tc>
          <w:tcPr>
            <w:tcW w:w="6360" w:type="dxa"/>
            <w:vAlign w:val="center"/>
          </w:tcPr>
          <w:p>
            <w:pPr>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924" w:type="dxa"/>
          </w:tcPr>
          <w:p>
            <w:pPr>
              <w:keepLines/>
              <w:autoSpaceDE w:val="0"/>
              <w:autoSpaceDN w:val="0"/>
              <w:adjustRightInd w:val="0"/>
              <w:spacing w:before="120"/>
              <w:rPr>
                <w:color w:val="000000"/>
                <w:sz w:val="20"/>
              </w:rPr>
            </w:pPr>
            <w:r>
              <w:rPr>
                <w:color w:val="000000"/>
                <w:sz w:val="20"/>
              </w:rPr>
              <w:t>48A</w:t>
            </w:r>
          </w:p>
        </w:tc>
        <w:tc>
          <w:tcPr>
            <w:tcW w:w="6360" w:type="dxa"/>
            <w:vAlign w:val="center"/>
          </w:tcPr>
          <w:p>
            <w:pPr>
              <w:keepLines/>
              <w:autoSpaceDE w:val="0"/>
              <w:autoSpaceDN w:val="0"/>
              <w:adjustRightInd w:val="0"/>
              <w:spacing w:before="120"/>
              <w:rPr>
                <w:color w:val="000000"/>
                <w:sz w:val="20"/>
              </w:rPr>
            </w:pPr>
            <w:r>
              <w:rPr>
                <w:color w:val="000000"/>
                <w:sz w:val="20"/>
              </w:rPr>
              <w:t>For the purposes of items 40 to 47 (inclusive)—</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(a)</w:t>
            </w:r>
            <w:r>
              <w:rPr>
                <w:color w:val="000000"/>
                <w:sz w:val="20"/>
              </w:rPr>
              <w:tab/>
              <w:t>a reference to the dispute resolution body will be taken to include a reference to an arbitrator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(b)</w:t>
            </w:r>
            <w:r>
              <w:rPr>
                <w:color w:val="000000"/>
                <w:sz w:val="20"/>
              </w:rPr>
              <w:tab/>
              <w:t>a reference to an access determination will be taken to include a reference to an access determination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(c)</w:t>
            </w:r>
            <w:r>
              <w:rPr>
                <w:color w:val="000000"/>
                <w:sz w:val="20"/>
              </w:rPr>
              <w:tab/>
              <w:t>a reference to a covered pipeline will be taken to include a reference to a non</w:t>
            </w:r>
            <w:r>
              <w:rPr>
                <w:color w:val="000000"/>
                <w:sz w:val="20"/>
              </w:rPr>
              <w:noBreakHyphen/>
              <w:t>scheme pipeline under Chapter 6A.</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lastRenderedPageBreak/>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rPr>
            </w:pPr>
            <w:r>
              <w:rPr>
                <w:color w:val="000000"/>
                <w:sz w:val="20"/>
              </w:rPr>
              <w:t>75</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lastRenderedPageBreak/>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WA Act Sch. 1 cl. 14; amended see SA Act No. 23 of 2017 s. 9 and WA Gazette 22 Dec 2017 p. 5984.]</w:t>
      </w:r>
    </w:p>
    <w:p>
      <w:pPr>
        <w:keepNext/>
        <w:keepLines/>
        <w:autoSpaceDE w:val="0"/>
        <w:autoSpaceDN w:val="0"/>
        <w:adjustRightInd w:val="0"/>
        <w:spacing w:before="280"/>
        <w:ind w:left="1361" w:hanging="567"/>
        <w:rPr>
          <w:b/>
          <w:bCs/>
          <w:color w:val="000000"/>
          <w:sz w:val="32"/>
          <w:szCs w:val="32"/>
        </w:rPr>
        <w:sectPr>
          <w:headerReference w:type="even" r:id="rId25"/>
          <w:headerReference w:type="default" r:id="rId26"/>
          <w:headerReference w:type="first" r:id="rId27"/>
          <w:endnotePr>
            <w:numFmt w:val="decimal"/>
          </w:endnotePr>
          <w:pgSz w:w="11907" w:h="16840" w:code="9"/>
          <w:pgMar w:top="2381" w:right="2410" w:bottom="3544" w:left="2410" w:header="720" w:footer="3380" w:gutter="0"/>
          <w:cols w:space="720"/>
          <w:docGrid w:linePitch="326"/>
        </w:sectPr>
      </w:pPr>
    </w:p>
    <w:p>
      <w:pPr>
        <w:pStyle w:val="Heading2"/>
      </w:pPr>
      <w:bookmarkStart w:id="1583" w:name="_Toc501634282"/>
      <w:bookmarkStart w:id="1584" w:name="_Toc501713178"/>
      <w:bookmarkStart w:id="1585" w:name="_Toc536782404"/>
      <w:bookmarkStart w:id="1586" w:name="_Toc220674616"/>
      <w:bookmarkStart w:id="1587" w:name="_Toc221009788"/>
      <w:bookmarkStart w:id="1588" w:name="_Toc221011650"/>
      <w:bookmarkStart w:id="1589" w:name="_Toc221110156"/>
      <w:r>
        <w:rPr>
          <w:rStyle w:val="CharSchNo"/>
        </w:rPr>
        <w:lastRenderedPageBreak/>
        <w:t>Schedule 2</w:t>
      </w:r>
      <w:r>
        <w:t xml:space="preserve"> — </w:t>
      </w:r>
      <w:r>
        <w:rPr>
          <w:rStyle w:val="CharSchText"/>
        </w:rPr>
        <w:t>Miscellaneous provisions relating to interpretation</w:t>
      </w:r>
      <w:bookmarkEnd w:id="1583"/>
      <w:bookmarkEnd w:id="1584"/>
      <w:bookmarkEnd w:id="1585"/>
      <w:bookmarkEnd w:id="1586"/>
      <w:bookmarkEnd w:id="1587"/>
      <w:bookmarkEnd w:id="1588"/>
      <w:bookmarkEnd w:id="1589"/>
    </w:p>
    <w:p>
      <w:pPr>
        <w:keepNext/>
        <w:keepLines/>
        <w:autoSpaceDE w:val="0"/>
        <w:autoSpaceDN w:val="0"/>
        <w:adjustRightInd w:val="0"/>
        <w:spacing w:before="120"/>
        <w:ind w:left="794"/>
        <w:jc w:val="right"/>
        <w:rPr>
          <w:color w:val="000000"/>
          <w:sz w:val="23"/>
          <w:szCs w:val="23"/>
        </w:rPr>
      </w:pPr>
      <w:r>
        <w:rPr>
          <w:color w:val="000000"/>
          <w:sz w:val="23"/>
          <w:szCs w:val="23"/>
        </w:rPr>
        <w:t>Section 20</w:t>
      </w:r>
    </w:p>
    <w:p>
      <w:pPr>
        <w:pStyle w:val="Heading3"/>
      </w:pPr>
      <w:bookmarkStart w:id="1590" w:name="_Toc501634283"/>
      <w:bookmarkStart w:id="1591" w:name="_Toc501713179"/>
      <w:bookmarkStart w:id="1592" w:name="_Toc536782405"/>
      <w:bookmarkStart w:id="1593" w:name="_Toc220674617"/>
      <w:bookmarkStart w:id="1594" w:name="_Toc221009789"/>
      <w:bookmarkStart w:id="1595" w:name="_Toc221011651"/>
      <w:bookmarkStart w:id="1596" w:name="_Toc221110157"/>
      <w:r>
        <w:rPr>
          <w:rStyle w:val="CharDivNo"/>
        </w:rPr>
        <w:t>Part 1</w:t>
      </w:r>
      <w:r>
        <w:t xml:space="preserve"> — </w:t>
      </w:r>
      <w:r>
        <w:rPr>
          <w:rStyle w:val="CharDivText"/>
        </w:rPr>
        <w:t>Preliminary</w:t>
      </w:r>
      <w:bookmarkEnd w:id="1590"/>
      <w:bookmarkEnd w:id="1591"/>
      <w:bookmarkEnd w:id="1592"/>
      <w:bookmarkEnd w:id="1593"/>
      <w:bookmarkEnd w:id="1594"/>
      <w:bookmarkEnd w:id="1595"/>
      <w:bookmarkEnd w:id="1596"/>
    </w:p>
    <w:p>
      <w:pPr>
        <w:pStyle w:val="Heading5"/>
      </w:pPr>
      <w:bookmarkStart w:id="1597" w:name="_Toc536782406"/>
      <w:bookmarkStart w:id="1598" w:name="_Toc221110158"/>
      <w:r>
        <w:rPr>
          <w:rStyle w:val="CharSectno"/>
        </w:rPr>
        <w:t>1</w:t>
      </w:r>
      <w:r>
        <w:t>.</w:t>
      </w:r>
      <w:r>
        <w:tab/>
        <w:t>Displacement of Schedule by contrary intention</w:t>
      </w:r>
      <w:bookmarkEnd w:id="1597"/>
      <w:bookmarkEnd w:id="15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1599" w:name="_Toc501634285"/>
      <w:bookmarkStart w:id="1600" w:name="_Toc501713181"/>
      <w:bookmarkStart w:id="1601" w:name="_Toc536782407"/>
      <w:bookmarkStart w:id="1602" w:name="_Toc220674619"/>
      <w:bookmarkStart w:id="1603" w:name="_Toc221009791"/>
      <w:bookmarkStart w:id="1604" w:name="_Toc221011653"/>
      <w:bookmarkStart w:id="1605" w:name="_Toc221110159"/>
      <w:r>
        <w:rPr>
          <w:rStyle w:val="CharDivNo"/>
        </w:rPr>
        <w:t>Part 2</w:t>
      </w:r>
      <w:r>
        <w:t xml:space="preserve"> — </w:t>
      </w:r>
      <w:r>
        <w:rPr>
          <w:rStyle w:val="CharDivText"/>
        </w:rPr>
        <w:t>General</w:t>
      </w:r>
      <w:bookmarkEnd w:id="1599"/>
      <w:bookmarkEnd w:id="1600"/>
      <w:bookmarkEnd w:id="1601"/>
      <w:bookmarkEnd w:id="1602"/>
      <w:bookmarkEnd w:id="1603"/>
      <w:bookmarkEnd w:id="1604"/>
      <w:bookmarkEnd w:id="1605"/>
    </w:p>
    <w:p>
      <w:pPr>
        <w:pStyle w:val="Heading5"/>
      </w:pPr>
      <w:bookmarkStart w:id="1606" w:name="_Toc536782408"/>
      <w:bookmarkStart w:id="1607" w:name="_Toc221110160"/>
      <w:r>
        <w:rPr>
          <w:rStyle w:val="CharSectno"/>
        </w:rPr>
        <w:t>2</w:t>
      </w:r>
      <w:r>
        <w:t>.</w:t>
      </w:r>
      <w:r>
        <w:tab/>
        <w:t>Law to be construed not to exceed legislative power of Legislature</w:t>
      </w:r>
      <w:bookmarkEnd w:id="1606"/>
      <w:bookmarkEnd w:id="16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1608" w:name="_Toc536782409"/>
      <w:bookmarkStart w:id="1609" w:name="_Toc221110161"/>
      <w:r>
        <w:rPr>
          <w:rStyle w:val="CharSectno"/>
        </w:rPr>
        <w:t>3</w:t>
      </w:r>
      <w:r>
        <w:t>.</w:t>
      </w:r>
      <w:r>
        <w:tab/>
        <w:t>Vacant provision</w:t>
      </w:r>
      <w:bookmarkEnd w:id="1608"/>
      <w:bookmarkEnd w:id="1609"/>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1610" w:name="_Toc536782410"/>
      <w:bookmarkStart w:id="1611" w:name="_Toc221110162"/>
      <w:r>
        <w:rPr>
          <w:rStyle w:val="CharSectno"/>
        </w:rPr>
        <w:lastRenderedPageBreak/>
        <w:t>4</w:t>
      </w:r>
      <w:r>
        <w:t>.</w:t>
      </w:r>
      <w:r>
        <w:tab/>
        <w:t>Material that is, and is not, part of Law</w:t>
      </w:r>
      <w:bookmarkEnd w:id="1610"/>
      <w:bookmarkEnd w:id="16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1612" w:name="_Toc536782411"/>
      <w:bookmarkStart w:id="1613" w:name="_Toc221110163"/>
      <w:r>
        <w:rPr>
          <w:rStyle w:val="CharSectno"/>
        </w:rPr>
        <w:t>5</w:t>
      </w:r>
      <w:r>
        <w:t>.</w:t>
      </w:r>
      <w:r>
        <w:tab/>
        <w:t>References to particular Acts and to enactments</w:t>
      </w:r>
      <w:bookmarkEnd w:id="1612"/>
      <w:bookmarkEnd w:id="1613"/>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1614" w:name="_Toc536782412"/>
      <w:bookmarkStart w:id="1615" w:name="_Toc221110164"/>
      <w:r>
        <w:rPr>
          <w:rStyle w:val="CharSectno"/>
        </w:rPr>
        <w:lastRenderedPageBreak/>
        <w:t>6</w:t>
      </w:r>
      <w:r>
        <w:t>.</w:t>
      </w:r>
      <w:r>
        <w:tab/>
        <w:t>References taken to be included in Act or Law citation etc</w:t>
      </w:r>
      <w:bookmarkEnd w:id="1614"/>
      <w:bookmarkEnd w:id="16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1616" w:name="_Toc536782413"/>
      <w:bookmarkStart w:id="1617" w:name="_Toc221110165"/>
      <w:r>
        <w:rPr>
          <w:rStyle w:val="CharSectno"/>
        </w:rPr>
        <w:t>7</w:t>
      </w:r>
      <w:r>
        <w:t>.</w:t>
      </w:r>
      <w:r>
        <w:tab/>
        <w:t>Interpretation best achieving Law’s purpose</w:t>
      </w:r>
      <w:bookmarkEnd w:id="1616"/>
      <w:bookmarkEnd w:id="16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1618" w:name="_Toc536782414"/>
      <w:bookmarkStart w:id="1619" w:name="_Toc221110166"/>
      <w:r>
        <w:rPr>
          <w:rStyle w:val="CharSectno"/>
        </w:rPr>
        <w:lastRenderedPageBreak/>
        <w:t>8</w:t>
      </w:r>
      <w:r>
        <w:t>.</w:t>
      </w:r>
      <w:r>
        <w:tab/>
        <w:t>Use of extrinsic material in interpretation</w:t>
      </w:r>
      <w:bookmarkEnd w:id="1618"/>
      <w:bookmarkEnd w:id="16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lastRenderedPageBreak/>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1620" w:name="_Toc536782415"/>
      <w:bookmarkStart w:id="1621" w:name="_Toc221110167"/>
      <w:r>
        <w:rPr>
          <w:rStyle w:val="CharSectno"/>
        </w:rPr>
        <w:t>9</w:t>
      </w:r>
      <w:r>
        <w:t>.</w:t>
      </w:r>
      <w:r>
        <w:tab/>
        <w:t>Compliance with forms</w:t>
      </w:r>
      <w:bookmarkEnd w:id="1620"/>
      <w:bookmarkEnd w:id="162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1622" w:name="_Toc501634294"/>
      <w:bookmarkStart w:id="1623" w:name="_Toc501713190"/>
      <w:bookmarkStart w:id="1624" w:name="_Toc536782416"/>
      <w:bookmarkStart w:id="1625" w:name="_Toc220674628"/>
      <w:bookmarkStart w:id="1626" w:name="_Toc221009800"/>
      <w:bookmarkStart w:id="1627" w:name="_Toc221011662"/>
      <w:bookmarkStart w:id="1628" w:name="_Toc221110168"/>
      <w:r>
        <w:rPr>
          <w:rStyle w:val="CharDivNo"/>
        </w:rPr>
        <w:t>Part 3</w:t>
      </w:r>
      <w:r>
        <w:t xml:space="preserve"> — </w:t>
      </w:r>
      <w:r>
        <w:rPr>
          <w:rStyle w:val="CharDivText"/>
        </w:rPr>
        <w:t>Terms and references</w:t>
      </w:r>
      <w:bookmarkEnd w:id="1622"/>
      <w:bookmarkEnd w:id="1623"/>
      <w:bookmarkEnd w:id="1624"/>
      <w:bookmarkEnd w:id="1625"/>
      <w:bookmarkEnd w:id="1626"/>
      <w:bookmarkEnd w:id="1627"/>
      <w:bookmarkEnd w:id="1628"/>
    </w:p>
    <w:p>
      <w:pPr>
        <w:pStyle w:val="Heading5"/>
      </w:pPr>
      <w:bookmarkStart w:id="1629" w:name="_Toc536782417"/>
      <w:bookmarkStart w:id="1630" w:name="_Toc221110169"/>
      <w:r>
        <w:rPr>
          <w:rStyle w:val="CharSectno"/>
        </w:rPr>
        <w:t>10</w:t>
      </w:r>
      <w:r>
        <w:t>.</w:t>
      </w:r>
      <w:r>
        <w:tab/>
        <w:t>Definitions</w:t>
      </w:r>
      <w:bookmarkEnd w:id="1629"/>
      <w:bookmarkEnd w:id="1630"/>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lastRenderedPageBreak/>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lastRenderedPageBreak/>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lastRenderedPageBreak/>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1631" w:name="_Toc536782418"/>
      <w:bookmarkStart w:id="1632" w:name="_Toc221110170"/>
      <w:r>
        <w:rPr>
          <w:rStyle w:val="CharSectno"/>
        </w:rPr>
        <w:lastRenderedPageBreak/>
        <w:t>11</w:t>
      </w:r>
      <w:r>
        <w:t>.</w:t>
      </w:r>
      <w:r>
        <w:tab/>
        <w:t>Provisions relating to defined terms and gender and number</w:t>
      </w:r>
      <w:bookmarkEnd w:id="1631"/>
      <w:bookmarkEnd w:id="16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1633" w:name="_Toc536782419"/>
      <w:bookmarkStart w:id="1634" w:name="_Toc221110171"/>
      <w:r>
        <w:rPr>
          <w:rStyle w:val="CharSectno"/>
        </w:rPr>
        <w:t>12</w:t>
      </w:r>
      <w:r>
        <w:t>.</w:t>
      </w:r>
      <w:r>
        <w:tab/>
        <w:t>Meaning of may and must etc</w:t>
      </w:r>
      <w:bookmarkEnd w:id="1633"/>
      <w:bookmarkEnd w:id="16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1635" w:name="_Toc536782420"/>
      <w:bookmarkStart w:id="1636" w:name="_Toc221110172"/>
      <w:r>
        <w:rPr>
          <w:rStyle w:val="CharSectno"/>
        </w:rPr>
        <w:t>13</w:t>
      </w:r>
      <w:r>
        <w:t>.</w:t>
      </w:r>
      <w:r>
        <w:tab/>
        <w:t>Words and expressions used in statutory instruments</w:t>
      </w:r>
      <w:bookmarkEnd w:id="1635"/>
      <w:bookmarkEnd w:id="16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1637" w:name="_Toc536782421"/>
      <w:bookmarkStart w:id="1638" w:name="_Toc221110173"/>
      <w:r>
        <w:rPr>
          <w:rStyle w:val="CharSectno"/>
        </w:rPr>
        <w:lastRenderedPageBreak/>
        <w:t>14</w:t>
      </w:r>
      <w:r>
        <w:t>.</w:t>
      </w:r>
      <w:r>
        <w:tab/>
        <w:t>References to Minister</w:t>
      </w:r>
      <w:bookmarkEnd w:id="1637"/>
      <w:bookmarkEnd w:id="16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1639" w:name="_Toc536782422"/>
      <w:bookmarkStart w:id="1640" w:name="_Toc221110174"/>
      <w:r>
        <w:rPr>
          <w:rStyle w:val="CharSectno"/>
        </w:rPr>
        <w:t>15</w:t>
      </w:r>
      <w:r>
        <w:t>.</w:t>
      </w:r>
      <w:r>
        <w:tab/>
        <w:t>Production of records kept in computers etc</w:t>
      </w:r>
      <w:bookmarkEnd w:id="1639"/>
      <w:bookmarkEnd w:id="1640"/>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1641" w:name="_Toc536782423"/>
      <w:bookmarkStart w:id="1642" w:name="_Toc221110175"/>
      <w:r>
        <w:rPr>
          <w:rStyle w:val="CharSectno"/>
        </w:rPr>
        <w:t>16</w:t>
      </w:r>
      <w:r>
        <w:t>.</w:t>
      </w:r>
      <w:r>
        <w:tab/>
        <w:t>References to this jurisdiction to be implied</w:t>
      </w:r>
      <w:bookmarkEnd w:id="1641"/>
      <w:bookmarkEnd w:id="1642"/>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1643" w:name="_Toc536782424"/>
      <w:bookmarkStart w:id="1644" w:name="_Toc221110176"/>
      <w:r>
        <w:rPr>
          <w:rStyle w:val="CharSectno"/>
        </w:rPr>
        <w:lastRenderedPageBreak/>
        <w:t>17</w:t>
      </w:r>
      <w:r>
        <w:t>.</w:t>
      </w:r>
      <w:r>
        <w:tab/>
        <w:t>References to officers and holders of offices</w:t>
      </w:r>
      <w:bookmarkEnd w:id="1643"/>
      <w:bookmarkEnd w:id="1644"/>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1645" w:name="_Toc536782425"/>
      <w:bookmarkStart w:id="1646" w:name="_Toc221110177"/>
      <w:r>
        <w:rPr>
          <w:rStyle w:val="CharSectno"/>
        </w:rPr>
        <w:t>18</w:t>
      </w:r>
      <w:r>
        <w:t>.</w:t>
      </w:r>
      <w:r>
        <w:tab/>
        <w:t>Reference to certain provisions of Law</w:t>
      </w:r>
      <w:bookmarkEnd w:id="1645"/>
      <w:bookmarkEnd w:id="1646"/>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1647" w:name="_Toc501634304"/>
      <w:bookmarkStart w:id="1648" w:name="_Toc501713200"/>
      <w:bookmarkStart w:id="1649" w:name="_Toc536782426"/>
      <w:bookmarkStart w:id="1650" w:name="_Toc220674638"/>
      <w:bookmarkStart w:id="1651" w:name="_Toc221009810"/>
      <w:bookmarkStart w:id="1652" w:name="_Toc221011672"/>
      <w:bookmarkStart w:id="1653" w:name="_Toc221110178"/>
      <w:r>
        <w:rPr>
          <w:rStyle w:val="CharDivNo"/>
        </w:rPr>
        <w:t>Part 4</w:t>
      </w:r>
      <w:r>
        <w:t xml:space="preserve"> — </w:t>
      </w:r>
      <w:r>
        <w:rPr>
          <w:rStyle w:val="CharDivText"/>
        </w:rPr>
        <w:t>Functions and powers</w:t>
      </w:r>
      <w:bookmarkEnd w:id="1647"/>
      <w:bookmarkEnd w:id="1648"/>
      <w:bookmarkEnd w:id="1649"/>
      <w:bookmarkEnd w:id="1650"/>
      <w:bookmarkEnd w:id="1651"/>
      <w:bookmarkEnd w:id="1652"/>
      <w:bookmarkEnd w:id="1653"/>
    </w:p>
    <w:p>
      <w:pPr>
        <w:pStyle w:val="Heading5"/>
      </w:pPr>
      <w:bookmarkStart w:id="1654" w:name="_Toc536782427"/>
      <w:bookmarkStart w:id="1655" w:name="_Toc221110179"/>
      <w:r>
        <w:rPr>
          <w:rStyle w:val="CharSectno"/>
        </w:rPr>
        <w:t>19</w:t>
      </w:r>
      <w:r>
        <w:t>.</w:t>
      </w:r>
      <w:r>
        <w:tab/>
        <w:t>Performance of statutory functions</w:t>
      </w:r>
      <w:bookmarkEnd w:id="1654"/>
      <w:bookmarkEnd w:id="16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1656" w:name="_Toc536782428"/>
      <w:bookmarkStart w:id="1657" w:name="_Toc221110180"/>
      <w:r>
        <w:rPr>
          <w:rStyle w:val="CharSectno"/>
        </w:rPr>
        <w:lastRenderedPageBreak/>
        <w:t>20</w:t>
      </w:r>
      <w:r>
        <w:t>.</w:t>
      </w:r>
      <w:r>
        <w:tab/>
        <w:t>Power to make instrument or decision includes power to amend or repeal</w:t>
      </w:r>
      <w:bookmarkEnd w:id="1656"/>
      <w:bookmarkEnd w:id="1657"/>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1658" w:name="_Toc536782429"/>
      <w:bookmarkStart w:id="1659" w:name="_Toc221110181"/>
      <w:r>
        <w:rPr>
          <w:rStyle w:val="CharSectno"/>
        </w:rPr>
        <w:t>21</w:t>
      </w:r>
      <w:r>
        <w:t>.</w:t>
      </w:r>
      <w:r>
        <w:tab/>
        <w:t>Matters for which statutory instruments may make provision</w:t>
      </w:r>
      <w:bookmarkEnd w:id="1658"/>
      <w:bookmarkEnd w:id="16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1660" w:name="_Toc536782430"/>
      <w:bookmarkStart w:id="1661" w:name="_Toc221110182"/>
      <w:r>
        <w:rPr>
          <w:rStyle w:val="CharSectno"/>
        </w:rPr>
        <w:t>22</w:t>
      </w:r>
      <w:r>
        <w:t>.</w:t>
      </w:r>
      <w:r>
        <w:tab/>
        <w:t>Presumption of validity and power to make</w:t>
      </w:r>
      <w:bookmarkEnd w:id="1660"/>
      <w:bookmarkEnd w:id="16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1662" w:name="_Toc536782431"/>
      <w:bookmarkStart w:id="1663" w:name="_Toc221110183"/>
      <w:r>
        <w:rPr>
          <w:rStyle w:val="CharSectno"/>
        </w:rPr>
        <w:lastRenderedPageBreak/>
        <w:t>23</w:t>
      </w:r>
      <w:r>
        <w:t>.</w:t>
      </w:r>
      <w:r>
        <w:tab/>
        <w:t>Appointments may be made by name or office</w:t>
      </w:r>
      <w:bookmarkEnd w:id="1662"/>
      <w:bookmarkEnd w:id="16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1664" w:name="_Toc536782432"/>
      <w:bookmarkStart w:id="1665" w:name="_Toc221110184"/>
      <w:r>
        <w:rPr>
          <w:rStyle w:val="CharSectno"/>
        </w:rPr>
        <w:t>24</w:t>
      </w:r>
      <w:r>
        <w:t>.</w:t>
      </w:r>
      <w:r>
        <w:tab/>
        <w:t>Acting appointments</w:t>
      </w:r>
      <w:bookmarkEnd w:id="1664"/>
      <w:bookmarkEnd w:id="16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1666" w:name="_Toc536782433"/>
      <w:bookmarkStart w:id="1667" w:name="_Toc221110185"/>
      <w:r>
        <w:rPr>
          <w:rStyle w:val="CharSectno"/>
        </w:rPr>
        <w:lastRenderedPageBreak/>
        <w:t>25</w:t>
      </w:r>
      <w:r>
        <w:t>.</w:t>
      </w:r>
      <w:r>
        <w:tab/>
        <w:t>Powers of appointment imply certain incidental powers</w:t>
      </w:r>
      <w:bookmarkEnd w:id="1666"/>
      <w:bookmarkEnd w:id="16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1668" w:name="_Toc536782434"/>
      <w:bookmarkStart w:id="1669" w:name="_Toc221110186"/>
      <w:r>
        <w:rPr>
          <w:rStyle w:val="CharSectno"/>
        </w:rPr>
        <w:lastRenderedPageBreak/>
        <w:t>26</w:t>
      </w:r>
      <w:r>
        <w:t>.</w:t>
      </w:r>
      <w:r>
        <w:tab/>
        <w:t>Delegation</w:t>
      </w:r>
      <w:bookmarkEnd w:id="1668"/>
      <w:bookmarkEnd w:id="16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 xml:space="preserve">If, when exercised by the delegator, a function or power is, under this Law, dependent on the delegator’s opinion, belief or state of mind in relation to a matter, the function or power, when exercised by the delegate, is dependent on </w:t>
      </w:r>
      <w:r>
        <w:rPr>
          <w:color w:val="000000"/>
          <w:sz w:val="23"/>
          <w:szCs w:val="23"/>
        </w:rPr>
        <w:lastRenderedPageBreak/>
        <w:t>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1670" w:name="_Toc536782435"/>
      <w:bookmarkStart w:id="1671" w:name="_Toc221110187"/>
      <w:r>
        <w:rPr>
          <w:rStyle w:val="CharSectno"/>
        </w:rPr>
        <w:t>27</w:t>
      </w:r>
      <w:r>
        <w:t>.</w:t>
      </w:r>
      <w:r>
        <w:tab/>
        <w:t>Exercise of powers between enactment and commencement</w:t>
      </w:r>
      <w:bookmarkEnd w:id="1670"/>
      <w:bookmarkEnd w:id="16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 xml:space="preserve">After the enactment of a provision mentioned in subclause (2) but before the provision’s commencement, this clause applies as if the references in subclauses (2) and (5) to the commencement of the empowering provision were references to the commencement of the provision </w:t>
      </w:r>
      <w:r>
        <w:rPr>
          <w:color w:val="000000"/>
          <w:sz w:val="23"/>
          <w:szCs w:val="23"/>
        </w:rPr>
        <w:lastRenderedPageBreak/>
        <w:t>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1672" w:name="_Toc536782436"/>
      <w:bookmarkStart w:id="1673" w:name="_Toc221110188"/>
      <w:r>
        <w:rPr>
          <w:rStyle w:val="CharSectno"/>
        </w:rPr>
        <w:t>27A</w:t>
      </w:r>
      <w:r>
        <w:t>.</w:t>
      </w:r>
      <w:r>
        <w:tab/>
        <w:t>WA modifications of clause 27</w:t>
      </w:r>
      <w:bookmarkEnd w:id="1672"/>
      <w:bookmarkEnd w:id="16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WA Act Sch. 1 cl. 15.]</w:t>
      </w:r>
    </w:p>
    <w:p>
      <w:pPr>
        <w:pStyle w:val="Heading3"/>
      </w:pPr>
      <w:bookmarkStart w:id="1674" w:name="_Toc501634315"/>
      <w:bookmarkStart w:id="1675" w:name="_Toc501713211"/>
      <w:bookmarkStart w:id="1676" w:name="_Toc536782437"/>
      <w:bookmarkStart w:id="1677" w:name="_Toc220674649"/>
      <w:bookmarkStart w:id="1678" w:name="_Toc221009821"/>
      <w:bookmarkStart w:id="1679" w:name="_Toc221011683"/>
      <w:bookmarkStart w:id="1680" w:name="_Toc221110189"/>
      <w:r>
        <w:rPr>
          <w:rStyle w:val="CharDivNo"/>
        </w:rPr>
        <w:t>Part 5</w:t>
      </w:r>
      <w:r>
        <w:t xml:space="preserve"> — </w:t>
      </w:r>
      <w:r>
        <w:rPr>
          <w:rStyle w:val="CharDivText"/>
        </w:rPr>
        <w:t>Distance and time</w:t>
      </w:r>
      <w:bookmarkEnd w:id="1674"/>
      <w:bookmarkEnd w:id="1675"/>
      <w:bookmarkEnd w:id="1676"/>
      <w:bookmarkEnd w:id="1677"/>
      <w:bookmarkEnd w:id="1678"/>
      <w:bookmarkEnd w:id="1679"/>
      <w:bookmarkEnd w:id="1680"/>
    </w:p>
    <w:p>
      <w:pPr>
        <w:pStyle w:val="Heading5"/>
      </w:pPr>
      <w:bookmarkStart w:id="1681" w:name="_Toc536782438"/>
      <w:bookmarkStart w:id="1682" w:name="_Toc221110190"/>
      <w:r>
        <w:rPr>
          <w:rStyle w:val="CharSectno"/>
        </w:rPr>
        <w:t>28</w:t>
      </w:r>
      <w:r>
        <w:t>.</w:t>
      </w:r>
      <w:r>
        <w:tab/>
        <w:t>Matters relating to distance and time</w:t>
      </w:r>
      <w:bookmarkEnd w:id="1681"/>
      <w:bookmarkEnd w:id="16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1683" w:name="_Toc501634317"/>
      <w:bookmarkStart w:id="1684" w:name="_Toc501713213"/>
      <w:bookmarkStart w:id="1685" w:name="_Toc536782439"/>
      <w:bookmarkStart w:id="1686" w:name="_Toc220674651"/>
      <w:bookmarkStart w:id="1687" w:name="_Toc221009823"/>
      <w:bookmarkStart w:id="1688" w:name="_Toc221011685"/>
      <w:bookmarkStart w:id="1689" w:name="_Toc221110191"/>
      <w:r>
        <w:rPr>
          <w:rStyle w:val="CharDivNo"/>
        </w:rPr>
        <w:t>Part 6</w:t>
      </w:r>
      <w:r>
        <w:t xml:space="preserve"> — </w:t>
      </w:r>
      <w:r>
        <w:rPr>
          <w:rStyle w:val="CharDivText"/>
        </w:rPr>
        <w:t>Service of documents</w:t>
      </w:r>
      <w:bookmarkEnd w:id="1683"/>
      <w:bookmarkEnd w:id="1684"/>
      <w:bookmarkEnd w:id="1685"/>
      <w:bookmarkEnd w:id="1686"/>
      <w:bookmarkEnd w:id="1687"/>
      <w:bookmarkEnd w:id="1688"/>
      <w:bookmarkEnd w:id="1689"/>
    </w:p>
    <w:p>
      <w:pPr>
        <w:pStyle w:val="Heading5"/>
      </w:pPr>
      <w:bookmarkStart w:id="1690" w:name="_Toc536782440"/>
      <w:bookmarkStart w:id="1691" w:name="_Toc221110192"/>
      <w:r>
        <w:rPr>
          <w:rStyle w:val="CharSectno"/>
        </w:rPr>
        <w:t>29</w:t>
      </w:r>
      <w:r>
        <w:t>.</w:t>
      </w:r>
      <w:r>
        <w:tab/>
        <w:t>Service of documents and meaning of service by post etc</w:t>
      </w:r>
      <w:bookmarkEnd w:id="1690"/>
      <w:bookmarkEnd w:id="16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1692" w:name="_Toc536782441"/>
      <w:bookmarkStart w:id="1693" w:name="_Toc221110193"/>
      <w:r>
        <w:rPr>
          <w:rStyle w:val="CharSectno"/>
        </w:rPr>
        <w:t>30</w:t>
      </w:r>
      <w:r>
        <w:t>.</w:t>
      </w:r>
      <w:r>
        <w:tab/>
        <w:t>Meaning of service by post etc</w:t>
      </w:r>
      <w:bookmarkEnd w:id="1692"/>
      <w:bookmarkEnd w:id="16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1694" w:name="_Toc501634320"/>
      <w:bookmarkStart w:id="1695" w:name="_Toc501713216"/>
      <w:bookmarkStart w:id="1696" w:name="_Toc536782442"/>
      <w:bookmarkStart w:id="1697" w:name="_Toc220674654"/>
      <w:bookmarkStart w:id="1698" w:name="_Toc221009826"/>
      <w:bookmarkStart w:id="1699" w:name="_Toc221011688"/>
      <w:bookmarkStart w:id="1700" w:name="_Toc221110194"/>
      <w:r>
        <w:rPr>
          <w:rStyle w:val="CharDivNo"/>
        </w:rPr>
        <w:t>Part 7</w:t>
      </w:r>
      <w:r>
        <w:t xml:space="preserve"> — </w:t>
      </w:r>
      <w:r>
        <w:rPr>
          <w:rStyle w:val="CharDivText"/>
        </w:rPr>
        <w:t>Evidentiary matters</w:t>
      </w:r>
      <w:bookmarkEnd w:id="1694"/>
      <w:bookmarkEnd w:id="1695"/>
      <w:bookmarkEnd w:id="1696"/>
      <w:bookmarkEnd w:id="1697"/>
      <w:bookmarkEnd w:id="1698"/>
      <w:bookmarkEnd w:id="1699"/>
      <w:bookmarkEnd w:id="1700"/>
    </w:p>
    <w:p>
      <w:pPr>
        <w:pStyle w:val="Heading4"/>
      </w:pPr>
      <w:bookmarkStart w:id="1701" w:name="_Toc501634321"/>
      <w:bookmarkStart w:id="1702" w:name="_Toc501713217"/>
      <w:bookmarkStart w:id="1703" w:name="_Toc536782443"/>
      <w:bookmarkStart w:id="1704" w:name="_Toc220674655"/>
      <w:bookmarkStart w:id="1705" w:name="_Toc221009827"/>
      <w:bookmarkStart w:id="1706" w:name="_Toc221011689"/>
      <w:bookmarkStart w:id="1707" w:name="_Toc221110195"/>
      <w:r>
        <w:t>Division 1 — Publication on websites</w:t>
      </w:r>
      <w:bookmarkEnd w:id="1701"/>
      <w:bookmarkEnd w:id="1702"/>
      <w:bookmarkEnd w:id="1703"/>
      <w:bookmarkEnd w:id="1704"/>
      <w:bookmarkEnd w:id="1705"/>
      <w:bookmarkEnd w:id="1706"/>
      <w:bookmarkEnd w:id="1707"/>
    </w:p>
    <w:p>
      <w:pPr>
        <w:pStyle w:val="Heading5"/>
      </w:pPr>
      <w:bookmarkStart w:id="1708" w:name="_Toc536782444"/>
      <w:bookmarkStart w:id="1709" w:name="_Toc221110196"/>
      <w:r>
        <w:rPr>
          <w:rStyle w:val="CharSectno"/>
        </w:rPr>
        <w:t>31</w:t>
      </w:r>
      <w:r>
        <w:t>.</w:t>
      </w:r>
      <w:r>
        <w:tab/>
        <w:t>Definitions</w:t>
      </w:r>
      <w:bookmarkEnd w:id="1708"/>
      <w:bookmarkEnd w:id="1709"/>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1710" w:name="_Toc536782445"/>
      <w:bookmarkStart w:id="1711" w:name="_Toc221110197"/>
      <w:r>
        <w:rPr>
          <w:rStyle w:val="CharSectno"/>
        </w:rPr>
        <w:lastRenderedPageBreak/>
        <w:t>32</w:t>
      </w:r>
      <w:r>
        <w:t>.</w:t>
      </w:r>
      <w:r>
        <w:tab/>
        <w:t>Publication of decisions on websites</w:t>
      </w:r>
      <w:bookmarkEnd w:id="1710"/>
      <w:bookmarkEnd w:id="17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1712" w:name="_Toc501634324"/>
      <w:bookmarkStart w:id="1713" w:name="_Toc501713220"/>
      <w:bookmarkStart w:id="1714" w:name="_Toc536782446"/>
      <w:bookmarkStart w:id="1715" w:name="_Toc220674658"/>
      <w:bookmarkStart w:id="1716" w:name="_Toc221009830"/>
      <w:bookmarkStart w:id="1717" w:name="_Toc221011692"/>
      <w:bookmarkStart w:id="1718" w:name="_Toc221110198"/>
      <w:r>
        <w:t>Division 2 — Evidentiary certificates</w:t>
      </w:r>
      <w:bookmarkEnd w:id="1712"/>
      <w:bookmarkEnd w:id="1713"/>
      <w:bookmarkEnd w:id="1714"/>
      <w:bookmarkEnd w:id="1715"/>
      <w:bookmarkEnd w:id="1716"/>
      <w:bookmarkEnd w:id="1717"/>
      <w:bookmarkEnd w:id="1718"/>
    </w:p>
    <w:p>
      <w:pPr>
        <w:pStyle w:val="Heading5"/>
      </w:pPr>
      <w:bookmarkStart w:id="1719" w:name="_Toc536782447"/>
      <w:bookmarkStart w:id="1720" w:name="_Toc221110199"/>
      <w:r>
        <w:rPr>
          <w:rStyle w:val="CharSectno"/>
        </w:rPr>
        <w:t>33</w:t>
      </w:r>
      <w:r>
        <w:t>.</w:t>
      </w:r>
      <w:r>
        <w:tab/>
        <w:t>Definitions</w:t>
      </w:r>
      <w:bookmarkEnd w:id="1719"/>
      <w:bookmarkEnd w:id="172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lastRenderedPageBreak/>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1721" w:name="_Toc536782448"/>
      <w:bookmarkStart w:id="1722" w:name="_Toc221110200"/>
      <w:r>
        <w:rPr>
          <w:rStyle w:val="CharSectno"/>
        </w:rPr>
        <w:t>34</w:t>
      </w:r>
      <w:r>
        <w:t>.</w:t>
      </w:r>
      <w:r>
        <w:tab/>
        <w:t>Evidentiary certificates—AER</w:t>
      </w:r>
      <w:bookmarkEnd w:id="1721"/>
      <w:bookmarkEnd w:id="17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 WA Act Sch. 1 cl. 16.]</w:t>
      </w:r>
    </w:p>
    <w:p>
      <w:pPr>
        <w:pStyle w:val="Heading5"/>
        <w:keepNext w:val="0"/>
        <w:keepLines w:val="0"/>
      </w:pPr>
      <w:bookmarkStart w:id="1723" w:name="_Toc536782449"/>
      <w:bookmarkStart w:id="1724" w:name="_Toc221110201"/>
      <w:r>
        <w:rPr>
          <w:rStyle w:val="CharSectno"/>
        </w:rPr>
        <w:t>35</w:t>
      </w:r>
      <w:r>
        <w:t>.</w:t>
      </w:r>
      <w:r>
        <w:tab/>
        <w:t>Evidentiary certificates—AEMC</w:t>
      </w:r>
      <w:bookmarkEnd w:id="1723"/>
      <w:bookmarkEnd w:id="1724"/>
    </w:p>
    <w:p>
      <w:pPr>
        <w:autoSpaceDE w:val="0"/>
        <w:autoSpaceDN w:val="0"/>
        <w:adjustRightInd w:val="0"/>
        <w:spacing w:before="120"/>
        <w:ind w:left="1588"/>
        <w:rPr>
          <w:color w:val="000000"/>
          <w:sz w:val="23"/>
          <w:szCs w:val="23"/>
        </w:rPr>
      </w:pPr>
      <w:r>
        <w:rPr>
          <w:color w:val="000000"/>
          <w:sz w:val="23"/>
          <w:szCs w:val="23"/>
        </w:rPr>
        <w:lastRenderedPageBreak/>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1725" w:name="_Toc536782450"/>
      <w:bookmarkStart w:id="1726" w:name="_Toc221110202"/>
      <w:r>
        <w:rPr>
          <w:rStyle w:val="CharSectno"/>
        </w:rPr>
        <w:t>36</w:t>
      </w:r>
      <w:r>
        <w:t>.</w:t>
      </w:r>
      <w:r>
        <w:tab/>
        <w:t>Evidentiary certificates—NCC</w:t>
      </w:r>
      <w:bookmarkEnd w:id="1725"/>
      <w:bookmarkEnd w:id="1726"/>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1727" w:name="_Toc536782451"/>
      <w:bookmarkStart w:id="1728" w:name="_Toc221110203"/>
      <w:r>
        <w:rPr>
          <w:rStyle w:val="CharSectno"/>
        </w:rPr>
        <w:t>37</w:t>
      </w:r>
      <w:r>
        <w:t>.</w:t>
      </w:r>
      <w:r>
        <w:tab/>
        <w:t>Evidentiary certificates—relevant Minister and Commonwealth Minister</w:t>
      </w:r>
      <w:bookmarkEnd w:id="1727"/>
      <w:bookmarkEnd w:id="1728"/>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1729" w:name="_Toc536782452"/>
      <w:bookmarkStart w:id="1730" w:name="_Toc221110204"/>
      <w:r>
        <w:rPr>
          <w:rStyle w:val="CharSectno"/>
        </w:rPr>
        <w:t>38</w:t>
      </w:r>
      <w:r>
        <w:t>.</w:t>
      </w:r>
      <w:r>
        <w:tab/>
        <w:t>Evidentiary certificates—Bulletin Board operator</w:t>
      </w:r>
      <w:bookmarkEnd w:id="1729"/>
      <w:bookmarkEnd w:id="1730"/>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1731" w:name="_Toc501634331"/>
      <w:bookmarkStart w:id="1732" w:name="_Toc501713227"/>
      <w:bookmarkStart w:id="1733" w:name="_Toc536782453"/>
      <w:bookmarkStart w:id="1734" w:name="_Toc220674665"/>
      <w:bookmarkStart w:id="1735" w:name="_Toc221009837"/>
      <w:bookmarkStart w:id="1736" w:name="_Toc221011699"/>
      <w:bookmarkStart w:id="1737" w:name="_Toc221110205"/>
      <w:r>
        <w:rPr>
          <w:rStyle w:val="CharDivNo"/>
        </w:rPr>
        <w:lastRenderedPageBreak/>
        <w:t>Part 8</w:t>
      </w:r>
      <w:r>
        <w:t xml:space="preserve"> — </w:t>
      </w:r>
      <w:r>
        <w:rPr>
          <w:rStyle w:val="CharDivText"/>
        </w:rPr>
        <w:t>Commencement of this Law and statutory instruments</w:t>
      </w:r>
      <w:bookmarkEnd w:id="1731"/>
      <w:bookmarkEnd w:id="1732"/>
      <w:bookmarkEnd w:id="1733"/>
      <w:bookmarkEnd w:id="1734"/>
      <w:bookmarkEnd w:id="1735"/>
      <w:bookmarkEnd w:id="1736"/>
      <w:bookmarkEnd w:id="1737"/>
    </w:p>
    <w:p>
      <w:pPr>
        <w:pStyle w:val="Heading5"/>
      </w:pPr>
      <w:bookmarkStart w:id="1738" w:name="_Toc536782454"/>
      <w:bookmarkStart w:id="1739" w:name="_Toc221110206"/>
      <w:r>
        <w:rPr>
          <w:rStyle w:val="CharSectno"/>
        </w:rPr>
        <w:t>39</w:t>
      </w:r>
      <w:r>
        <w:t>.</w:t>
      </w:r>
      <w:r>
        <w:tab/>
        <w:t>Time of commencement of this Law or a provision of this Law</w:t>
      </w:r>
      <w:bookmarkEnd w:id="1738"/>
      <w:bookmarkEnd w:id="1739"/>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1740" w:name="_Toc536782455"/>
      <w:bookmarkStart w:id="1741" w:name="_Toc221110207"/>
      <w:r>
        <w:rPr>
          <w:rStyle w:val="CharSectno"/>
        </w:rPr>
        <w:t>40</w:t>
      </w:r>
      <w:r>
        <w:t>.</w:t>
      </w:r>
      <w:r>
        <w:tab/>
        <w:t>Time of commencement of a Rule</w:t>
      </w:r>
      <w:bookmarkEnd w:id="1740"/>
      <w:bookmarkEnd w:id="17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1742" w:name="_Toc501634334"/>
      <w:bookmarkStart w:id="1743" w:name="_Toc501713230"/>
      <w:bookmarkStart w:id="1744" w:name="_Toc536782456"/>
      <w:bookmarkStart w:id="1745" w:name="_Toc220674668"/>
      <w:bookmarkStart w:id="1746" w:name="_Toc221009840"/>
      <w:bookmarkStart w:id="1747" w:name="_Toc221011702"/>
      <w:bookmarkStart w:id="1748" w:name="_Toc221110208"/>
      <w:r>
        <w:rPr>
          <w:rStyle w:val="CharDivNo"/>
        </w:rPr>
        <w:t>Part 9</w:t>
      </w:r>
      <w:r>
        <w:t xml:space="preserve"> — </w:t>
      </w:r>
      <w:r>
        <w:rPr>
          <w:rStyle w:val="CharDivText"/>
        </w:rPr>
        <w:t>Effect of repeal, amendment or expiration</w:t>
      </w:r>
      <w:bookmarkEnd w:id="1742"/>
      <w:bookmarkEnd w:id="1743"/>
      <w:bookmarkEnd w:id="1744"/>
      <w:bookmarkEnd w:id="1745"/>
      <w:bookmarkEnd w:id="1746"/>
      <w:bookmarkEnd w:id="1747"/>
      <w:bookmarkEnd w:id="1748"/>
    </w:p>
    <w:p>
      <w:pPr>
        <w:pStyle w:val="Heading5"/>
      </w:pPr>
      <w:bookmarkStart w:id="1749" w:name="_Toc536782457"/>
      <w:bookmarkStart w:id="1750" w:name="_Toc221110209"/>
      <w:r>
        <w:rPr>
          <w:rStyle w:val="CharSectno"/>
        </w:rPr>
        <w:t>41</w:t>
      </w:r>
      <w:r>
        <w:t>.</w:t>
      </w:r>
      <w:r>
        <w:tab/>
        <w:t>Time of Law, the Regulations or Rules ceasing to have effect</w:t>
      </w:r>
      <w:bookmarkEnd w:id="1749"/>
      <w:bookmarkEnd w:id="1750"/>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1751" w:name="_Toc536782458"/>
      <w:bookmarkStart w:id="1752" w:name="_Toc221110210"/>
      <w:r>
        <w:rPr>
          <w:rStyle w:val="CharSectno"/>
        </w:rPr>
        <w:lastRenderedPageBreak/>
        <w:t>42</w:t>
      </w:r>
      <w:r>
        <w:t>.</w:t>
      </w:r>
      <w:r>
        <w:tab/>
        <w:t>Repealed Law, Regulation or Rule provisions not revived</w:t>
      </w:r>
      <w:bookmarkEnd w:id="1751"/>
      <w:bookmarkEnd w:id="17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1753" w:name="_Toc536782459"/>
      <w:bookmarkStart w:id="1754" w:name="_Toc221110211"/>
      <w:r>
        <w:rPr>
          <w:rStyle w:val="CharSectno"/>
        </w:rPr>
        <w:t>43</w:t>
      </w:r>
      <w:r>
        <w:t>.</w:t>
      </w:r>
      <w:r>
        <w:tab/>
        <w:t>Saving of operation of repealed Law, Regulation or Rule provisions</w:t>
      </w:r>
      <w:bookmarkEnd w:id="1753"/>
      <w:bookmarkEnd w:id="17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1755" w:name="_Toc536782460"/>
      <w:bookmarkStart w:id="1756" w:name="_Toc221110212"/>
      <w:r>
        <w:rPr>
          <w:rStyle w:val="CharSectno"/>
        </w:rPr>
        <w:lastRenderedPageBreak/>
        <w:t>44</w:t>
      </w:r>
      <w:r>
        <w:t>.</w:t>
      </w:r>
      <w:r>
        <w:tab/>
        <w:t>Continuance of repealed provisions</w:t>
      </w:r>
      <w:bookmarkEnd w:id="1755"/>
      <w:bookmarkEnd w:id="17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1757" w:name="_Toc536782461"/>
      <w:bookmarkStart w:id="1758" w:name="_Toc221110213"/>
      <w:r>
        <w:rPr>
          <w:rStyle w:val="CharSectno"/>
        </w:rPr>
        <w:t>45</w:t>
      </w:r>
      <w:r>
        <w:t>.</w:t>
      </w:r>
      <w:r>
        <w:tab/>
        <w:t>Law and amending Acts to be read as one</w:t>
      </w:r>
      <w:bookmarkEnd w:id="1757"/>
      <w:bookmarkEnd w:id="1758"/>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1759" w:name="_Toc501634340"/>
      <w:bookmarkStart w:id="1760" w:name="_Toc501713236"/>
      <w:bookmarkStart w:id="1761" w:name="_Toc536782462"/>
      <w:bookmarkStart w:id="1762" w:name="_Toc220674674"/>
      <w:bookmarkStart w:id="1763" w:name="_Toc221009846"/>
      <w:bookmarkStart w:id="1764" w:name="_Toc221011708"/>
      <w:bookmarkStart w:id="1765" w:name="_Toc221110214"/>
      <w:r>
        <w:rPr>
          <w:rStyle w:val="CharDivNo"/>
        </w:rPr>
        <w:t>Part 10</w:t>
      </w:r>
      <w:r>
        <w:t xml:space="preserve"> — </w:t>
      </w:r>
      <w:r>
        <w:rPr>
          <w:rStyle w:val="CharDivText"/>
        </w:rPr>
        <w:t>Offences under this Law</w:t>
      </w:r>
      <w:bookmarkEnd w:id="1759"/>
      <w:bookmarkEnd w:id="1760"/>
      <w:bookmarkEnd w:id="1761"/>
      <w:bookmarkEnd w:id="1762"/>
      <w:bookmarkEnd w:id="1763"/>
      <w:bookmarkEnd w:id="1764"/>
      <w:bookmarkEnd w:id="1765"/>
    </w:p>
    <w:p>
      <w:pPr>
        <w:pStyle w:val="Heading5"/>
      </w:pPr>
      <w:bookmarkStart w:id="1766" w:name="_Toc536782463"/>
      <w:bookmarkStart w:id="1767" w:name="_Toc221110215"/>
      <w:r>
        <w:rPr>
          <w:rStyle w:val="CharSectno"/>
        </w:rPr>
        <w:t>46</w:t>
      </w:r>
      <w:r>
        <w:t>.</w:t>
      </w:r>
      <w:r>
        <w:tab/>
        <w:t>Penalty at foot of provision</w:t>
      </w:r>
      <w:bookmarkEnd w:id="1766"/>
      <w:bookmarkEnd w:id="1767"/>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1768" w:name="_Toc536782464"/>
      <w:bookmarkStart w:id="1769" w:name="_Toc221110216"/>
      <w:r>
        <w:rPr>
          <w:rStyle w:val="CharSectno"/>
        </w:rPr>
        <w:lastRenderedPageBreak/>
        <w:t>47</w:t>
      </w:r>
      <w:r>
        <w:t>.</w:t>
      </w:r>
      <w:r>
        <w:tab/>
        <w:t>Penalty other than at foot of provision</w:t>
      </w:r>
      <w:bookmarkEnd w:id="1768"/>
      <w:bookmarkEnd w:id="176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1770" w:name="_Toc536782465"/>
      <w:bookmarkStart w:id="1771" w:name="_Toc221110217"/>
      <w:r>
        <w:rPr>
          <w:rStyle w:val="CharSectno"/>
        </w:rPr>
        <w:t>48</w:t>
      </w:r>
      <w:r>
        <w:t>.</w:t>
      </w:r>
      <w:r>
        <w:tab/>
        <w:t>Indictable offences and summary offences</w:t>
      </w:r>
      <w:bookmarkEnd w:id="1770"/>
      <w:bookmarkEnd w:id="17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1772" w:name="_Toc536782466"/>
      <w:bookmarkStart w:id="1773" w:name="_Toc221110218"/>
      <w:r>
        <w:rPr>
          <w:rStyle w:val="CharSectno"/>
        </w:rPr>
        <w:lastRenderedPageBreak/>
        <w:t>49</w:t>
      </w:r>
      <w:r>
        <w:t>.</w:t>
      </w:r>
      <w:r>
        <w:tab/>
        <w:t>Double jeopardy</w:t>
      </w:r>
      <w:bookmarkEnd w:id="1772"/>
      <w:bookmarkEnd w:id="17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1774" w:name="_Toc536782467"/>
      <w:bookmarkStart w:id="1775" w:name="_Toc221110219"/>
      <w:r>
        <w:rPr>
          <w:rStyle w:val="CharSectno"/>
        </w:rPr>
        <w:t>50</w:t>
      </w:r>
      <w:r>
        <w:t>.</w:t>
      </w:r>
      <w:r>
        <w:tab/>
        <w:t>Attempts and incitement</w:t>
      </w:r>
      <w:bookmarkEnd w:id="1774"/>
      <w:bookmarkEnd w:id="1775"/>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WA Act Sch. 1 cl. 17.]</w:t>
      </w:r>
    </w:p>
    <w:p>
      <w:pPr>
        <w:pStyle w:val="Heading3"/>
      </w:pPr>
      <w:bookmarkStart w:id="1776" w:name="_Toc501634346"/>
      <w:bookmarkStart w:id="1777" w:name="_Toc501713242"/>
      <w:bookmarkStart w:id="1778" w:name="_Toc536782468"/>
      <w:bookmarkStart w:id="1779" w:name="_Toc220674680"/>
      <w:bookmarkStart w:id="1780" w:name="_Toc221009852"/>
      <w:bookmarkStart w:id="1781" w:name="_Toc221011714"/>
      <w:bookmarkStart w:id="1782" w:name="_Toc221110220"/>
      <w:r>
        <w:rPr>
          <w:rStyle w:val="CharDivNo"/>
        </w:rPr>
        <w:t>Part 11</w:t>
      </w:r>
      <w:r>
        <w:t xml:space="preserve"> — </w:t>
      </w:r>
      <w:r>
        <w:rPr>
          <w:rStyle w:val="CharDivText"/>
        </w:rPr>
        <w:t>Instruments under this Law</w:t>
      </w:r>
      <w:bookmarkEnd w:id="1776"/>
      <w:bookmarkEnd w:id="1777"/>
      <w:bookmarkEnd w:id="1778"/>
      <w:bookmarkEnd w:id="1779"/>
      <w:bookmarkEnd w:id="1780"/>
      <w:bookmarkEnd w:id="1781"/>
      <w:bookmarkEnd w:id="1782"/>
    </w:p>
    <w:p>
      <w:pPr>
        <w:pStyle w:val="Heading5"/>
      </w:pPr>
      <w:bookmarkStart w:id="1783" w:name="_Toc536782469"/>
      <w:bookmarkStart w:id="1784" w:name="_Toc221110221"/>
      <w:r>
        <w:rPr>
          <w:rStyle w:val="CharSectno"/>
        </w:rPr>
        <w:t>51</w:t>
      </w:r>
      <w:r>
        <w:t>.</w:t>
      </w:r>
      <w:r>
        <w:tab/>
        <w:t>Schedule applies to statutory instruments</w:t>
      </w:r>
      <w:bookmarkEnd w:id="1783"/>
      <w:bookmarkEnd w:id="17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includes the Regulations or the Rules.</w:t>
      </w:r>
    </w:p>
    <w:p>
      <w:pPr>
        <w:pStyle w:val="Heading5"/>
      </w:pPr>
      <w:bookmarkStart w:id="1785" w:name="_Toc536782470"/>
      <w:bookmarkStart w:id="1786" w:name="_Toc221110222"/>
      <w:r>
        <w:rPr>
          <w:rStyle w:val="CharSectno"/>
        </w:rPr>
        <w:lastRenderedPageBreak/>
        <w:t>52</w:t>
      </w:r>
      <w:r>
        <w:t>.</w:t>
      </w:r>
      <w:r>
        <w:tab/>
        <w:t>National Gas Rules to be construed so as not to exceed the legislative power of the Legislature of this jurisdiction or the powers conferred by this Law</w:t>
      </w:r>
      <w:bookmarkEnd w:id="1785"/>
      <w:bookmarkEnd w:id="17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1787" w:name="_Toc536782471"/>
      <w:bookmarkStart w:id="1788" w:name="_Toc221110223"/>
      <w:r>
        <w:rPr>
          <w:rStyle w:val="CharSectno"/>
        </w:rPr>
        <w:t>53</w:t>
      </w:r>
      <w:r>
        <w:t>.</w:t>
      </w:r>
      <w:r>
        <w:tab/>
        <w:t>Invalid Rules</w:t>
      </w:r>
      <w:bookmarkEnd w:id="1787"/>
      <w:bookmarkEnd w:id="17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2"/>
      </w:pPr>
      <w:bookmarkStart w:id="1789" w:name="_Toc501634350"/>
      <w:bookmarkStart w:id="1790" w:name="_Toc501713246"/>
      <w:bookmarkStart w:id="1791" w:name="_Toc536782472"/>
      <w:bookmarkStart w:id="1792" w:name="_Toc220674684"/>
      <w:bookmarkStart w:id="1793" w:name="_Toc221009856"/>
      <w:bookmarkStart w:id="1794" w:name="_Toc221011718"/>
      <w:bookmarkStart w:id="1795" w:name="_Toc221110224"/>
      <w:r>
        <w:rPr>
          <w:rStyle w:val="CharSchNo"/>
        </w:rPr>
        <w:lastRenderedPageBreak/>
        <w:t>Schedule 3</w:t>
      </w:r>
      <w:r>
        <w:t xml:space="preserve"> — </w:t>
      </w:r>
      <w:r>
        <w:rPr>
          <w:rStyle w:val="CharSchText"/>
        </w:rPr>
        <w:t>Savings and transitionals</w:t>
      </w:r>
      <w:bookmarkEnd w:id="1789"/>
      <w:bookmarkEnd w:id="1790"/>
      <w:bookmarkEnd w:id="1791"/>
      <w:bookmarkEnd w:id="1792"/>
      <w:bookmarkEnd w:id="1793"/>
      <w:bookmarkEnd w:id="1794"/>
      <w:bookmarkEnd w:id="1795"/>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1796" w:name="_Toc501634351"/>
      <w:bookmarkStart w:id="1797" w:name="_Toc501713247"/>
      <w:bookmarkStart w:id="1798" w:name="_Toc536782473"/>
      <w:bookmarkStart w:id="1799" w:name="_Toc220674685"/>
      <w:bookmarkStart w:id="1800" w:name="_Toc221009857"/>
      <w:bookmarkStart w:id="1801" w:name="_Toc221011719"/>
      <w:bookmarkStart w:id="1802" w:name="_Toc221110225"/>
      <w:r>
        <w:rPr>
          <w:rStyle w:val="CharDivNo"/>
        </w:rPr>
        <w:t>Part 1</w:t>
      </w:r>
      <w:r>
        <w:t xml:space="preserve"> — </w:t>
      </w:r>
      <w:r>
        <w:rPr>
          <w:rStyle w:val="CharDivText"/>
        </w:rPr>
        <w:t>General</w:t>
      </w:r>
      <w:bookmarkEnd w:id="1796"/>
      <w:bookmarkEnd w:id="1797"/>
      <w:bookmarkEnd w:id="1798"/>
      <w:bookmarkEnd w:id="1799"/>
      <w:bookmarkEnd w:id="1800"/>
      <w:bookmarkEnd w:id="1801"/>
      <w:bookmarkEnd w:id="1802"/>
    </w:p>
    <w:p>
      <w:pPr>
        <w:pStyle w:val="Heading5"/>
      </w:pPr>
      <w:bookmarkStart w:id="1803" w:name="_Toc536782474"/>
      <w:bookmarkStart w:id="1804" w:name="_Toc221110226"/>
      <w:r>
        <w:rPr>
          <w:rStyle w:val="CharSectno"/>
        </w:rPr>
        <w:t>1</w:t>
      </w:r>
      <w:r>
        <w:t>.</w:t>
      </w:r>
      <w:r>
        <w:tab/>
        <w:t>Definitions</w:t>
      </w:r>
      <w:bookmarkEnd w:id="1803"/>
      <w:bookmarkEnd w:id="1804"/>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lastRenderedPageBreak/>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lastRenderedPageBreak/>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WA Act Sch. 1 cl. 18.]</w:t>
      </w:r>
    </w:p>
    <w:p>
      <w:pPr>
        <w:pStyle w:val="Heading5"/>
      </w:pPr>
      <w:bookmarkStart w:id="1805" w:name="_Toc536782475"/>
      <w:bookmarkStart w:id="1806" w:name="_Toc221110227"/>
      <w:r>
        <w:rPr>
          <w:rStyle w:val="CharSectno"/>
        </w:rPr>
        <w:lastRenderedPageBreak/>
        <w:t>2</w:t>
      </w:r>
      <w:r>
        <w:t>.</w:t>
      </w:r>
      <w:r>
        <w:tab/>
        <w:t>Schedule subject to jurisdictional transitional arrangements in jurisdictional legislation</w:t>
      </w:r>
      <w:bookmarkEnd w:id="1805"/>
      <w:bookmarkEnd w:id="18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1807" w:name="_Toc501634354"/>
      <w:bookmarkStart w:id="1808" w:name="_Toc501713250"/>
      <w:bookmarkStart w:id="1809" w:name="_Toc536782476"/>
      <w:bookmarkStart w:id="1810" w:name="_Toc220674688"/>
      <w:bookmarkStart w:id="1811" w:name="_Toc221009860"/>
      <w:bookmarkStart w:id="1812" w:name="_Toc221011722"/>
      <w:bookmarkStart w:id="1813" w:name="_Toc221110228"/>
      <w:r>
        <w:rPr>
          <w:rStyle w:val="CharDivNo"/>
        </w:rPr>
        <w:t>Part 2</w:t>
      </w:r>
      <w:r>
        <w:t xml:space="preserve"> — </w:t>
      </w:r>
      <w:r>
        <w:rPr>
          <w:rStyle w:val="CharDivText"/>
        </w:rPr>
        <w:t>General savings provision</w:t>
      </w:r>
      <w:bookmarkEnd w:id="1807"/>
      <w:bookmarkEnd w:id="1808"/>
      <w:bookmarkEnd w:id="1809"/>
      <w:bookmarkEnd w:id="1810"/>
      <w:bookmarkEnd w:id="1811"/>
      <w:bookmarkEnd w:id="1812"/>
      <w:bookmarkEnd w:id="1813"/>
    </w:p>
    <w:p>
      <w:pPr>
        <w:pStyle w:val="Heading5"/>
      </w:pPr>
      <w:bookmarkStart w:id="1814" w:name="_Toc536782477"/>
      <w:bookmarkStart w:id="1815" w:name="_Toc221110229"/>
      <w:r>
        <w:rPr>
          <w:rStyle w:val="CharSectno"/>
        </w:rPr>
        <w:t>3</w:t>
      </w:r>
      <w:r>
        <w:t>.</w:t>
      </w:r>
      <w:r>
        <w:tab/>
        <w:t>Saving of operation of old access law and Gas Code</w:t>
      </w:r>
      <w:bookmarkEnd w:id="1814"/>
      <w:bookmarkEnd w:id="18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lastRenderedPageBreak/>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1816" w:name="_Toc501634356"/>
      <w:bookmarkStart w:id="1817" w:name="_Toc501713252"/>
      <w:bookmarkStart w:id="1818" w:name="_Toc536782478"/>
      <w:bookmarkStart w:id="1819" w:name="_Toc220674690"/>
      <w:bookmarkStart w:id="1820" w:name="_Toc221009862"/>
      <w:bookmarkStart w:id="1821" w:name="_Toc221011724"/>
      <w:bookmarkStart w:id="1822" w:name="_Toc221110230"/>
      <w:r>
        <w:rPr>
          <w:rStyle w:val="CharDivNo"/>
        </w:rPr>
        <w:t>Part 3</w:t>
      </w:r>
      <w:r>
        <w:t xml:space="preserve"> — </w:t>
      </w:r>
      <w:r>
        <w:rPr>
          <w:rStyle w:val="CharDivText"/>
        </w:rPr>
        <w:t>Classification and coverage of pipelines</w:t>
      </w:r>
      <w:bookmarkEnd w:id="1816"/>
      <w:bookmarkEnd w:id="1817"/>
      <w:bookmarkEnd w:id="1818"/>
      <w:bookmarkEnd w:id="1819"/>
      <w:bookmarkEnd w:id="1820"/>
      <w:bookmarkEnd w:id="1821"/>
      <w:bookmarkEnd w:id="1822"/>
    </w:p>
    <w:p>
      <w:pPr>
        <w:pStyle w:val="Heading5"/>
      </w:pPr>
      <w:bookmarkStart w:id="1823" w:name="_Toc536782479"/>
      <w:bookmarkStart w:id="1824" w:name="_Toc221110231"/>
      <w:r>
        <w:rPr>
          <w:rStyle w:val="CharSectno"/>
        </w:rPr>
        <w:t>4</w:t>
      </w:r>
      <w:r>
        <w:t>.</w:t>
      </w:r>
      <w:r>
        <w:tab/>
        <w:t>Pending applications for the classification of pipelines lapse</w:t>
      </w:r>
      <w:bookmarkEnd w:id="1823"/>
      <w:bookmarkEnd w:id="1824"/>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1825" w:name="_Toc536782480"/>
      <w:bookmarkStart w:id="1826" w:name="_Toc221110232"/>
      <w:r>
        <w:rPr>
          <w:rStyle w:val="CharSectno"/>
        </w:rPr>
        <w:t>5</w:t>
      </w:r>
      <w:r>
        <w:t>.</w:t>
      </w:r>
      <w:r>
        <w:tab/>
        <w:t>Old scheme coverage determinations</w:t>
      </w:r>
      <w:bookmarkEnd w:id="1825"/>
      <w:bookmarkEnd w:id="1826"/>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1827" w:name="_Toc536782481"/>
      <w:bookmarkStart w:id="1828" w:name="_Toc221110233"/>
      <w:r>
        <w:rPr>
          <w:rStyle w:val="CharSectno"/>
        </w:rPr>
        <w:t>6</w:t>
      </w:r>
      <w:r>
        <w:t>.</w:t>
      </w:r>
      <w:r>
        <w:tab/>
        <w:t>Old scheme covered transmission pipelines</w:t>
      </w:r>
      <w:bookmarkEnd w:id="1827"/>
      <w:bookmarkEnd w:id="1828"/>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1829" w:name="_Toc536782482"/>
      <w:bookmarkStart w:id="1830" w:name="_Toc221110234"/>
      <w:r>
        <w:rPr>
          <w:rStyle w:val="CharSectno"/>
        </w:rPr>
        <w:t>7</w:t>
      </w:r>
      <w:r>
        <w:t>.</w:t>
      </w:r>
      <w:r>
        <w:tab/>
        <w:t>Old scheme covered distribution pipelines</w:t>
      </w:r>
      <w:bookmarkEnd w:id="1829"/>
      <w:bookmarkEnd w:id="1830"/>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1831" w:name="_Toc536782483"/>
      <w:bookmarkStart w:id="1832" w:name="_Toc221110235"/>
      <w:r>
        <w:rPr>
          <w:rStyle w:val="CharSectno"/>
        </w:rPr>
        <w:lastRenderedPageBreak/>
        <w:t>8</w:t>
      </w:r>
      <w:r>
        <w:t>.</w:t>
      </w:r>
      <w:r>
        <w:tab/>
        <w:t>Pending coverage applications under old scheme (before NCC recommendation)</w:t>
      </w:r>
      <w:bookmarkEnd w:id="1831"/>
      <w:bookmarkEnd w:id="18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1833" w:name="_Toc536782484"/>
      <w:bookmarkStart w:id="1834" w:name="_Toc221110236"/>
      <w:r>
        <w:rPr>
          <w:rStyle w:val="CharSectno"/>
        </w:rPr>
        <w:t>9</w:t>
      </w:r>
      <w:r>
        <w:t>.</w:t>
      </w:r>
      <w:r>
        <w:tab/>
        <w:t>Pending relevant Minister decisions in relation to coverage under old scheme</w:t>
      </w:r>
      <w:bookmarkEnd w:id="1833"/>
      <w:bookmarkEnd w:id="18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1835" w:name="_Toc536782485"/>
      <w:bookmarkStart w:id="1836" w:name="_Toc221110237"/>
      <w:r>
        <w:rPr>
          <w:rStyle w:val="CharSectno"/>
        </w:rPr>
        <w:t>10</w:t>
      </w:r>
      <w:r>
        <w:t>.</w:t>
      </w:r>
      <w:r>
        <w:tab/>
        <w:t>Pending relevant Minister decisions in relation to coverage that are reviewed under old scheme</w:t>
      </w:r>
      <w:bookmarkEnd w:id="1835"/>
      <w:bookmarkEnd w:id="183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837" w:name="_Toc536782486"/>
      <w:bookmarkStart w:id="1838" w:name="_Toc221110238"/>
      <w:r>
        <w:rPr>
          <w:rStyle w:val="CharSectno"/>
        </w:rPr>
        <w:lastRenderedPageBreak/>
        <w:t>11</w:t>
      </w:r>
      <w:r>
        <w:t>.</w:t>
      </w:r>
      <w:r>
        <w:tab/>
        <w:t>Pending old scheme coverage determinations where no applications for review under old scheme</w:t>
      </w:r>
      <w:bookmarkEnd w:id="1837"/>
      <w:bookmarkEnd w:id="18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1839" w:name="_Toc536782487"/>
      <w:bookmarkStart w:id="1840" w:name="_Toc221110239"/>
      <w:r>
        <w:rPr>
          <w:rStyle w:val="CharSectno"/>
        </w:rPr>
        <w:t>12</w:t>
      </w:r>
      <w:r>
        <w:t>.</w:t>
      </w:r>
      <w:r>
        <w:tab/>
        <w:t>Pending old scheme coverage determinations where applications for review under old scheme on foot</w:t>
      </w:r>
      <w:bookmarkEnd w:id="1839"/>
      <w:bookmarkEnd w:id="18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841" w:name="_Toc536782488"/>
      <w:bookmarkStart w:id="1842" w:name="_Toc221110240"/>
      <w:r>
        <w:rPr>
          <w:rStyle w:val="CharSectno"/>
        </w:rPr>
        <w:t>13</w:t>
      </w:r>
      <w:r>
        <w:t>.</w:t>
      </w:r>
      <w:r>
        <w:tab/>
        <w:t>Pending old scheme no</w:t>
      </w:r>
      <w:r>
        <w:noBreakHyphen/>
        <w:t>coverage determinations where no applications for review under old scheme</w:t>
      </w:r>
      <w:bookmarkEnd w:id="1841"/>
      <w:bookmarkEnd w:id="18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1843" w:name="_Toc536782489"/>
      <w:bookmarkStart w:id="1844" w:name="_Toc221110241"/>
      <w:r>
        <w:rPr>
          <w:rStyle w:val="CharSectno"/>
        </w:rPr>
        <w:lastRenderedPageBreak/>
        <w:t>14</w:t>
      </w:r>
      <w:r>
        <w:t>.</w:t>
      </w:r>
      <w:r>
        <w:tab/>
        <w:t>Pending old scheme no</w:t>
      </w:r>
      <w:r>
        <w:noBreakHyphen/>
        <w:t>coverage determinations where applications for review under old scheme on foot</w:t>
      </w:r>
      <w:bookmarkEnd w:id="1843"/>
      <w:bookmarkEnd w:id="1844"/>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If on the review the relevant appeals body makes a determination that sets aside the pending old scheme coverage determination and that is to operate in place of the pending old scheme coverage determination, the </w:t>
      </w:r>
      <w:r>
        <w:rPr>
          <w:color w:val="000000"/>
          <w:sz w:val="23"/>
          <w:szCs w:val="23"/>
        </w:rPr>
        <w:lastRenderedPageBreak/>
        <w:t>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845" w:name="_Toc536782490"/>
      <w:bookmarkStart w:id="1846" w:name="_Toc221110242"/>
      <w:r>
        <w:rPr>
          <w:rStyle w:val="CharSectno"/>
        </w:rPr>
        <w:t>15</w:t>
      </w:r>
      <w:r>
        <w:t>.</w:t>
      </w:r>
      <w:r>
        <w:tab/>
        <w:t>Pending coverage revocation applications under old scheme (before NCC recommendation)</w:t>
      </w:r>
      <w:bookmarkEnd w:id="1845"/>
      <w:bookmarkEnd w:id="18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1847" w:name="_Toc536782491"/>
      <w:bookmarkStart w:id="1848" w:name="_Toc221110243"/>
      <w:r>
        <w:rPr>
          <w:rStyle w:val="CharSectno"/>
        </w:rPr>
        <w:t>16</w:t>
      </w:r>
      <w:r>
        <w:t>.</w:t>
      </w:r>
      <w:r>
        <w:tab/>
        <w:t>Pending relevant Minister decisions in relation to coverage revocation under old scheme</w:t>
      </w:r>
      <w:bookmarkEnd w:id="1847"/>
      <w:bookmarkEnd w:id="18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1849" w:name="_Toc536782492"/>
      <w:bookmarkStart w:id="1850" w:name="_Toc221110244"/>
      <w:r>
        <w:rPr>
          <w:rStyle w:val="CharSectno"/>
        </w:rPr>
        <w:t>17</w:t>
      </w:r>
      <w:r>
        <w:t>.</w:t>
      </w:r>
      <w:r>
        <w:tab/>
        <w:t>Pending relevant Minister decisions in relation to coverage revocation that are reviewed under old scheme</w:t>
      </w:r>
      <w:bookmarkEnd w:id="1849"/>
      <w:bookmarkEnd w:id="18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851" w:name="_Toc536782493"/>
      <w:bookmarkStart w:id="1852" w:name="_Toc221110245"/>
      <w:r>
        <w:rPr>
          <w:rStyle w:val="CharSectno"/>
        </w:rPr>
        <w:t>18</w:t>
      </w:r>
      <w:r>
        <w:t>.</w:t>
      </w:r>
      <w:r>
        <w:tab/>
        <w:t>Pending old scheme coverage revocation determinations where no applications for review under old scheme</w:t>
      </w:r>
      <w:bookmarkEnd w:id="1851"/>
      <w:bookmarkEnd w:id="18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1853" w:name="_Toc536782494"/>
      <w:bookmarkStart w:id="1854" w:name="_Toc221110246"/>
      <w:r>
        <w:rPr>
          <w:rStyle w:val="CharSectno"/>
        </w:rPr>
        <w:lastRenderedPageBreak/>
        <w:t>19</w:t>
      </w:r>
      <w:r>
        <w:t>.</w:t>
      </w:r>
      <w:r>
        <w:tab/>
        <w:t>Pending old scheme coverage revocation determinations where applications for review under old scheme on foot</w:t>
      </w:r>
      <w:bookmarkEnd w:id="1853"/>
      <w:bookmarkEnd w:id="1854"/>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 xml:space="preserve">If on the review the relevant appeals body makes a determination that sets aside the pending old scheme revocation coverage determination and that is to operate in place of the pending old scheme revocation coverage determination, the determination of the relevant appeals </w:t>
      </w:r>
      <w:r>
        <w:rPr>
          <w:color w:val="000000"/>
          <w:sz w:val="23"/>
          <w:szCs w:val="23"/>
        </w:rPr>
        <w:lastRenderedPageBreak/>
        <w:t>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855" w:name="_Toc536782495"/>
      <w:bookmarkStart w:id="1856" w:name="_Toc221110247"/>
      <w:r>
        <w:rPr>
          <w:rStyle w:val="CharSectno"/>
        </w:rPr>
        <w:t>20</w:t>
      </w:r>
      <w:r>
        <w:t>.</w:t>
      </w:r>
      <w:r>
        <w:tab/>
        <w:t>Pending old scheme coverage non</w:t>
      </w:r>
      <w:r>
        <w:noBreakHyphen/>
        <w:t>revocation determinations where no applications for review under old scheme</w:t>
      </w:r>
      <w:bookmarkEnd w:id="1855"/>
      <w:bookmarkEnd w:id="18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1857" w:name="_Toc536782496"/>
      <w:bookmarkStart w:id="1858" w:name="_Toc221110248"/>
      <w:r>
        <w:rPr>
          <w:rStyle w:val="CharSectno"/>
        </w:rPr>
        <w:t>21</w:t>
      </w:r>
      <w:r>
        <w:t>.</w:t>
      </w:r>
      <w:r>
        <w:tab/>
        <w:t>Pending old scheme coverage non</w:t>
      </w:r>
      <w:r>
        <w:noBreakHyphen/>
        <w:t>revocation determinations where applications for review under old scheme on foot</w:t>
      </w:r>
      <w:bookmarkEnd w:id="1857"/>
      <w:bookmarkEnd w:id="18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859" w:name="_Toc536782497"/>
      <w:bookmarkStart w:id="1860" w:name="_Toc221110249"/>
      <w:r>
        <w:rPr>
          <w:rStyle w:val="CharSectno"/>
        </w:rPr>
        <w:lastRenderedPageBreak/>
        <w:t>22</w:t>
      </w:r>
      <w:r>
        <w:t>.</w:t>
      </w:r>
      <w:r>
        <w:tab/>
        <w:t>Binding no</w:t>
      </w:r>
      <w:r>
        <w:noBreakHyphen/>
        <w:t>coverage determinations</w:t>
      </w:r>
      <w:bookmarkEnd w:id="1859"/>
      <w:bookmarkEnd w:id="1860"/>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1861" w:name="_Toc536782498"/>
      <w:bookmarkStart w:id="1862" w:name="_Toc221110250"/>
      <w:r>
        <w:rPr>
          <w:rStyle w:val="CharSectno"/>
        </w:rPr>
        <w:t>23</w:t>
      </w:r>
      <w:r>
        <w:t>.</w:t>
      </w:r>
      <w:r>
        <w:tab/>
        <w:t>Pending applications for binding no</w:t>
      </w:r>
      <w:r>
        <w:noBreakHyphen/>
        <w:t>coverage determinations (before NCC recommendation)</w:t>
      </w:r>
      <w:bookmarkEnd w:id="1861"/>
      <w:bookmarkEnd w:id="18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1863" w:name="_Toc536782499"/>
      <w:bookmarkStart w:id="1864" w:name="_Toc221110251"/>
      <w:r>
        <w:rPr>
          <w:rStyle w:val="CharSectno"/>
        </w:rPr>
        <w:t>24</w:t>
      </w:r>
      <w:r>
        <w:t>.</w:t>
      </w:r>
      <w:r>
        <w:tab/>
        <w:t>Pending relevant Minister decisions for binding no</w:t>
      </w:r>
      <w:r>
        <w:noBreakHyphen/>
        <w:t>coverage determinations under old scheme</w:t>
      </w:r>
      <w:bookmarkEnd w:id="1863"/>
      <w:bookmarkEnd w:id="18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lastRenderedPageBreak/>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1865" w:name="_Toc536782500"/>
      <w:bookmarkStart w:id="1866" w:name="_Toc221110252"/>
      <w:r>
        <w:rPr>
          <w:rStyle w:val="CharSectno"/>
        </w:rPr>
        <w:t>25</w:t>
      </w:r>
      <w:r>
        <w:t>.</w:t>
      </w:r>
      <w:r>
        <w:tab/>
        <w:t>Pending relevant Minister decisions in relation to binding no</w:t>
      </w:r>
      <w:r>
        <w:noBreakHyphen/>
        <w:t>coverage determinations that are reviewed under old scheme</w:t>
      </w:r>
      <w:bookmarkEnd w:id="1865"/>
      <w:bookmarkEnd w:id="1866"/>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on the review the relevant appeals body refuses to review the determination in accordance with section 38(11) of the old access law, the decision of the old scheme relevant </w:t>
      </w:r>
      <w:r>
        <w:rPr>
          <w:color w:val="000000"/>
          <w:sz w:val="23"/>
          <w:szCs w:val="23"/>
        </w:rPr>
        <w:lastRenderedPageBreak/>
        <w:t>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 xml:space="preserve">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w:t>
      </w:r>
      <w:r>
        <w:rPr>
          <w:color w:val="000000"/>
          <w:sz w:val="23"/>
          <w:szCs w:val="23"/>
        </w:rPr>
        <w:lastRenderedPageBreak/>
        <w:t>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1867" w:name="_Toc501634379"/>
      <w:bookmarkStart w:id="1868" w:name="_Toc501713275"/>
      <w:bookmarkStart w:id="1869" w:name="_Toc536782501"/>
      <w:bookmarkStart w:id="1870" w:name="_Toc220674713"/>
      <w:bookmarkStart w:id="1871" w:name="_Toc221009885"/>
      <w:bookmarkStart w:id="1872" w:name="_Toc221011747"/>
      <w:bookmarkStart w:id="1873" w:name="_Toc221110253"/>
      <w:r>
        <w:rPr>
          <w:rStyle w:val="CharDivNo"/>
        </w:rPr>
        <w:t>Part 4</w:t>
      </w:r>
      <w:r>
        <w:t xml:space="preserve"> — </w:t>
      </w:r>
      <w:r>
        <w:rPr>
          <w:rStyle w:val="CharDivText"/>
        </w:rPr>
        <w:t>Access arrangements</w:t>
      </w:r>
      <w:bookmarkEnd w:id="1867"/>
      <w:bookmarkEnd w:id="1868"/>
      <w:bookmarkEnd w:id="1869"/>
      <w:bookmarkEnd w:id="1870"/>
      <w:bookmarkEnd w:id="1871"/>
      <w:bookmarkEnd w:id="1872"/>
      <w:bookmarkEnd w:id="1873"/>
    </w:p>
    <w:p>
      <w:pPr>
        <w:pStyle w:val="Heading5"/>
      </w:pPr>
      <w:bookmarkStart w:id="1874" w:name="_Toc536782502"/>
      <w:bookmarkStart w:id="1875" w:name="_Toc221110254"/>
      <w:r>
        <w:rPr>
          <w:rStyle w:val="CharSectno"/>
        </w:rPr>
        <w:t>26</w:t>
      </w:r>
      <w:r>
        <w:t>.</w:t>
      </w:r>
      <w:r>
        <w:tab/>
        <w:t>Current access arrangements (other than old scheme limited access arrangements)</w:t>
      </w:r>
      <w:bookmarkEnd w:id="1874"/>
      <w:bookmarkEnd w:id="1875"/>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1876" w:name="_Toc536782503"/>
      <w:bookmarkStart w:id="1877" w:name="_Toc221110255"/>
      <w:r>
        <w:rPr>
          <w:rStyle w:val="CharSectno"/>
        </w:rPr>
        <w:t>27</w:t>
      </w:r>
      <w:r>
        <w:t>.</w:t>
      </w:r>
      <w:r>
        <w:tab/>
        <w:t>Old scheme limited access arrangements</w:t>
      </w:r>
      <w:bookmarkEnd w:id="1876"/>
      <w:bookmarkEnd w:id="1877"/>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1878" w:name="_Toc536782504"/>
      <w:bookmarkStart w:id="1879" w:name="_Toc221110256"/>
      <w:r>
        <w:rPr>
          <w:rStyle w:val="CharSectno"/>
        </w:rPr>
        <w:lastRenderedPageBreak/>
        <w:t>28</w:t>
      </w:r>
      <w:r>
        <w:t>.</w:t>
      </w:r>
      <w:r>
        <w:tab/>
        <w:t>Access arrangements submitted but not approved or rejected before repeal of old scheme</w:t>
      </w:r>
      <w:bookmarkEnd w:id="1878"/>
      <w:bookmarkEnd w:id="18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1880" w:name="_Toc536782505"/>
      <w:bookmarkStart w:id="1881" w:name="_Toc221110257"/>
      <w:r>
        <w:rPr>
          <w:rStyle w:val="CharSectno"/>
        </w:rPr>
        <w:t>29</w:t>
      </w:r>
      <w:r>
        <w:t>.</w:t>
      </w:r>
      <w:r>
        <w:tab/>
        <w:t>Access arrangement revisions submitted but not approved or rejected before repeal of old scheme</w:t>
      </w:r>
      <w:bookmarkEnd w:id="1880"/>
      <w:bookmarkEnd w:id="18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in the case of an access arrangement in respect of which revisions are approved in a final decision under section 2.38, or a further final decision under section 2.41, of the Gas Code—a full access </w:t>
      </w:r>
      <w:r>
        <w:rPr>
          <w:color w:val="000000"/>
          <w:sz w:val="23"/>
          <w:szCs w:val="23"/>
        </w:rPr>
        <w:lastRenderedPageBreak/>
        <w:t>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1882" w:name="_Toc536782506"/>
      <w:bookmarkStart w:id="1883" w:name="_Toc221110258"/>
      <w:r>
        <w:rPr>
          <w:rStyle w:val="CharSectno"/>
        </w:rPr>
        <w:t>30</w:t>
      </w:r>
      <w:r>
        <w:t>.</w:t>
      </w:r>
      <w:r>
        <w:tab/>
        <w:t>Certain provisions of the Gas Code to continue to apply to current and proposed access arrangements</w:t>
      </w:r>
      <w:bookmarkEnd w:id="1882"/>
      <w:bookmarkEnd w:id="18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1884" w:name="_Toc536782507"/>
      <w:bookmarkStart w:id="1885" w:name="_Toc221110259"/>
      <w:r>
        <w:rPr>
          <w:rStyle w:val="CharSectno"/>
        </w:rPr>
        <w:t>31</w:t>
      </w:r>
      <w:r>
        <w:t>.</w:t>
      </w:r>
      <w:r>
        <w:tab/>
        <w:t>Certain decisions relating to certain access arrangements are reviewable regulatory decisions for purposes of Chapter 8 Part 5 of the Law</w:t>
      </w:r>
      <w:bookmarkEnd w:id="1884"/>
      <w:bookmarkEnd w:id="18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1886" w:name="_Toc536782508"/>
      <w:bookmarkStart w:id="1887" w:name="_Toc221110260"/>
      <w:r>
        <w:rPr>
          <w:rStyle w:val="CharSectno"/>
        </w:rPr>
        <w:t>32</w:t>
      </w:r>
      <w:r>
        <w:t>.</w:t>
      </w:r>
      <w:r>
        <w:tab/>
        <w:t>Limited access arrangements submitted but not approved before repeal of old scheme</w:t>
      </w:r>
      <w:bookmarkEnd w:id="1886"/>
      <w:bookmarkEnd w:id="18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1888" w:name="_Toc536782509"/>
      <w:bookmarkStart w:id="1889" w:name="_Toc221110261"/>
      <w:r>
        <w:rPr>
          <w:rStyle w:val="CharSectno"/>
        </w:rPr>
        <w:t>33</w:t>
      </w:r>
      <w:r>
        <w:t>.</w:t>
      </w:r>
      <w:r>
        <w:tab/>
        <w:t>Extensions and expansions policies</w:t>
      </w:r>
      <w:bookmarkEnd w:id="1888"/>
      <w:bookmarkEnd w:id="1889"/>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1890" w:name="_Toc536782510"/>
      <w:bookmarkStart w:id="1891" w:name="_Toc221110262"/>
      <w:r>
        <w:rPr>
          <w:rStyle w:val="CharSectno"/>
        </w:rPr>
        <w:t>34</w:t>
      </w:r>
      <w:r>
        <w:t>.</w:t>
      </w:r>
      <w:r>
        <w:tab/>
        <w:t>Queuing policies</w:t>
      </w:r>
      <w:bookmarkEnd w:id="1890"/>
      <w:bookmarkEnd w:id="1891"/>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1892" w:name="_Toc501634389"/>
      <w:bookmarkStart w:id="1893" w:name="_Toc501713285"/>
      <w:bookmarkStart w:id="1894" w:name="_Toc536782511"/>
      <w:bookmarkStart w:id="1895" w:name="_Toc220674723"/>
      <w:bookmarkStart w:id="1896" w:name="_Toc221009895"/>
      <w:bookmarkStart w:id="1897" w:name="_Toc221011757"/>
      <w:bookmarkStart w:id="1898" w:name="_Toc221110263"/>
      <w:r>
        <w:rPr>
          <w:rStyle w:val="CharDivNo"/>
        </w:rPr>
        <w:t>Part 5</w:t>
      </w:r>
      <w:r>
        <w:t xml:space="preserve"> — </w:t>
      </w:r>
      <w:r>
        <w:rPr>
          <w:rStyle w:val="CharDivText"/>
        </w:rPr>
        <w:t>Price regulation exemptions</w:t>
      </w:r>
      <w:bookmarkEnd w:id="1892"/>
      <w:bookmarkEnd w:id="1893"/>
      <w:bookmarkEnd w:id="1894"/>
      <w:bookmarkEnd w:id="1895"/>
      <w:bookmarkEnd w:id="1896"/>
      <w:bookmarkEnd w:id="1897"/>
      <w:bookmarkEnd w:id="1898"/>
    </w:p>
    <w:p>
      <w:pPr>
        <w:pStyle w:val="Heading5"/>
      </w:pPr>
      <w:bookmarkStart w:id="1899" w:name="_Toc536782512"/>
      <w:bookmarkStart w:id="1900" w:name="_Toc221110264"/>
      <w:r>
        <w:rPr>
          <w:rStyle w:val="CharSectno"/>
        </w:rPr>
        <w:t>35</w:t>
      </w:r>
      <w:r>
        <w:t>.</w:t>
      </w:r>
      <w:r>
        <w:tab/>
        <w:t>Old scheme price regulation exemptions</w:t>
      </w:r>
      <w:bookmarkEnd w:id="1899"/>
      <w:bookmarkEnd w:id="1900"/>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1901" w:name="_Toc536782513"/>
      <w:bookmarkStart w:id="1902" w:name="_Toc221110265"/>
      <w:r>
        <w:rPr>
          <w:rStyle w:val="CharSectno"/>
        </w:rPr>
        <w:t>36</w:t>
      </w:r>
      <w:r>
        <w:t>.</w:t>
      </w:r>
      <w:r>
        <w:tab/>
        <w:t>Pending applications for price regulation exemptions</w:t>
      </w:r>
      <w:bookmarkEnd w:id="1901"/>
      <w:bookmarkEnd w:id="19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1903" w:name="_Toc536782514"/>
      <w:bookmarkStart w:id="1904" w:name="_Toc221110266"/>
      <w:r>
        <w:rPr>
          <w:rStyle w:val="CharSectno"/>
        </w:rPr>
        <w:t>37</w:t>
      </w:r>
      <w:r>
        <w:t>.</w:t>
      </w:r>
      <w:r>
        <w:tab/>
        <w:t>Pending Commonwealth Minister decisions for price regulation exemptions</w:t>
      </w:r>
      <w:bookmarkEnd w:id="1903"/>
      <w:bookmarkEnd w:id="19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1905" w:name="_Toc501634393"/>
      <w:bookmarkStart w:id="1906" w:name="_Toc501713289"/>
      <w:bookmarkStart w:id="1907" w:name="_Toc536782515"/>
      <w:bookmarkStart w:id="1908" w:name="_Toc220674727"/>
      <w:bookmarkStart w:id="1909" w:name="_Toc221009899"/>
      <w:bookmarkStart w:id="1910" w:name="_Toc221011761"/>
      <w:bookmarkStart w:id="1911" w:name="_Toc221110267"/>
      <w:r>
        <w:rPr>
          <w:rStyle w:val="CharDivNo"/>
        </w:rPr>
        <w:lastRenderedPageBreak/>
        <w:t>Part 6</w:t>
      </w:r>
      <w:r>
        <w:t xml:space="preserve"> — </w:t>
      </w:r>
      <w:r>
        <w:rPr>
          <w:rStyle w:val="CharDivText"/>
        </w:rPr>
        <w:t>Structural and operational separation (ring fencing)</w:t>
      </w:r>
      <w:bookmarkEnd w:id="1905"/>
      <w:bookmarkEnd w:id="1906"/>
      <w:bookmarkEnd w:id="1907"/>
      <w:bookmarkEnd w:id="1908"/>
      <w:bookmarkEnd w:id="1909"/>
      <w:bookmarkEnd w:id="1910"/>
      <w:bookmarkEnd w:id="1911"/>
    </w:p>
    <w:p>
      <w:pPr>
        <w:pStyle w:val="Heading5"/>
      </w:pPr>
      <w:bookmarkStart w:id="1912" w:name="_Toc536782516"/>
      <w:bookmarkStart w:id="1913" w:name="_Toc221110268"/>
      <w:r>
        <w:rPr>
          <w:rStyle w:val="CharSectno"/>
        </w:rPr>
        <w:t>38</w:t>
      </w:r>
      <w:r>
        <w:t>.</w:t>
      </w:r>
      <w:r>
        <w:tab/>
        <w:t>Definitions</w:t>
      </w:r>
      <w:bookmarkEnd w:id="1912"/>
      <w:bookmarkEnd w:id="1913"/>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1914" w:name="_Toc536782517"/>
      <w:bookmarkStart w:id="1915" w:name="_Toc221110269"/>
      <w:r>
        <w:rPr>
          <w:rStyle w:val="CharSectno"/>
        </w:rPr>
        <w:lastRenderedPageBreak/>
        <w:t>39</w:t>
      </w:r>
      <w:r>
        <w:t>.</w:t>
      </w:r>
      <w:r>
        <w:tab/>
        <w:t>Compliance with certain old scheme ring fencing requirements sufficient compliance for 6 month period</w:t>
      </w:r>
      <w:bookmarkEnd w:id="1914"/>
      <w:bookmarkEnd w:id="19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1916" w:name="_Toc536782518"/>
      <w:bookmarkStart w:id="1917" w:name="_Toc221110270"/>
      <w:r>
        <w:rPr>
          <w:rStyle w:val="CharSectno"/>
        </w:rPr>
        <w:t>40</w:t>
      </w:r>
      <w:r>
        <w:t>.</w:t>
      </w:r>
      <w:r>
        <w:tab/>
        <w:t>Existing waivers of ring fencing obligations</w:t>
      </w:r>
      <w:bookmarkEnd w:id="1916"/>
      <w:bookmarkEnd w:id="19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After the relevant transition period, a notice given to a service provider under section 4.15(b) of the Gas Code waiving that service provider’s compliance with an obligation under section 4.1(h) and (i) of the Gas Code, and in effect immediately before the commencement day, is </w:t>
      </w:r>
      <w:r>
        <w:rPr>
          <w:color w:val="000000"/>
          <w:sz w:val="23"/>
          <w:szCs w:val="23"/>
        </w:rPr>
        <w:lastRenderedPageBreak/>
        <w:t>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1918" w:name="_Toc536782519"/>
      <w:bookmarkStart w:id="1919" w:name="_Toc221110271"/>
      <w:r>
        <w:rPr>
          <w:rStyle w:val="CharSectno"/>
        </w:rPr>
        <w:t>41</w:t>
      </w:r>
      <w:r>
        <w:t>.</w:t>
      </w:r>
      <w:r>
        <w:tab/>
        <w:t>Additional ring fencing obligations</w:t>
      </w:r>
      <w:bookmarkEnd w:id="1918"/>
      <w:bookmarkEnd w:id="19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1920" w:name="_Toc501634398"/>
      <w:bookmarkStart w:id="1921" w:name="_Toc501713294"/>
      <w:bookmarkStart w:id="1922" w:name="_Toc536782520"/>
      <w:bookmarkStart w:id="1923" w:name="_Toc220674732"/>
      <w:bookmarkStart w:id="1924" w:name="_Toc221009904"/>
      <w:bookmarkStart w:id="1925" w:name="_Toc221011766"/>
      <w:bookmarkStart w:id="1926" w:name="_Toc221110272"/>
      <w:r>
        <w:rPr>
          <w:rStyle w:val="CharDivNo"/>
        </w:rPr>
        <w:t>Part 7</w:t>
      </w:r>
      <w:r>
        <w:t xml:space="preserve"> — </w:t>
      </w:r>
      <w:r>
        <w:rPr>
          <w:rStyle w:val="CharDivText"/>
        </w:rPr>
        <w:t>Access disputes</w:t>
      </w:r>
      <w:bookmarkEnd w:id="1920"/>
      <w:bookmarkEnd w:id="1921"/>
      <w:bookmarkEnd w:id="1922"/>
      <w:bookmarkEnd w:id="1923"/>
      <w:bookmarkEnd w:id="1924"/>
      <w:bookmarkEnd w:id="1925"/>
      <w:bookmarkEnd w:id="1926"/>
    </w:p>
    <w:p>
      <w:pPr>
        <w:pStyle w:val="Heading5"/>
      </w:pPr>
      <w:bookmarkStart w:id="1927" w:name="_Toc536782521"/>
      <w:bookmarkStart w:id="1928" w:name="_Toc221110273"/>
      <w:r>
        <w:rPr>
          <w:rStyle w:val="CharSectno"/>
        </w:rPr>
        <w:t>42</w:t>
      </w:r>
      <w:r>
        <w:t>.</w:t>
      </w:r>
      <w:r>
        <w:tab/>
        <w:t>Non</w:t>
      </w:r>
      <w:r>
        <w:noBreakHyphen/>
        <w:t>finalised access disputes</w:t>
      </w:r>
      <w:bookmarkEnd w:id="1927"/>
      <w:bookmarkEnd w:id="19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lastRenderedPageBreak/>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1929" w:name="_Toc501634400"/>
      <w:bookmarkStart w:id="1930" w:name="_Toc501713296"/>
      <w:bookmarkStart w:id="1931" w:name="_Toc536782522"/>
      <w:bookmarkStart w:id="1932" w:name="_Toc220674734"/>
      <w:bookmarkStart w:id="1933" w:name="_Toc221009906"/>
      <w:bookmarkStart w:id="1934" w:name="_Toc221011768"/>
      <w:bookmarkStart w:id="1935" w:name="_Toc221110274"/>
      <w:r>
        <w:rPr>
          <w:rStyle w:val="CharDivNo"/>
        </w:rPr>
        <w:t>Part 8</w:t>
      </w:r>
      <w:r>
        <w:t xml:space="preserve"> — </w:t>
      </w:r>
      <w:r>
        <w:rPr>
          <w:rStyle w:val="CharDivText"/>
        </w:rPr>
        <w:t>Investigations and proceedings</w:t>
      </w:r>
      <w:bookmarkEnd w:id="1929"/>
      <w:bookmarkEnd w:id="1930"/>
      <w:bookmarkEnd w:id="1931"/>
      <w:bookmarkEnd w:id="1932"/>
      <w:bookmarkEnd w:id="1933"/>
      <w:bookmarkEnd w:id="1934"/>
      <w:bookmarkEnd w:id="1935"/>
    </w:p>
    <w:p>
      <w:pPr>
        <w:pStyle w:val="Heading5"/>
      </w:pPr>
      <w:bookmarkStart w:id="1936" w:name="_Toc536782523"/>
      <w:bookmarkStart w:id="1937" w:name="_Toc221110275"/>
      <w:r>
        <w:rPr>
          <w:rStyle w:val="CharSectno"/>
        </w:rPr>
        <w:t>43</w:t>
      </w:r>
      <w:r>
        <w:t>.</w:t>
      </w:r>
      <w:r>
        <w:tab/>
        <w:t>Investigations into breaches and possible breaches of the old access law or Gas Code</w:t>
      </w:r>
      <w:bookmarkEnd w:id="1936"/>
      <w:bookmarkEnd w:id="19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1938" w:name="_Toc536782524"/>
      <w:bookmarkStart w:id="1939" w:name="_Toc221110276"/>
      <w:r>
        <w:rPr>
          <w:rStyle w:val="CharSectno"/>
        </w:rPr>
        <w:lastRenderedPageBreak/>
        <w:t>44</w:t>
      </w:r>
      <w:r>
        <w:t>.</w:t>
      </w:r>
      <w:r>
        <w:tab/>
        <w:t>AER may conduct investigations into breaches or possible breaches of Gas Pipelines Access Law not investigated by a relevant Regulator</w:t>
      </w:r>
      <w:bookmarkEnd w:id="1938"/>
      <w:bookmarkEnd w:id="19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1940" w:name="_Toc536782525"/>
      <w:bookmarkStart w:id="1941" w:name="_Toc221110277"/>
      <w:r>
        <w:rPr>
          <w:rStyle w:val="CharSectno"/>
        </w:rPr>
        <w:t>45</w:t>
      </w:r>
      <w:r>
        <w:t>.</w:t>
      </w:r>
      <w:r>
        <w:tab/>
        <w:t>AER may bring proceedings in relation to breaches of old access law and Gas Code</w:t>
      </w:r>
      <w:bookmarkEnd w:id="1940"/>
      <w:bookmarkEnd w:id="19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WA Act Sch. 1 cl. 18.]</w:t>
      </w:r>
    </w:p>
    <w:p>
      <w:pPr>
        <w:pStyle w:val="Heading3"/>
      </w:pPr>
      <w:bookmarkStart w:id="1942" w:name="_Toc501634404"/>
      <w:bookmarkStart w:id="1943" w:name="_Toc501713300"/>
      <w:bookmarkStart w:id="1944" w:name="_Toc536782526"/>
      <w:bookmarkStart w:id="1945" w:name="_Toc220674738"/>
      <w:bookmarkStart w:id="1946" w:name="_Toc221009910"/>
      <w:bookmarkStart w:id="1947" w:name="_Toc221011772"/>
      <w:bookmarkStart w:id="1948" w:name="_Toc221110278"/>
      <w:r>
        <w:rPr>
          <w:rStyle w:val="CharDivNo"/>
        </w:rPr>
        <w:lastRenderedPageBreak/>
        <w:t>Part 9</w:t>
      </w:r>
      <w:r>
        <w:t xml:space="preserve"> — </w:t>
      </w:r>
      <w:r>
        <w:rPr>
          <w:rStyle w:val="CharDivText"/>
        </w:rPr>
        <w:t>Associate contracts</w:t>
      </w:r>
      <w:bookmarkEnd w:id="1942"/>
      <w:bookmarkEnd w:id="1943"/>
      <w:bookmarkEnd w:id="1944"/>
      <w:bookmarkEnd w:id="1945"/>
      <w:bookmarkEnd w:id="1946"/>
      <w:bookmarkEnd w:id="1947"/>
      <w:bookmarkEnd w:id="1948"/>
    </w:p>
    <w:p>
      <w:pPr>
        <w:pStyle w:val="Heading5"/>
        <w:spacing w:before="100"/>
      </w:pPr>
      <w:bookmarkStart w:id="1949" w:name="_Toc536782527"/>
      <w:bookmarkStart w:id="1950" w:name="_Toc221110279"/>
      <w:r>
        <w:rPr>
          <w:rStyle w:val="CharSectno"/>
        </w:rPr>
        <w:t>46</w:t>
      </w:r>
      <w:r>
        <w:t>.</w:t>
      </w:r>
      <w:r>
        <w:tab/>
        <w:t>Pending associate contract approvals that are approved after commencement day</w:t>
      </w:r>
      <w:bookmarkEnd w:id="1949"/>
      <w:bookmarkEnd w:id="1950"/>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1951" w:name="_Toc536782528"/>
      <w:bookmarkStart w:id="1952" w:name="_Toc221110280"/>
      <w:r>
        <w:rPr>
          <w:rStyle w:val="CharSectno"/>
        </w:rPr>
        <w:t>47</w:t>
      </w:r>
      <w:r>
        <w:t>.</w:t>
      </w:r>
      <w:r>
        <w:tab/>
        <w:t>Pending associate contracts approvals that are not approved</w:t>
      </w:r>
      <w:bookmarkEnd w:id="1951"/>
      <w:bookmarkEnd w:id="1952"/>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1953" w:name="_Toc536782529"/>
      <w:bookmarkStart w:id="1954" w:name="_Toc221110281"/>
      <w:r>
        <w:rPr>
          <w:rStyle w:val="CharSectno"/>
        </w:rPr>
        <w:lastRenderedPageBreak/>
        <w:t>48</w:t>
      </w:r>
      <w:r>
        <w:t>.</w:t>
      </w:r>
      <w:r>
        <w:tab/>
        <w:t>Approved associate contracts</w:t>
      </w:r>
      <w:bookmarkEnd w:id="1953"/>
      <w:bookmarkEnd w:id="19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1955" w:name="_Toc501634408"/>
      <w:bookmarkStart w:id="1956" w:name="_Toc501713304"/>
      <w:bookmarkStart w:id="1957" w:name="_Toc536782530"/>
      <w:bookmarkStart w:id="1958" w:name="_Toc220674742"/>
      <w:bookmarkStart w:id="1959" w:name="_Toc221009914"/>
      <w:bookmarkStart w:id="1960" w:name="_Toc221011776"/>
      <w:bookmarkStart w:id="1961" w:name="_Toc221110282"/>
      <w:r>
        <w:rPr>
          <w:rStyle w:val="CharDivNo"/>
        </w:rPr>
        <w:t>Part 10</w:t>
      </w:r>
      <w:r>
        <w:t xml:space="preserve"> — </w:t>
      </w:r>
      <w:r>
        <w:rPr>
          <w:rStyle w:val="CharDivText"/>
        </w:rPr>
        <w:t>Other</w:t>
      </w:r>
      <w:bookmarkEnd w:id="1955"/>
      <w:bookmarkEnd w:id="1956"/>
      <w:bookmarkEnd w:id="1957"/>
      <w:bookmarkEnd w:id="1958"/>
      <w:bookmarkEnd w:id="1959"/>
      <w:bookmarkEnd w:id="1960"/>
      <w:bookmarkEnd w:id="1961"/>
    </w:p>
    <w:p>
      <w:pPr>
        <w:pStyle w:val="Heading5"/>
      </w:pPr>
      <w:bookmarkStart w:id="1962" w:name="_Toc536782531"/>
      <w:bookmarkStart w:id="1963" w:name="_Toc221110283"/>
      <w:r>
        <w:rPr>
          <w:rStyle w:val="CharSectno"/>
        </w:rPr>
        <w:t>49</w:t>
      </w:r>
      <w:r>
        <w:t>.</w:t>
      </w:r>
      <w:r>
        <w:tab/>
        <w:t>Pending and final tender approval requests lapse</w:t>
      </w:r>
      <w:bookmarkEnd w:id="1962"/>
      <w:bookmarkEnd w:id="19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1964" w:name="_Toc536782532"/>
      <w:bookmarkStart w:id="1965" w:name="_Toc221110284"/>
      <w:r>
        <w:rPr>
          <w:rStyle w:val="CharSectno"/>
        </w:rPr>
        <w:t>50</w:t>
      </w:r>
      <w:r>
        <w:t>.</w:t>
      </w:r>
      <w:r>
        <w:tab/>
        <w:t>Decisions approving final approval requests</w:t>
      </w:r>
      <w:bookmarkEnd w:id="1964"/>
      <w:bookmarkEnd w:id="19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1966" w:name="_Toc536782533"/>
      <w:bookmarkStart w:id="1967" w:name="_Toc221110285"/>
      <w:r>
        <w:rPr>
          <w:rStyle w:val="CharSectno"/>
        </w:rPr>
        <w:t>51</w:t>
      </w:r>
      <w:r>
        <w:t>.</w:t>
      </w:r>
      <w:r>
        <w:tab/>
        <w:t>Rights under certain change of law provisions in agreements or deeds not to be triggered</w:t>
      </w:r>
      <w:bookmarkEnd w:id="1966"/>
      <w:bookmarkEnd w:id="19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1968" w:name="_Toc536782534"/>
      <w:bookmarkStart w:id="1969" w:name="_Toc221110286"/>
      <w:r>
        <w:rPr>
          <w:rStyle w:val="CharSectno"/>
        </w:rPr>
        <w:t>52</w:t>
      </w:r>
      <w:r>
        <w:t>.</w:t>
      </w:r>
      <w:r>
        <w:tab/>
        <w:t>References to relevant Regulator in access arrangements</w:t>
      </w:r>
      <w:bookmarkEnd w:id="1968"/>
      <w:bookmarkEnd w:id="1969"/>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1970" w:name="_Toc536782535"/>
      <w:bookmarkStart w:id="1971" w:name="_Toc221110287"/>
      <w:r>
        <w:rPr>
          <w:rStyle w:val="CharSectno"/>
        </w:rPr>
        <w:t>53</w:t>
      </w:r>
      <w:r>
        <w:t>.</w:t>
      </w:r>
      <w:r>
        <w:tab/>
        <w:t>Old scheme classifications and scheme participant determinations</w:t>
      </w:r>
      <w:bookmarkEnd w:id="1970"/>
      <w:bookmarkEnd w:id="19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lastRenderedPageBreak/>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pPr>
      <w:r>
        <w:rPr>
          <w:color w:val="000000"/>
          <w:sz w:val="23"/>
          <w:szCs w:val="23"/>
        </w:rPr>
        <w:tab/>
        <w:t>(c)</w:t>
      </w:r>
      <w:r>
        <w:rPr>
          <w:color w:val="000000"/>
          <w:sz w:val="23"/>
          <w:szCs w:val="23"/>
        </w:rPr>
        <w:tab/>
        <w:t>a classification and determination under section 11(3) of the old access law.</w:t>
      </w:r>
    </w:p>
    <w:p>
      <w:pPr>
        <w:jc w:val="center"/>
      </w:pPr>
    </w:p>
    <w:p>
      <w:pPr>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jc w:val="center"/>
      </w:pPr>
    </w:p>
    <w:p/>
    <w:p>
      <w:pPr>
        <w:sectPr>
          <w:headerReference w:type="even" r:id="rId29"/>
          <w:headerReference w:type="default" r:id="rId30"/>
          <w:endnotePr>
            <w:numFmt w:val="decimal"/>
          </w:endnotePr>
          <w:pgSz w:w="11907" w:h="16840" w:code="9"/>
          <w:pgMar w:top="2381" w:right="2410" w:bottom="3544" w:left="2410" w:header="720" w:footer="3380" w:gutter="0"/>
          <w:cols w:space="720"/>
          <w:docGrid w:linePitch="326"/>
        </w:sectPr>
      </w:pPr>
    </w:p>
    <w:p>
      <w:pPr>
        <w:pStyle w:val="nHeading2"/>
      </w:pPr>
      <w:bookmarkStart w:id="1972" w:name="_Toc189552904"/>
      <w:bookmarkStart w:id="1973" w:name="_Toc189555218"/>
      <w:bookmarkStart w:id="1974" w:name="_Toc189660313"/>
      <w:bookmarkStart w:id="1975" w:name="_Toc203984900"/>
      <w:bookmarkStart w:id="1976" w:name="_Toc203985725"/>
      <w:bookmarkStart w:id="1977" w:name="_Toc204003506"/>
      <w:bookmarkStart w:id="1978" w:name="_Toc219812861"/>
      <w:bookmarkStart w:id="1979" w:name="_Toc220666034"/>
      <w:bookmarkStart w:id="1980" w:name="_Toc220669513"/>
      <w:bookmarkStart w:id="1981" w:name="_Toc220673949"/>
      <w:bookmarkStart w:id="1982" w:name="_Toc220674748"/>
      <w:bookmarkStart w:id="1983" w:name="_Toc221009920"/>
      <w:bookmarkStart w:id="1984" w:name="_Toc221011782"/>
      <w:bookmarkStart w:id="1985" w:name="_Toc221110288"/>
      <w:bookmarkEnd w:id="14"/>
      <w:bookmarkEnd w:id="15"/>
      <w:bookmarkEnd w:id="16"/>
      <w:r>
        <w:lastRenderedPageBreak/>
        <w:t>Notes</w:t>
      </w:r>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p>
    <w:p>
      <w:pPr>
        <w:pStyle w:val="nStatement"/>
        <w:rPr>
          <w:iCs/>
          <w:noProof/>
        </w:rPr>
      </w:pPr>
      <w:r>
        <w:t xml:space="preserve">This is a compilation of the </w:t>
      </w:r>
      <w:r>
        <w:rPr>
          <w:i/>
          <w:iCs/>
        </w:rPr>
        <w:t>National Gas Access (Western Australia) Law</w:t>
      </w:r>
      <w:r>
        <w:rPr>
          <w:szCs w:val="24"/>
          <w:vertAlign w:val="superscript"/>
        </w:rPr>
        <w:t> 1, 2</w:t>
      </w:r>
      <w:r>
        <w:t>.</w:t>
      </w:r>
      <w:r>
        <w:rPr>
          <w:szCs w:val="24"/>
          <w:vertAlign w:val="superscript"/>
        </w:rPr>
        <w:t xml:space="preserve"> </w:t>
      </w:r>
      <w:r>
        <w:rPr>
          <w:iCs/>
        </w:rPr>
        <w:t xml:space="preserve">This </w:t>
      </w:r>
      <w:r>
        <w:t>version</w:t>
      </w:r>
      <w:r>
        <w:rPr>
          <w:iCs/>
        </w:rPr>
        <w:t xml:space="preserve"> is the </w:t>
      </w:r>
      <w:r>
        <w:rPr>
          <w:i/>
        </w:rPr>
        <w:t xml:space="preserve">National Gas Access (Western Australia) Law </w:t>
      </w:r>
      <w:r>
        <w:rPr>
          <w:iCs/>
        </w:rPr>
        <w:t>as at the date specified in the footer below</w:t>
      </w:r>
    </w:p>
    <w:p>
      <w:pPr>
        <w:pStyle w:val="nHeading3"/>
        <w:rPr>
          <w:snapToGrid w:val="0"/>
        </w:rPr>
      </w:pPr>
      <w:bookmarkStart w:id="1986" w:name="_Toc203740031"/>
      <w:bookmarkStart w:id="1987" w:name="_Toc203749929"/>
      <w:bookmarkStart w:id="1988" w:name="_Toc203750561"/>
      <w:bookmarkStart w:id="1989" w:name="_Toc221110289"/>
      <w:r>
        <w:rPr>
          <w:snapToGrid w:val="0"/>
        </w:rPr>
        <w:t>Compilation table</w:t>
      </w:r>
      <w:bookmarkEnd w:id="1986"/>
      <w:bookmarkEnd w:id="1987"/>
      <w:bookmarkEnd w:id="1988"/>
      <w:bookmarkEnd w:id="1989"/>
    </w:p>
    <w:tbl>
      <w:tblPr>
        <w:tblW w:w="708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993"/>
        <w:gridCol w:w="1134"/>
        <w:gridCol w:w="2693"/>
      </w:tblGrid>
      <w:tr>
        <w:trPr>
          <w:tblHeader/>
        </w:trPr>
        <w:tc>
          <w:tcPr>
            <w:tcW w:w="2268" w:type="dxa"/>
          </w:tcPr>
          <w:p>
            <w:pPr>
              <w:pStyle w:val="nTable"/>
              <w:spacing w:after="40"/>
              <w:rPr>
                <w:b/>
              </w:rPr>
            </w:pPr>
            <w:r>
              <w:rPr>
                <w:b/>
              </w:rPr>
              <w:t>Short title</w:t>
            </w:r>
          </w:p>
        </w:tc>
        <w:tc>
          <w:tcPr>
            <w:tcW w:w="993"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top w:val="single" w:sz="4" w:space="0" w:color="auto"/>
            </w:tcBorders>
          </w:tcPr>
          <w:p>
            <w:pPr>
              <w:pStyle w:val="nTable"/>
              <w:rPr>
                <w:i/>
                <w:iCs/>
              </w:rPr>
            </w:pPr>
            <w:r>
              <w:rPr>
                <w:i/>
                <w:iCs/>
              </w:rPr>
              <w:t>National Gas Access (Western Australia) Law</w:t>
            </w:r>
          </w:p>
        </w:tc>
        <w:tc>
          <w:tcPr>
            <w:tcW w:w="993" w:type="dxa"/>
            <w:tcBorders>
              <w:top w:val="single" w:sz="4" w:space="0" w:color="auto"/>
            </w:tcBorders>
          </w:tcPr>
          <w:p>
            <w:pPr>
              <w:pStyle w:val="nTable"/>
            </w:pPr>
          </w:p>
        </w:tc>
        <w:tc>
          <w:tcPr>
            <w:tcW w:w="1134" w:type="dxa"/>
            <w:tcBorders>
              <w:top w:val="single" w:sz="4" w:space="0" w:color="auto"/>
            </w:tcBorders>
          </w:tcPr>
          <w:p>
            <w:pPr>
              <w:pStyle w:val="nTable"/>
            </w:pPr>
          </w:p>
        </w:tc>
        <w:tc>
          <w:tcPr>
            <w:tcW w:w="2693" w:type="dxa"/>
            <w:tcBorders>
              <w:top w:val="single" w:sz="4" w:space="0" w:color="auto"/>
            </w:tcBorders>
          </w:tcPr>
          <w:p>
            <w:pPr>
              <w:pStyle w:val="nTable"/>
            </w:pPr>
            <w:r>
              <w:t xml:space="preserve">1 Jan 2010 (see </w:t>
            </w:r>
            <w:r>
              <w:rPr>
                <w:i/>
                <w:iCs/>
              </w:rPr>
              <w:t xml:space="preserve">National Gas Access (WA) Act 2009 </w:t>
            </w:r>
            <w:r>
              <w:t xml:space="preserve">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 xml:space="preserve">National Gas (South Australia) Act 2008 </w:t>
            </w:r>
            <w:r>
              <w:t xml:space="preserve">Schedule (as modified by the </w:t>
            </w:r>
            <w:r>
              <w:rPr>
                <w:i/>
                <w:iCs/>
              </w:rPr>
              <w:t>National Gas Access (WA) Act 2009</w:t>
            </w:r>
            <w:r>
              <w:t xml:space="preserve"> Sch. 1)</w:t>
            </w:r>
          </w:p>
        </w:tc>
        <w:tc>
          <w:tcPr>
            <w:tcW w:w="993" w:type="dxa"/>
          </w:tcPr>
          <w:p>
            <w:pPr>
              <w:pStyle w:val="nTable"/>
            </w:pPr>
            <w:r>
              <w:t>19 of 2008</w:t>
            </w:r>
            <w:r>
              <w:br/>
              <w:t>(SA Act)</w:t>
            </w:r>
          </w:p>
        </w:tc>
        <w:tc>
          <w:tcPr>
            <w:tcW w:w="1134" w:type="dxa"/>
          </w:tcPr>
          <w:p>
            <w:pPr>
              <w:pStyle w:val="nTable"/>
            </w:pPr>
          </w:p>
        </w:tc>
        <w:tc>
          <w:tcPr>
            <w:tcW w:w="2693" w:type="dxa"/>
          </w:tcPr>
          <w:p>
            <w:pPr>
              <w:pStyle w:val="nTable"/>
            </w:pPr>
            <w:r>
              <w:t>In SA: 1 Jul 2008 (see SA</w:t>
            </w:r>
            <w:r>
              <w:rPr>
                <w:i/>
                <w:iCs/>
              </w:rPr>
              <w:t xml:space="preserve"> Gazette</w:t>
            </w:r>
            <w:r>
              <w:t xml:space="preserve"> 26 Jun 2008 p. 2553);</w:t>
            </w:r>
          </w:p>
          <w:p>
            <w:pPr>
              <w:pStyle w:val="nTable"/>
            </w:pPr>
            <w:r>
              <w:t xml:space="preserve">In WA: 1 Jan 2010 (see WA Act 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National Gas (South Australia) (National Gas Law—Australian Energy Market Operator) Amendment Act 2009</w:t>
            </w:r>
            <w:r>
              <w:t xml:space="preserve"> s. 6</w:t>
            </w:r>
          </w:p>
        </w:tc>
        <w:tc>
          <w:tcPr>
            <w:tcW w:w="993" w:type="dxa"/>
          </w:tcPr>
          <w:p>
            <w:pPr>
              <w:pStyle w:val="nTable"/>
              <w:rPr>
                <w:i/>
                <w:iCs/>
              </w:rPr>
            </w:pPr>
            <w:r>
              <w:t>30 of 2009</w:t>
            </w:r>
            <w:r>
              <w:br/>
              <w:t>(SA Act)</w:t>
            </w:r>
          </w:p>
        </w:tc>
        <w:tc>
          <w:tcPr>
            <w:tcW w:w="1134" w:type="dxa"/>
          </w:tcPr>
          <w:p>
            <w:pPr>
              <w:pStyle w:val="nTable"/>
            </w:pPr>
          </w:p>
        </w:tc>
        <w:tc>
          <w:tcPr>
            <w:tcW w:w="2693" w:type="dxa"/>
          </w:tcPr>
          <w:p>
            <w:pPr>
              <w:pStyle w:val="nTable"/>
            </w:pPr>
            <w:r>
              <w:t>In SA: 1 Jul 2009 (see SA</w:t>
            </w:r>
            <w:r>
              <w:rPr>
                <w:i/>
                <w:iCs/>
              </w:rPr>
              <w:t xml:space="preserve"> Gazette</w:t>
            </w:r>
            <w:r>
              <w:t xml:space="preserve"> 25 Jun 2008 p. 3000);</w:t>
            </w:r>
          </w:p>
          <w:p>
            <w:pPr>
              <w:pStyle w:val="nTable"/>
            </w:pPr>
            <w:r>
              <w:t>In WA: 1 Jan 2010 (see WA</w:t>
            </w:r>
            <w:r>
              <w:rPr>
                <w:i/>
              </w:rPr>
              <w:t> Gazette</w:t>
            </w:r>
            <w:r>
              <w:t xml:space="preserve"> 18 Dec 2009 p. 5167</w:t>
            </w:r>
            <w:r>
              <w:noBreakHyphen/>
              <w:t>8)</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Statutes Amendment (National Electricity and Gas Laws—Limited Merits Review) Act 2013</w:t>
            </w:r>
            <w:r>
              <w:rPr>
                <w:iCs/>
              </w:rPr>
              <w:t xml:space="preserve"> Pt. 3</w:t>
            </w:r>
          </w:p>
        </w:tc>
        <w:tc>
          <w:tcPr>
            <w:tcW w:w="993" w:type="dxa"/>
          </w:tcPr>
          <w:p>
            <w:pPr>
              <w:pStyle w:val="nTable"/>
            </w:pPr>
            <w:r>
              <w:t>79 of 2013</w:t>
            </w:r>
            <w:r>
              <w:br/>
              <w:t>(SA Act)</w:t>
            </w:r>
          </w:p>
        </w:tc>
        <w:tc>
          <w:tcPr>
            <w:tcW w:w="1134" w:type="dxa"/>
          </w:tcPr>
          <w:p>
            <w:pPr>
              <w:pStyle w:val="nTable"/>
            </w:pPr>
          </w:p>
        </w:tc>
        <w:tc>
          <w:tcPr>
            <w:tcW w:w="2693" w:type="dxa"/>
          </w:tcPr>
          <w:p>
            <w:pPr>
              <w:pStyle w:val="nTable"/>
            </w:pPr>
            <w:r>
              <w:t>In SA: 19 Dec 2013 (see SA</w:t>
            </w:r>
            <w:r>
              <w:rPr>
                <w:i/>
              </w:rPr>
              <w:t xml:space="preserve"> Gazette</w:t>
            </w:r>
            <w:r>
              <w:t xml:space="preserve"> 19 Dec 2013 p. 4927);</w:t>
            </w:r>
          </w:p>
          <w:p>
            <w:pPr>
              <w:pStyle w:val="nTable"/>
            </w:pPr>
            <w:r>
              <w:t>In WA: 15 Mar 2014 (see WA</w:t>
            </w:r>
            <w:r>
              <w:rPr>
                <w:i/>
              </w:rPr>
              <w:t> Gazette</w:t>
            </w:r>
            <w:r>
              <w:t xml:space="preserve"> 14 Mar 2014 p. 632)</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bottom w:val="single" w:sz="4" w:space="0" w:color="auto"/>
            </w:tcBorders>
          </w:tcPr>
          <w:p>
            <w:pPr>
              <w:pStyle w:val="nTable"/>
              <w:rPr>
                <w:iCs/>
              </w:rPr>
            </w:pPr>
            <w:r>
              <w:rPr>
                <w:i/>
                <w:iCs/>
              </w:rPr>
              <w:t>National Gas (South Australia) (Pipelines Access—Arbitration) Amendment Act 2017</w:t>
            </w:r>
          </w:p>
        </w:tc>
        <w:tc>
          <w:tcPr>
            <w:tcW w:w="993" w:type="dxa"/>
            <w:tcBorders>
              <w:bottom w:val="single" w:sz="4" w:space="0" w:color="auto"/>
            </w:tcBorders>
          </w:tcPr>
          <w:p>
            <w:pPr>
              <w:pStyle w:val="nTable"/>
            </w:pPr>
            <w:r>
              <w:t>23 of 2017</w:t>
            </w:r>
            <w:r>
              <w:br/>
              <w:t>(SA Act)</w:t>
            </w:r>
          </w:p>
        </w:tc>
        <w:tc>
          <w:tcPr>
            <w:tcW w:w="1134" w:type="dxa"/>
            <w:tcBorders>
              <w:bottom w:val="single" w:sz="4" w:space="0" w:color="auto"/>
            </w:tcBorders>
          </w:tcPr>
          <w:p>
            <w:pPr>
              <w:pStyle w:val="nTable"/>
            </w:pPr>
          </w:p>
        </w:tc>
        <w:tc>
          <w:tcPr>
            <w:tcW w:w="2693" w:type="dxa"/>
            <w:tcBorders>
              <w:bottom w:val="single" w:sz="4" w:space="0" w:color="auto"/>
            </w:tcBorders>
          </w:tcPr>
          <w:p>
            <w:pPr>
              <w:pStyle w:val="nTable"/>
              <w:rPr>
                <w:i/>
              </w:rPr>
            </w:pPr>
            <w:r>
              <w:t>In SA: 1 Aug 2017 (see SA</w:t>
            </w:r>
            <w:r>
              <w:rPr>
                <w:i/>
              </w:rPr>
              <w:t xml:space="preserve"> Gazette</w:t>
            </w:r>
            <w:r>
              <w:t xml:space="preserve"> 1 Aug 2017 p. 3037);</w:t>
            </w:r>
          </w:p>
          <w:p>
            <w:pPr>
              <w:pStyle w:val="nTable"/>
            </w:pPr>
            <w:r>
              <w:t>In WA: 23 Dec 2017 (see WA</w:t>
            </w:r>
            <w:r>
              <w:rPr>
                <w:i/>
              </w:rPr>
              <w:t> Gazette</w:t>
            </w:r>
            <w:r>
              <w:t xml:space="preserve"> 22 Dec 2017 p. 5984)</w:t>
            </w:r>
          </w:p>
        </w:tc>
      </w:tr>
    </w:tbl>
    <w:p>
      <w:pPr>
        <w:pStyle w:val="nHeading3"/>
      </w:pPr>
      <w:bookmarkStart w:id="1990" w:name="_Toc203740032"/>
      <w:bookmarkStart w:id="1991" w:name="_Toc203749930"/>
      <w:bookmarkStart w:id="1992" w:name="_Toc203750562"/>
      <w:bookmarkStart w:id="1993" w:name="_Toc221110290"/>
      <w:r>
        <w:t>Other notes</w:t>
      </w:r>
      <w:bookmarkEnd w:id="1990"/>
      <w:bookmarkEnd w:id="1991"/>
      <w:bookmarkEnd w:id="1992"/>
      <w:bookmarkEnd w:id="1993"/>
    </w:p>
    <w:p>
      <w:pPr>
        <w:pStyle w:val="nNote"/>
      </w:pPr>
      <w:r>
        <w:rPr>
          <w:vertAlign w:val="superscript"/>
        </w:rPr>
        <w:t>1</w:t>
      </w:r>
      <w:r>
        <w:tab/>
        <w:t xml:space="preserve">The </w:t>
      </w:r>
      <w:r>
        <w:rPr>
          <w:i/>
          <w:iCs/>
        </w:rPr>
        <w:t>National Gas Access (Western Australia) Law</w:t>
      </w:r>
      <w:r>
        <w:t xml:space="preserve"> applies as a law of Western Australia under the </w:t>
      </w:r>
      <w:r>
        <w:rPr>
          <w:i/>
          <w:iCs/>
        </w:rPr>
        <w:t>National Gas Access (WA) Act 2009</w:t>
      </w:r>
      <w:r>
        <w:t xml:space="preserve"> section 7(1).</w:t>
      </w:r>
    </w:p>
    <w:p>
      <w:pPr>
        <w:pStyle w:val="nNote"/>
        <w:rPr>
          <w:iCs/>
        </w:rPr>
      </w:pPr>
      <w:r>
        <w:tab/>
        <w:t xml:space="preserve">The </w:t>
      </w:r>
      <w:r>
        <w:rPr>
          <w:i/>
          <w:iCs/>
        </w:rPr>
        <w:t>National Gas Access (Western Australia) Law</w:t>
      </w:r>
      <w:r>
        <w:t xml:space="preserve"> is the National Gas Law (as set out in the Schedule to the </w:t>
      </w:r>
      <w:r>
        <w:rPr>
          <w:i/>
          <w:iCs/>
        </w:rPr>
        <w:t>National Gas (South Australia) Act 2008</w:t>
      </w:r>
      <w:r>
        <w:t xml:space="preserve"> (SA) for the time being in force) as modified to give effect to the following provisions of the </w:t>
      </w:r>
      <w:r>
        <w:rPr>
          <w:i/>
        </w:rPr>
        <w:t>National Gas Access (WA) Act 2009</w:t>
      </w:r>
      <w:r>
        <w:rPr>
          <w:iCs/>
        </w:rPr>
        <w:t>:</w:t>
      </w:r>
    </w:p>
    <w:p>
      <w:pPr>
        <w:pStyle w:val="nStatement"/>
        <w:tabs>
          <w:tab w:val="left" w:pos="709"/>
        </w:tabs>
        <w:ind w:left="1058" w:hanging="349"/>
      </w:pPr>
      <w:r>
        <w:t>(a)</w:t>
      </w:r>
      <w:r>
        <w:tab/>
        <w:t xml:space="preserve">section 7A(3), which provides that an amendment by the Parliament of South Australia to the National Gas Law does not change the </w:t>
      </w:r>
      <w:r>
        <w:rPr>
          <w:i/>
          <w:iCs/>
        </w:rPr>
        <w:t xml:space="preserve">National Gas </w:t>
      </w:r>
      <w:r>
        <w:rPr>
          <w:i/>
          <w:iCs/>
        </w:rPr>
        <w:lastRenderedPageBreak/>
        <w:t>Access (Western Australia) Law</w:t>
      </w:r>
      <w:r>
        <w:t xml:space="preserve"> unless the Minister declares the amendment relevant;</w:t>
      </w:r>
    </w:p>
    <w:p>
      <w:pPr>
        <w:pStyle w:val="nStatement"/>
        <w:tabs>
          <w:tab w:val="left" w:pos="709"/>
        </w:tabs>
        <w:ind w:left="1058" w:hanging="349"/>
      </w:pPr>
      <w:r>
        <w:t>(b)</w:t>
      </w:r>
      <w:r>
        <w:tab/>
        <w:t xml:space="preserve">section 7A(4), which provides that if the Minister declares an amendment relevant, the </w:t>
      </w:r>
      <w:r>
        <w:rPr>
          <w:i/>
          <w:iCs/>
        </w:rPr>
        <w:t>National Gas Access (Western Australia) Law</w:t>
      </w:r>
      <w:r>
        <w:t xml:space="preserve"> changes on the day fixed under section 7A(5);</w:t>
      </w:r>
    </w:p>
    <w:p>
      <w:pPr>
        <w:pStyle w:val="nStatement"/>
        <w:keepNext/>
        <w:keepLines/>
        <w:tabs>
          <w:tab w:val="left" w:pos="709"/>
        </w:tabs>
        <w:ind w:left="1061" w:hanging="352"/>
      </w:pPr>
      <w:r>
        <w:t>(c)</w:t>
      </w:r>
      <w: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Note"/>
        <w:rPr>
          <w:iCs/>
          <w:noProof/>
        </w:rPr>
      </w:pPr>
      <w:r>
        <w:rPr>
          <w:iCs/>
          <w:noProof/>
          <w:vertAlign w:val="superscript"/>
        </w:rPr>
        <w:t>2</w:t>
      </w:r>
      <w:r>
        <w:rPr>
          <w:iCs/>
          <w:noProof/>
        </w:rPr>
        <w:tab/>
        <w:t xml:space="preserve">The </w:t>
      </w:r>
      <w:r>
        <w:rPr>
          <w:i/>
          <w:iCs/>
        </w:rPr>
        <w:t>National Gas Access (Western Australia) Law</w:t>
      </w:r>
      <w:r>
        <w:rPr>
          <w:iCs/>
          <w:noProof/>
        </w:rPr>
        <w:t xml:space="preserve"> has been formatted in accordance with WA drafting style. Editorial notes have been inserted as part of producing this compilation.</w:t>
      </w:r>
    </w:p>
    <w:p>
      <w:pPr>
        <w:pStyle w:val="BlankClose"/>
      </w:pPr>
    </w:p>
    <w:p>
      <w:pPr>
        <w:sectPr>
          <w:headerReference w:type="even" r:id="rId31"/>
          <w:headerReference w:type="default" r:id="rId32"/>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7389837</wp:posOffset>
                </wp:positionV>
                <wp:extent cx="127000" cy="689212"/>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89212"/>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2017</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2017</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81.9pt;width:10pt;height:54.25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2017</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2017</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Dec 2017</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2017</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2017</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Dec 2017</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2017</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2017</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00-c0-00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1548" w:type="dxa"/>
        </w:tcPr>
        <w:p>
          <w:pPr>
            <w:pStyle w:val="Header"/>
            <w:spacing w:before="40"/>
          </w:pPr>
          <w:r>
            <w:rPr>
              <w:b/>
              <w:bCs/>
            </w:rPr>
            <w:fldChar w:fldCharType="begin"/>
          </w:r>
          <w:r>
            <w:rPr>
              <w:b/>
              <w:bCs/>
            </w:rPr>
            <w:instrText xml:space="preserve"> styleref CharSchno </w:instrText>
          </w:r>
          <w:r>
            <w:rPr>
              <w:b/>
              <w:bCs/>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rPr>
              <w:b/>
              <w:bCs/>
            </w:rPr>
          </w:pPr>
          <w:r>
            <w:rPr>
              <w:b/>
              <w:bCs/>
            </w:rPr>
            <w:fldChar w:fldCharType="begin"/>
          </w:r>
          <w:r>
            <w:rPr>
              <w:b/>
              <w:bCs/>
            </w:rPr>
            <w:instrText xml:space="preserve"> styleref CharSchno </w:instrText>
          </w:r>
          <w:r>
            <w:rPr>
              <w:b/>
              <w:bCs/>
            </w:rPr>
            <w:fldChar w:fldCharType="end"/>
          </w:r>
        </w:p>
      </w:tc>
    </w:tr>
    <w:tr>
      <w:tc>
        <w:tcPr>
          <w:tcW w:w="5797" w:type="dxa"/>
        </w:tcPr>
        <w:p>
          <w:pPr>
            <w:pStyle w:val="Header"/>
            <w:spacing w:before="40"/>
            <w:jc w:val="right"/>
          </w:pPr>
          <w:r>
            <w:fldChar w:fldCharType="begin"/>
          </w:r>
          <w:r>
            <w:instrText xml:space="preserve"> styleref CharDivText </w:instrText>
          </w:r>
          <w:r>
            <w:fldChar w:fldCharType="separate"/>
          </w:r>
          <w:r>
            <w:t>Miscellaneous</w:t>
          </w:r>
          <w:r>
            <w:fldChar w:fldCharType="end"/>
          </w:r>
        </w:p>
      </w:tc>
      <w:tc>
        <w:tcPr>
          <w:tcW w:w="1466" w:type="dxa"/>
        </w:tcPr>
        <w:p>
          <w:pPr>
            <w:pStyle w:val="Header"/>
            <w:spacing w:before="40"/>
            <w:ind w:right="17"/>
            <w:jc w:val="right"/>
          </w:pPr>
          <w:r>
            <w:rPr>
              <w:b/>
            </w:rPr>
            <w:fldChar w:fldCharType="begin"/>
          </w:r>
          <w:r>
            <w:rPr>
              <w:b/>
            </w:rPr>
            <w:instrText>STYLEREF CharDivNo</w:instrText>
          </w:r>
          <w:r>
            <w:rPr>
              <w:b/>
            </w:rPr>
            <w:fldChar w:fldCharType="separate"/>
          </w:r>
          <w:r>
            <w:rPr>
              <w:b/>
            </w:rPr>
            <w:t>Part 3</w:t>
          </w:r>
          <w:r>
            <w:rPr>
              <w:b/>
            </w:rPr>
            <w:fldChar w:fldCharType="end"/>
          </w:r>
        </w:p>
      </w:tc>
    </w:tr>
    <w:t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(Western Australia) Law</w:t>
            </w:r>
          </w:fldSimple>
        </w:p>
      </w:tc>
    </w:tr>
    <w:tr>
      <w:tc>
        <w:tcPr>
          <w:tcW w:w="1548" w:type="dxa"/>
        </w:tcPr>
        <w:p>
          <w:pPr>
            <w:pStyle w:val="HeaderNumberLeft"/>
          </w:pPr>
          <w:fldSimple w:instr=" styleref CharSchno ">
            <w:r>
              <w:rPr>
                <w:noProof/>
              </w:rPr>
              <w:t>Schedule 1</w:t>
            </w:r>
          </w:fldSimple>
        </w:p>
      </w:tc>
      <w:tc>
        <w:tcPr>
          <w:tcW w:w="5715" w:type="dxa"/>
          <w:vAlign w:val="bottom"/>
        </w:tcPr>
        <w:p>
          <w:pPr>
            <w:pStyle w:val="HeaderTextLeft"/>
          </w:pPr>
          <w:fldSimple w:instr=" styleref CharSchText ">
            <w:r>
              <w:rPr>
                <w:noProof/>
              </w:rPr>
              <w:t>Subject matter for the National Gas Rules</w:t>
            </w:r>
          </w:fldSimple>
        </w:p>
      </w:tc>
    </w:tr>
    <w:tr>
      <w:tc>
        <w:tcPr>
          <w:tcW w:w="1548" w:type="dxa"/>
        </w:tcPr>
        <w:p>
          <w:pPr>
            <w:pStyle w:val="HeaderNumberLeft"/>
          </w:pPr>
          <w:r>
            <w:fldChar w:fldCharType="begin"/>
          </w:r>
          <w:r>
            <w:instrText>STYLEREF CharDivNo</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c>
        <w:tcPr>
          <w:tcW w:w="7263" w:type="dxa"/>
          <w:gridSpan w:val="2"/>
        </w:tcPr>
        <w:p>
          <w:pPr>
            <w:pStyle w:val="HeaderTextLeft"/>
            <w:rPr>
              <w:b/>
            </w:rPr>
          </w:pPr>
          <w:r>
            <w:rPr>
              <w:b/>
            </w:rPr>
            <w:t xml:space="preserve">cl. </w:t>
          </w:r>
          <w:r>
            <w:rPr>
              <w:b/>
            </w:rPr>
            <w:fldChar w:fldCharType="begin"/>
          </w:r>
          <w:r>
            <w:rPr>
              <w:b/>
            </w:rPr>
            <w:instrText>STYLEREF CharSectNo</w:instrText>
          </w:r>
          <w:r>
            <w:rPr>
              <w:b/>
            </w:rPr>
            <w:fldChar w:fldCharType="separate"/>
          </w:r>
          <w:r>
            <w:rPr>
              <w:b/>
              <w:noProof/>
            </w:rPr>
            <w:t>336</w:t>
          </w:r>
          <w:r>
            <w:rPr>
              <w:b/>
            </w:rPr>
            <w:fldChar w:fldCharType="end"/>
          </w:r>
        </w:p>
      </w:tc>
    </w:tr>
  </w:tbl>
  <w:p>
    <w:pPr>
      <w:pStyle w:val="Header"/>
      <w:pBdr>
        <w:top w:val="single" w:sz="4" w:space="1" w:color="auto"/>
      </w:pBdr>
      <w:rPr>
        <w:rFonts w:ascii="Times New Roman" w:hAnsi="Times New Roman"/>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(Western Australia) Law</w:t>
          </w:r>
          <w:r>
            <w:rPr>
              <w:noProof/>
            </w:rPr>
            <w:fldChar w:fldCharType="end"/>
          </w:r>
        </w:p>
      </w:tc>
    </w:tr>
    <w:tr>
      <w:tc>
        <w:tcPr>
          <w:tcW w:w="5797" w:type="dxa"/>
        </w:tcPr>
        <w:p>
          <w:pPr>
            <w:pStyle w:val="HeaderTextRight"/>
          </w:pPr>
          <w:fldSimple w:instr=" styleref CharSchText ">
            <w:r>
              <w:rPr>
                <w:noProof/>
              </w:rPr>
              <w:t>Subject matter for the National Gas Rules</w:t>
            </w:r>
          </w:fldSimple>
        </w:p>
      </w:tc>
      <w:tc>
        <w:tcPr>
          <w:tcW w:w="1466" w:type="dxa"/>
        </w:tcPr>
        <w:p>
          <w:pPr>
            <w:pStyle w:val="HeaderNumberRight"/>
            <w:ind w:right="17"/>
            <w:rPr>
              <w:bCs/>
            </w:rPr>
          </w:pPr>
          <w:fldSimple w:instr=" styleref CharSchno ">
            <w:r>
              <w:rPr>
                <w:noProof/>
              </w:rPr>
              <w:t>Schedule 1</w:t>
            </w:r>
          </w:fldSimple>
        </w:p>
      </w:tc>
    </w:tr>
    <w:tr>
      <w:tc>
        <w:tcPr>
          <w:tcW w:w="5797" w:type="dxa"/>
        </w:tcPr>
        <w:p>
          <w:pPr>
            <w:pStyle w:val="HeaderTextRight"/>
          </w:pPr>
          <w:r>
            <w:fldChar w:fldCharType="begin"/>
          </w:r>
          <w:r>
            <w:instrText xml:space="preserve"> styleref CharDivText </w:instrText>
          </w:r>
          <w:r>
            <w:rPr>
              <w:noProof/>
            </w:rPr>
            <w:fldChar w:fldCharType="end"/>
          </w:r>
          <w:r>
            <w:fldChar w:fldCharType="begin"/>
          </w:r>
          <w:r>
            <w:instrText xml:space="preserve"> styleref CharSDivText </w:instrText>
          </w:r>
          <w:r>
            <w:fldChar w:fldCharType="end"/>
          </w:r>
        </w:p>
      </w:tc>
      <w:tc>
        <w:tcPr>
          <w:tcW w:w="1466" w:type="dxa"/>
        </w:tcPr>
        <w:p>
          <w:pPr>
            <w:pStyle w:val="HeaderNumberRight"/>
            <w:ind w:right="17"/>
            <w:rPr>
              <w:bCs/>
            </w:rPr>
          </w:pPr>
          <w:r>
            <w:fldChar w:fldCharType="begin"/>
          </w:r>
          <w:r>
            <w:instrText xml:space="preserve"> styleref CharDivNo </w:instrText>
          </w:r>
          <w:r>
            <w:rPr>
              <w:noProof/>
            </w:rPr>
            <w:fldChar w:fldCharType="end"/>
          </w:r>
          <w:r>
            <w:rPr>
              <w:bCs/>
            </w:rPr>
            <w:fldChar w:fldCharType="begin"/>
          </w:r>
          <w:r>
            <w:rPr>
              <w:bCs/>
            </w:rPr>
            <w:instrText xml:space="preserve"> STYLEREF CharSDivNo \* charformat</w:instrText>
          </w:r>
          <w:r>
            <w:rPr>
              <w:bCs/>
            </w:rPr>
            <w:fldChar w:fldCharType="end"/>
          </w:r>
          <w:r>
            <w:rPr>
              <w:bCs/>
            </w:rPr>
            <w:fldChar w:fldCharType="begin"/>
          </w:r>
          <w:r>
            <w:rPr>
              <w:bCs/>
            </w:rPr>
            <w:instrText>styleref CharSDivNo \* charformat</w:instrText>
          </w:r>
          <w:r>
            <w:rPr>
              <w:bCs/>
            </w:rPr>
            <w:fldChar w:fldCharType="end"/>
          </w:r>
        </w:p>
      </w:tc>
    </w:tr>
    <w:tr>
      <w:tc>
        <w:tcPr>
          <w:tcW w:w="5797" w:type="dxa"/>
        </w:tcPr>
        <w:p>
          <w:pPr>
            <w:pStyle w:val="HeaderTextLeft"/>
            <w:jc w:val="right"/>
          </w:pPr>
        </w:p>
      </w:tc>
      <w:tc>
        <w:tcPr>
          <w:tcW w:w="1466" w:type="dxa"/>
        </w:tcPr>
        <w:p>
          <w:pPr>
            <w:pStyle w:val="HeaderNumberRight"/>
            <w:ind w:right="17"/>
          </w:pPr>
          <w:r>
            <w:t xml:space="preserve">cl. </w:t>
          </w:r>
          <w:fldSimple w:instr=" styleref CharSectno ">
            <w:r>
              <w:rPr>
                <w:noProof/>
              </w:rPr>
              <w:t>336</w:t>
            </w:r>
          </w:fldSimple>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994" w:name="Compilation"/>
    <w:bookmarkEnd w:id="199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995" w:name="Coversheet"/>
    <w:bookmarkEnd w:id="199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10"/>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20409092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 w:name="WAFER_202411290925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9092513_GUID" w:val="fd1d0009-e6a3-4d01-aa62-19cb509662ca"/>
    <w:docVar w:name="WAFER_20250117131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756_GUID" w:val="d369efce-79a6-4f1c-aec1-9f7657ba4113"/>
    <w:docVar w:name="WAFER_20250117131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846_GUID" w:val="c77bd6d2-5c99-4eae-8217-596fa07b5980"/>
    <w:docVar w:name="WAFER_202502040909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4090925_GUID" w:val="8e54e71b-d011-445f-94e3-e50c4d1076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55649"/>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aliases w:val="Level 1 bullet"/>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semiHidden/>
    <w:rPr>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3">
    <w:name w:val="nzHeading 3"/>
    <w:basedOn w:val="zHeading3"/>
    <w:pPr>
      <w:spacing w:before="120" w:line="240" w:lineRule="auto"/>
    </w:pPr>
    <w:rPr>
      <w:sz w:val="22"/>
    </w:rPr>
  </w:style>
  <w:style w:type="paragraph" w:customStyle="1" w:styleId="nzEdnotesubsection">
    <w:name w:val="nzEdnote(subsection)"/>
    <w:basedOn w:val="nzSubsection"/>
    <w:rPr>
      <w:i/>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Heading3t">
    <w:name w:val="Heading 3t"/>
    <w:basedOn w:val="Heading3"/>
  </w:style>
  <w:style w:type="paragraph" w:customStyle="1" w:styleId="CharsPartNo">
    <w:name w:val="CharsPartNo"/>
    <w:basedOn w:val="yScheduleHeading"/>
  </w:style>
  <w:style w:type="paragraph" w:customStyle="1" w:styleId="CharsPartText">
    <w:name w:val="CharsPartText"/>
    <w:basedOn w:val="CharsPartNo"/>
  </w:style>
  <w:style w:type="paragraph" w:styleId="CommentSubject">
    <w:name w:val="annotation subject"/>
    <w:basedOn w:val="CommentText"/>
    <w:next w:val="CommentText"/>
    <w:link w:val="CommentSubjectChar"/>
    <w:semiHidden/>
    <w:unhideWhenUsed/>
    <w:rPr>
      <w:b/>
      <w:bCs/>
      <w:sz w:val="20"/>
    </w:rPr>
  </w:style>
  <w:style w:type="character" w:customStyle="1" w:styleId="CommentSubjectChar">
    <w:name w:val="Comment Subject Char"/>
    <w:basedOn w:val="CommentTextChar"/>
    <w:link w:val="CommentSubject"/>
    <w:semiHidden/>
    <w:rPr>
      <w:b/>
      <w:bCs/>
      <w:sz w:val="24"/>
    </w:rPr>
  </w:style>
  <w:style w:type="paragraph" w:styleId="Revision">
    <w:name w:val="Revision"/>
    <w:hidden/>
    <w:uiPriority w:val="99"/>
    <w:semiHidden/>
    <w:rPr>
      <w:sz w:val="24"/>
    </w:rPr>
  </w:style>
  <w:style w:type="paragraph" w:customStyle="1" w:styleId="Formula">
    <w:name w:val="Formula"/>
    <w:basedOn w:val="Normal"/>
    <w:pPr>
      <w:ind w:left="1134"/>
    </w:pPr>
    <w:rPr>
      <w:lang w:eastAsia="en-US"/>
    </w:rPr>
  </w:style>
  <w:style w:type="paragraph" w:customStyle="1" w:styleId="Tablea">
    <w:name w:val="Table(a)"/>
    <w:aliases w:val="ta"/>
    <w:basedOn w:val="Normal"/>
    <w:pPr>
      <w:ind w:left="284" w:hanging="284"/>
    </w:pPr>
    <w:rPr>
      <w:rFonts w:ascii="NewCenturySchlbk" w:hAnsi="NewCenturySchlbk"/>
      <w:lang w:eastAsia="en-US"/>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lang w:eastAsia="en-US"/>
    </w:rPr>
  </w:style>
  <w:style w:type="paragraph" w:customStyle="1" w:styleId="headerpart">
    <w:name w:val="header.part"/>
    <w:basedOn w:val="Normal"/>
    <w:pPr>
      <w:keepNext/>
      <w:spacing w:line="260" w:lineRule="atLeast"/>
    </w:pPr>
    <w:rPr>
      <w:rFonts w:ascii="Arial" w:hAnsi="Arial"/>
      <w:b/>
      <w:lang w:eastAsia="en-US"/>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lang w:eastAsia="en-US"/>
    </w:rPr>
  </w:style>
  <w:style w:type="paragraph" w:customStyle="1" w:styleId="Page1">
    <w:name w:val="Page1"/>
    <w:basedOn w:val="Normal"/>
    <w:pPr>
      <w:spacing w:before="5103"/>
    </w:pPr>
    <w:rPr>
      <w:b/>
      <w:sz w:val="34"/>
      <w:lang w:eastAsia="en-US"/>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finitionNumbers">
    <w:name w:val="DefinitionNumbers"/>
    <w:basedOn w:val="Normal"/>
    <w:pPr>
      <w:tabs>
        <w:tab w:val="num" w:pos="0"/>
      </w:tabs>
    </w:pPr>
    <w:rPr>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Mainnumbers">
    <w:name w:val="Mainnumbers"/>
    <w:basedOn w:val="Normal"/>
    <w:pPr>
      <w:tabs>
        <w:tab w:val="num" w:pos="1440"/>
      </w:tabs>
      <w:ind w:left="360" w:hanging="360"/>
    </w:pPr>
    <w:rPr>
      <w:lang w:eastAsia="en-US"/>
    </w:rPr>
  </w:style>
  <w:style w:type="paragraph" w:customStyle="1" w:styleId="nDefpara">
    <w:name w:val="nDefpara"/>
    <w:basedOn w:val="Defpara"/>
    <w:pPr>
      <w:tabs>
        <w:tab w:val="left" w:pos="1616"/>
      </w:tabs>
      <w:spacing w:before="40" w:line="240" w:lineRule="auto"/>
    </w:pPr>
    <w:rPr>
      <w:sz w:val="20"/>
      <w:lang w:eastAsia="en-US"/>
    </w:rPr>
  </w:style>
  <w:style w:type="paragraph" w:customStyle="1" w:styleId="nDefstart">
    <w:name w:val="nDefstart"/>
    <w:basedOn w:val="Defstart"/>
    <w:pPr>
      <w:tabs>
        <w:tab w:val="left" w:pos="879"/>
      </w:tabs>
      <w:spacing w:before="40" w:line="240" w:lineRule="auto"/>
    </w:pPr>
    <w:rPr>
      <w:sz w:val="20"/>
      <w:lang w:eastAsia="en-US"/>
    </w:rPr>
  </w:style>
  <w:style w:type="paragraph" w:customStyle="1" w:styleId="nDefsubpara">
    <w:name w:val="nDefsubpara"/>
    <w:basedOn w:val="Defsubpara"/>
    <w:pPr>
      <w:tabs>
        <w:tab w:val="left" w:pos="2325"/>
      </w:tabs>
      <w:spacing w:before="40" w:line="240" w:lineRule="auto"/>
    </w:pPr>
    <w:rPr>
      <w:snapToGrid/>
      <w:sz w:val="20"/>
      <w:lang w:eastAsia="en-US"/>
    </w:rPr>
  </w:style>
  <w:style w:type="paragraph" w:customStyle="1" w:styleId="nEdnoteitem">
    <w:name w:val="nEdnote(item)"/>
    <w:basedOn w:val="Ednoteitem"/>
    <w:pPr>
      <w:spacing w:before="60" w:line="240" w:lineRule="auto"/>
    </w:pPr>
    <w:rPr>
      <w:sz w:val="20"/>
      <w:lang w:eastAsia="en-US"/>
    </w:rPr>
  </w:style>
  <w:style w:type="paragraph" w:customStyle="1" w:styleId="nEdnotepara">
    <w:name w:val="nEdnote(para)"/>
    <w:basedOn w:val="Ednotepara"/>
    <w:pPr>
      <w:spacing w:before="60" w:line="240" w:lineRule="auto"/>
      <w:ind w:left="1610" w:hanging="1610"/>
    </w:pPr>
    <w:rPr>
      <w:sz w:val="20"/>
      <w:lang w:eastAsia="en-US"/>
    </w:rPr>
  </w:style>
  <w:style w:type="paragraph" w:customStyle="1" w:styleId="nEdnotesection">
    <w:name w:val="nEdnote(section)"/>
    <w:basedOn w:val="Ednotesection"/>
    <w:pPr>
      <w:spacing w:before="100" w:line="240" w:lineRule="auto"/>
      <w:ind w:left="890" w:hanging="890"/>
      <w:outlineLvl w:val="9"/>
    </w:pPr>
    <w:rPr>
      <w:sz w:val="20"/>
      <w:lang w:eastAsia="en-US"/>
    </w:rPr>
  </w:style>
  <w:style w:type="paragraph" w:customStyle="1" w:styleId="nEdnotesubpara">
    <w:name w:val="nEdnote(subpara)"/>
    <w:basedOn w:val="Ednotesubpara"/>
    <w:pPr>
      <w:spacing w:line="240" w:lineRule="auto"/>
    </w:pPr>
    <w:rPr>
      <w:sz w:val="20"/>
      <w:lang w:eastAsia="en-US"/>
    </w:rPr>
  </w:style>
  <w:style w:type="paragraph" w:customStyle="1" w:styleId="nHeading4">
    <w:name w:val="nHeading 4"/>
    <w:basedOn w:val="Heading4"/>
    <w:pPr>
      <w:spacing w:before="120"/>
      <w:outlineLvl w:val="9"/>
    </w:pPr>
    <w:rPr>
      <w:sz w:val="20"/>
      <w:lang w:eastAsia="en-US"/>
    </w:rPr>
  </w:style>
  <w:style w:type="paragraph" w:customStyle="1" w:styleId="nHeading5">
    <w:name w:val="nHeading 5"/>
    <w:basedOn w:val="Heading5"/>
    <w:pPr>
      <w:spacing w:before="100" w:line="240" w:lineRule="auto"/>
      <w:outlineLvl w:val="9"/>
    </w:pPr>
    <w:rPr>
      <w:sz w:val="20"/>
      <w:lang w:eastAsia="en-US"/>
    </w:rPr>
  </w:style>
  <w:style w:type="paragraph" w:customStyle="1" w:styleId="nIndenta">
    <w:name w:val="nIndent(a)"/>
    <w:basedOn w:val="Indenta"/>
    <w:pPr>
      <w:spacing w:before="40" w:line="240" w:lineRule="auto"/>
    </w:pPr>
    <w:rPr>
      <w:sz w:val="20"/>
      <w:lang w:eastAsia="en-US"/>
    </w:rPr>
  </w:style>
  <w:style w:type="paragraph" w:customStyle="1" w:styleId="nIndentA0">
    <w:name w:val="nIndent(A)"/>
    <w:basedOn w:val="IndentA0"/>
    <w:pPr>
      <w:spacing w:before="40" w:line="240" w:lineRule="auto"/>
    </w:pPr>
    <w:rPr>
      <w:sz w:val="20"/>
      <w:lang w:eastAsia="en-US"/>
    </w:rPr>
  </w:style>
  <w:style w:type="paragraph" w:customStyle="1" w:styleId="nIndenti">
    <w:name w:val="nIndent(i)"/>
    <w:basedOn w:val="Indenti"/>
    <w:pPr>
      <w:spacing w:before="40" w:line="240" w:lineRule="auto"/>
    </w:pPr>
    <w:rPr>
      <w:sz w:val="20"/>
      <w:lang w:eastAsia="en-US"/>
    </w:rPr>
  </w:style>
  <w:style w:type="paragraph" w:customStyle="1" w:styleId="nIndentI0">
    <w:name w:val="nIndent(I)"/>
    <w:basedOn w:val="IndentI0"/>
    <w:pPr>
      <w:spacing w:before="40" w:line="240" w:lineRule="auto"/>
    </w:pPr>
    <w:rPr>
      <w:sz w:val="20"/>
      <w:lang w:eastAsia="en-US"/>
    </w:rPr>
  </w:style>
  <w:style w:type="paragraph" w:customStyle="1" w:styleId="nPenpara">
    <w:name w:val="nPenpara"/>
    <w:basedOn w:val="Penpara"/>
    <w:pPr>
      <w:spacing w:before="40" w:line="240" w:lineRule="auto"/>
    </w:pPr>
    <w:rPr>
      <w:sz w:val="20"/>
      <w:lang w:eastAsia="en-US"/>
    </w:rPr>
  </w:style>
  <w:style w:type="paragraph" w:customStyle="1" w:styleId="nPenstart">
    <w:name w:val="nPenstart"/>
    <w:basedOn w:val="Penstart"/>
    <w:pPr>
      <w:spacing w:before="40" w:line="240" w:lineRule="auto"/>
    </w:pPr>
    <w:rPr>
      <w:sz w:val="20"/>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lang w:eastAsia="en-US"/>
    </w:rPr>
  </w:style>
  <w:style w:type="paragraph" w:customStyle="1" w:styleId="nzHeading2">
    <w:name w:val="nzHeading 2"/>
    <w:basedOn w:val="zHeading2"/>
    <w:pPr>
      <w:spacing w:before="120" w:line="240" w:lineRule="auto"/>
    </w:pPr>
    <w:rPr>
      <w:sz w:val="26"/>
      <w:lang w:eastAsia="en-US"/>
    </w:rPr>
  </w:style>
  <w:style w:type="paragraph" w:customStyle="1" w:styleId="nzHeading4">
    <w:name w:val="nzHeading 4"/>
    <w:basedOn w:val="zHeading4"/>
    <w:pPr>
      <w:spacing w:before="120"/>
    </w:pPr>
    <w:rPr>
      <w:sz w:val="20"/>
      <w:lang w:eastAsia="en-US"/>
    </w:rPr>
  </w:style>
  <w:style w:type="paragraph" w:customStyle="1" w:styleId="nzIndentA0">
    <w:name w:val="nzIndent(A)"/>
    <w:basedOn w:val="zIndentA0"/>
    <w:pPr>
      <w:spacing w:before="40" w:line="240" w:lineRule="auto"/>
    </w:pPr>
    <w:rPr>
      <w:sz w:val="20"/>
      <w:lang w:eastAsia="en-US"/>
    </w:rPr>
  </w:style>
  <w:style w:type="paragraph" w:customStyle="1" w:styleId="nzIndenti">
    <w:name w:val="nzIndent(i)"/>
    <w:basedOn w:val="zIndenti"/>
    <w:pPr>
      <w:spacing w:before="40" w:line="240" w:lineRule="auto"/>
    </w:pPr>
    <w:rPr>
      <w:sz w:val="20"/>
      <w:lang w:eastAsia="en-US"/>
    </w:rPr>
  </w:style>
  <w:style w:type="paragraph" w:customStyle="1" w:styleId="nzIndentI0">
    <w:name w:val="nzIndent(I)"/>
    <w:basedOn w:val="zIndentI0"/>
    <w:pPr>
      <w:spacing w:before="40" w:line="240" w:lineRule="auto"/>
    </w:pPr>
    <w:rPr>
      <w:sz w:val="20"/>
      <w:lang w:eastAsia="en-US"/>
    </w:rPr>
  </w:style>
  <w:style w:type="paragraph" w:customStyle="1" w:styleId="nzPenpara">
    <w:name w:val="nzPenpara"/>
    <w:basedOn w:val="zPenpara"/>
    <w:pPr>
      <w:spacing w:before="40" w:line="240" w:lineRule="auto"/>
    </w:pPr>
    <w:rPr>
      <w:sz w:val="20"/>
      <w:lang w:eastAsia="en-US"/>
    </w:rPr>
  </w:style>
  <w:style w:type="paragraph" w:customStyle="1" w:styleId="nzPenstart">
    <w:name w:val="nzPenstart"/>
    <w:basedOn w:val="zPenstart"/>
    <w:pPr>
      <w:spacing w:before="40" w:line="240" w:lineRule="auto"/>
    </w:pPr>
    <w:rPr>
      <w:sz w:val="20"/>
      <w:lang w:eastAsia="en-US"/>
    </w:rPr>
  </w:style>
  <w:style w:type="paragraph" w:customStyle="1" w:styleId="nzTable">
    <w:name w:val="nzTable"/>
    <w:basedOn w:val="Normal"/>
    <w:rPr>
      <w:sz w:val="20"/>
      <w:lang w:eastAsia="en-US"/>
    </w:rPr>
  </w:style>
  <w:style w:type="paragraph" w:customStyle="1" w:styleId="PenaltyNumbers">
    <w:name w:val="PenaltyNumbers"/>
    <w:basedOn w:val="Normal"/>
    <w:pPr>
      <w:spacing w:line="260" w:lineRule="atLeast"/>
    </w:pPr>
    <w:rPr>
      <w:rFonts w:ascii="NewCenturySchlbk" w:hAnsi="NewCenturySchlbk"/>
      <w:lang w:eastAsia="en-US"/>
    </w:rPr>
  </w:style>
  <w:style w:type="paragraph" w:styleId="PlainText">
    <w:name w:val="Plain Text"/>
    <w:basedOn w:val="Normal"/>
    <w:link w:val="PlainTextChar"/>
    <w:semiHidden/>
    <w:rPr>
      <w:rFonts w:ascii="Courier New" w:hAnsi="Courier New"/>
      <w:lang w:eastAsia="en-US"/>
    </w:rPr>
  </w:style>
  <w:style w:type="character" w:customStyle="1" w:styleId="PlainTextChar">
    <w:name w:val="Plain Text Char"/>
    <w:basedOn w:val="DefaultParagraphFont"/>
    <w:link w:val="PlainText"/>
    <w:semiHidden/>
    <w:rPr>
      <w:rFonts w:ascii="Courier New" w:hAnsi="Courier New"/>
      <w:sz w:val="24"/>
      <w:lang w:eastAsia="en-US"/>
    </w:rPr>
  </w:style>
  <w:style w:type="paragraph" w:customStyle="1" w:styleId="Repealed">
    <w:name w:val="Repealed"/>
    <w:basedOn w:val="Heading5"/>
    <w:rPr>
      <w:b w:val="0"/>
      <w:i/>
      <w:lang w:eastAsia="en-US"/>
    </w:rPr>
  </w:style>
  <w:style w:type="paragraph" w:customStyle="1" w:styleId="SectionNumbers">
    <w:name w:val="SectionNumbers"/>
    <w:basedOn w:val="Normal"/>
    <w:pPr>
      <w:tabs>
        <w:tab w:val="num" w:pos="0"/>
        <w:tab w:val="right" w:pos="1152"/>
      </w:tabs>
      <w:spacing w:line="260" w:lineRule="atLeast"/>
    </w:pPr>
    <w:rPr>
      <w:lang w:eastAsia="en-US"/>
    </w:rPr>
  </w:style>
  <w:style w:type="paragraph" w:customStyle="1" w:styleId="zMiscellaneousText">
    <w:name w:val="zMiscellaneousText"/>
    <w:basedOn w:val="zSubsection"/>
    <w:rPr>
      <w:lang w:eastAsia="en-US"/>
    </w:rPr>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val="en-US" w:eastAsia="en-US"/>
    </w:rPr>
  </w:style>
  <w:style w:type="paragraph" w:customStyle="1" w:styleId="Confidential">
    <w:name w:val="Confidential"/>
    <w:basedOn w:val="WA"/>
    <w:pPr>
      <w:spacing w:after="0"/>
    </w:pPr>
    <w:rPr>
      <w:color w:val="FFFFFF"/>
      <w:lang w:eastAsia="en-US"/>
    </w:rPr>
  </w:style>
  <w:style w:type="paragraph" w:customStyle="1" w:styleId="zySchoulderClause">
    <w:name w:val="zySchoulderClause"/>
    <w:basedOn w:val="yShoulderClause"/>
    <w:rPr>
      <w:sz w:val="20"/>
      <w:lang w:eastAsia="en-US"/>
    </w:rPr>
  </w:style>
  <w:style w:type="paragraph" w:customStyle="1" w:styleId="NotesPerm">
    <w:name w:val="NotesPerm"/>
    <w:basedOn w:val="Normal"/>
    <w:pPr>
      <w:tabs>
        <w:tab w:val="left" w:pos="879"/>
      </w:tabs>
      <w:spacing w:before="160"/>
      <w:ind w:left="879" w:hanging="879"/>
    </w:pPr>
    <w:rPr>
      <w:rFonts w:ascii="Arial" w:hAnsi="Arial"/>
      <w:sz w:val="18"/>
      <w:lang w:eastAsia="en-US"/>
    </w:r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lang w:eastAsia="en-US"/>
    </w:rPr>
  </w:style>
  <w:style w:type="paragraph" w:customStyle="1" w:styleId="nzMiscellaneousHeading">
    <w:name w:val="nzMiscellaneous Heading"/>
    <w:basedOn w:val="zMiscellaneousHeading"/>
    <w:pPr>
      <w:spacing w:before="80" w:line="240" w:lineRule="auto"/>
    </w:pPr>
    <w:rPr>
      <w:sz w:val="20"/>
      <w:lang w:eastAsia="en-US"/>
    </w:rPr>
  </w:style>
  <w:style w:type="paragraph" w:customStyle="1" w:styleId="nzLongTitle">
    <w:name w:val="nzLong Title"/>
    <w:basedOn w:val="zLongTitle"/>
    <w:pPr>
      <w:spacing w:before="40"/>
    </w:pPr>
    <w:rPr>
      <w:sz w:val="20"/>
      <w:lang w:eastAsia="en-US"/>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tabs>
        <w:tab w:val="left" w:pos="1446"/>
      </w:tabs>
      <w:spacing w:before="40"/>
    </w:pPr>
    <w:rPr>
      <w:sz w:val="20"/>
      <w:lang w:eastAsia="en-US"/>
    </w:rPr>
  </w:style>
  <w:style w:type="paragraph" w:customStyle="1" w:styleId="yHeading6">
    <w:name w:val="yHeading 6"/>
    <w:basedOn w:val="Heading6"/>
    <w:rPr>
      <w:sz w:val="22"/>
      <w:lang w:eastAsia="en-US"/>
    </w:rPr>
  </w:style>
  <w:style w:type="paragraph" w:customStyle="1" w:styleId="LegTblHist">
    <w:name w:val="LegTblHist"/>
    <w:basedOn w:val="Heading2"/>
    <w:rPr>
      <w:bCs/>
      <w:lang w:eastAsia="en-US"/>
    </w:rPr>
  </w:style>
  <w:style w:type="paragraph" w:customStyle="1" w:styleId="ReprintNo0">
    <w:name w:val="ReprintNo."/>
    <w:pPr>
      <w:outlineLvl w:val="0"/>
    </w:pPr>
    <w:rPr>
      <w:b/>
      <w:noProof/>
      <w:sz w:val="28"/>
      <w:lang w:eastAsia="en-US"/>
    </w:rPr>
  </w:style>
  <w:style w:type="paragraph" w:customStyle="1" w:styleId="nzDefitem">
    <w:name w:val="nzDefitem"/>
    <w:pPr>
      <w:tabs>
        <w:tab w:val="right" w:pos="3459"/>
      </w:tabs>
      <w:spacing w:before="40"/>
      <w:ind w:left="3686" w:right="284" w:hanging="3119"/>
    </w:pPr>
    <w:rPr>
      <w:snapToGrid w:val="0"/>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nzNumberedItemPara">
    <w:name w:val="nzNumberedItemPara"/>
    <w:pPr>
      <w:tabs>
        <w:tab w:val="right" w:pos="1899"/>
      </w:tabs>
      <w:spacing w:before="40"/>
      <w:ind w:left="2183" w:right="284" w:hanging="1616"/>
    </w:pPr>
  </w:style>
  <w:style w:type="paragraph" w:customStyle="1" w:styleId="nzNumberedItemSubPara">
    <w:name w:val="nzNumberedItemSubPara"/>
    <w:pPr>
      <w:tabs>
        <w:tab w:val="right" w:pos="2608"/>
      </w:tabs>
      <w:spacing w:before="40"/>
      <w:ind w:left="2892" w:right="284" w:hanging="2325"/>
    </w:pPr>
  </w:style>
  <w:style w:type="paragraph" w:customStyle="1" w:styleId="nzPermNoteHeading">
    <w:name w:val="nzPermNoteHeading"/>
    <w:pPr>
      <w:spacing w:before="40"/>
      <w:ind w:left="1446" w:right="284" w:hanging="879"/>
    </w:pPr>
    <w:rPr>
      <w:rFonts w:ascii="Arial" w:hAnsi="Arial"/>
      <w:sz w:val="14"/>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lang w:eastAsia="en-AU"/>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lang w:eastAsia="en-AU"/>
    </w:rPr>
  </w:style>
  <w:style w:type="paragraph" w:customStyle="1" w:styleId="nzEdnotesection">
    <w:name w:val="nzEdnote(section)"/>
    <w:basedOn w:val="nzHeading5"/>
    <w:rPr>
      <w:b w:val="0"/>
      <w:i/>
    </w:rPr>
  </w:style>
  <w:style w:type="paragraph" w:customStyle="1" w:styleId="nzEdnotepara">
    <w:name w:val="nzEdnote(para)"/>
    <w:basedOn w:val="nzIndenta"/>
    <w:rPr>
      <w:i/>
    </w:rPr>
  </w:style>
  <w:style w:type="paragraph" w:customStyle="1" w:styleId="nzEdnotesubpara">
    <w:name w:val="nzEdnote(subpara)"/>
    <w:basedOn w:val="nzIndenti"/>
    <w:rPr>
      <w:i/>
      <w:lang w:eastAsia="en-AU"/>
    </w:rPr>
  </w:style>
  <w:style w:type="paragraph" w:customStyle="1" w:styleId="nzEdnoteitem">
    <w:name w:val="nzEdnote(item)"/>
    <w:basedOn w:val="nzIndentI0"/>
    <w:rPr>
      <w:i/>
      <w:lang w:eastAsia="en-AU"/>
    </w:rPr>
  </w:style>
  <w:style w:type="paragraph" w:customStyle="1" w:styleId="nzEdnotesubitem">
    <w:name w:val="nzEdnote(subitem)"/>
    <w:basedOn w:val="nzIndentA0"/>
    <w:rPr>
      <w:i/>
      <w:lang w:eastAsia="en-AU"/>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lang w:eastAsia="en-AU"/>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rFonts w:ascii="CG Times" w:hAnsi="CG Times"/>
      <w:i/>
      <w:snapToGrid w:val="0"/>
    </w:rPr>
  </w:style>
  <w:style w:type="paragraph" w:customStyle="1" w:styleId="nzFootnotelongtitle">
    <w:name w:val="nzFootnote(longtitle)"/>
    <w:basedOn w:val="nzFootnotesection"/>
    <w:rPr>
      <w:rFonts w:ascii="CG Times" w:hAnsi="CG Times"/>
    </w:rPr>
  </w:style>
  <w:style w:type="paragraph" w:customStyle="1" w:styleId="nzFootnotepreamble">
    <w:name w:val="nzFootnote(preamble)"/>
    <w:basedOn w:val="nzFootnotesection"/>
    <w:rPr>
      <w:rFonts w:ascii="CG Times" w:hAnsi="CG Times"/>
    </w:rPr>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6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21" Type="http://schemas.openxmlformats.org/officeDocument/2006/relationships/hyperlink" Target="http://www.legislation.sa.gov.au/index.aspx?action=legref&amp;type=act&amp;legtitle=National%20Gas%20(South%20Australia)%20Act%202008" TargetMode="Externa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88538</Words>
  <Characters>440038</Characters>
  <Application>Microsoft Office Word</Application>
  <DocSecurity>0</DocSecurity>
  <Lines>12572</Lines>
  <Paragraphs>6446</Paragraphs>
  <ScaleCrop>false</ScaleCrop>
  <HeadingPairs>
    <vt:vector size="2" baseType="variant">
      <vt:variant>
        <vt:lpstr>Title</vt:lpstr>
      </vt:variant>
      <vt:variant>
        <vt:i4>1</vt:i4>
      </vt:variant>
    </vt:vector>
  </HeadingPairs>
  <TitlesOfParts>
    <vt:vector size="1" baseType="lpstr">
      <vt:lpstr>National Gas Access (Western Australia) Law</vt:lpstr>
    </vt:vector>
  </TitlesOfParts>
  <Manager/>
  <Company/>
  <LinksUpToDate>false</LinksUpToDate>
  <CharactersWithSpaces>522130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(Western Australia) Law - 00-c0-00</dc:title>
  <dc:subject/>
  <dc:creator/>
  <cp:keywords/>
  <dc:description/>
  <cp:lastModifiedBy>Master Repository Process</cp:lastModifiedBy>
  <cp:revision>4</cp:revision>
  <cp:lastPrinted>2025-12-04T01:41:00Z</cp:lastPrinted>
  <dcterms:created xsi:type="dcterms:W3CDTF">2026-02-04T07:03:00Z</dcterms:created>
  <dcterms:modified xsi:type="dcterms:W3CDTF">2026-02-04T07:03:00Z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Act</vt:lpwstr>
  </property>
  <property fmtid="{D5CDD505-2E9C-101B-9397-08002B2CF9AE}" pid="3" name="OwlsUID">
    <vt:i4>147443</vt:i4>
  </property>
  <property fmtid="{D5CDD505-2E9C-101B-9397-08002B2CF9AE}" pid="4" name="AsAtDate">
    <vt:lpwstr>23 Dec 2017</vt:lpwstr>
  </property>
  <property fmtid="{D5CDD505-2E9C-101B-9397-08002B2CF9AE}" pid="5" name="Suffix">
    <vt:lpwstr>00-c0-00</vt:lpwstr>
  </property>
  <property fmtid="{D5CDD505-2E9C-101B-9397-08002B2CF9AE}" pid="6" name="Official">
    <vt:lpwstr/>
  </property>
  <property fmtid="{D5CDD505-2E9C-101B-9397-08002B2CF9AE}" pid="7" name="ActNo">
    <vt:lpwstr>16 of 2009</vt:lpwstr>
  </property>
  <property fmtid="{D5CDD505-2E9C-101B-9397-08002B2CF9AE}" pid="8" name="CommencementDate">
    <vt:lpwstr>20171223</vt:lpwstr>
  </property>
  <property fmtid="{D5CDD505-2E9C-101B-9397-08002B2CF9AE}" pid="9" name="CommencementAsAt">
    <vt:filetime>2017-12-22T16:00:00Z</vt:filetime>
  </property>
  <property fmtid="{D5CDD505-2E9C-101B-9397-08002B2CF9AE}" pid="10" name="CommencementYear">
    <vt:lpwstr>2017</vt:lpwstr>
  </property>
</Properties>
</file>