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2)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2)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_Toc221089728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_Toc221089729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2) 2026</w:t>
      </w:r>
    </w:p>
    <w:p>
      <w:pPr>
        <w:pStyle w:val="MadeBy"/>
      </w:pPr>
      <w:r>
        <w:t>Made under section 12(2)(c) of the Act.</w:t>
      </w:r>
    </w:p>
    <w:p>
      <w:pPr>
        <w:pStyle w:val="Heading5"/>
      </w:pPr>
      <w:bookmarkStart w:id="2" w:name="_Toc221087040"/>
      <w:bookmarkStart w:id="3" w:name="_Toc22108972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  <w:t xml:space="preserve">This notice is the </w:t>
      </w:r>
      <w:r>
        <w:rPr>
          <w:i/>
          <w:iCs/>
        </w:rPr>
        <w:t>Therapeutic Goods (Legislative Instruments) Notice (No. 2) 2026</w:t>
      </w:r>
      <w:r>
        <w:t>.</w:t>
      </w:r>
    </w:p>
    <w:p>
      <w:pPr>
        <w:pStyle w:val="Heading5"/>
      </w:pPr>
      <w:bookmarkStart w:id="4" w:name="_Toc221087041"/>
      <w:bookmarkStart w:id="5" w:name="_Toc221089729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The </w:t>
      </w:r>
      <w:r>
        <w:rPr>
          <w:spacing w:val="-2"/>
        </w:rPr>
        <w:t>following</w:t>
      </w:r>
      <w:r>
        <w:t xml:space="preserve"> therapeutic legislative instruments have been made and published on the Federal Register of Legislation website </w:t>
      </w:r>
      <w:hyperlink r:id="rId21" w:history="1">
        <w:r>
          <w:rPr>
            <w:rStyle w:val="Hyperlink"/>
          </w:rPr>
          <w:t>www.legislation.gov.au</w:t>
        </w:r>
      </w:hyperlink>
      <w:r>
        <w:t>:</w:t>
      </w:r>
    </w:p>
    <w:p>
      <w:pPr>
        <w:pStyle w:val="MiscellaneousBody"/>
        <w:tabs>
          <w:tab w:val="left" w:pos="2127"/>
        </w:tabs>
        <w:spacing w:before="40"/>
        <w:ind w:left="1276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1.</w:t>
      </w:r>
      <w:r>
        <w:rPr>
          <w:color w:val="000000" w:themeColor="text1"/>
          <w:szCs w:val="24"/>
        </w:rPr>
        <w:tab/>
        <w:t>Therapeutic Goods (Medicines and OTG—Authorised Supply) Amendment Rules 2026</w:t>
      </w:r>
    </w:p>
    <w:p>
      <w:pPr>
        <w:pStyle w:val="MiscellaneousBody"/>
        <w:tabs>
          <w:tab w:val="left" w:pos="2127"/>
        </w:tabs>
        <w:spacing w:before="40"/>
        <w:ind w:left="1276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2.</w:t>
      </w:r>
      <w:r>
        <w:rPr>
          <w:color w:val="000000" w:themeColor="text1"/>
          <w:szCs w:val="24"/>
        </w:rPr>
        <w:tab/>
        <w:t>Therapeutic Goods (Serious Scarcity and Substitutable Medicine) (Labetalol) Instrument 2026</w:t>
      </w:r>
    </w:p>
    <w:p>
      <w:pPr>
        <w:pStyle w:val="MiscellaneousBody"/>
        <w:tabs>
          <w:tab w:val="left" w:pos="2127"/>
        </w:tabs>
        <w:spacing w:before="40"/>
        <w:ind w:left="1276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3.</w:t>
      </w:r>
      <w:r>
        <w:rPr>
          <w:color w:val="000000" w:themeColor="text1"/>
          <w:szCs w:val="24"/>
        </w:rPr>
        <w:tab/>
        <w:t>Therapeutic Goods (Serious Scarcity and Substitutable Medicine) (Estradiol) Amendment Instrument 2026</w:t>
      </w:r>
    </w:p>
    <w:p>
      <w:pPr>
        <w:pStyle w:val="PermNoteHeading"/>
        <w:tabs>
          <w:tab w:val="left" w:pos="426"/>
        </w:tabs>
        <w:ind w:left="709" w:firstLine="579"/>
      </w:pPr>
      <w:r>
        <w:t>Note: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rPr>
          <w:b/>
          <w:bCs/>
          <w:sz w:val="20"/>
        </w:rPr>
      </w:pPr>
      <w:r>
        <w:rPr>
          <w:b/>
          <w:bCs/>
          <w:sz w:val="20"/>
        </w:rPr>
        <w:br w:type="page"/>
      </w:r>
    </w:p>
    <w:p>
      <w:pPr>
        <w:pStyle w:val="ByCommand"/>
        <w:keepLines/>
        <w:spacing w:before="5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JANE LAURENCE</w:t>
      </w:r>
      <w:r>
        <w:rPr>
          <w:b/>
          <w:bCs/>
          <w:sz w:val="22"/>
          <w:szCs w:val="22"/>
        </w:rPr>
        <w:br/>
        <w:t>GENERAL COUNSEL AND DIRECTOR</w:t>
      </w:r>
      <w:r>
        <w:rPr>
          <w:b/>
          <w:bCs/>
          <w:sz w:val="22"/>
          <w:szCs w:val="22"/>
        </w:rPr>
        <w:br/>
        <w:t>LEGAL AND LEGISLATIVE SERVICES</w:t>
      </w:r>
      <w:r>
        <w:rPr>
          <w:b/>
          <w:bCs/>
          <w:sz w:val="22"/>
          <w:szCs w:val="22"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20408415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2031306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203130606_GUID" w:val="ddcd7a44-81cf-4a5b-9da6-93ccff7f9e64"/>
    <w:docVar w:name="WAFER_202602040841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204084151_GUID" w:val="475cd2f0-8350-48fa-a8a3-0a84cd293f1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13F05114-946E-40A6-AA51-66914D9DF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2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279</Words>
  <Characters>1700</Characters>
  <Application>Microsoft Office Word</Application>
  <DocSecurity>0</DocSecurity>
  <Lines>62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2)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2026-02-05T01:18:00Z</dcterms:created>
  <dcterms:modified xsi:type="dcterms:W3CDTF">2026-02-05T01:18:00Z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55816</vt:lpwstr>
  </property>
  <property fmtid="{D5CDD505-2E9C-101B-9397-08002B2CF9AE}" pid="3" name="DocumentType">
    <vt:lpwstr>Reg</vt:lpwstr>
  </property>
  <property fmtid="{D5CDD505-2E9C-101B-9397-08002B2CF9AE}" pid="4" name="AsAtDate">
    <vt:lpwstr>06 Feb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2026-02-05T16:00:00Z</vt:filetime>
  </property>
  <property fmtid="{D5CDD505-2E9C-101B-9397-08002B2CF9AE}" pid="8" name="CommencementYear">
    <vt:lpwstr>2026</vt:lpwstr>
  </property>
  <property fmtid="{D5CDD505-2E9C-101B-9397-08002B2CF9AE}" pid="9" name="SLAPId">
    <vt:lpwstr>2026/7</vt:lpwstr>
  </property>
  <property fmtid="{D5CDD505-2E9C-101B-9397-08002B2CF9AE}" pid="10" name="PublishDate">
    <vt:lpwstr>6 Feb 2026</vt:lpwstr>
  </property>
  <property fmtid="{D5CDD505-2E9C-101B-9397-08002B2CF9AE}" pid="11" name="CommencementDate">
    <vt:lpwstr>20260206</vt:lpwstr>
  </property>
</Properties>
</file>