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Regulations Amendment Regulations (No. 2)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Regulations Amendment Regulations (No. 2)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_Toc222223033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_Toc222223034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Work Health and Safety (General)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_Toc222223036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227 amended</w:t>
      </w:r>
      <w:r>
        <w:tab/>
      </w:r>
      <w:r>
        <w:fldChar w:fldCharType="begin"/>
      </w:r>
      <w:r>
        <w:instrText xml:space="preserve"> PAGEREF _Toc222223037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234 amended</w:t>
      </w:r>
      <w:r>
        <w:tab/>
      </w:r>
      <w:r>
        <w:fldChar w:fldCharType="begin"/>
      </w:r>
      <w:r>
        <w:instrText xml:space="preserve"> PAGEREF _Toc222223038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237 amended</w:t>
      </w:r>
      <w:r>
        <w:tab/>
      </w:r>
      <w:r>
        <w:fldChar w:fldCharType="begin"/>
      </w:r>
      <w:r>
        <w:instrText xml:space="preserve"> PAGEREF _Toc222223039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246 amended</w:t>
      </w:r>
      <w:r>
        <w:tab/>
      </w:r>
      <w:r>
        <w:fldChar w:fldCharType="begin"/>
      </w:r>
      <w:r>
        <w:instrText xml:space="preserve"> PAGEREF _Toc222223040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Work Health and Safety (Mines)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_Toc222223042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227 amended</w:t>
      </w:r>
      <w:r>
        <w:tab/>
      </w:r>
      <w:r>
        <w:fldChar w:fldCharType="begin"/>
      </w:r>
      <w:r>
        <w:instrText xml:space="preserve"> PAGEREF _Toc222223043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234 amended</w:t>
      </w:r>
      <w:r>
        <w:tab/>
      </w:r>
      <w:r>
        <w:fldChar w:fldCharType="begin"/>
      </w:r>
      <w:r>
        <w:instrText xml:space="preserve"> PAGEREF _Toc222223044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237 amended</w:t>
      </w:r>
      <w:r>
        <w:tab/>
      </w:r>
      <w:r>
        <w:fldChar w:fldCharType="begin"/>
      </w:r>
      <w:r>
        <w:instrText xml:space="preserve"> PAGEREF _Toc222223045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246 amended</w:t>
      </w:r>
      <w:r>
        <w:tab/>
      </w:r>
      <w:r>
        <w:fldChar w:fldCharType="begin"/>
      </w:r>
      <w:r>
        <w:instrText xml:space="preserve"> PAGEREF _Toc222223046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Regulations Amendment Regulations (No. 2) 2026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221800777"/>
      <w:bookmarkStart w:id="3" w:name="_Toc221800833"/>
      <w:bookmarkStart w:id="4" w:name="_Toc221800896"/>
      <w:bookmarkStart w:id="5" w:name="_Toc22222303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21800778"/>
      <w:bookmarkStart w:id="7" w:name="_Toc222223033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Regulations Amendment Regulations (No. 2) 2026</w:t>
      </w:r>
      <w:r>
        <w:t>.</w:t>
      </w:r>
    </w:p>
    <w:p>
      <w:pPr>
        <w:pStyle w:val="Heading5"/>
        <w:rPr>
          <w:spacing w:val="-2"/>
        </w:rPr>
      </w:pPr>
      <w:bookmarkStart w:id="9" w:name="_Toc221800779"/>
      <w:bookmarkStart w:id="10" w:name="_Toc22222303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221800780"/>
      <w:bookmarkStart w:id="12" w:name="_Toc221800836"/>
      <w:bookmarkStart w:id="13" w:name="_Toc221800899"/>
      <w:bookmarkStart w:id="14" w:name="_Toc22222303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Work Health and Safety (General) Regulations 2022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221800781"/>
      <w:bookmarkStart w:id="16" w:name="_Toc2222230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</w:t>
      </w:r>
      <w:r>
        <w:rPr>
          <w:i/>
        </w:rPr>
        <w:t xml:space="preserve"> Work Health and Safety (General) Regulations 2022</w:t>
      </w:r>
      <w:r>
        <w:t>.</w:t>
      </w:r>
    </w:p>
    <w:p>
      <w:pPr>
        <w:pStyle w:val="Heading5"/>
      </w:pPr>
      <w:bookmarkStart w:id="17" w:name="_Toc221800782"/>
      <w:bookmarkStart w:id="18" w:name="_Toc222223037"/>
      <w:r>
        <w:rPr>
          <w:rStyle w:val="CharSectno"/>
        </w:rPr>
        <w:t>4</w:t>
      </w:r>
      <w:r>
        <w:t>.</w:t>
      </w:r>
      <w:r>
        <w:tab/>
        <w:t>Regulation 227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227(a) delete “is”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is, or but for regulation 246(1)(b) would be,</w:t>
      </w:r>
    </w:p>
    <w:p>
      <w:pPr>
        <w:pStyle w:val="BlankClose"/>
      </w:pPr>
    </w:p>
    <w:p>
      <w:pPr>
        <w:pStyle w:val="Heading5"/>
      </w:pPr>
      <w:bookmarkStart w:id="19" w:name="_Toc221800783"/>
      <w:bookmarkStart w:id="20" w:name="_Toc222223038"/>
      <w:r>
        <w:rPr>
          <w:rStyle w:val="CharSectno"/>
        </w:rPr>
        <w:t>5</w:t>
      </w:r>
      <w:r>
        <w:t>.</w:t>
      </w:r>
      <w:r>
        <w:tab/>
        <w:t>Regulation 234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234(2) delete the passage that begins with “must” and ends with “Part 5.3.”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commits an offence if — </w:t>
      </w:r>
    </w:p>
    <w:p>
      <w:pPr>
        <w:pStyle w:val="zIndenta"/>
      </w:pPr>
      <w:r>
        <w:tab/>
        <w:t>(a)</w:t>
      </w:r>
      <w:r>
        <w:tab/>
        <w:t>the person commissions an item of plant that is specified in Schedule 5 Division 2 for use in a workplace; and</w:t>
      </w:r>
    </w:p>
    <w:p>
      <w:pPr>
        <w:pStyle w:val="zIndenta"/>
      </w:pPr>
      <w:r>
        <w:tab/>
        <w:t>(b)</w:t>
      </w:r>
      <w:r>
        <w:tab/>
        <w:t>the item of plant is not registered under Part 5.3; and</w:t>
      </w:r>
    </w:p>
    <w:p>
      <w:pPr>
        <w:pStyle w:val="zIndenta"/>
      </w:pPr>
      <w:r>
        <w:tab/>
        <w:t>(c)</w:t>
      </w:r>
      <w:r>
        <w:tab/>
        <w:t>regulation 246(2A) does not apply to the item of plant at the time the person commissions the item of plant.</w:t>
      </w:r>
    </w:p>
    <w:p>
      <w:pPr>
        <w:pStyle w:val="BlankClose"/>
      </w:pPr>
    </w:p>
    <w:p>
      <w:pPr>
        <w:pStyle w:val="Heading5"/>
      </w:pPr>
      <w:bookmarkStart w:id="21" w:name="_Toc221800784"/>
      <w:bookmarkStart w:id="22" w:name="_Toc222223039"/>
      <w:r>
        <w:rPr>
          <w:rStyle w:val="CharSectno"/>
        </w:rPr>
        <w:lastRenderedPageBreak/>
        <w:t>6</w:t>
      </w:r>
      <w:r>
        <w:t>.</w:t>
      </w:r>
      <w:r>
        <w:tab/>
        <w:t>Regulation 237 amended</w:t>
      </w:r>
      <w:bookmarkEnd w:id="21"/>
      <w:bookmarkEnd w:id="22"/>
    </w:p>
    <w:p>
      <w:pPr>
        <w:pStyle w:val="Subsection"/>
        <w:keepNext/>
      </w:pPr>
      <w:r>
        <w:tab/>
      </w:r>
      <w:r>
        <w:tab/>
        <w:t>In regulation 237(1) delete “is”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is, or but for regulation 246(1)(b) would be,</w:t>
      </w:r>
    </w:p>
    <w:p>
      <w:pPr>
        <w:pStyle w:val="BlankClose"/>
      </w:pPr>
    </w:p>
    <w:p>
      <w:pPr>
        <w:pStyle w:val="Heading5"/>
      </w:pPr>
      <w:bookmarkStart w:id="23" w:name="_Toc221800785"/>
      <w:bookmarkStart w:id="24" w:name="_Toc222223040"/>
      <w:r>
        <w:rPr>
          <w:rStyle w:val="CharSectno"/>
        </w:rPr>
        <w:t>7</w:t>
      </w:r>
      <w:r>
        <w:t>.</w:t>
      </w:r>
      <w:r>
        <w:tab/>
        <w:t>Regulation 246 amended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In regulation 246(1) delete “specified in Schedule 5 Division 2 must be registered under this Part.”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must be registered under this Part if — </w:t>
      </w:r>
    </w:p>
    <w:p>
      <w:pPr>
        <w:pStyle w:val="zIndenta"/>
      </w:pPr>
      <w:r>
        <w:tab/>
        <w:t>(a)</w:t>
      </w:r>
      <w:r>
        <w:tab/>
        <w:t>it is specified in Schedule 5 Division 2; and</w:t>
      </w:r>
    </w:p>
    <w:p>
      <w:pPr>
        <w:pStyle w:val="zIndenta"/>
      </w:pPr>
      <w:r>
        <w:tab/>
        <w:t>(b)</w:t>
      </w:r>
      <w:r>
        <w:tab/>
        <w:t>subregulation (2A) does not apply to it.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246(2)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 xml:space="preserve">This subregulation applies to an item of plant for the exception period if — </w:t>
      </w:r>
    </w:p>
    <w:p>
      <w:pPr>
        <w:pStyle w:val="zIndenta"/>
      </w:pPr>
      <w:r>
        <w:tab/>
        <w:t>(a)</w:t>
      </w:r>
      <w:r>
        <w:tab/>
        <w:t>an application for registration of the item of plant is made in accordance with Division 4; and</w:t>
      </w:r>
    </w:p>
    <w:p>
      <w:pPr>
        <w:pStyle w:val="zIndenta"/>
      </w:pPr>
      <w:r>
        <w:tab/>
        <w:t>(b)</w:t>
      </w:r>
      <w:r>
        <w:tab/>
        <w:t>the application is the first application that has been made in accordance with Division 4 for the item of plant; and</w:t>
      </w:r>
    </w:p>
    <w:p>
      <w:pPr>
        <w:pStyle w:val="zIndenta"/>
      </w:pPr>
      <w:r>
        <w:tab/>
        <w:t>(c)</w:t>
      </w:r>
      <w:r>
        <w:tab/>
        <w:t>a record of the inspection and assessment of the item of plant referred to in regulation 266(2)(h) is available for inspection under the Act.</w:t>
      </w:r>
    </w:p>
    <w:p>
      <w:pPr>
        <w:pStyle w:val="zSubsection"/>
      </w:pPr>
      <w:r>
        <w:tab/>
        <w:t>(2B)</w:t>
      </w:r>
      <w:r>
        <w:tab/>
        <w:t xml:space="preserve">The </w:t>
      </w:r>
      <w:r>
        <w:rPr>
          <w:rStyle w:val="CharDefText"/>
        </w:rPr>
        <w:t>exception period</w:t>
      </w:r>
      <w:r>
        <w:t xml:space="preserve">, in relation to an item of plant referred to in subregulation (2A), is the period — </w:t>
      </w:r>
    </w:p>
    <w:p>
      <w:pPr>
        <w:pStyle w:val="zIndenta"/>
      </w:pPr>
      <w:r>
        <w:tab/>
        <w:t>(a)</w:t>
      </w:r>
      <w:r>
        <w:tab/>
        <w:t>beginning immediately after the application for registration of the item of plant is made; and</w:t>
      </w:r>
    </w:p>
    <w:p>
      <w:pPr>
        <w:pStyle w:val="zIndenta"/>
      </w:pPr>
      <w:r>
        <w:lastRenderedPageBreak/>
        <w:tab/>
        <w:t>(b)</w:t>
      </w:r>
      <w:r>
        <w:tab/>
        <w:t xml:space="preserve">ending on the earliest of the following — </w:t>
      </w:r>
    </w:p>
    <w:p>
      <w:pPr>
        <w:pStyle w:val="zIndenti"/>
      </w:pPr>
      <w:r>
        <w:tab/>
        <w:t>(i)</w:t>
      </w:r>
      <w:r>
        <w:tab/>
        <w:t xml:space="preserve">the day that is 30 days after the day on which the application for registration is made; </w:t>
      </w:r>
    </w:p>
    <w:p>
      <w:pPr>
        <w:pStyle w:val="zIndenti"/>
      </w:pPr>
      <w:r>
        <w:tab/>
        <w:t>(ii)</w:t>
      </w:r>
      <w:r>
        <w:tab/>
        <w:t>the day on which the regulator grants the registration;</w:t>
      </w:r>
    </w:p>
    <w:p>
      <w:pPr>
        <w:pStyle w:val="zIndenti"/>
      </w:pPr>
      <w:r>
        <w:tab/>
        <w:t>(iii)</w:t>
      </w:r>
      <w:r>
        <w:tab/>
        <w:t>the day on which the application is taken to have been withdrawn under regulation 268(3);</w:t>
      </w:r>
    </w:p>
    <w:p>
      <w:pPr>
        <w:pStyle w:val="zIndenti"/>
      </w:pPr>
      <w:r>
        <w:tab/>
        <w:t>(iv)</w:t>
      </w:r>
      <w:r>
        <w:tab/>
        <w:t>the day on which the regulator gives the applicant a written notice under regulation 270(1).</w:t>
      </w:r>
    </w:p>
    <w:p>
      <w:pPr>
        <w:pStyle w:val="BlankClose"/>
      </w:pPr>
    </w:p>
    <w:p>
      <w:pPr>
        <w:pStyle w:val="Heading2"/>
      </w:pPr>
      <w:bookmarkStart w:id="25" w:name="_Toc221800786"/>
      <w:bookmarkStart w:id="26" w:name="_Toc221800842"/>
      <w:bookmarkStart w:id="27" w:name="_Toc221800905"/>
      <w:bookmarkStart w:id="28" w:name="_Toc22222304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Work Health and Safety (Mines) Regulations 2022</w:t>
      </w:r>
      <w:r>
        <w:rPr>
          <w:rStyle w:val="CharPartText"/>
        </w:rPr>
        <w:t xml:space="preserve"> amended</w:t>
      </w:r>
      <w:bookmarkEnd w:id="25"/>
      <w:bookmarkEnd w:id="26"/>
      <w:bookmarkEnd w:id="27"/>
      <w:bookmarkEnd w:id="28"/>
    </w:p>
    <w:p>
      <w:pPr>
        <w:pStyle w:val="Heading5"/>
        <w:rPr>
          <w:snapToGrid w:val="0"/>
        </w:rPr>
      </w:pPr>
      <w:bookmarkStart w:id="29" w:name="_Toc221800787"/>
      <w:bookmarkStart w:id="30" w:name="_Toc22222304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9"/>
      <w:bookmarkEnd w:id="30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</w:t>
      </w:r>
      <w:r>
        <w:rPr>
          <w:i/>
        </w:rPr>
        <w:t xml:space="preserve"> Work Health and Safety (Mines) Regulations 2022</w:t>
      </w:r>
      <w:r>
        <w:t>.</w:t>
      </w:r>
    </w:p>
    <w:p>
      <w:pPr>
        <w:pStyle w:val="Heading5"/>
      </w:pPr>
      <w:bookmarkStart w:id="31" w:name="_Toc221800788"/>
      <w:bookmarkStart w:id="32" w:name="_Toc222223043"/>
      <w:r>
        <w:rPr>
          <w:rStyle w:val="CharSectno"/>
        </w:rPr>
        <w:t>9</w:t>
      </w:r>
      <w:r>
        <w:t>.</w:t>
      </w:r>
      <w:r>
        <w:tab/>
        <w:t>Regulation 227 amended</w:t>
      </w:r>
      <w:bookmarkEnd w:id="31"/>
      <w:bookmarkEnd w:id="32"/>
    </w:p>
    <w:p>
      <w:pPr>
        <w:pStyle w:val="Subsection"/>
      </w:pPr>
      <w:r>
        <w:tab/>
      </w:r>
      <w:r>
        <w:tab/>
        <w:t>In regulation 227(a) delete “is”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is, or but for regulation 246(1)(b) would be,</w:t>
      </w:r>
    </w:p>
    <w:p>
      <w:pPr>
        <w:pStyle w:val="BlankClose"/>
      </w:pPr>
    </w:p>
    <w:p>
      <w:pPr>
        <w:pStyle w:val="Heading5"/>
      </w:pPr>
      <w:bookmarkStart w:id="33" w:name="_Toc221800789"/>
      <w:bookmarkStart w:id="34" w:name="_Toc222223044"/>
      <w:r>
        <w:rPr>
          <w:rStyle w:val="CharSectno"/>
        </w:rPr>
        <w:t>10</w:t>
      </w:r>
      <w:r>
        <w:t>.</w:t>
      </w:r>
      <w:r>
        <w:tab/>
        <w:t>Regulation 234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234(2) delete the passage that begins with “must” and ends with “Part 5.3.”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commits an offence if — </w:t>
      </w:r>
    </w:p>
    <w:p>
      <w:pPr>
        <w:pStyle w:val="zIndenta"/>
      </w:pPr>
      <w:r>
        <w:tab/>
        <w:t>(a)</w:t>
      </w:r>
      <w:r>
        <w:tab/>
        <w:t>the person commissions an item of plant that is specified in Schedule 5 Division 2 for use in a workplace; and</w:t>
      </w:r>
    </w:p>
    <w:p>
      <w:pPr>
        <w:pStyle w:val="zIndenta"/>
      </w:pPr>
      <w:r>
        <w:tab/>
        <w:t>(b)</w:t>
      </w:r>
      <w:r>
        <w:tab/>
        <w:t xml:space="preserve">the item of plant is not registered under the </w:t>
      </w:r>
      <w:r>
        <w:rPr>
          <w:i/>
          <w:iCs/>
        </w:rPr>
        <w:t>Work Health and Safety (General) Regulations 2022</w:t>
      </w:r>
      <w:r>
        <w:t xml:space="preserve"> Part 5.3; and</w:t>
      </w:r>
    </w:p>
    <w:p>
      <w:pPr>
        <w:pStyle w:val="zIndenta"/>
      </w:pPr>
      <w:r>
        <w:tab/>
        <w:t>(c)</w:t>
      </w:r>
      <w:r>
        <w:tab/>
        <w:t>regulation 246(2A) does not apply to the item of plant at the time the person commissions the item of plant.</w:t>
      </w:r>
    </w:p>
    <w:p>
      <w:pPr>
        <w:pStyle w:val="BlankClose"/>
      </w:pPr>
    </w:p>
    <w:p>
      <w:pPr>
        <w:pStyle w:val="Heading5"/>
      </w:pPr>
      <w:bookmarkStart w:id="35" w:name="_Toc221800790"/>
      <w:bookmarkStart w:id="36" w:name="_Toc222223045"/>
      <w:r>
        <w:rPr>
          <w:rStyle w:val="CharSectno"/>
        </w:rPr>
        <w:lastRenderedPageBreak/>
        <w:t>11</w:t>
      </w:r>
      <w:r>
        <w:t>.</w:t>
      </w:r>
      <w:r>
        <w:tab/>
        <w:t>Regulation 237 amended</w:t>
      </w:r>
      <w:bookmarkEnd w:id="35"/>
      <w:bookmarkEnd w:id="36"/>
    </w:p>
    <w:p>
      <w:pPr>
        <w:pStyle w:val="Subsection"/>
        <w:keepNext/>
      </w:pPr>
      <w:r>
        <w:tab/>
      </w:r>
      <w:r>
        <w:tab/>
        <w:t>In regulation 237(1) delete “is”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is, or but for regulation 246(1)(b) would be,</w:t>
      </w:r>
    </w:p>
    <w:p>
      <w:pPr>
        <w:pStyle w:val="BlankClose"/>
      </w:pPr>
    </w:p>
    <w:p>
      <w:pPr>
        <w:pStyle w:val="Heading5"/>
      </w:pPr>
      <w:bookmarkStart w:id="37" w:name="_Toc221800791"/>
      <w:bookmarkStart w:id="38" w:name="_Toc222223046"/>
      <w:r>
        <w:rPr>
          <w:rStyle w:val="CharSectno"/>
        </w:rPr>
        <w:t>12</w:t>
      </w:r>
      <w:r>
        <w:t>.</w:t>
      </w:r>
      <w:r>
        <w:tab/>
        <w:t>Regulation 246 amended</w:t>
      </w:r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In regulation 246(1) delete “specified in Schedule 5 Division 2 must be registered under the </w:t>
      </w:r>
      <w:r>
        <w:rPr>
          <w:i/>
        </w:rPr>
        <w:t>Work Health and Safety (General) Regulations 2022</w:t>
      </w:r>
      <w:r>
        <w:t xml:space="preserve"> Part 5.3.”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must be registered under the </w:t>
      </w:r>
      <w:r>
        <w:rPr>
          <w:i/>
          <w:iCs/>
        </w:rPr>
        <w:t>Work Health and Safety (General) Regulations 2022</w:t>
      </w:r>
      <w:r>
        <w:t xml:space="preserve"> Part 5.3 if — </w:t>
      </w:r>
    </w:p>
    <w:p>
      <w:pPr>
        <w:pStyle w:val="zIndenta"/>
      </w:pPr>
      <w:r>
        <w:tab/>
        <w:t>(a)</w:t>
      </w:r>
      <w:r>
        <w:tab/>
        <w:t>it is specified in Schedule 5 Division 2; and</w:t>
      </w:r>
    </w:p>
    <w:p>
      <w:pPr>
        <w:pStyle w:val="zIndenta"/>
      </w:pPr>
      <w:r>
        <w:tab/>
        <w:t>(b)</w:t>
      </w:r>
      <w:r>
        <w:tab/>
        <w:t>subregulation (2A) does not apply to it.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246(2) insert:</w:t>
      </w:r>
    </w:p>
    <w:p>
      <w:pPr>
        <w:pStyle w:val="BlankOpen"/>
      </w:pPr>
    </w:p>
    <w:p>
      <w:pPr>
        <w:pStyle w:val="zSubsection"/>
      </w:pPr>
      <w:r>
        <w:tab/>
        <w:t>(2A)</w:t>
      </w:r>
      <w:r>
        <w:tab/>
        <w:t xml:space="preserve">This subregulation applies to an item of plant for the exception period if — </w:t>
      </w:r>
    </w:p>
    <w:p>
      <w:pPr>
        <w:pStyle w:val="zIndenta"/>
      </w:pPr>
      <w:r>
        <w:tab/>
        <w:t>(a)</w:t>
      </w:r>
      <w:r>
        <w:tab/>
        <w:t xml:space="preserve">an application for registration of the item of plant is made in accordance with the </w:t>
      </w:r>
      <w:r>
        <w:rPr>
          <w:i/>
        </w:rPr>
        <w:t>Work Health and Safety (General) Regulations 2022</w:t>
      </w:r>
      <w:r>
        <w:t xml:space="preserve"> Part 5.3 Division 4; and</w:t>
      </w:r>
    </w:p>
    <w:p>
      <w:pPr>
        <w:pStyle w:val="zIndenta"/>
      </w:pPr>
      <w:r>
        <w:tab/>
        <w:t>(b)</w:t>
      </w:r>
      <w:r>
        <w:tab/>
        <w:t xml:space="preserve">the application is the first application that has been made in accordance with the </w:t>
      </w:r>
      <w:r>
        <w:rPr>
          <w:i/>
        </w:rPr>
        <w:t>Work Health and Safety (General) Regulations 2022</w:t>
      </w:r>
      <w:r>
        <w:t xml:space="preserve"> Part 5.3 Division 4 for the item of plant; and</w:t>
      </w:r>
    </w:p>
    <w:p>
      <w:pPr>
        <w:pStyle w:val="zIndenta"/>
      </w:pPr>
      <w:r>
        <w:tab/>
        <w:t>(c)</w:t>
      </w:r>
      <w:r>
        <w:tab/>
        <w:t xml:space="preserve">a record of the inspection and assessment of the item of plant referred to in the </w:t>
      </w:r>
      <w:r>
        <w:rPr>
          <w:i/>
        </w:rPr>
        <w:t>Work Health and Safety (General) Regulations 2022</w:t>
      </w:r>
      <w:r>
        <w:t xml:space="preserve"> </w:t>
      </w:r>
      <w:r>
        <w:lastRenderedPageBreak/>
        <w:t>regulation 266(2)(h) is available for inspection under the Act.</w:t>
      </w:r>
    </w:p>
    <w:p>
      <w:pPr>
        <w:pStyle w:val="zSubsection"/>
      </w:pPr>
      <w:r>
        <w:tab/>
        <w:t>(2B)</w:t>
      </w:r>
      <w:r>
        <w:tab/>
        <w:t xml:space="preserve">The </w:t>
      </w:r>
      <w:r>
        <w:rPr>
          <w:rStyle w:val="CharDefText"/>
        </w:rPr>
        <w:t>exception period</w:t>
      </w:r>
      <w:r>
        <w:t xml:space="preserve">, in relation to an item of plant referred to in subregulation (2A), is the period — </w:t>
      </w:r>
    </w:p>
    <w:p>
      <w:pPr>
        <w:pStyle w:val="zIndenta"/>
      </w:pPr>
      <w:r>
        <w:tab/>
        <w:t>(a)</w:t>
      </w:r>
      <w:r>
        <w:tab/>
        <w:t>beginning immediately after the application for registration of the item of plant is made; and</w:t>
      </w:r>
    </w:p>
    <w:p>
      <w:pPr>
        <w:pStyle w:val="zIndenta"/>
      </w:pPr>
      <w:r>
        <w:tab/>
        <w:t>(b)</w:t>
      </w:r>
      <w:r>
        <w:tab/>
        <w:t xml:space="preserve">ending on the earliest of the following — </w:t>
      </w:r>
    </w:p>
    <w:p>
      <w:pPr>
        <w:pStyle w:val="zIndenti"/>
      </w:pPr>
      <w:r>
        <w:tab/>
        <w:t>(i)</w:t>
      </w:r>
      <w:r>
        <w:tab/>
        <w:t xml:space="preserve">the day that is 30 days after the day on which the application for registration is made; </w:t>
      </w:r>
    </w:p>
    <w:p>
      <w:pPr>
        <w:pStyle w:val="zIndenti"/>
      </w:pPr>
      <w:r>
        <w:tab/>
        <w:t>(ii)</w:t>
      </w:r>
      <w:r>
        <w:tab/>
        <w:t>the day on which the regulator grants the registration;</w:t>
      </w:r>
    </w:p>
    <w:p>
      <w:pPr>
        <w:pStyle w:val="zIndenti"/>
      </w:pPr>
      <w:r>
        <w:tab/>
        <w:t>(iii)</w:t>
      </w:r>
      <w:r>
        <w:tab/>
        <w:t xml:space="preserve">the day on which the application is taken to have been withdrawn under the </w:t>
      </w:r>
      <w:r>
        <w:rPr>
          <w:i/>
        </w:rPr>
        <w:t>Work Health and Safety (General) Regulations 2022</w:t>
      </w:r>
      <w:r>
        <w:t xml:space="preserve"> regulation 268(3);</w:t>
      </w:r>
    </w:p>
    <w:p>
      <w:pPr>
        <w:pStyle w:val="zIndenti"/>
      </w:pPr>
      <w:r>
        <w:tab/>
        <w:t>(iv)</w:t>
      </w:r>
      <w:r>
        <w:tab/>
        <w:t xml:space="preserve">the day on which the regulator gives the applicant a written notice under the </w:t>
      </w:r>
      <w:r>
        <w:rPr>
          <w:i/>
        </w:rPr>
        <w:t>Work Health and Safety (General) Regulations 2022</w:t>
      </w:r>
      <w:r>
        <w:t xml:space="preserve"> regulation 270(1).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DDE85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B1F8377" w14:textId="76713C15" w:rsidR="00CA283A" w:rsidRDefault="00CA283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6397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0354E9" w14:textId="77777777" w:rsidR="00CA283A" w:rsidRDefault="00CA283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DD189C" w14:textId="0C04A2EA" w:rsidR="00CA283A" w:rsidRDefault="00CA283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6397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05C15C" w14:textId="1DD8E9D3" w:rsidR="00CA283A" w:rsidRDefault="00CA283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957F43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, </w:t>
                      </w:r>
                      <w:r w:rsidR="00B147AA">
                        <w:rPr>
                          <w:rFonts w:ascii="Arial" w:hAnsi="Arial" w:cs="Arial"/>
                          <w:sz w:val="12"/>
                        </w:rPr>
                        <w:t xml:space="preserve">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1214574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080857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08085702_GUID" w:val="179541f8-b2ac-4ea1-8526-1927c63c3789"/>
    <w:docVar w:name="WAFER_202511111311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11131144_GUID" w:val="0ead4287-da77-48b8-8986-f193b0ea1cb0"/>
    <w:docVar w:name="WAFER_202602121457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212145742_GUID" w:val="15808f80-cb9b-4867-9373-61188014a1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99CA6BDF-573C-49D9-8CD7-10BBAD33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1170</Words>
  <Characters>5794</Characters>
  <Application>Microsoft Office Word</Application>
  <DocSecurity>0</DocSecurity>
  <Lines>222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Regulations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2026-02-17T06:29:00Z</dcterms:created>
  <dcterms:modified xsi:type="dcterms:W3CDTF">2026-02-17T06:29:00Z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55266</vt:lpwstr>
  </property>
  <property fmtid="{D5CDD505-2E9C-101B-9397-08002B2CF9AE}" pid="3" name="DocumentType">
    <vt:lpwstr>Reg</vt:lpwstr>
  </property>
  <property fmtid="{D5CDD505-2E9C-101B-9397-08002B2CF9AE}" pid="4" name="AsAtDate">
    <vt:lpwstr>18 Feb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2026/14</vt:lpwstr>
  </property>
  <property fmtid="{D5CDD505-2E9C-101B-9397-08002B2CF9AE}" pid="8" name="PublishDate">
    <vt:lpwstr>18 Feb 2026</vt:lpwstr>
  </property>
  <property fmtid="{D5CDD505-2E9C-101B-9397-08002B2CF9AE}" pid="9" name="CommencementDate">
    <vt:lpwstr>20260218</vt:lpwstr>
  </property>
  <property fmtid="{D5CDD505-2E9C-101B-9397-08002B2CF9AE}" pid="10" name="CommencementAsAt">
    <vt:filetime>2026-02-17T16:00:00Z</vt:filetime>
  </property>
  <property fmtid="{D5CDD505-2E9C-101B-9397-08002B2CF9AE}" pid="11" name="CommencementYear">
    <vt:lpwstr>2026</vt:lpwstr>
  </property>
</Properties>
</file>