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_Toc223449596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_Toc223449597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_Toc223449598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_Toc223449600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_Toc223449601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_Toc223449602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_Toc223449603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_Toc223449605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_Toc223449606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_Toc223449607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_Toc223449608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_Toc223449609 \h </w:instrText>
      </w:r>
      <w:r>
        <w:fldChar w:fldCharType="separate"/>
      </w:r>
      <w:r>
        <w:t>9</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_Toc223449610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_Toc223449611 \h </w:instrText>
      </w:r>
      <w:r>
        <w:fldChar w:fldCharType="separate"/>
      </w:r>
      <w:r>
        <w:t>10</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_Toc223449612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_Toc223449613 \h </w:instrText>
      </w:r>
      <w:r>
        <w:fldChar w:fldCharType="separate"/>
      </w:r>
      <w:r>
        <w:t>13</w:t>
      </w:r>
      <w:r>
        <w:fldChar w:fldCharType="end"/>
      </w:r>
    </w:p>
    <w:p>
      <w:pPr>
        <w:pStyle w:val="TOC8"/>
        <w:rPr>
          <w:rFonts w:asciiTheme="minorHAnsi" w:eastAsiaTheme="minorEastAsia" w:hAnsiTheme="minorHAnsi" w:cstheme="minorBidi"/>
          <w:szCs w:val="22"/>
        </w:rPr>
      </w:pPr>
      <w:r>
        <w:t>11A.</w:t>
      </w:r>
      <w:r>
        <w:tab/>
        <w:t>No fee relating to application under enactment in Sch. 7</w:t>
      </w:r>
      <w:r>
        <w:tab/>
      </w:r>
      <w:r>
        <w:fldChar w:fldCharType="begin"/>
      </w:r>
      <w:r>
        <w:instrText xml:space="preserve"> PAGEREF _Toc223449614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11B.</w:t>
      </w:r>
      <w:r>
        <w:tab/>
        <w:t>Fees relating to application not covered by r. 9, 10 or 11A</w:t>
      </w:r>
      <w:r>
        <w:tab/>
      </w:r>
      <w:r>
        <w:fldChar w:fldCharType="begin"/>
      </w:r>
      <w:r>
        <w:instrText xml:space="preserve"> PAGEREF _Toc223449615 \h </w:instrText>
      </w:r>
      <w:r>
        <w:fldChar w:fldCharType="separate"/>
      </w:r>
      <w:r>
        <w:t>16</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_Toc223449616 \h </w:instrText>
      </w:r>
      <w:r>
        <w:fldChar w:fldCharType="separate"/>
      </w:r>
      <w:r>
        <w:t>18</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_Toc223449617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_Toc223449619 \h </w:instrText>
      </w:r>
      <w:r>
        <w:fldChar w:fldCharType="separate"/>
      </w:r>
      <w:r>
        <w:t>20</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_Toc223449620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_Toc223449622 \h </w:instrText>
      </w:r>
      <w:r>
        <w:fldChar w:fldCharType="separate"/>
      </w:r>
      <w:r>
        <w:t>22</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_Toc223449623 \h </w:instrText>
      </w:r>
      <w:r>
        <w:fldChar w:fldCharType="separate"/>
      </w:r>
      <w:r>
        <w:t>22</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_Toc223449624 \h </w:instrText>
      </w:r>
      <w:r>
        <w:fldChar w:fldCharType="separate"/>
      </w:r>
      <w:r>
        <w:t>23</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_Toc223449625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keepNext w:val="0"/>
        <w:tabs>
          <w:tab w:val="right" w:leader="dot" w:pos="7077"/>
        </w:tabs>
        <w:rPr>
          <w:rFonts w:asciiTheme="minorHAnsi" w:eastAsiaTheme="minorEastAsia" w:hAnsiTheme="minorHAnsi" w:cstheme="minorBidi"/>
          <w:b w:val="0"/>
          <w:sz w:val="22"/>
          <w:szCs w:val="22"/>
        </w:rPr>
      </w:pPr>
      <w:r>
        <w:t>Schedule 2 — Places at which a magistrate may be authorised to perform functions as a member of the Tribunal</w:t>
      </w:r>
    </w:p>
    <w:p>
      <w:pPr>
        <w:pStyle w:val="TOC2"/>
        <w:keepNext w:val="0"/>
        <w:tabs>
          <w:tab w:val="right" w:leader="dot" w:pos="7077"/>
        </w:tabs>
        <w:rPr>
          <w:rFonts w:asciiTheme="minorHAnsi" w:eastAsiaTheme="minorEastAsia" w:hAnsiTheme="minorHAnsi" w:cstheme="minorBidi"/>
          <w:b w:val="0"/>
          <w:sz w:val="22"/>
          <w:szCs w:val="22"/>
        </w:rPr>
      </w:pPr>
      <w:r>
        <w:t>Schedule 3 — Provision under which application made</w:t>
      </w:r>
    </w:p>
    <w:p>
      <w:pPr>
        <w:pStyle w:val="TOC2"/>
        <w:keepNext w:val="0"/>
        <w:tabs>
          <w:tab w:val="right" w:leader="dot" w:pos="7077"/>
        </w:tabs>
        <w:rPr>
          <w:rFonts w:asciiTheme="minorHAnsi" w:eastAsiaTheme="minorEastAsia" w:hAnsiTheme="minorHAnsi" w:cstheme="minorBidi"/>
          <w:b w:val="0"/>
          <w:sz w:val="22"/>
          <w:szCs w:val="22"/>
        </w:rPr>
      </w:pPr>
      <w:r>
        <w:t>Schedule 4 — Provision under which application made</w:t>
      </w:r>
    </w:p>
    <w:p>
      <w:pPr>
        <w:pStyle w:val="TOC2"/>
        <w:tabs>
          <w:tab w:val="right" w:leader="dot" w:pos="7077"/>
        </w:tabs>
        <w:rPr>
          <w:rFonts w:asciiTheme="minorHAnsi" w:eastAsiaTheme="minorEastAsia" w:hAnsiTheme="minorHAnsi" w:cstheme="minorBidi"/>
          <w:b w:val="0"/>
          <w:sz w:val="22"/>
          <w:szCs w:val="22"/>
        </w:rPr>
      </w:pPr>
      <w:r>
        <w:lastRenderedPageBreak/>
        <w:t>Schedule 6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7 — Enactment under which application made</w:t>
      </w:r>
    </w:p>
    <w:p>
      <w:pPr>
        <w:pStyle w:val="TOC2"/>
        <w:tabs>
          <w:tab w:val="right" w:leader="dot" w:pos="7077"/>
        </w:tabs>
        <w:rPr>
          <w:rFonts w:asciiTheme="minorHAnsi" w:eastAsiaTheme="minorEastAsia" w:hAnsiTheme="minorHAnsi" w:cstheme="minorBidi"/>
          <w:b w:val="0"/>
          <w:sz w:val="22"/>
          <w:szCs w:val="22"/>
        </w:rPr>
      </w:pPr>
      <w:r>
        <w:t>Schedule 8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_Toc223449634 \h </w:instrText>
      </w:r>
      <w:r>
        <w:fldChar w:fldCharType="separate"/>
      </w:r>
      <w:r>
        <w:t>37</w:t>
      </w:r>
      <w:r>
        <w:fldChar w:fldCharType="end"/>
      </w:r>
    </w:p>
    <w:p>
      <w:pPr>
        <w:pStyle w:val="TOC8"/>
        <w:rPr>
          <w:rFonts w:asciiTheme="minorHAnsi" w:eastAsiaTheme="minorEastAsia" w:hAnsiTheme="minorHAnsi" w:cstheme="minorBidi"/>
          <w:szCs w:val="22"/>
        </w:rPr>
      </w:pPr>
      <w:r>
        <w:tab/>
        <w:t>Editorial changes table</w:t>
      </w:r>
      <w:r>
        <w:tab/>
      </w:r>
      <w:r>
        <w:fldChar w:fldCharType="begin"/>
      </w:r>
      <w:r>
        <w:instrText xml:space="preserve"> PAGEREF _Toc223449635 \h </w:instrText>
      </w:r>
      <w:r>
        <w:fldChar w:fldCharType="separate"/>
      </w:r>
      <w:r>
        <w:t>43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_Toc223449636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2" w:name="_Toc203732670"/>
      <w:bookmarkStart w:id="3" w:name="_Toc203733031"/>
      <w:bookmarkStart w:id="4" w:name="_Toc203746456"/>
      <w:bookmarkStart w:id="5" w:name="_Toc223420364"/>
      <w:bookmarkStart w:id="6" w:name="_Toc223420718"/>
      <w:bookmarkStart w:id="7" w:name="_Toc22344959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pPr>
      <w:bookmarkStart w:id="8" w:name="_Toc223449596"/>
      <w:r>
        <w:rPr>
          <w:rStyle w:val="CharSectno"/>
        </w:rPr>
        <w:t>1</w:t>
      </w:r>
      <w:r>
        <w:t>.</w:t>
      </w:r>
      <w:r>
        <w:tab/>
        <w:t>Citation</w:t>
      </w:r>
      <w:bookmarkEnd w:id="8"/>
    </w:p>
    <w:p>
      <w:pPr>
        <w:pStyle w:val="Subsection"/>
        <w:spacing w:before="120"/>
      </w:pPr>
      <w:r>
        <w:tab/>
      </w:r>
      <w:r>
        <w:tab/>
      </w:r>
      <w:bookmarkStart w:id="9" w:name="Start_Cursor"/>
      <w:bookmarkEnd w:id="9"/>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10" w:name="_Toc223449597"/>
      <w:r>
        <w:rPr>
          <w:rStyle w:val="CharSectno"/>
        </w:rPr>
        <w:t>2</w:t>
      </w:r>
      <w:r>
        <w:rPr>
          <w:spacing w:val="-2"/>
        </w:rPr>
        <w:t>.</w:t>
      </w:r>
      <w:r>
        <w:rPr>
          <w:spacing w:val="-2"/>
        </w:rPr>
        <w:tab/>
        <w:t>Commencement</w:t>
      </w:r>
      <w:bookmarkEnd w:id="10"/>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11" w:name="_Toc223449598"/>
      <w:r>
        <w:rPr>
          <w:rStyle w:val="CharSectno"/>
        </w:rPr>
        <w:t>3</w:t>
      </w:r>
      <w:r>
        <w:t>.</w:t>
      </w:r>
      <w:r>
        <w:tab/>
        <w:t>Terms used</w:t>
      </w:r>
      <w:bookmarkEnd w:id="11"/>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keepNext/>
      </w:pPr>
      <w:r>
        <w:lastRenderedPageBreak/>
        <w:tab/>
      </w:r>
      <w:r>
        <w:rPr>
          <w:rStyle w:val="CharDefText"/>
        </w:rPr>
        <w:t>fee item</w:t>
      </w:r>
      <w:r>
        <w:t xml:space="preserve"> means an item in — </w:t>
      </w:r>
    </w:p>
    <w:p>
      <w:pPr>
        <w:pStyle w:val="Defpara"/>
        <w:keepNext/>
      </w:pPr>
      <w:r>
        <w:tab/>
        <w:t>(a)</w:t>
      </w:r>
      <w:r>
        <w:tab/>
        <w:t>a Table to a provision in Part 3; or</w:t>
      </w:r>
    </w:p>
    <w:p>
      <w:pPr>
        <w:pStyle w:val="Defpara"/>
      </w:pPr>
      <w:r>
        <w:tab/>
        <w:t>(b)</w:t>
      </w:r>
      <w:r>
        <w:tab/>
        <w:t>Schedule 8;</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 SL 2021/101 r. 20; SL 2023/120 r. 30.]</w:t>
      </w:r>
    </w:p>
    <w:p>
      <w:pPr>
        <w:pStyle w:val="Heading2"/>
      </w:pPr>
      <w:bookmarkStart w:id="12" w:name="_Toc203732674"/>
      <w:bookmarkStart w:id="13" w:name="_Toc203733035"/>
      <w:bookmarkStart w:id="14" w:name="_Toc203746460"/>
      <w:bookmarkStart w:id="15" w:name="_Toc223420368"/>
      <w:bookmarkStart w:id="16" w:name="_Toc223420722"/>
      <w:bookmarkStart w:id="17" w:name="_Toc223449599"/>
      <w:r>
        <w:rPr>
          <w:rStyle w:val="CharPartNo"/>
        </w:rPr>
        <w:lastRenderedPageBreak/>
        <w:t>Part 2</w:t>
      </w:r>
      <w:r>
        <w:rPr>
          <w:rStyle w:val="CharDivNo"/>
        </w:rPr>
        <w:t> </w:t>
      </w:r>
      <w:r>
        <w:t>—</w:t>
      </w:r>
      <w:r>
        <w:rPr>
          <w:rStyle w:val="CharDivText"/>
        </w:rPr>
        <w:t> </w:t>
      </w:r>
      <w:r>
        <w:rPr>
          <w:rStyle w:val="CharPartText"/>
        </w:rPr>
        <w:t>General</w:t>
      </w:r>
      <w:bookmarkEnd w:id="12"/>
      <w:bookmarkEnd w:id="13"/>
      <w:bookmarkEnd w:id="14"/>
      <w:bookmarkEnd w:id="15"/>
      <w:bookmarkEnd w:id="16"/>
      <w:bookmarkEnd w:id="17"/>
    </w:p>
    <w:p>
      <w:pPr>
        <w:pStyle w:val="Heading5"/>
      </w:pPr>
      <w:bookmarkStart w:id="18" w:name="_Toc223449600"/>
      <w:r>
        <w:rPr>
          <w:rStyle w:val="CharSectno"/>
        </w:rPr>
        <w:t>4</w:t>
      </w:r>
      <w:r>
        <w:t>.</w:t>
      </w:r>
      <w:r>
        <w:tab/>
        <w:t xml:space="preserve">Acts prescribed for purpose of definition of </w:t>
      </w:r>
      <w:r>
        <w:rPr>
          <w:i/>
          <w:iCs/>
        </w:rPr>
        <w:t>vocational regulatory body</w:t>
      </w:r>
      <w:bookmarkEnd w:id="18"/>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9" w:name="_Toc223449601"/>
      <w:r>
        <w:rPr>
          <w:rStyle w:val="CharSectno"/>
        </w:rPr>
        <w:t>5</w:t>
      </w:r>
      <w:r>
        <w:t>.</w:t>
      </w:r>
      <w:r>
        <w:tab/>
        <w:t>Register of proceedings</w:t>
      </w:r>
      <w:bookmarkEnd w:id="19"/>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20" w:name="_Toc223449602"/>
      <w:r>
        <w:rPr>
          <w:rStyle w:val="CharSectno"/>
        </w:rPr>
        <w:lastRenderedPageBreak/>
        <w:t>6</w:t>
      </w:r>
      <w:r>
        <w:t>.</w:t>
      </w:r>
      <w:r>
        <w:tab/>
        <w:t>Prescribed places: s. 116(3)(a) of Act</w:t>
      </w:r>
      <w:bookmarkEnd w:id="20"/>
    </w:p>
    <w:p>
      <w:pPr>
        <w:pStyle w:val="Subsection"/>
      </w:pPr>
      <w:r>
        <w:tab/>
      </w:r>
      <w:r>
        <w:tab/>
        <w:t>For the purposes of the Act section 116(3)(a), the places listed in Schedule 2 are prescribed.</w:t>
      </w:r>
    </w:p>
    <w:p>
      <w:pPr>
        <w:pStyle w:val="Heading5"/>
      </w:pPr>
      <w:bookmarkStart w:id="21" w:name="_Toc223449603"/>
      <w:r>
        <w:rPr>
          <w:rStyle w:val="CharSectno"/>
        </w:rPr>
        <w:t>7</w:t>
      </w:r>
      <w:r>
        <w:t>.</w:t>
      </w:r>
      <w:r>
        <w:tab/>
        <w:t>Class prescribed: s. 117(5)(a) of Act</w:t>
      </w:r>
      <w:bookmarkEnd w:id="21"/>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22" w:name="_Toc203732679"/>
      <w:bookmarkStart w:id="23" w:name="_Toc203733040"/>
      <w:bookmarkStart w:id="24" w:name="_Toc203746465"/>
      <w:bookmarkStart w:id="25" w:name="_Toc223420373"/>
      <w:bookmarkStart w:id="26" w:name="_Toc223420727"/>
      <w:bookmarkStart w:id="27" w:name="_Toc223449604"/>
      <w:r>
        <w:rPr>
          <w:rStyle w:val="CharPartNo"/>
        </w:rPr>
        <w:lastRenderedPageBreak/>
        <w:t>Part 3</w:t>
      </w:r>
      <w:r>
        <w:rPr>
          <w:rStyle w:val="CharDivNo"/>
        </w:rPr>
        <w:t> </w:t>
      </w:r>
      <w:r>
        <w:t>—</w:t>
      </w:r>
      <w:r>
        <w:rPr>
          <w:rStyle w:val="CharDivText"/>
        </w:rPr>
        <w:t> </w:t>
      </w:r>
      <w:r>
        <w:rPr>
          <w:rStyle w:val="CharPartText"/>
        </w:rPr>
        <w:t>Fees</w:t>
      </w:r>
      <w:bookmarkEnd w:id="22"/>
      <w:bookmarkEnd w:id="23"/>
      <w:bookmarkEnd w:id="24"/>
      <w:bookmarkEnd w:id="25"/>
      <w:bookmarkEnd w:id="26"/>
      <w:bookmarkEnd w:id="27"/>
    </w:p>
    <w:p>
      <w:pPr>
        <w:pStyle w:val="Heading5"/>
      </w:pPr>
      <w:bookmarkStart w:id="28" w:name="_Toc223449605"/>
      <w:r>
        <w:rPr>
          <w:rStyle w:val="CharSectno"/>
        </w:rPr>
        <w:t>8</w:t>
      </w:r>
      <w:r>
        <w:t>.</w:t>
      </w:r>
      <w:r>
        <w:tab/>
        <w:t>General</w:t>
      </w:r>
      <w:bookmarkEnd w:id="28"/>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lastRenderedPageBreak/>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29" w:name="_Toc223449606"/>
      <w:r>
        <w:rPr>
          <w:rStyle w:val="CharSectno"/>
        </w:rPr>
        <w:t>9A</w:t>
      </w:r>
      <w:r>
        <w:t>.</w:t>
      </w:r>
      <w:r>
        <w:tab/>
        <w:t>Who is an eligible individual or eligible entity</w:t>
      </w:r>
      <w:bookmarkEnd w:id="29"/>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w:t>
      </w:r>
      <w:r>
        <w:lastRenderedPageBreak/>
        <w:t>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30" w:name="_Toc223449607"/>
      <w:r>
        <w:rPr>
          <w:rStyle w:val="CharSectno"/>
        </w:rPr>
        <w:t>9B</w:t>
      </w:r>
      <w:r>
        <w:t>.</w:t>
      </w:r>
      <w:r>
        <w:tab/>
        <w:t>Application to be recognised as eligible individual or eligible entity</w:t>
      </w:r>
      <w:bookmarkEnd w:id="30"/>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keepNext/>
      </w:pPr>
      <w:r>
        <w:lastRenderedPageBreak/>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31" w:name="_Toc223449608"/>
      <w:r>
        <w:rPr>
          <w:rStyle w:val="CharSectno"/>
        </w:rPr>
        <w:t>9C</w:t>
      </w:r>
      <w:r>
        <w:t>.</w:t>
      </w:r>
      <w:r>
        <w:tab/>
        <w:t>Recognition as eligible individual or eligible entity</w:t>
      </w:r>
      <w:bookmarkEnd w:id="31"/>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32" w:name="_Toc223449609"/>
      <w:r>
        <w:rPr>
          <w:rStyle w:val="CharSectno"/>
        </w:rPr>
        <w:lastRenderedPageBreak/>
        <w:t>9D</w:t>
      </w:r>
      <w:r>
        <w:t>.</w:t>
      </w:r>
      <w:r>
        <w:tab/>
        <w:t>False or misleading statements</w:t>
      </w:r>
      <w:bookmarkEnd w:id="32"/>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33" w:name="_Toc223449610"/>
      <w:r>
        <w:rPr>
          <w:rStyle w:val="CharSectno"/>
        </w:rPr>
        <w:t>9E</w:t>
      </w:r>
      <w:r>
        <w:t>.</w:t>
      </w:r>
      <w:r>
        <w:tab/>
        <w:t>Refunds</w:t>
      </w:r>
      <w:bookmarkEnd w:id="33"/>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34" w:name="_Toc223449611"/>
      <w:r>
        <w:rPr>
          <w:rStyle w:val="CharSectno"/>
        </w:rPr>
        <w:lastRenderedPageBreak/>
        <w:t>9F</w:t>
      </w:r>
      <w:r>
        <w:t>.</w:t>
      </w:r>
      <w:r>
        <w:tab/>
        <w:t>Waiving fee for copy of document or transcript</w:t>
      </w:r>
      <w:bookmarkEnd w:id="34"/>
      <w:r>
        <w:t xml:space="preserve"> </w:t>
      </w:r>
    </w:p>
    <w:p>
      <w:pPr>
        <w:pStyle w:val="Subsection"/>
        <w:keepLines/>
      </w:pPr>
      <w:r>
        <w:tab/>
      </w:r>
      <w:r>
        <w:tab/>
        <w:t>The executive officer may waive a fee referred to in Schedule 8 item 2 or 5 if the executive officer is satisfied that the waiving of the fee would assist in the efficient operation of the Tribunal.</w:t>
      </w:r>
    </w:p>
    <w:p>
      <w:pPr>
        <w:pStyle w:val="Footnotesection"/>
      </w:pPr>
      <w:r>
        <w:tab/>
        <w:t>[Regulation 9F inserted: Gazette 14 Jun 2016 p. 1941; amended: SL 2023/120 r. 31.]</w:t>
      </w:r>
    </w:p>
    <w:p>
      <w:pPr>
        <w:pStyle w:val="Heading5"/>
      </w:pPr>
      <w:bookmarkStart w:id="35" w:name="_Toc223449612"/>
      <w:r>
        <w:rPr>
          <w:rStyle w:val="CharSectno"/>
        </w:rPr>
        <w:t>9</w:t>
      </w:r>
      <w:r>
        <w:t>.</w:t>
      </w:r>
      <w:r>
        <w:tab/>
        <w:t>Fees relating to application under provision in Sch. 3, 4 or 6</w:t>
      </w:r>
      <w:bookmarkEnd w:id="35"/>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2 477.00</w:t>
            </w:r>
          </w:p>
        </w:tc>
        <w:tc>
          <w:tcPr>
            <w:tcW w:w="1307" w:type="dxa"/>
            <w:tcBorders>
              <w:top w:val="single" w:sz="4" w:space="0" w:color="auto"/>
            </w:tcBorders>
            <w:noWrap/>
            <w:vAlign w:val="bottom"/>
          </w:tcPr>
          <w:p>
            <w:pPr>
              <w:pStyle w:val="TableNAm"/>
              <w:ind w:right="172"/>
              <w:jc w:val="right"/>
              <w:rPr>
                <w:sz w:val="22"/>
              </w:rPr>
            </w:pPr>
            <w:r>
              <w:rPr>
                <w:sz w:val="22"/>
              </w:rPr>
              <w:t>2 477.00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2 477.00</w:t>
            </w:r>
          </w:p>
        </w:tc>
        <w:tc>
          <w:tcPr>
            <w:tcW w:w="1307" w:type="dxa"/>
            <w:noWrap/>
            <w:vAlign w:val="bottom"/>
          </w:tcPr>
          <w:p>
            <w:pPr>
              <w:pStyle w:val="TableNAm"/>
              <w:ind w:right="172"/>
              <w:jc w:val="right"/>
              <w:rPr>
                <w:sz w:val="22"/>
              </w:rPr>
            </w:pPr>
            <w:r>
              <w:rPr>
                <w:sz w:val="22"/>
              </w:rPr>
              <w:t>2 477.00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vAlign w:val="bottom"/>
          </w:tcPr>
          <w:p>
            <w:pPr>
              <w:pStyle w:val="TableNAm"/>
              <w:jc w:val="center"/>
              <w:rPr>
                <w:sz w:val="22"/>
              </w:rPr>
            </w:pPr>
            <w:r>
              <w:rPr>
                <w:sz w:val="22"/>
              </w:rPr>
              <w:br/>
              <w:t>462.00 plus assessment fee of 2.5% of the costs claimed in the application</w:t>
            </w:r>
          </w:p>
        </w:tc>
        <w:tc>
          <w:tcPr>
            <w:tcW w:w="1307" w:type="dxa"/>
            <w:tcBorders>
              <w:bottom w:val="single" w:sz="4" w:space="0" w:color="auto"/>
            </w:tcBorders>
            <w:noWrap/>
            <w:vAlign w:val="bottom"/>
          </w:tcPr>
          <w:p>
            <w:pPr>
              <w:pStyle w:val="TableNAm"/>
              <w:jc w:val="center"/>
              <w:rPr>
                <w:sz w:val="22"/>
              </w:rPr>
            </w:pPr>
            <w:r>
              <w:rPr>
                <w:sz w:val="22"/>
              </w:rPr>
              <w:t>689.00 plus assessment fee of 2.5% of the costs claimed in the application</w:t>
            </w:r>
          </w:p>
        </w:tc>
        <w:tc>
          <w:tcPr>
            <w:tcW w:w="1242" w:type="dxa"/>
            <w:tcBorders>
              <w:bottom w:val="single" w:sz="4" w:space="0" w:color="auto"/>
            </w:tcBorders>
            <w:noWrap/>
          </w:tcPr>
          <w:p>
            <w:pPr>
              <w:pStyle w:val="TableNAm"/>
              <w:ind w:right="172"/>
              <w:jc w:val="right"/>
              <w:rPr>
                <w:sz w:val="22"/>
              </w:rPr>
            </w:pPr>
            <w:r>
              <w:rPr>
                <w:sz w:val="22"/>
              </w:rPr>
              <w:br/>
              <w:t>100.00</w:t>
            </w:r>
          </w:p>
        </w:tc>
      </w:tr>
    </w:tbl>
    <w:p>
      <w:pPr>
        <w:pStyle w:val="Subsection"/>
        <w:keepNext/>
        <w:spacing w:before="200"/>
      </w:pPr>
      <w:r>
        <w:lastRenderedPageBreak/>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904.00</w:t>
            </w:r>
          </w:p>
        </w:tc>
        <w:tc>
          <w:tcPr>
            <w:tcW w:w="1307" w:type="dxa"/>
            <w:tcBorders>
              <w:top w:val="single" w:sz="4" w:space="0" w:color="auto"/>
            </w:tcBorders>
            <w:noWrap/>
            <w:vAlign w:val="bottom"/>
          </w:tcPr>
          <w:p>
            <w:pPr>
              <w:pStyle w:val="TableNAm"/>
              <w:ind w:right="172"/>
              <w:jc w:val="right"/>
              <w:rPr>
                <w:sz w:val="22"/>
              </w:rPr>
            </w:pPr>
            <w:r>
              <w:rPr>
                <w:sz w:val="22"/>
              </w:rPr>
              <w:t>1 650.00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827.00</w:t>
            </w:r>
          </w:p>
        </w:tc>
        <w:tc>
          <w:tcPr>
            <w:tcW w:w="1307" w:type="dxa"/>
            <w:noWrap/>
            <w:vAlign w:val="bottom"/>
          </w:tcPr>
          <w:p>
            <w:pPr>
              <w:pStyle w:val="TableNAm"/>
              <w:ind w:right="172"/>
              <w:jc w:val="right"/>
              <w:rPr>
                <w:sz w:val="22"/>
              </w:rPr>
            </w:pPr>
            <w:r>
              <w:rPr>
                <w:sz w:val="22"/>
              </w:rPr>
              <w:t>1 071.00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t>327.00 plus assessment fee of 2.5% of the costs claimed in the application</w:t>
            </w:r>
          </w:p>
        </w:tc>
        <w:tc>
          <w:tcPr>
            <w:tcW w:w="1307" w:type="dxa"/>
            <w:tcBorders>
              <w:bottom w:val="single" w:sz="4" w:space="0" w:color="auto"/>
            </w:tcBorders>
            <w:noWrap/>
          </w:tcPr>
          <w:p>
            <w:pPr>
              <w:pStyle w:val="TableNAm"/>
              <w:jc w:val="center"/>
              <w:rPr>
                <w:sz w:val="22"/>
              </w:rPr>
            </w:pPr>
            <w:r>
              <w:rPr>
                <w:sz w:val="22"/>
              </w:rPr>
              <w:br/>
              <w:t>491.00 plus assessment fee of 2.5% of the costs claimed in the application</w:t>
            </w:r>
          </w:p>
        </w:tc>
        <w:tc>
          <w:tcPr>
            <w:tcW w:w="1242" w:type="dxa"/>
            <w:tcBorders>
              <w:bottom w:val="single" w:sz="4" w:space="0" w:color="auto"/>
            </w:tcBorders>
            <w:noWrap/>
          </w:tcPr>
          <w:p>
            <w:pPr>
              <w:pStyle w:val="TableNAm"/>
              <w:ind w:right="172"/>
              <w:jc w:val="right"/>
              <w:rPr>
                <w:sz w:val="22"/>
              </w:rPr>
            </w:pPr>
            <w:r>
              <w:rPr>
                <w:sz w:val="22"/>
              </w:rPr>
              <w:br/>
              <w:t>98.00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lastRenderedPageBreak/>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166.00</w:t>
            </w:r>
          </w:p>
        </w:tc>
        <w:tc>
          <w:tcPr>
            <w:tcW w:w="1307" w:type="dxa"/>
            <w:tcBorders>
              <w:top w:val="single" w:sz="4" w:space="0" w:color="auto"/>
            </w:tcBorders>
            <w:noWrap/>
            <w:vAlign w:val="bottom"/>
          </w:tcPr>
          <w:p>
            <w:pPr>
              <w:pStyle w:val="TableNAm"/>
              <w:ind w:right="172"/>
              <w:jc w:val="right"/>
              <w:rPr>
                <w:sz w:val="22"/>
              </w:rPr>
            </w:pPr>
            <w:r>
              <w:rPr>
                <w:sz w:val="22"/>
              </w:rPr>
              <w:t>166.00</w:t>
            </w:r>
          </w:p>
        </w:tc>
        <w:tc>
          <w:tcPr>
            <w:tcW w:w="1242" w:type="dxa"/>
            <w:tcBorders>
              <w:top w:val="single" w:sz="4" w:space="0" w:color="auto"/>
            </w:tcBorders>
            <w:noWrap/>
            <w:vAlign w:val="bottom"/>
          </w:tcPr>
          <w:p>
            <w:pPr>
              <w:pStyle w:val="TableNAm"/>
              <w:ind w:right="172"/>
              <w:jc w:val="right"/>
              <w:rPr>
                <w:sz w:val="22"/>
              </w:rPr>
            </w:pPr>
            <w:r>
              <w:rPr>
                <w:sz w:val="22"/>
              </w:rPr>
              <w:t>49.80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329.00</w:t>
            </w:r>
          </w:p>
        </w:tc>
        <w:tc>
          <w:tcPr>
            <w:tcW w:w="1307" w:type="dxa"/>
            <w:noWrap/>
            <w:vAlign w:val="bottom"/>
          </w:tcPr>
          <w:p>
            <w:pPr>
              <w:pStyle w:val="TableNAm"/>
              <w:ind w:right="172"/>
              <w:jc w:val="right"/>
              <w:rPr>
                <w:sz w:val="22"/>
              </w:rPr>
            </w:pPr>
            <w:r>
              <w:rPr>
                <w:sz w:val="22"/>
              </w:rPr>
              <w:t>329.00</w:t>
            </w:r>
          </w:p>
        </w:tc>
        <w:tc>
          <w:tcPr>
            <w:tcW w:w="1242" w:type="dxa"/>
            <w:noWrap/>
            <w:vAlign w:val="bottom"/>
          </w:tcPr>
          <w:p>
            <w:pPr>
              <w:pStyle w:val="TableNAm"/>
              <w:ind w:right="172"/>
              <w:jc w:val="right"/>
              <w:rPr>
                <w:sz w:val="22"/>
              </w:rPr>
            </w:pPr>
            <w:r>
              <w:rPr>
                <w:sz w:val="22"/>
              </w:rPr>
              <w:t>98.50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t>160.50 plus assessment fee of 2.5% of the costs claimed in the application</w:t>
            </w:r>
          </w:p>
        </w:tc>
        <w:tc>
          <w:tcPr>
            <w:tcW w:w="1307" w:type="dxa"/>
            <w:tcBorders>
              <w:bottom w:val="single" w:sz="4" w:space="0" w:color="auto"/>
            </w:tcBorders>
            <w:noWrap/>
          </w:tcPr>
          <w:p>
            <w:pPr>
              <w:pStyle w:val="TableNAm"/>
              <w:jc w:val="center"/>
              <w:rPr>
                <w:sz w:val="22"/>
              </w:rPr>
            </w:pPr>
            <w:r>
              <w:rPr>
                <w:sz w:val="22"/>
              </w:rPr>
              <w:br/>
              <w:t>238.00 plus assessment fee of 2.5% of the costs claimed in the application</w:t>
            </w:r>
          </w:p>
        </w:tc>
        <w:tc>
          <w:tcPr>
            <w:tcW w:w="1242" w:type="dxa"/>
            <w:tcBorders>
              <w:bottom w:val="single" w:sz="4" w:space="0" w:color="auto"/>
            </w:tcBorders>
            <w:noWrap/>
          </w:tcPr>
          <w:p>
            <w:pPr>
              <w:pStyle w:val="TableNAm"/>
              <w:ind w:right="172"/>
              <w:jc w:val="right"/>
              <w:rPr>
                <w:sz w:val="22"/>
              </w:rPr>
            </w:pPr>
            <w:r>
              <w:rPr>
                <w:sz w:val="22"/>
              </w:rPr>
              <w:br/>
              <w:t>48.10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 SL 2022/111 r. 22; SL 2023/120 r. 32; SL 2024/113 r. 23; SL 2025/111 r. 23.]</w:t>
      </w:r>
    </w:p>
    <w:p>
      <w:pPr>
        <w:pStyle w:val="Heading5"/>
        <w:keepLines w:val="0"/>
      </w:pPr>
      <w:bookmarkStart w:id="36" w:name="_Toc223449613"/>
      <w:r>
        <w:rPr>
          <w:rStyle w:val="CharSectno"/>
        </w:rPr>
        <w:lastRenderedPageBreak/>
        <w:t>10</w:t>
      </w:r>
      <w:r>
        <w:t>.</w:t>
      </w:r>
      <w:r>
        <w:tab/>
        <w:t>Fees relating to application to do with development on land</w:t>
      </w:r>
      <w:bookmarkEnd w:id="36"/>
    </w:p>
    <w:p>
      <w:pPr>
        <w:pStyle w:val="Subsection"/>
        <w:keepNext/>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171Y(1) or (2),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Indenta"/>
        <w:keepNext/>
        <w:keepLines/>
      </w:pPr>
      <w:r>
        <w:lastRenderedPageBreak/>
        <w:tab/>
        <w:t>(h)</w:t>
      </w:r>
      <w:r>
        <w:tab/>
        <w:t xml:space="preserve">the deemed provision referred to in paragraph (g), if that provision is incorporated in the Swan Valley Planning Scheme in force under the </w:t>
      </w:r>
      <w:r>
        <w:rPr>
          <w:i/>
        </w:rPr>
        <w:t>Swan Valley Planning Act 2020</w:t>
      </w:r>
      <w:r>
        <w:t xml:space="preserve"> under section 11(1)(d) of that Act.</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904.00</w:t>
            </w:r>
          </w:p>
        </w:tc>
        <w:tc>
          <w:tcPr>
            <w:tcW w:w="1307" w:type="dxa"/>
            <w:tcBorders>
              <w:top w:val="single" w:sz="4" w:space="0" w:color="auto"/>
            </w:tcBorders>
            <w:noWrap/>
            <w:vAlign w:val="bottom"/>
          </w:tcPr>
          <w:p>
            <w:pPr>
              <w:pStyle w:val="TableNAm"/>
              <w:ind w:right="172"/>
              <w:jc w:val="right"/>
              <w:rPr>
                <w:sz w:val="22"/>
              </w:rPr>
            </w:pPr>
            <w:r>
              <w:rPr>
                <w:sz w:val="22"/>
              </w:rPr>
              <w:t>904.00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827.00</w:t>
            </w:r>
          </w:p>
        </w:tc>
        <w:tc>
          <w:tcPr>
            <w:tcW w:w="1307" w:type="dxa"/>
            <w:noWrap/>
            <w:vAlign w:val="bottom"/>
          </w:tcPr>
          <w:p>
            <w:pPr>
              <w:pStyle w:val="TableNAm"/>
              <w:ind w:right="172"/>
              <w:jc w:val="right"/>
              <w:rPr>
                <w:sz w:val="22"/>
              </w:rPr>
            </w:pPr>
            <w:r>
              <w:rPr>
                <w:sz w:val="22"/>
              </w:rPr>
              <w:t>827.00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t>327.00 plus assessment fee of 2.5% of the costs claimed in the application</w:t>
            </w:r>
          </w:p>
        </w:tc>
        <w:tc>
          <w:tcPr>
            <w:tcW w:w="1307" w:type="dxa"/>
            <w:tcBorders>
              <w:bottom w:val="single" w:sz="4" w:space="0" w:color="auto"/>
            </w:tcBorders>
            <w:noWrap/>
          </w:tcPr>
          <w:p>
            <w:pPr>
              <w:pStyle w:val="TableNAm"/>
              <w:jc w:val="center"/>
              <w:rPr>
                <w:sz w:val="22"/>
              </w:rPr>
            </w:pPr>
            <w:r>
              <w:rPr>
                <w:sz w:val="22"/>
              </w:rPr>
              <w:br/>
              <w:t>327.00 plus assessment fee of 2.5% of the costs claimed in the application</w:t>
            </w:r>
          </w:p>
        </w:tc>
        <w:tc>
          <w:tcPr>
            <w:tcW w:w="1242" w:type="dxa"/>
            <w:tcBorders>
              <w:bottom w:val="single" w:sz="4" w:space="0" w:color="auto"/>
            </w:tcBorders>
            <w:noWrap/>
          </w:tcPr>
          <w:p>
            <w:pPr>
              <w:pStyle w:val="TableNAm"/>
              <w:ind w:right="172"/>
              <w:jc w:val="right"/>
              <w:rPr>
                <w:sz w:val="22"/>
              </w:rPr>
            </w:pPr>
            <w:r>
              <w:rPr>
                <w:sz w:val="22"/>
              </w:rPr>
              <w:br/>
              <w:t>98.00</w:t>
            </w:r>
          </w:p>
        </w:tc>
      </w:tr>
    </w:tbl>
    <w:p>
      <w:pPr>
        <w:pStyle w:val="Subsection"/>
        <w:keepNext/>
        <w:spacing w:before="240"/>
      </w:pPr>
      <w:r>
        <w:lastRenderedPageBreak/>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896" w:type="dxa"/>
        <w:tblInd w:w="192" w:type="dxa"/>
        <w:tblLayout w:type="fixed"/>
        <w:tblCellMar>
          <w:bottom w:w="85" w:type="dxa"/>
        </w:tblCellMar>
        <w:tblLook w:val="0000" w:firstRow="0" w:lastRow="0" w:firstColumn="0" w:lastColumn="0" w:noHBand="0" w:noVBand="0"/>
      </w:tblPr>
      <w:tblGrid>
        <w:gridCol w:w="751"/>
        <w:gridCol w:w="2284"/>
        <w:gridCol w:w="1309"/>
        <w:gridCol w:w="1276"/>
        <w:gridCol w:w="1276"/>
      </w:tblGrid>
      <w:tr>
        <w:trPr>
          <w:cantSplit/>
          <w:tblHeader/>
        </w:trPr>
        <w:tc>
          <w:tcPr>
            <w:tcW w:w="751" w:type="dxa"/>
            <w:tcBorders>
              <w:top w:val="single" w:sz="4" w:space="0" w:color="auto"/>
              <w:bottom w:val="single" w:sz="4" w:space="0" w:color="auto"/>
            </w:tcBorders>
            <w:noWrap/>
          </w:tcPr>
          <w:p>
            <w:pPr>
              <w:pStyle w:val="TableNAm"/>
              <w:jc w:val="center"/>
              <w:rPr>
                <w:b/>
                <w:sz w:val="22"/>
              </w:rPr>
            </w:pPr>
            <w:r>
              <w:rPr>
                <w:b/>
                <w:sz w:val="22"/>
              </w:rPr>
              <w:t>Item</w:t>
            </w:r>
          </w:p>
        </w:tc>
        <w:tc>
          <w:tcPr>
            <w:tcW w:w="2284" w:type="dxa"/>
            <w:tcBorders>
              <w:top w:val="single" w:sz="4" w:space="0" w:color="auto"/>
              <w:bottom w:val="single" w:sz="4" w:space="0" w:color="auto"/>
            </w:tcBorders>
            <w:noWrap/>
          </w:tcPr>
          <w:p>
            <w:pPr>
              <w:pStyle w:val="TableNAm"/>
              <w:jc w:val="center"/>
              <w:rPr>
                <w:b/>
                <w:sz w:val="22"/>
              </w:rPr>
            </w:pPr>
            <w:r>
              <w:rPr>
                <w:b/>
                <w:sz w:val="22"/>
              </w:rPr>
              <w:t>Matter</w:t>
            </w:r>
          </w:p>
        </w:tc>
        <w:tc>
          <w:tcPr>
            <w:tcW w:w="1309"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309" w:type="dxa"/>
            <w:tcBorders>
              <w:top w:val="single" w:sz="4" w:space="0" w:color="auto"/>
            </w:tcBorders>
            <w:noWrap/>
            <w:vAlign w:val="bottom"/>
          </w:tcPr>
          <w:p>
            <w:pPr>
              <w:pStyle w:val="TableNAm"/>
              <w:ind w:right="172"/>
              <w:jc w:val="right"/>
              <w:rPr>
                <w:sz w:val="22"/>
              </w:rPr>
            </w:pPr>
            <w:r>
              <w:rPr>
                <w:sz w:val="22"/>
              </w:rPr>
              <w:t>1 650.00</w:t>
            </w:r>
          </w:p>
        </w:tc>
        <w:tc>
          <w:tcPr>
            <w:tcW w:w="1276" w:type="dxa"/>
            <w:tcBorders>
              <w:top w:val="single" w:sz="4" w:space="0" w:color="auto"/>
            </w:tcBorders>
            <w:noWrap/>
            <w:vAlign w:val="bottom"/>
          </w:tcPr>
          <w:p>
            <w:pPr>
              <w:pStyle w:val="TableNAm"/>
              <w:ind w:right="172"/>
              <w:jc w:val="right"/>
              <w:rPr>
                <w:sz w:val="22"/>
              </w:rPr>
            </w:pPr>
            <w:r>
              <w:rPr>
                <w:sz w:val="22"/>
              </w:rPr>
              <w:t>1 650.00</w:t>
            </w:r>
          </w:p>
        </w:tc>
        <w:tc>
          <w:tcPr>
            <w:tcW w:w="1276"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t>2.</w:t>
            </w:r>
          </w:p>
        </w:tc>
        <w:tc>
          <w:tcPr>
            <w:tcW w:w="2284" w:type="dxa"/>
            <w:noWrap/>
          </w:tcPr>
          <w:p>
            <w:pPr>
              <w:pStyle w:val="TableNAm"/>
              <w:rPr>
                <w:sz w:val="22"/>
              </w:rPr>
            </w:pPr>
            <w:r>
              <w:rPr>
                <w:sz w:val="22"/>
              </w:rPr>
              <w:t>Hearing fee (for each day or part of a day allocated, other than the first day)</w:t>
            </w:r>
          </w:p>
        </w:tc>
        <w:tc>
          <w:tcPr>
            <w:tcW w:w="1309" w:type="dxa"/>
            <w:noWrap/>
            <w:vAlign w:val="bottom"/>
          </w:tcPr>
          <w:p>
            <w:pPr>
              <w:pStyle w:val="TableNAm"/>
              <w:ind w:right="172"/>
              <w:jc w:val="right"/>
              <w:rPr>
                <w:sz w:val="22"/>
              </w:rPr>
            </w:pPr>
            <w:r>
              <w:rPr>
                <w:sz w:val="22"/>
              </w:rPr>
              <w:t>1 071.00</w:t>
            </w:r>
          </w:p>
        </w:tc>
        <w:tc>
          <w:tcPr>
            <w:tcW w:w="1276" w:type="dxa"/>
            <w:noWrap/>
            <w:vAlign w:val="bottom"/>
          </w:tcPr>
          <w:p>
            <w:pPr>
              <w:pStyle w:val="TableNAm"/>
              <w:ind w:right="172"/>
              <w:jc w:val="right"/>
              <w:rPr>
                <w:sz w:val="22"/>
              </w:rPr>
            </w:pPr>
            <w:r>
              <w:rPr>
                <w:sz w:val="22"/>
              </w:rPr>
              <w:t>1 071.00</w:t>
            </w:r>
          </w:p>
        </w:tc>
        <w:tc>
          <w:tcPr>
            <w:tcW w:w="1276" w:type="dxa"/>
            <w:noWrap/>
            <w:vAlign w:val="bottom"/>
          </w:tcPr>
          <w:p>
            <w:pPr>
              <w:pStyle w:val="TableNAm"/>
              <w:ind w:right="172"/>
              <w:jc w:val="right"/>
              <w:rPr>
                <w:sz w:val="22"/>
              </w:rPr>
            </w:pPr>
            <w:r>
              <w:rPr>
                <w:sz w:val="22"/>
              </w:rPr>
              <w:t>100.00</w:t>
            </w:r>
          </w:p>
        </w:tc>
      </w:tr>
      <w:tr>
        <w:trPr>
          <w:cantSplit/>
        </w:trPr>
        <w:tc>
          <w:tcPr>
            <w:tcW w:w="751" w:type="dxa"/>
            <w:tcBorders>
              <w:bottom w:val="single" w:sz="4" w:space="0" w:color="auto"/>
            </w:tcBorders>
            <w:noWrap/>
          </w:tcPr>
          <w:p>
            <w:pPr>
              <w:pStyle w:val="TableNAm"/>
              <w:rPr>
                <w:sz w:val="22"/>
              </w:rPr>
            </w:pPr>
            <w:r>
              <w:rPr>
                <w:sz w:val="22"/>
              </w:rPr>
              <w:t>3.</w:t>
            </w:r>
          </w:p>
        </w:tc>
        <w:tc>
          <w:tcPr>
            <w:tcW w:w="2284" w:type="dxa"/>
            <w:tcBorders>
              <w:bottom w:val="single" w:sz="4" w:space="0" w:color="auto"/>
            </w:tcBorders>
            <w:noWrap/>
          </w:tcPr>
          <w:p>
            <w:pPr>
              <w:pStyle w:val="TableNAm"/>
              <w:rPr>
                <w:sz w:val="22"/>
              </w:rPr>
            </w:pPr>
            <w:r>
              <w:rPr>
                <w:sz w:val="22"/>
              </w:rPr>
              <w:t>Application for assessment of costs</w:t>
            </w:r>
          </w:p>
        </w:tc>
        <w:tc>
          <w:tcPr>
            <w:tcW w:w="1309" w:type="dxa"/>
            <w:tcBorders>
              <w:bottom w:val="single" w:sz="4" w:space="0" w:color="auto"/>
            </w:tcBorders>
            <w:noWrap/>
          </w:tcPr>
          <w:p>
            <w:pPr>
              <w:pStyle w:val="TableNAm"/>
              <w:jc w:val="center"/>
              <w:rPr>
                <w:sz w:val="22"/>
              </w:rPr>
            </w:pPr>
            <w:r>
              <w:rPr>
                <w:sz w:val="22"/>
              </w:rPr>
              <w:br/>
              <w:t>491.00 plus assessment fee of 2.5% of the costs claimed in the application</w:t>
            </w:r>
          </w:p>
        </w:tc>
        <w:tc>
          <w:tcPr>
            <w:tcW w:w="1276" w:type="dxa"/>
            <w:tcBorders>
              <w:bottom w:val="single" w:sz="4" w:space="0" w:color="auto"/>
            </w:tcBorders>
            <w:noWrap/>
          </w:tcPr>
          <w:p>
            <w:pPr>
              <w:pStyle w:val="TableNAm"/>
              <w:jc w:val="center"/>
              <w:rPr>
                <w:sz w:val="22"/>
              </w:rPr>
            </w:pPr>
            <w:r>
              <w:rPr>
                <w:sz w:val="22"/>
              </w:rPr>
              <w:br/>
              <w:t>491.00 plus assessment fee of 2.5% of the costs claimed in the application</w:t>
            </w:r>
          </w:p>
        </w:tc>
        <w:tc>
          <w:tcPr>
            <w:tcW w:w="1276" w:type="dxa"/>
            <w:tcBorders>
              <w:bottom w:val="single" w:sz="4" w:space="0" w:color="auto"/>
            </w:tcBorders>
            <w:noWrap/>
          </w:tcPr>
          <w:p>
            <w:pPr>
              <w:pStyle w:val="TableNAm"/>
              <w:ind w:right="172"/>
              <w:jc w:val="right"/>
              <w:rPr>
                <w:sz w:val="22"/>
              </w:rPr>
            </w:pPr>
            <w:r>
              <w:rPr>
                <w:sz w:val="22"/>
              </w:rPr>
              <w:b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 SL 2021/127 r. 6; SL 2022/111 r. 23; SL 2023/120 r. 33; SL 2024/39 r. 4; SL 2024/113 r. 24; SL 2025/111 r. 24.]</w:t>
      </w:r>
    </w:p>
    <w:p>
      <w:pPr>
        <w:pStyle w:val="Heading5"/>
        <w:keepLines w:val="0"/>
      </w:pPr>
      <w:bookmarkStart w:id="37" w:name="_Toc223449614"/>
      <w:r>
        <w:rPr>
          <w:rStyle w:val="CharSectno"/>
        </w:rPr>
        <w:lastRenderedPageBreak/>
        <w:t>11A</w:t>
      </w:r>
      <w:r>
        <w:t>.</w:t>
      </w:r>
      <w:r>
        <w:tab/>
        <w:t>No fee relating to application under enactment in Sch. 7</w:t>
      </w:r>
      <w:bookmarkEnd w:id="37"/>
    </w:p>
    <w:p>
      <w:pPr>
        <w:pStyle w:val="Subsection"/>
      </w:pPr>
      <w:r>
        <w:tab/>
      </w:r>
      <w:r>
        <w:tab/>
        <w:t>A fee is not to be charged in respect of an application made under an enactment listed in Schedule 7 or proceedings in relation to such an application.</w:t>
      </w:r>
    </w:p>
    <w:p>
      <w:pPr>
        <w:pStyle w:val="Footnotesection"/>
        <w:keepLines w:val="0"/>
        <w:spacing w:before="100"/>
        <w:ind w:left="890" w:hanging="890"/>
      </w:pPr>
      <w:r>
        <w:tab/>
        <w:t>[Regulation 11A inserted: Gazette 6 Aug 2013 p. 3652; amended: Gazette 31 Dec 2019 p. 4657; SL 2021/102 r. 4.]</w:t>
      </w:r>
    </w:p>
    <w:p>
      <w:pPr>
        <w:pStyle w:val="Heading5"/>
      </w:pPr>
      <w:bookmarkStart w:id="38" w:name="_Toc223449615"/>
      <w:r>
        <w:rPr>
          <w:rStyle w:val="CharSectno"/>
        </w:rPr>
        <w:t>11B</w:t>
      </w:r>
      <w:r>
        <w:t>.</w:t>
      </w:r>
      <w:r>
        <w:tab/>
        <w:t>Fees relating to application not covered by r. 9, 10 or 11A</w:t>
      </w:r>
      <w:bookmarkEnd w:id="38"/>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51"/>
        <w:gridCol w:w="2284"/>
        <w:gridCol w:w="1304"/>
        <w:gridCol w:w="1276"/>
        <w:gridCol w:w="1276"/>
      </w:tblGrid>
      <w:tr>
        <w:trPr>
          <w:cantSplit/>
          <w:tblHeader/>
        </w:trPr>
        <w:tc>
          <w:tcPr>
            <w:tcW w:w="751" w:type="dxa"/>
            <w:tcBorders>
              <w:top w:val="single" w:sz="4" w:space="0" w:color="auto"/>
              <w:bottom w:val="single" w:sz="4" w:space="0" w:color="auto"/>
            </w:tcBorders>
            <w:noWrap/>
          </w:tcPr>
          <w:p>
            <w:pPr>
              <w:pStyle w:val="TableNAm"/>
              <w:jc w:val="center"/>
              <w:rPr>
                <w:b/>
                <w:sz w:val="22"/>
              </w:rPr>
            </w:pPr>
            <w:r>
              <w:rPr>
                <w:b/>
                <w:sz w:val="22"/>
              </w:rPr>
              <w:t>Item</w:t>
            </w:r>
          </w:p>
        </w:tc>
        <w:tc>
          <w:tcPr>
            <w:tcW w:w="2284" w:type="dxa"/>
            <w:tcBorders>
              <w:top w:val="single" w:sz="4" w:space="0" w:color="auto"/>
              <w:bottom w:val="single" w:sz="4" w:space="0" w:color="auto"/>
            </w:tcBorders>
            <w:noWrap/>
          </w:tcPr>
          <w:p>
            <w:pPr>
              <w:pStyle w:val="TableNAm"/>
              <w:jc w:val="center"/>
              <w:rPr>
                <w:b/>
                <w:sz w:val="22"/>
              </w:rPr>
            </w:pPr>
            <w:r>
              <w:rPr>
                <w:b/>
                <w:sz w:val="22"/>
              </w:rPr>
              <w:t>Matter</w:t>
            </w:r>
          </w:p>
        </w:tc>
        <w:tc>
          <w:tcPr>
            <w:tcW w:w="1304"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304" w:type="dxa"/>
            <w:tcBorders>
              <w:top w:val="single" w:sz="4" w:space="0" w:color="auto"/>
            </w:tcBorders>
            <w:noWrap/>
            <w:vAlign w:val="bottom"/>
          </w:tcPr>
          <w:p>
            <w:pPr>
              <w:pStyle w:val="TableNAm"/>
              <w:ind w:right="172"/>
              <w:jc w:val="right"/>
              <w:rPr>
                <w:sz w:val="22"/>
              </w:rPr>
            </w:pPr>
            <w:r>
              <w:rPr>
                <w:sz w:val="22"/>
              </w:rPr>
              <w:t>744.00</w:t>
            </w:r>
          </w:p>
        </w:tc>
        <w:tc>
          <w:tcPr>
            <w:tcW w:w="1276" w:type="dxa"/>
            <w:tcBorders>
              <w:top w:val="single" w:sz="4" w:space="0" w:color="auto"/>
            </w:tcBorders>
            <w:noWrap/>
            <w:vAlign w:val="bottom"/>
          </w:tcPr>
          <w:p>
            <w:pPr>
              <w:pStyle w:val="TableNAm"/>
              <w:ind w:right="172"/>
              <w:jc w:val="right"/>
              <w:rPr>
                <w:sz w:val="22"/>
              </w:rPr>
            </w:pPr>
            <w:r>
              <w:rPr>
                <w:sz w:val="22"/>
              </w:rPr>
              <w:t>744.00</w:t>
            </w:r>
          </w:p>
        </w:tc>
        <w:tc>
          <w:tcPr>
            <w:tcW w:w="1276"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t>2.</w:t>
            </w:r>
          </w:p>
        </w:tc>
        <w:tc>
          <w:tcPr>
            <w:tcW w:w="2284" w:type="dxa"/>
            <w:noWrap/>
          </w:tcPr>
          <w:p>
            <w:pPr>
              <w:pStyle w:val="TableNAm"/>
              <w:rPr>
                <w:sz w:val="22"/>
              </w:rPr>
            </w:pPr>
            <w:r>
              <w:rPr>
                <w:sz w:val="22"/>
              </w:rPr>
              <w:t>Hearing fee (for each day or part of a day allocated, other than the first day)</w:t>
            </w:r>
          </w:p>
        </w:tc>
        <w:tc>
          <w:tcPr>
            <w:tcW w:w="1304" w:type="dxa"/>
            <w:noWrap/>
            <w:vAlign w:val="bottom"/>
          </w:tcPr>
          <w:p>
            <w:pPr>
              <w:pStyle w:val="TableNAm"/>
              <w:ind w:right="172"/>
              <w:jc w:val="right"/>
              <w:rPr>
                <w:sz w:val="22"/>
              </w:rPr>
            </w:pPr>
            <w:r>
              <w:rPr>
                <w:sz w:val="22"/>
              </w:rPr>
              <w:t>744.00</w:t>
            </w:r>
          </w:p>
        </w:tc>
        <w:tc>
          <w:tcPr>
            <w:tcW w:w="1276" w:type="dxa"/>
            <w:noWrap/>
            <w:vAlign w:val="bottom"/>
          </w:tcPr>
          <w:p>
            <w:pPr>
              <w:pStyle w:val="TableNAm"/>
              <w:ind w:right="172"/>
              <w:jc w:val="right"/>
              <w:rPr>
                <w:sz w:val="22"/>
              </w:rPr>
            </w:pPr>
            <w:r>
              <w:rPr>
                <w:sz w:val="22"/>
              </w:rPr>
              <w:t>744.00</w:t>
            </w:r>
          </w:p>
        </w:tc>
        <w:tc>
          <w:tcPr>
            <w:tcW w:w="1276" w:type="dxa"/>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lastRenderedPageBreak/>
              <w:t>3.</w:t>
            </w:r>
          </w:p>
        </w:tc>
        <w:tc>
          <w:tcPr>
            <w:tcW w:w="2284" w:type="dxa"/>
            <w:noWrap/>
          </w:tcPr>
          <w:p>
            <w:pPr>
              <w:pStyle w:val="TableNAm"/>
              <w:rPr>
                <w:sz w:val="22"/>
              </w:rPr>
            </w:pPr>
            <w:r>
              <w:rPr>
                <w:sz w:val="22"/>
              </w:rPr>
              <w:t>Application for assessment of costs</w:t>
            </w:r>
          </w:p>
        </w:tc>
        <w:tc>
          <w:tcPr>
            <w:tcW w:w="1304" w:type="dxa"/>
            <w:noWrap/>
          </w:tcPr>
          <w:p>
            <w:pPr>
              <w:pStyle w:val="BlankClose"/>
              <w:spacing w:before="120"/>
              <w:rPr>
                <w:sz w:val="22"/>
              </w:rPr>
            </w:pPr>
            <w:r>
              <w:rPr>
                <w:sz w:val="22"/>
              </w:rPr>
              <w:br/>
              <w:t>257.00 plus assessment fee of 2.5% of the costs claimed in the application</w:t>
            </w:r>
          </w:p>
        </w:tc>
        <w:tc>
          <w:tcPr>
            <w:tcW w:w="1276" w:type="dxa"/>
            <w:noWrap/>
          </w:tcPr>
          <w:p>
            <w:pPr>
              <w:pStyle w:val="TableNAm"/>
              <w:jc w:val="center"/>
              <w:rPr>
                <w:sz w:val="22"/>
              </w:rPr>
            </w:pPr>
            <w:r>
              <w:rPr>
                <w:sz w:val="22"/>
              </w:rPr>
              <w:br/>
              <w:t>391.00 plus assessment fee of 2.5% of the costs claimed in the application</w:t>
            </w:r>
          </w:p>
        </w:tc>
        <w:tc>
          <w:tcPr>
            <w:tcW w:w="1276" w:type="dxa"/>
            <w:noWrap/>
          </w:tcPr>
          <w:p>
            <w:pPr>
              <w:pStyle w:val="TableNAm"/>
              <w:ind w:right="170"/>
              <w:jc w:val="right"/>
              <w:rPr>
                <w:sz w:val="22"/>
              </w:rPr>
            </w:pPr>
            <w:r>
              <w:rPr>
                <w:sz w:val="22"/>
              </w:rPr>
              <w:br/>
              <w:t>77.00</w:t>
            </w:r>
          </w:p>
        </w:tc>
      </w:tr>
      <w:tr>
        <w:trPr>
          <w:cantSplit/>
        </w:trPr>
        <w:tc>
          <w:tcPr>
            <w:tcW w:w="751" w:type="dxa"/>
            <w:noWrap/>
          </w:tcPr>
          <w:p>
            <w:pPr>
              <w:pStyle w:val="TableNAm"/>
              <w:rPr>
                <w:sz w:val="22"/>
              </w:rPr>
            </w:pPr>
            <w:r>
              <w:rPr>
                <w:sz w:val="22"/>
              </w:rPr>
              <w:t>4.</w:t>
            </w:r>
          </w:p>
        </w:tc>
        <w:tc>
          <w:tcPr>
            <w:tcW w:w="2284" w:type="dxa"/>
            <w:noWrap/>
          </w:tcPr>
          <w:p>
            <w:pPr>
              <w:pStyle w:val="TableNAm"/>
              <w:rPr>
                <w:sz w:val="22"/>
              </w:rPr>
            </w:pPr>
            <w:r>
              <w:rPr>
                <w:sz w:val="22"/>
              </w:rPr>
              <w:t xml:space="preserve">Application under the </w:t>
            </w:r>
            <w:r>
              <w:rPr>
                <w:i/>
                <w:sz w:val="22"/>
              </w:rPr>
              <w:t>Legal Profession Uniform Law (WA)</w:t>
            </w:r>
            <w:r>
              <w:rPr>
                <w:sz w:val="22"/>
              </w:rPr>
              <w:t xml:space="preserve"> section 198(4) for a determination that an application for a costs assessment made out of time may be dealt with by a costs assessor</w:t>
            </w:r>
          </w:p>
        </w:tc>
        <w:tc>
          <w:tcPr>
            <w:tcW w:w="1304" w:type="dxa"/>
            <w:noWrap/>
            <w:vAlign w:val="bottom"/>
          </w:tcPr>
          <w:p>
            <w:pPr>
              <w:pStyle w:val="TableNAm"/>
              <w:ind w:right="172"/>
              <w:jc w:val="right"/>
              <w:rPr>
                <w:sz w:val="22"/>
              </w:rPr>
            </w:pPr>
            <w:r>
              <w:rPr>
                <w:sz w:val="22"/>
              </w:rPr>
              <w:t>161.00</w:t>
            </w:r>
          </w:p>
        </w:tc>
        <w:tc>
          <w:tcPr>
            <w:tcW w:w="1276" w:type="dxa"/>
            <w:noWrap/>
            <w:vAlign w:val="bottom"/>
          </w:tcPr>
          <w:p>
            <w:pPr>
              <w:pStyle w:val="TableNAm"/>
              <w:ind w:right="172"/>
              <w:jc w:val="right"/>
              <w:rPr>
                <w:sz w:val="22"/>
              </w:rPr>
            </w:pPr>
            <w:r>
              <w:rPr>
                <w:sz w:val="22"/>
              </w:rPr>
              <w:t>161.00</w:t>
            </w:r>
          </w:p>
        </w:tc>
        <w:tc>
          <w:tcPr>
            <w:tcW w:w="1276" w:type="dxa"/>
            <w:noWrap/>
            <w:vAlign w:val="bottom"/>
          </w:tcPr>
          <w:p>
            <w:pPr>
              <w:pStyle w:val="TableNAm"/>
              <w:ind w:right="172"/>
              <w:jc w:val="right"/>
              <w:rPr>
                <w:sz w:val="22"/>
              </w:rPr>
            </w:pPr>
            <w:r>
              <w:rPr>
                <w:sz w:val="22"/>
              </w:rPr>
              <w:t>48.30</w:t>
            </w:r>
          </w:p>
        </w:tc>
      </w:tr>
      <w:tr>
        <w:trPr>
          <w:cantSplit/>
        </w:trPr>
        <w:tc>
          <w:tcPr>
            <w:tcW w:w="751" w:type="dxa"/>
            <w:tcBorders>
              <w:bottom w:val="single" w:sz="4" w:space="0" w:color="auto"/>
            </w:tcBorders>
            <w:noWrap/>
          </w:tcPr>
          <w:p>
            <w:pPr>
              <w:pStyle w:val="TableNAm"/>
              <w:rPr>
                <w:sz w:val="22"/>
              </w:rPr>
            </w:pPr>
            <w:r>
              <w:rPr>
                <w:sz w:val="22"/>
              </w:rPr>
              <w:t>5.</w:t>
            </w:r>
          </w:p>
        </w:tc>
        <w:tc>
          <w:tcPr>
            <w:tcW w:w="2284" w:type="dxa"/>
            <w:tcBorders>
              <w:bottom w:val="single" w:sz="4" w:space="0" w:color="auto"/>
            </w:tcBorders>
            <w:noWrap/>
          </w:tcPr>
          <w:p>
            <w:pPr>
              <w:pStyle w:val="TableNAm"/>
              <w:rPr>
                <w:sz w:val="22"/>
              </w:rPr>
            </w:pPr>
            <w:r>
              <w:rPr>
                <w:sz w:val="22"/>
              </w:rPr>
              <w:t xml:space="preserve">Hearing fee for a hearing in relation to an application under the </w:t>
            </w:r>
            <w:r>
              <w:rPr>
                <w:i/>
                <w:sz w:val="22"/>
              </w:rPr>
              <w:t>Legal Profession Uniform Law (WA)</w:t>
            </w:r>
            <w:r>
              <w:rPr>
                <w:sz w:val="22"/>
              </w:rPr>
              <w:t xml:space="preserve"> section 198(4) (for each day or part of a day allocated, other than the first day)</w:t>
            </w:r>
          </w:p>
        </w:tc>
        <w:tc>
          <w:tcPr>
            <w:tcW w:w="1304" w:type="dxa"/>
            <w:tcBorders>
              <w:bottom w:val="single" w:sz="4" w:space="0" w:color="auto"/>
            </w:tcBorders>
            <w:noWrap/>
            <w:vAlign w:val="bottom"/>
          </w:tcPr>
          <w:p>
            <w:pPr>
              <w:pStyle w:val="TableNAm"/>
              <w:ind w:right="172"/>
              <w:jc w:val="right"/>
              <w:rPr>
                <w:sz w:val="22"/>
              </w:rPr>
            </w:pPr>
            <w:r>
              <w:rPr>
                <w:sz w:val="22"/>
              </w:rPr>
              <w:t>319.00</w:t>
            </w:r>
          </w:p>
        </w:tc>
        <w:tc>
          <w:tcPr>
            <w:tcW w:w="1276" w:type="dxa"/>
            <w:tcBorders>
              <w:bottom w:val="single" w:sz="4" w:space="0" w:color="auto"/>
            </w:tcBorders>
            <w:noWrap/>
            <w:vAlign w:val="bottom"/>
          </w:tcPr>
          <w:p>
            <w:pPr>
              <w:pStyle w:val="TableNAm"/>
              <w:ind w:right="172"/>
              <w:jc w:val="right"/>
              <w:rPr>
                <w:sz w:val="22"/>
              </w:rPr>
            </w:pPr>
            <w:r>
              <w:rPr>
                <w:sz w:val="22"/>
              </w:rPr>
              <w:t>319.00</w:t>
            </w:r>
          </w:p>
        </w:tc>
        <w:tc>
          <w:tcPr>
            <w:tcW w:w="1276" w:type="dxa"/>
            <w:tcBorders>
              <w:bottom w:val="single" w:sz="4" w:space="0" w:color="auto"/>
            </w:tcBorders>
            <w:noWrap/>
            <w:vAlign w:val="bottom"/>
          </w:tcPr>
          <w:p>
            <w:pPr>
              <w:pStyle w:val="TableNAm"/>
              <w:ind w:right="172"/>
              <w:jc w:val="right"/>
              <w:rPr>
                <w:sz w:val="22"/>
              </w:rPr>
            </w:pPr>
            <w:r>
              <w:rPr>
                <w:sz w:val="22"/>
              </w:rPr>
              <w:t>95.50</w:t>
            </w:r>
          </w:p>
        </w:tc>
      </w:tr>
    </w:tbl>
    <w:p>
      <w:pPr>
        <w:pStyle w:val="Footnotesection"/>
        <w:keepNext/>
        <w:keepLines w:val="0"/>
        <w:ind w:left="890" w:hanging="890"/>
      </w:pPr>
      <w:r>
        <w:tab/>
        <w:t>[Regulation 11B inserted: Gazette 6 Aug 2013 p. 3652</w:t>
      </w:r>
      <w:r>
        <w:noBreakHyphen/>
        <w:t xml:space="preserve">3; amended: Gazette 14 Jan 2014 p. 44; 27 Jun 2014 p. 2346; </w:t>
      </w:r>
      <w:r>
        <w:lastRenderedPageBreak/>
        <w:t>19 Jun 2015 p. 2129; 14 Jun 2016 p. 1946</w:t>
      </w:r>
      <w:r>
        <w:noBreakHyphen/>
        <w:t>7; 7 Jul 2017 p. 3777; 15 Jun 2018 p. 2025; 28 Jun 2019 p. 2616; 31 Dec 2019 p. 4658; SL 2020/124 r. 20; SL 2021/101 r. 23; SL 2021/102 r. 5; SL 2022/111 r. 24; SL 2022/114 r. 11; SL 2023/120 r. 34; SL 2024/113 r. 25; SL 2025/111 r. 25.]</w:t>
      </w:r>
    </w:p>
    <w:p>
      <w:pPr>
        <w:pStyle w:val="Heading5"/>
        <w:spacing w:before="180"/>
      </w:pPr>
      <w:bookmarkStart w:id="39" w:name="_Toc223449616"/>
      <w:r>
        <w:rPr>
          <w:rStyle w:val="CharSectno"/>
        </w:rPr>
        <w:t>11</w:t>
      </w:r>
      <w:r>
        <w:t>.</w:t>
      </w:r>
      <w:r>
        <w:tab/>
        <w:t>Fees for provision of transcripts to third parties</w:t>
      </w:r>
      <w:bookmarkEnd w:id="39"/>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8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 SL 2023/120 r. 35.]</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40" w:name="_Toc223449617"/>
      <w:r>
        <w:rPr>
          <w:rStyle w:val="CharSectno"/>
        </w:rPr>
        <w:lastRenderedPageBreak/>
        <w:t>27</w:t>
      </w:r>
      <w:r>
        <w:t>.</w:t>
      </w:r>
      <w:r>
        <w:tab/>
        <w:t>Other fees</w:t>
      </w:r>
      <w:bookmarkEnd w:id="40"/>
    </w:p>
    <w:p>
      <w:pPr>
        <w:pStyle w:val="Subsection"/>
      </w:pPr>
      <w:r>
        <w:tab/>
      </w:r>
      <w:r>
        <w:tab/>
        <w:t>The fees set out in Schedule 8 are to be charged in respect of the matters shown in that Schedule.</w:t>
      </w:r>
    </w:p>
    <w:p>
      <w:pPr>
        <w:pStyle w:val="Footnotesection"/>
        <w:spacing w:before="60"/>
        <w:ind w:left="890" w:hanging="890"/>
      </w:pPr>
      <w:r>
        <w:tab/>
        <w:t>[Regulation 27 amended: SL 2023/120 r. 36.]</w:t>
      </w:r>
    </w:p>
    <w:p>
      <w:pPr>
        <w:pStyle w:val="Heading2"/>
      </w:pPr>
      <w:bookmarkStart w:id="41" w:name="_Toc203732693"/>
      <w:bookmarkStart w:id="42" w:name="_Toc203733054"/>
      <w:bookmarkStart w:id="43" w:name="_Toc203746479"/>
      <w:bookmarkStart w:id="44" w:name="_Toc223420387"/>
      <w:bookmarkStart w:id="45" w:name="_Toc223420741"/>
      <w:bookmarkStart w:id="46" w:name="_Toc223449618"/>
      <w:r>
        <w:rPr>
          <w:rStyle w:val="CharPartNo"/>
        </w:rPr>
        <w:lastRenderedPageBreak/>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41"/>
      <w:bookmarkEnd w:id="42"/>
      <w:bookmarkEnd w:id="43"/>
      <w:bookmarkEnd w:id="44"/>
      <w:bookmarkEnd w:id="45"/>
      <w:bookmarkEnd w:id="46"/>
    </w:p>
    <w:p>
      <w:pPr>
        <w:pStyle w:val="Heading5"/>
        <w:spacing w:before="180"/>
      </w:pPr>
      <w:bookmarkStart w:id="47" w:name="_Toc223449619"/>
      <w:r>
        <w:rPr>
          <w:rStyle w:val="CharSectno"/>
        </w:rPr>
        <w:t>28</w:t>
      </w:r>
      <w:r>
        <w:t>.</w:t>
      </w:r>
      <w:r>
        <w:tab/>
        <w:t>Transitional provisions</w:t>
      </w:r>
      <w:bookmarkEnd w:id="47"/>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 xml:space="preserve">the time for making an application continues to apply on or after the commencement day in relation to any </w:t>
      </w:r>
      <w:r>
        <w:lastRenderedPageBreak/>
        <w:t>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48" w:name="_Toc223449620"/>
      <w:r>
        <w:rPr>
          <w:rStyle w:val="CharSectno"/>
        </w:rPr>
        <w:t>33</w:t>
      </w:r>
      <w:r>
        <w:t>.</w:t>
      </w:r>
      <w:r>
        <w:tab/>
      </w:r>
      <w:r>
        <w:rPr>
          <w:i/>
        </w:rPr>
        <w:t>Land Administration Act 1997</w:t>
      </w:r>
      <w:bookmarkEnd w:id="48"/>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49" w:name="_Toc203732696"/>
      <w:bookmarkStart w:id="50" w:name="_Toc203733057"/>
      <w:bookmarkStart w:id="51" w:name="_Toc203746482"/>
      <w:bookmarkStart w:id="52" w:name="_Toc223420390"/>
      <w:bookmarkStart w:id="53" w:name="_Toc223420744"/>
      <w:bookmarkStart w:id="54" w:name="_Toc223449621"/>
      <w:r>
        <w:rPr>
          <w:rStyle w:val="CharPartNo"/>
        </w:rPr>
        <w:lastRenderedPageBreak/>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49"/>
      <w:bookmarkEnd w:id="50"/>
      <w:bookmarkEnd w:id="51"/>
      <w:bookmarkEnd w:id="52"/>
      <w:bookmarkEnd w:id="53"/>
      <w:bookmarkEnd w:id="54"/>
    </w:p>
    <w:p>
      <w:pPr>
        <w:pStyle w:val="Heading5"/>
      </w:pPr>
      <w:bookmarkStart w:id="55" w:name="_Toc223449622"/>
      <w:r>
        <w:rPr>
          <w:rStyle w:val="CharSectno"/>
        </w:rPr>
        <w:t>42</w:t>
      </w:r>
      <w:r>
        <w:t>.</w:t>
      </w:r>
      <w:r>
        <w:tab/>
        <w:t>Transitional provision</w:t>
      </w:r>
      <w:bookmarkEnd w:id="55"/>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56" w:name="_Toc223449623"/>
      <w:r>
        <w:rPr>
          <w:rStyle w:val="CharSectno"/>
        </w:rPr>
        <w:t>55</w:t>
      </w:r>
      <w:r>
        <w:t>.</w:t>
      </w:r>
      <w:r>
        <w:tab/>
      </w:r>
      <w:r>
        <w:rPr>
          <w:i/>
        </w:rPr>
        <w:t>Local Government (Miscellaneous Provisions) Act 1960</w:t>
      </w:r>
      <w:bookmarkEnd w:id="56"/>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57" w:name="_Toc223449624"/>
      <w:r>
        <w:rPr>
          <w:rStyle w:val="CharSectno"/>
        </w:rPr>
        <w:lastRenderedPageBreak/>
        <w:t>61</w:t>
      </w:r>
      <w:r>
        <w:t>.</w:t>
      </w:r>
      <w:r>
        <w:tab/>
      </w:r>
      <w:r>
        <w:rPr>
          <w:i/>
        </w:rPr>
        <w:t>Rights in Water and Irrigation Act 1914</w:t>
      </w:r>
      <w:bookmarkEnd w:id="57"/>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58" w:name="_Toc223449625"/>
      <w:r>
        <w:rPr>
          <w:rStyle w:val="CharSectno"/>
        </w:rPr>
        <w:t>63</w:t>
      </w:r>
      <w:r>
        <w:t>.</w:t>
      </w:r>
      <w:r>
        <w:tab/>
      </w:r>
      <w:r>
        <w:rPr>
          <w:i/>
        </w:rPr>
        <w:t>Strata Titles Act 1985</w:t>
      </w:r>
      <w:bookmarkEnd w:id="58"/>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 xml:space="preserve">A certificate of a local government made before the commencement day which complies with the ST Act </w:t>
      </w:r>
      <w:r>
        <w:lastRenderedPageBreak/>
        <w:t>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59" w:name="_Toc203732701"/>
      <w:bookmarkStart w:id="60" w:name="_Toc203733062"/>
      <w:bookmarkStart w:id="61" w:name="_Toc203746487"/>
      <w:bookmarkStart w:id="62" w:name="_Toc223420395"/>
      <w:bookmarkStart w:id="63" w:name="_Toc223420749"/>
      <w:bookmarkStart w:id="64" w:name="_Toc223449626"/>
      <w:r>
        <w:rPr>
          <w:rStyle w:val="CharSchNo"/>
        </w:rPr>
        <w:lastRenderedPageBreak/>
        <w:t>Schedule 1</w:t>
      </w:r>
      <w:r>
        <w:t xml:space="preserve"> — </w:t>
      </w:r>
      <w:r>
        <w:rPr>
          <w:rStyle w:val="CharSchText"/>
        </w:rPr>
        <w:t xml:space="preserve">Enabling Acts prescribed for the purposes of the definition of </w:t>
      </w:r>
      <w:r>
        <w:rPr>
          <w:rStyle w:val="CharSchText"/>
          <w:i/>
          <w:iCs/>
        </w:rPr>
        <w:t>vocational regulatory body</w:t>
      </w:r>
      <w:bookmarkEnd w:id="59"/>
      <w:bookmarkEnd w:id="60"/>
      <w:bookmarkEnd w:id="61"/>
      <w:bookmarkEnd w:id="62"/>
      <w:bookmarkEnd w:id="63"/>
      <w:bookmarkEnd w:id="64"/>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rPr>
          <w:i/>
        </w:rPr>
      </w:pPr>
      <w:r>
        <w:rPr>
          <w:i/>
        </w:rPr>
        <w:t>Legal Profession Uniform Law Application Act 2022</w:t>
      </w:r>
    </w:p>
    <w:p>
      <w:pPr>
        <w:pStyle w:val="yMiscellaneousBody"/>
        <w:rPr>
          <w:i/>
        </w:rPr>
      </w:pPr>
      <w:r>
        <w:rPr>
          <w:i/>
        </w:rPr>
        <w:t>Legal Profession Uniform Law (WA)</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szCs w:val="22"/>
        </w:rPr>
        <w:t>Veterinary Practice Act 2021</w:t>
      </w:r>
    </w:p>
    <w:p>
      <w:pPr>
        <w:pStyle w:val="yFootnotesection"/>
      </w:pPr>
      <w:r>
        <w:tab/>
        <w:t>[Schedule 1 amended: Gazette 31 Jul 2007 p. 3805; 7 Dec 2012 p. 5994</w:t>
      </w:r>
      <w:r>
        <w:rPr>
          <w:szCs w:val="22"/>
        </w:rPr>
        <w:t>; 6 Aug 2013 p.</w:t>
      </w:r>
      <w:r>
        <w:rPr>
          <w:sz w:val="24"/>
          <w:szCs w:val="24"/>
        </w:rPr>
        <w:t> </w:t>
      </w:r>
      <w:r>
        <w:t>3653</w:t>
      </w:r>
      <w:r>
        <w:noBreakHyphen/>
        <w:t>4; 24 Jan 2017 p. 745; SL 2022/97 r. 6; SL 2022/114 r. 12; SL 2026/20 r. 4.]</w:t>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66" w:name="_Toc203732702"/>
      <w:bookmarkStart w:id="67" w:name="_Toc203733063"/>
      <w:bookmarkStart w:id="68" w:name="_Toc203746488"/>
      <w:bookmarkStart w:id="69" w:name="_Toc223420396"/>
      <w:bookmarkStart w:id="70" w:name="_Toc223420750"/>
      <w:bookmarkStart w:id="71" w:name="_Toc223449627"/>
      <w:r>
        <w:rPr>
          <w:rStyle w:val="CharSchNo"/>
        </w:rPr>
        <w:lastRenderedPageBreak/>
        <w:t>Schedule 2</w:t>
      </w:r>
      <w:r>
        <w:t> — </w:t>
      </w:r>
      <w:r>
        <w:rPr>
          <w:rStyle w:val="CharSchText"/>
        </w:rPr>
        <w:t>Places at which a magistrate may be authorised to perform functions as a member of the Tribunal</w:t>
      </w:r>
      <w:bookmarkEnd w:id="66"/>
      <w:bookmarkEnd w:id="67"/>
      <w:bookmarkEnd w:id="68"/>
      <w:bookmarkEnd w:id="69"/>
      <w:bookmarkEnd w:id="70"/>
      <w:bookmarkEnd w:id="71"/>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72" w:name="_Toc203732703"/>
      <w:bookmarkStart w:id="73" w:name="_Toc203733064"/>
      <w:bookmarkStart w:id="74" w:name="_Toc203746489"/>
      <w:bookmarkStart w:id="75" w:name="_Toc223420397"/>
      <w:bookmarkStart w:id="76" w:name="_Toc223420751"/>
      <w:bookmarkStart w:id="77" w:name="_Toc223449628"/>
      <w:r>
        <w:rPr>
          <w:rStyle w:val="CharSchNo"/>
        </w:rPr>
        <w:lastRenderedPageBreak/>
        <w:t>Schedule 3</w:t>
      </w:r>
      <w:r>
        <w:t> — </w:t>
      </w:r>
      <w:r>
        <w:rPr>
          <w:rStyle w:val="CharSchText"/>
        </w:rPr>
        <w:t>Provision under which application made</w:t>
      </w:r>
      <w:bookmarkEnd w:id="72"/>
      <w:bookmarkEnd w:id="73"/>
      <w:bookmarkEnd w:id="74"/>
      <w:bookmarkEnd w:id="75"/>
      <w:bookmarkEnd w:id="76"/>
      <w:bookmarkEnd w:id="77"/>
    </w:p>
    <w:p>
      <w:pPr>
        <w:pStyle w:val="yShoulderClause"/>
      </w:pPr>
      <w:r>
        <w:t>[r. 9(1)]</w:t>
      </w:r>
    </w:p>
    <w:p>
      <w:pPr>
        <w:pStyle w:val="yFootnoteheading"/>
      </w:pPr>
      <w:r>
        <w:tab/>
        <w:t>[Heading inserted: Gazette 26 Jun 2007 p. 2987; amended: Gazette 31 Dec 2019 p. 4658.]</w:t>
      </w:r>
    </w:p>
    <w:p>
      <w:pPr>
        <w:pStyle w:val="yMiscellaneousBody"/>
        <w:spacing w:before="240"/>
      </w:pPr>
      <w:r>
        <w:rPr>
          <w:i/>
        </w:rPr>
        <w:t xml:space="preserve">Aboriginal Heritage Act 1972 </w:t>
      </w:r>
      <w:r>
        <w:t>s. 18(5)</w:t>
      </w:r>
    </w:p>
    <w:p>
      <w:pPr>
        <w:pStyle w:val="yMiscellaneousBody"/>
      </w:pPr>
      <w:r>
        <w:rPr>
          <w:i/>
        </w:rPr>
        <w:t>Community Titles Act 2018</w:t>
      </w:r>
      <w:r>
        <w:t xml:space="preserve"> s. 150(1) or 152(1)</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 SL 2021/138 r. 5; SL 2023/49 r. 4; SL 2023/169 r. 4</w:t>
      </w:r>
      <w:r>
        <w:rPr>
          <w:szCs w:val="22"/>
        </w:rPr>
        <w:t>.]</w:t>
      </w:r>
    </w:p>
    <w:p>
      <w:pPr>
        <w:pStyle w:val="yScheduleHeading"/>
      </w:pPr>
      <w:bookmarkStart w:id="78" w:name="_Toc203732704"/>
      <w:bookmarkStart w:id="79" w:name="_Toc203733065"/>
      <w:bookmarkStart w:id="80" w:name="_Toc203746490"/>
      <w:bookmarkStart w:id="81" w:name="_Toc223420398"/>
      <w:bookmarkStart w:id="82" w:name="_Toc223420752"/>
      <w:bookmarkStart w:id="83" w:name="_Toc223449629"/>
      <w:r>
        <w:rPr>
          <w:rStyle w:val="CharSchNo"/>
        </w:rPr>
        <w:lastRenderedPageBreak/>
        <w:t>Schedule 4</w:t>
      </w:r>
      <w:r>
        <w:t> — </w:t>
      </w:r>
      <w:r>
        <w:rPr>
          <w:rStyle w:val="CharSchText"/>
        </w:rPr>
        <w:t>Provision under which application made</w:t>
      </w:r>
      <w:bookmarkEnd w:id="78"/>
      <w:bookmarkEnd w:id="79"/>
      <w:bookmarkEnd w:id="80"/>
      <w:bookmarkEnd w:id="81"/>
      <w:bookmarkEnd w:id="82"/>
      <w:bookmarkEnd w:id="83"/>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Community Titles Act 2018 </w:t>
      </w:r>
      <w:r>
        <w:t xml:space="preserve">s. 34(1)(a) or (b) or (6) </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 SL 2021/138 r. 6.]</w:t>
      </w:r>
    </w:p>
    <w:p>
      <w:pPr>
        <w:pStyle w:val="yEdnoteschedule"/>
        <w:rPr>
          <w:szCs w:val="22"/>
        </w:rPr>
      </w:pPr>
      <w:r>
        <w:rPr>
          <w:szCs w:val="22"/>
        </w:rPr>
        <w:t>[Schedule 5 deleted: Gazette 6 Aug 2013 p. 3655.]</w:t>
      </w:r>
    </w:p>
    <w:p>
      <w:pPr>
        <w:pStyle w:val="yScheduleHeading"/>
      </w:pPr>
      <w:bookmarkStart w:id="84" w:name="_Toc203732705"/>
      <w:bookmarkStart w:id="85" w:name="_Toc203733066"/>
      <w:bookmarkStart w:id="86" w:name="_Toc203746491"/>
      <w:bookmarkStart w:id="87" w:name="_Toc223420399"/>
      <w:bookmarkStart w:id="88" w:name="_Toc223420753"/>
      <w:bookmarkStart w:id="89" w:name="_Toc223449630"/>
      <w:r>
        <w:rPr>
          <w:rStyle w:val="CharSchNo"/>
        </w:rPr>
        <w:lastRenderedPageBreak/>
        <w:t>Schedule 6</w:t>
      </w:r>
      <w:r>
        <w:t> — </w:t>
      </w:r>
      <w:r>
        <w:rPr>
          <w:rStyle w:val="CharSchText"/>
        </w:rPr>
        <w:t>Provision under which application made</w:t>
      </w:r>
      <w:bookmarkEnd w:id="84"/>
      <w:bookmarkEnd w:id="85"/>
      <w:bookmarkEnd w:id="86"/>
      <w:bookmarkEnd w:id="87"/>
      <w:bookmarkEnd w:id="88"/>
      <w:bookmarkEnd w:id="89"/>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Community Titles Act 2018</w:t>
      </w:r>
      <w:r>
        <w:rPr>
          <w:iCs/>
        </w:rPr>
        <w:t xml:space="preserve"> s. 40(2), 42(2), 48(1)(b) or (3)(a), (b), (c) or (d), 74(1), 83(3), 102(6), 141(2)(c), 145(2)(b), 162(4), 163(1) or 172(1)</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Code) Regulations 2022</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w:t>
      </w:r>
      <w:r>
        <w:rPr>
          <w:szCs w:val="22"/>
        </w:rPr>
        <w:t xml:space="preserve">s. 62(1), 62A(2), 62D(1), 63(1), 63A(1), 63B(1) or (3), 63C(2), 64(1), 64A(1), 64B(1), 64C(2), </w:t>
      </w:r>
      <w:r>
        <w:t xml:space="preserve">65(1), 66(2), 67(2), 68(2), 69(2), 70(2), </w:t>
      </w:r>
      <w:r>
        <w:rPr>
          <w:szCs w:val="22"/>
        </w:rPr>
        <w:t xml:space="preserve">70A(1), 70B(1), 71(1), 71A(2), </w:t>
      </w:r>
      <w:r>
        <w:t>72(1), 73(1), 74, 75(1), 76(1), 77(1) or 82(1)</w:t>
      </w:r>
    </w:p>
    <w:p>
      <w:pPr>
        <w:pStyle w:val="yMiscellaneousBody"/>
      </w:pPr>
      <w:r>
        <w:rPr>
          <w:i/>
          <w:szCs w:val="22"/>
        </w:rPr>
        <w:lastRenderedPageBreak/>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(Screening)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7; SL 2021/157 r. 4; SL 2021/201 r. 4; SL 2022/39 r. 4.]</w:t>
      </w:r>
    </w:p>
    <w:p>
      <w:pPr>
        <w:pStyle w:val="yScheduleHeading"/>
      </w:pPr>
      <w:bookmarkStart w:id="90" w:name="_Toc203732706"/>
      <w:bookmarkStart w:id="91" w:name="_Toc203733067"/>
      <w:bookmarkStart w:id="92" w:name="_Toc203746492"/>
      <w:bookmarkStart w:id="93" w:name="_Toc223420400"/>
      <w:bookmarkStart w:id="94" w:name="_Toc223420754"/>
      <w:bookmarkStart w:id="95" w:name="_Toc223449631"/>
      <w:r>
        <w:rPr>
          <w:rStyle w:val="CharSchNo"/>
        </w:rPr>
        <w:lastRenderedPageBreak/>
        <w:t>Schedule 7</w:t>
      </w:r>
      <w:r>
        <w:t> — </w:t>
      </w:r>
      <w:r>
        <w:rPr>
          <w:rStyle w:val="CharSchText"/>
        </w:rPr>
        <w:t>Enactment under which application made</w:t>
      </w:r>
      <w:bookmarkEnd w:id="90"/>
      <w:bookmarkEnd w:id="91"/>
      <w:bookmarkEnd w:id="92"/>
      <w:bookmarkEnd w:id="93"/>
      <w:bookmarkEnd w:id="94"/>
      <w:bookmarkEnd w:id="95"/>
    </w:p>
    <w:p>
      <w:pPr>
        <w:pStyle w:val="yShoulderClause"/>
      </w:pPr>
      <w:r>
        <w:t>[r. 11A]</w:t>
      </w:r>
    </w:p>
    <w:p>
      <w:pPr>
        <w:pStyle w:val="yFootnoteheading"/>
      </w:pPr>
      <w:r>
        <w:tab/>
        <w:t>[Heading inserted: Gazette 31 Dec 2019 p. 4659; amended: SL 2021/102 r. 6.]</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Fire and Emergency Services Act 1998</w:t>
      </w:r>
      <w:r>
        <w:t xml:space="preserve"> s. 36ZF</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lastRenderedPageBreak/>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MiscellaneousBody"/>
      </w:pPr>
      <w:r>
        <w:rPr>
          <w:i/>
        </w:rPr>
        <w:t>Voluntary Assisted Dying Act 2019</w:t>
      </w:r>
      <w:r>
        <w:t xml:space="preserve"> s. 84(1)</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 SL 2025/139 r. 4; SL 2026/20 r. 5.]</w:t>
      </w:r>
    </w:p>
    <w:p>
      <w:pPr>
        <w:pStyle w:val="yScheduleHeading"/>
      </w:pPr>
      <w:bookmarkStart w:id="96" w:name="_Toc203732707"/>
      <w:bookmarkStart w:id="97" w:name="_Toc203733068"/>
      <w:bookmarkStart w:id="98" w:name="_Toc203746493"/>
      <w:bookmarkStart w:id="99" w:name="_Toc223420401"/>
      <w:bookmarkStart w:id="100" w:name="_Toc223420755"/>
      <w:bookmarkStart w:id="101" w:name="_Toc223449632"/>
      <w:r>
        <w:rPr>
          <w:rStyle w:val="CharSchNo"/>
        </w:rPr>
        <w:lastRenderedPageBreak/>
        <w:t>Schedule 8</w:t>
      </w:r>
      <w:r>
        <w:t> —</w:t>
      </w:r>
      <w:r>
        <w:rPr>
          <w:rStyle w:val="CharSchText"/>
        </w:rPr>
        <w:t> Other fees</w:t>
      </w:r>
      <w:bookmarkEnd w:id="96"/>
      <w:bookmarkEnd w:id="97"/>
      <w:bookmarkEnd w:id="98"/>
      <w:bookmarkEnd w:id="99"/>
      <w:bookmarkEnd w:id="100"/>
      <w:bookmarkEnd w:id="101"/>
    </w:p>
    <w:p>
      <w:pPr>
        <w:pStyle w:val="yShoulderClause"/>
      </w:pPr>
      <w:r>
        <w:t>[r. 27]</w:t>
      </w:r>
    </w:p>
    <w:p>
      <w:pPr>
        <w:pStyle w:val="yFootnoteheading"/>
        <w:spacing w:after="60"/>
      </w:pPr>
      <w:r>
        <w:tab/>
        <w:t>[Heading inserted: SL 2025/111 r. 26.]</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yTableNAm"/>
              <w:jc w:val="center"/>
              <w:rPr>
                <w:b/>
              </w:rPr>
            </w:pPr>
            <w:r>
              <w:rPr>
                <w:b/>
              </w:rPr>
              <w:t>Item</w:t>
            </w:r>
          </w:p>
        </w:tc>
        <w:tc>
          <w:tcPr>
            <w:tcW w:w="2302"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67" w:type="dxa"/>
            <w:tcBorders>
              <w:top w:val="single" w:sz="4" w:space="0" w:color="auto"/>
              <w:left w:val="nil"/>
              <w:bottom w:val="nil"/>
              <w:right w:val="nil"/>
            </w:tcBorders>
            <w:noWrap/>
          </w:tcPr>
          <w:p>
            <w:pPr>
              <w:pStyle w:val="yTableNAm"/>
            </w:pPr>
            <w:r>
              <w:t>1.</w:t>
            </w:r>
          </w:p>
        </w:tc>
        <w:tc>
          <w:tcPr>
            <w:tcW w:w="2302" w:type="dxa"/>
            <w:tcBorders>
              <w:top w:val="single" w:sz="4" w:space="0" w:color="auto"/>
              <w:left w:val="nil"/>
              <w:bottom w:val="nil"/>
              <w:right w:val="nil"/>
            </w:tcBorders>
            <w:noWrap/>
          </w:tcPr>
          <w:p>
            <w:pPr>
              <w:pStyle w:val="yTableNAm"/>
            </w:pPr>
            <w:r>
              <w:t xml:space="preserve">Application under section 22(1) of the Act </w:t>
            </w:r>
          </w:p>
        </w:tc>
        <w:tc>
          <w:tcPr>
            <w:tcW w:w="1275" w:type="dxa"/>
            <w:tcBorders>
              <w:top w:val="single" w:sz="4" w:space="0" w:color="auto"/>
              <w:left w:val="nil"/>
              <w:bottom w:val="nil"/>
              <w:right w:val="nil"/>
            </w:tcBorders>
            <w:noWrap/>
            <w:vAlign w:val="bottom"/>
          </w:tcPr>
          <w:p>
            <w:pPr>
              <w:pStyle w:val="yTableNAm"/>
              <w:ind w:right="175"/>
              <w:jc w:val="right"/>
            </w:pPr>
            <w:r>
              <w:t>150.00</w:t>
            </w:r>
          </w:p>
        </w:tc>
        <w:tc>
          <w:tcPr>
            <w:tcW w:w="1276" w:type="dxa"/>
            <w:tcBorders>
              <w:top w:val="single" w:sz="4" w:space="0" w:color="auto"/>
              <w:left w:val="nil"/>
              <w:bottom w:val="nil"/>
              <w:right w:val="nil"/>
            </w:tcBorders>
            <w:noWrap/>
            <w:vAlign w:val="bottom"/>
          </w:tcPr>
          <w:p>
            <w:pPr>
              <w:pStyle w:val="yTableNAm"/>
              <w:ind w:right="175"/>
              <w:jc w:val="right"/>
            </w:pPr>
            <w:r>
              <w:t>301.00</w:t>
            </w:r>
          </w:p>
        </w:tc>
        <w:tc>
          <w:tcPr>
            <w:tcW w:w="1276" w:type="dxa"/>
            <w:tcBorders>
              <w:top w:val="single" w:sz="4" w:space="0" w:color="auto"/>
              <w:left w:val="nil"/>
              <w:bottom w:val="nil"/>
              <w:right w:val="nil"/>
            </w:tcBorders>
            <w:noWrap/>
            <w:vAlign w:val="bottom"/>
          </w:tcPr>
          <w:p>
            <w:pPr>
              <w:pStyle w:val="yTableNAm"/>
              <w:ind w:right="175"/>
              <w:jc w:val="right"/>
            </w:pPr>
            <w:r>
              <w:t>45.00</w:t>
            </w:r>
          </w:p>
        </w:tc>
      </w:tr>
      <w:tr>
        <w:trPr>
          <w:cantSplit/>
        </w:trPr>
        <w:tc>
          <w:tcPr>
            <w:tcW w:w="767" w:type="dxa"/>
            <w:tcBorders>
              <w:top w:val="nil"/>
              <w:left w:val="nil"/>
              <w:bottom w:val="nil"/>
              <w:right w:val="nil"/>
            </w:tcBorders>
            <w:noWrap/>
          </w:tcPr>
          <w:p>
            <w:pPr>
              <w:pStyle w:val="yTableNAm"/>
            </w:pPr>
            <w:r>
              <w:t>2.</w:t>
            </w:r>
          </w:p>
        </w:tc>
        <w:tc>
          <w:tcPr>
            <w:tcW w:w="2302" w:type="dxa"/>
            <w:tcBorders>
              <w:top w:val="nil"/>
              <w:left w:val="nil"/>
              <w:bottom w:val="nil"/>
              <w:right w:val="nil"/>
            </w:tcBorders>
            <w:noWrap/>
          </w:tcPr>
          <w:p>
            <w:pPr>
              <w:pStyle w:val="yTableNAm"/>
            </w:pPr>
            <w:r>
              <w:t xml:space="preserve">For a copy of a document, for each page or part of a page </w:t>
            </w:r>
          </w:p>
        </w:tc>
        <w:tc>
          <w:tcPr>
            <w:tcW w:w="1275" w:type="dxa"/>
            <w:tcBorders>
              <w:top w:val="nil"/>
              <w:left w:val="nil"/>
              <w:bottom w:val="nil"/>
              <w:right w:val="nil"/>
            </w:tcBorders>
            <w:noWrap/>
            <w:vAlign w:val="bottom"/>
          </w:tcPr>
          <w:p>
            <w:pPr>
              <w:pStyle w:val="yTableNAm"/>
              <w:ind w:right="175"/>
              <w:jc w:val="right"/>
            </w:pPr>
            <w:r>
              <w:t>2.15</w:t>
            </w:r>
          </w:p>
        </w:tc>
        <w:tc>
          <w:tcPr>
            <w:tcW w:w="1276" w:type="dxa"/>
            <w:tcBorders>
              <w:top w:val="nil"/>
              <w:left w:val="nil"/>
              <w:bottom w:val="nil"/>
              <w:right w:val="nil"/>
            </w:tcBorders>
            <w:noWrap/>
            <w:vAlign w:val="bottom"/>
          </w:tcPr>
          <w:p>
            <w:pPr>
              <w:pStyle w:val="yTableNAm"/>
              <w:ind w:right="175"/>
              <w:jc w:val="right"/>
            </w:pPr>
            <w:r>
              <w:t>2.15</w:t>
            </w:r>
          </w:p>
        </w:tc>
        <w:tc>
          <w:tcPr>
            <w:tcW w:w="1276" w:type="dxa"/>
            <w:tcBorders>
              <w:top w:val="nil"/>
              <w:left w:val="nil"/>
              <w:bottom w:val="nil"/>
              <w:right w:val="nil"/>
            </w:tcBorders>
            <w:noWrap/>
            <w:vAlign w:val="bottom"/>
          </w:tcPr>
          <w:p>
            <w:pPr>
              <w:pStyle w:val="yTableNAm"/>
              <w:ind w:right="175"/>
              <w:jc w:val="right"/>
            </w:pPr>
            <w:r>
              <w:t>0.65</w:t>
            </w:r>
          </w:p>
        </w:tc>
      </w:tr>
      <w:tr>
        <w:trPr>
          <w:cantSplit/>
        </w:trPr>
        <w:tc>
          <w:tcPr>
            <w:tcW w:w="767" w:type="dxa"/>
            <w:tcBorders>
              <w:top w:val="nil"/>
              <w:left w:val="nil"/>
              <w:bottom w:val="nil"/>
              <w:right w:val="nil"/>
            </w:tcBorders>
            <w:noWrap/>
          </w:tcPr>
          <w:p>
            <w:pPr>
              <w:pStyle w:val="yTableNAm"/>
            </w:pPr>
            <w:r>
              <w:t>3.</w:t>
            </w:r>
          </w:p>
        </w:tc>
        <w:tc>
          <w:tcPr>
            <w:tcW w:w="2302" w:type="dxa"/>
            <w:tcBorders>
              <w:top w:val="nil"/>
              <w:left w:val="nil"/>
              <w:bottom w:val="nil"/>
              <w:right w:val="nil"/>
            </w:tcBorders>
            <w:noWrap/>
          </w:tcPr>
          <w:p>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yTableNAm"/>
              <w:ind w:right="175"/>
              <w:jc w:val="right"/>
            </w:pPr>
          </w:p>
        </w:tc>
        <w:tc>
          <w:tcPr>
            <w:tcW w:w="1276" w:type="dxa"/>
            <w:tcBorders>
              <w:top w:val="nil"/>
              <w:left w:val="nil"/>
              <w:bottom w:val="nil"/>
              <w:right w:val="nil"/>
            </w:tcBorders>
            <w:noWrap/>
            <w:vAlign w:val="bottom"/>
          </w:tcPr>
          <w:p>
            <w:pPr>
              <w:pStyle w:val="yTableNAm"/>
              <w:ind w:right="175"/>
              <w:jc w:val="right"/>
            </w:pPr>
          </w:p>
        </w:tc>
        <w:tc>
          <w:tcPr>
            <w:tcW w:w="1276" w:type="dxa"/>
            <w:tcBorders>
              <w:top w:val="nil"/>
              <w:left w:val="nil"/>
              <w:bottom w:val="nil"/>
              <w:right w:val="nil"/>
            </w:tcBorders>
            <w:noWrap/>
            <w:vAlign w:val="bottom"/>
          </w:tcPr>
          <w:p>
            <w:pPr>
              <w:pStyle w:val="yTableNAm"/>
              <w:ind w:right="175"/>
              <w:jc w:val="right"/>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yTableNAm"/>
              <w:jc w:val="center"/>
            </w:pPr>
            <w:r>
              <w:t>No fee</w:t>
            </w:r>
          </w:p>
        </w:tc>
        <w:tc>
          <w:tcPr>
            <w:tcW w:w="1276" w:type="dxa"/>
            <w:tcBorders>
              <w:top w:val="nil"/>
              <w:left w:val="nil"/>
              <w:bottom w:val="nil"/>
              <w:right w:val="nil"/>
            </w:tcBorders>
            <w:noWrap/>
            <w:vAlign w:val="bottom"/>
          </w:tcPr>
          <w:p>
            <w:pPr>
              <w:pStyle w:val="yTableNAm"/>
              <w:jc w:val="center"/>
            </w:pPr>
            <w:r>
              <w:t>No fee</w:t>
            </w:r>
          </w:p>
        </w:tc>
        <w:tc>
          <w:tcPr>
            <w:tcW w:w="1276" w:type="dxa"/>
            <w:tcBorders>
              <w:top w:val="nil"/>
              <w:left w:val="nil"/>
              <w:bottom w:val="nil"/>
              <w:right w:val="nil"/>
            </w:tcBorders>
            <w:noWrap/>
            <w:vAlign w:val="bottom"/>
          </w:tcPr>
          <w:p>
            <w:pPr>
              <w:pStyle w:val="yTableNAm"/>
              <w:jc w:val="center"/>
            </w:pPr>
            <w:r>
              <w:t>No fee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yTableNAm"/>
              <w:ind w:right="175"/>
              <w:jc w:val="right"/>
            </w:pPr>
            <w:r>
              <w:t>2.20</w:t>
            </w:r>
          </w:p>
        </w:tc>
        <w:tc>
          <w:tcPr>
            <w:tcW w:w="1276" w:type="dxa"/>
            <w:tcBorders>
              <w:top w:val="nil"/>
              <w:left w:val="nil"/>
              <w:bottom w:val="nil"/>
              <w:right w:val="nil"/>
            </w:tcBorders>
            <w:noWrap/>
            <w:vAlign w:val="bottom"/>
          </w:tcPr>
          <w:p>
            <w:pPr>
              <w:pStyle w:val="yTableNAm"/>
              <w:ind w:right="175"/>
              <w:jc w:val="right"/>
            </w:pPr>
            <w:r>
              <w:t>2.20</w:t>
            </w:r>
          </w:p>
        </w:tc>
        <w:tc>
          <w:tcPr>
            <w:tcW w:w="1276" w:type="dxa"/>
            <w:tcBorders>
              <w:top w:val="nil"/>
              <w:left w:val="nil"/>
              <w:bottom w:val="nil"/>
              <w:right w:val="nil"/>
            </w:tcBorders>
            <w:noWrap/>
            <w:vAlign w:val="bottom"/>
          </w:tcPr>
          <w:p>
            <w:pPr>
              <w:pStyle w:val="yTableNAm"/>
              <w:ind w:right="175"/>
              <w:jc w:val="right"/>
            </w:pPr>
            <w:r>
              <w:t>0.65</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yTableNAm"/>
              <w:ind w:right="175"/>
              <w:jc w:val="right"/>
            </w:pPr>
            <w:r>
              <w:t>2.20</w:t>
            </w:r>
          </w:p>
        </w:tc>
        <w:tc>
          <w:tcPr>
            <w:tcW w:w="1276" w:type="dxa"/>
            <w:tcBorders>
              <w:top w:val="nil"/>
              <w:left w:val="nil"/>
              <w:bottom w:val="nil"/>
              <w:right w:val="nil"/>
            </w:tcBorders>
            <w:noWrap/>
            <w:vAlign w:val="bottom"/>
          </w:tcPr>
          <w:p>
            <w:pPr>
              <w:pStyle w:val="yTableNAm"/>
              <w:ind w:right="175"/>
              <w:jc w:val="right"/>
            </w:pPr>
            <w:r>
              <w:t>2.20</w:t>
            </w:r>
          </w:p>
        </w:tc>
        <w:tc>
          <w:tcPr>
            <w:tcW w:w="1276" w:type="dxa"/>
            <w:tcBorders>
              <w:top w:val="nil"/>
              <w:left w:val="nil"/>
              <w:bottom w:val="nil"/>
              <w:right w:val="nil"/>
            </w:tcBorders>
            <w:noWrap/>
            <w:vAlign w:val="bottom"/>
          </w:tcPr>
          <w:p>
            <w:pPr>
              <w:pStyle w:val="yTableNAm"/>
              <w:ind w:right="175"/>
              <w:jc w:val="right"/>
            </w:pPr>
            <w:r>
              <w:t>0.65</w:t>
            </w:r>
          </w:p>
        </w:tc>
      </w:tr>
      <w:tr>
        <w:trPr>
          <w:cantSplit/>
        </w:trPr>
        <w:tc>
          <w:tcPr>
            <w:tcW w:w="767" w:type="dxa"/>
            <w:tcBorders>
              <w:top w:val="nil"/>
              <w:left w:val="nil"/>
              <w:bottom w:val="nil"/>
              <w:right w:val="nil"/>
            </w:tcBorders>
            <w:noWrap/>
          </w:tcPr>
          <w:p>
            <w:pPr>
              <w:pStyle w:val="yTableNAm"/>
            </w:pPr>
            <w:r>
              <w:lastRenderedPageBreak/>
              <w:t>4.</w:t>
            </w:r>
          </w:p>
        </w:tc>
        <w:tc>
          <w:tcPr>
            <w:tcW w:w="2302" w:type="dxa"/>
            <w:tcBorders>
              <w:top w:val="nil"/>
              <w:left w:val="nil"/>
              <w:bottom w:val="nil"/>
              <w:right w:val="nil"/>
            </w:tcBorders>
            <w:noWrap/>
          </w:tcPr>
          <w:p>
            <w:pPr>
              <w:pStyle w:val="yTableNAm"/>
            </w:pPr>
            <w:r>
              <w:t>For certifying under a seal that a document is a true copy — an additional fee</w:t>
            </w:r>
          </w:p>
        </w:tc>
        <w:tc>
          <w:tcPr>
            <w:tcW w:w="1275" w:type="dxa"/>
            <w:tcBorders>
              <w:top w:val="nil"/>
              <w:left w:val="nil"/>
              <w:bottom w:val="nil"/>
              <w:right w:val="nil"/>
            </w:tcBorders>
            <w:noWrap/>
            <w:vAlign w:val="bottom"/>
          </w:tcPr>
          <w:p>
            <w:pPr>
              <w:pStyle w:val="yTableNAm"/>
              <w:ind w:right="175"/>
              <w:jc w:val="right"/>
            </w:pPr>
            <w:r>
              <w:t>30.30</w:t>
            </w:r>
          </w:p>
        </w:tc>
        <w:tc>
          <w:tcPr>
            <w:tcW w:w="1276" w:type="dxa"/>
            <w:tcBorders>
              <w:top w:val="nil"/>
              <w:left w:val="nil"/>
              <w:bottom w:val="nil"/>
              <w:right w:val="nil"/>
            </w:tcBorders>
            <w:noWrap/>
            <w:vAlign w:val="bottom"/>
          </w:tcPr>
          <w:p>
            <w:pPr>
              <w:pStyle w:val="yTableNAm"/>
              <w:ind w:right="175"/>
              <w:jc w:val="right"/>
            </w:pPr>
            <w:r>
              <w:t>30.30</w:t>
            </w:r>
          </w:p>
        </w:tc>
        <w:tc>
          <w:tcPr>
            <w:tcW w:w="1276" w:type="dxa"/>
            <w:tcBorders>
              <w:top w:val="nil"/>
              <w:left w:val="nil"/>
              <w:bottom w:val="nil"/>
              <w:right w:val="nil"/>
            </w:tcBorders>
            <w:noWrap/>
            <w:vAlign w:val="bottom"/>
          </w:tcPr>
          <w:p>
            <w:pPr>
              <w:pStyle w:val="yTableNAm"/>
              <w:ind w:right="175"/>
              <w:jc w:val="right"/>
            </w:pPr>
            <w:r>
              <w:t>9.10</w:t>
            </w:r>
          </w:p>
        </w:tc>
      </w:tr>
      <w:tr>
        <w:trPr>
          <w:cantSplit/>
        </w:trPr>
        <w:tc>
          <w:tcPr>
            <w:tcW w:w="767" w:type="dxa"/>
            <w:tcBorders>
              <w:top w:val="nil"/>
              <w:left w:val="nil"/>
              <w:bottom w:val="nil"/>
              <w:right w:val="nil"/>
            </w:tcBorders>
            <w:noWrap/>
          </w:tcPr>
          <w:p>
            <w:pPr>
              <w:pStyle w:val="yTableNAm"/>
              <w:keepNext/>
              <w:rPr>
                <w:szCs w:val="22"/>
              </w:rPr>
            </w:pPr>
            <w:r>
              <w:rPr>
                <w:szCs w:val="22"/>
              </w:rPr>
              <w:t>5.</w:t>
            </w:r>
          </w:p>
        </w:tc>
        <w:tc>
          <w:tcPr>
            <w:tcW w:w="2302" w:type="dxa"/>
            <w:tcBorders>
              <w:top w:val="nil"/>
              <w:left w:val="nil"/>
              <w:bottom w:val="nil"/>
              <w:right w:val="nil"/>
            </w:tcBorders>
            <w:noWrap/>
          </w:tcPr>
          <w:p>
            <w:pPr>
              <w:pStyle w:val="yTableNAm"/>
              <w:keepNext/>
              <w:ind w:left="493" w:hanging="493"/>
              <w:rPr>
                <w:szCs w:val="22"/>
              </w:rPr>
            </w:pPr>
            <w:r>
              <w:rPr>
                <w:szCs w:val="22"/>
              </w:rPr>
              <w:t>(a)</w:t>
            </w:r>
            <w:r>
              <w:rPr>
                <w:szCs w:val="22"/>
              </w:rPr>
              <w:tab/>
              <w:t xml:space="preserve">For </w:t>
            </w:r>
            <w:r>
              <w:t xml:space="preserve">providing </w:t>
            </w:r>
            <w:r>
              <w:rPr>
                <w:szCs w:val="22"/>
              </w:rPr>
              <w:t xml:space="preserve">a transcript, or part of a transcript — </w:t>
            </w:r>
          </w:p>
        </w:tc>
        <w:tc>
          <w:tcPr>
            <w:tcW w:w="1275" w:type="dxa"/>
            <w:tcBorders>
              <w:top w:val="nil"/>
              <w:left w:val="nil"/>
              <w:bottom w:val="nil"/>
              <w:right w:val="nil"/>
            </w:tcBorders>
            <w:noWrap/>
          </w:tcPr>
          <w:p>
            <w:pPr>
              <w:pStyle w:val="yTableNAm"/>
              <w:keepNext/>
              <w:ind w:right="175"/>
              <w:jc w:val="right"/>
            </w:pPr>
          </w:p>
        </w:tc>
        <w:tc>
          <w:tcPr>
            <w:tcW w:w="1276" w:type="dxa"/>
            <w:tcBorders>
              <w:top w:val="nil"/>
              <w:left w:val="nil"/>
              <w:bottom w:val="nil"/>
              <w:right w:val="nil"/>
            </w:tcBorders>
            <w:noWrap/>
          </w:tcPr>
          <w:p>
            <w:pPr>
              <w:pStyle w:val="yTableNAm"/>
              <w:keepNext/>
              <w:ind w:right="175"/>
              <w:jc w:val="right"/>
            </w:pPr>
          </w:p>
        </w:tc>
        <w:tc>
          <w:tcPr>
            <w:tcW w:w="1276" w:type="dxa"/>
            <w:tcBorders>
              <w:top w:val="nil"/>
              <w:left w:val="nil"/>
              <w:bottom w:val="nil"/>
              <w:right w:val="nil"/>
            </w:tcBorders>
            <w:noWrap/>
          </w:tcPr>
          <w:p>
            <w:pPr>
              <w:pStyle w:val="yTableNAm"/>
              <w:keepNext/>
              <w:ind w:right="175"/>
              <w:jc w:val="right"/>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w:t>
            </w:r>
            <w:r>
              <w:tab/>
              <w:t>provided within 1 day after the day on which the fee is paid</w:t>
            </w:r>
          </w:p>
        </w:tc>
        <w:tc>
          <w:tcPr>
            <w:tcW w:w="1275" w:type="dxa"/>
            <w:tcBorders>
              <w:top w:val="nil"/>
              <w:left w:val="nil"/>
              <w:bottom w:val="nil"/>
              <w:right w:val="nil"/>
            </w:tcBorders>
            <w:noWrap/>
          </w:tcPr>
          <w:p>
            <w:pPr>
              <w:pStyle w:val="yTableNAm"/>
            </w:pPr>
            <w:r>
              <w:t>30.50 plus</w:t>
            </w:r>
            <w:r>
              <w:br/>
              <w:t>12.60 per page</w:t>
            </w:r>
          </w:p>
        </w:tc>
        <w:tc>
          <w:tcPr>
            <w:tcW w:w="1276" w:type="dxa"/>
            <w:tcBorders>
              <w:top w:val="nil"/>
              <w:left w:val="nil"/>
              <w:bottom w:val="nil"/>
              <w:right w:val="nil"/>
            </w:tcBorders>
            <w:noWrap/>
          </w:tcPr>
          <w:p>
            <w:pPr>
              <w:pStyle w:val="yTableNAm"/>
            </w:pPr>
            <w:r>
              <w:t>30.50 plus</w:t>
            </w:r>
            <w:r>
              <w:br/>
              <w:t>25.20 per page</w:t>
            </w:r>
          </w:p>
        </w:tc>
        <w:tc>
          <w:tcPr>
            <w:tcW w:w="1276" w:type="dxa"/>
            <w:tcBorders>
              <w:top w:val="nil"/>
              <w:left w:val="nil"/>
              <w:bottom w:val="nil"/>
              <w:right w:val="nil"/>
            </w:tcBorders>
            <w:noWrap/>
          </w:tcPr>
          <w:p>
            <w:pPr>
              <w:pStyle w:val="yTableNAm"/>
            </w:pPr>
            <w:r>
              <w:t>9.15 plus</w:t>
            </w:r>
            <w:r>
              <w:br/>
              <w:t>3.80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w:t>
            </w:r>
            <w:r>
              <w:tab/>
              <w:t>provided within 2 days after the day on which the fee is paid</w:t>
            </w:r>
          </w:p>
        </w:tc>
        <w:tc>
          <w:tcPr>
            <w:tcW w:w="1275" w:type="dxa"/>
            <w:tcBorders>
              <w:top w:val="nil"/>
              <w:left w:val="nil"/>
              <w:bottom w:val="nil"/>
              <w:right w:val="nil"/>
            </w:tcBorders>
            <w:noWrap/>
          </w:tcPr>
          <w:p>
            <w:pPr>
              <w:pStyle w:val="yTableNAm"/>
            </w:pPr>
            <w:r>
              <w:t>30.50 plus</w:t>
            </w:r>
            <w:r>
              <w:br/>
              <w:t>11.55 per page</w:t>
            </w:r>
          </w:p>
        </w:tc>
        <w:tc>
          <w:tcPr>
            <w:tcW w:w="1276" w:type="dxa"/>
            <w:tcBorders>
              <w:top w:val="nil"/>
              <w:left w:val="nil"/>
              <w:bottom w:val="nil"/>
              <w:right w:val="nil"/>
            </w:tcBorders>
            <w:noWrap/>
          </w:tcPr>
          <w:p>
            <w:pPr>
              <w:pStyle w:val="yTableNAm"/>
            </w:pPr>
            <w:r>
              <w:t>30.50 plus</w:t>
            </w:r>
            <w:r>
              <w:br/>
              <w:t>23.00 per page</w:t>
            </w:r>
          </w:p>
        </w:tc>
        <w:tc>
          <w:tcPr>
            <w:tcW w:w="1276" w:type="dxa"/>
            <w:tcBorders>
              <w:top w:val="nil"/>
              <w:left w:val="nil"/>
              <w:bottom w:val="nil"/>
              <w:right w:val="nil"/>
            </w:tcBorders>
            <w:noWrap/>
          </w:tcPr>
          <w:p>
            <w:pPr>
              <w:pStyle w:val="yTableNAm"/>
            </w:pPr>
            <w:r>
              <w:t xml:space="preserve">9.15 plus </w:t>
            </w:r>
            <w:r>
              <w:br/>
              <w:t>3.45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(iii)</w:t>
            </w:r>
            <w:r>
              <w:tab/>
              <w:t>provided within 4 days after the day on which the fee is paid</w:t>
            </w:r>
          </w:p>
        </w:tc>
        <w:tc>
          <w:tcPr>
            <w:tcW w:w="1275" w:type="dxa"/>
            <w:tcBorders>
              <w:top w:val="nil"/>
              <w:left w:val="nil"/>
              <w:bottom w:val="nil"/>
              <w:right w:val="nil"/>
            </w:tcBorders>
            <w:noWrap/>
          </w:tcPr>
          <w:p>
            <w:pPr>
              <w:pStyle w:val="yTableNAm"/>
            </w:pPr>
            <w:r>
              <w:t>30.50 plus</w:t>
            </w:r>
            <w:r>
              <w:br/>
              <w:t>10.90 per page</w:t>
            </w:r>
          </w:p>
        </w:tc>
        <w:tc>
          <w:tcPr>
            <w:tcW w:w="1276" w:type="dxa"/>
            <w:tcBorders>
              <w:top w:val="nil"/>
              <w:left w:val="nil"/>
              <w:bottom w:val="nil"/>
              <w:right w:val="nil"/>
            </w:tcBorders>
            <w:noWrap/>
          </w:tcPr>
          <w:p>
            <w:pPr>
              <w:pStyle w:val="yTableNAm"/>
            </w:pPr>
            <w:r>
              <w:t>30.50 plus</w:t>
            </w:r>
            <w:r>
              <w:br/>
              <w:t>22.00 per page</w:t>
            </w:r>
          </w:p>
        </w:tc>
        <w:tc>
          <w:tcPr>
            <w:tcW w:w="1276" w:type="dxa"/>
            <w:tcBorders>
              <w:top w:val="nil"/>
              <w:left w:val="nil"/>
              <w:bottom w:val="nil"/>
              <w:right w:val="nil"/>
            </w:tcBorders>
            <w:noWrap/>
          </w:tcPr>
          <w:p>
            <w:pPr>
              <w:pStyle w:val="yTableNAm"/>
            </w:pPr>
            <w:r>
              <w:t xml:space="preserve">9.15 plus </w:t>
            </w:r>
            <w:r>
              <w:br/>
              <w:t>3.25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(iv)</w:t>
            </w:r>
            <w:r>
              <w:tab/>
              <w:t>provided within 7 days after the day on which the fee is paid</w:t>
            </w:r>
          </w:p>
        </w:tc>
        <w:tc>
          <w:tcPr>
            <w:tcW w:w="1275" w:type="dxa"/>
            <w:tcBorders>
              <w:top w:val="nil"/>
              <w:left w:val="nil"/>
              <w:bottom w:val="nil"/>
              <w:right w:val="nil"/>
            </w:tcBorders>
            <w:noWrap/>
          </w:tcPr>
          <w:p>
            <w:pPr>
              <w:pStyle w:val="yTableNAm"/>
            </w:pPr>
            <w:r>
              <w:t>30.50 plus</w:t>
            </w:r>
            <w:r>
              <w:br/>
              <w:t>10.55 per page</w:t>
            </w:r>
          </w:p>
        </w:tc>
        <w:tc>
          <w:tcPr>
            <w:tcW w:w="1276" w:type="dxa"/>
            <w:tcBorders>
              <w:top w:val="nil"/>
              <w:left w:val="nil"/>
              <w:bottom w:val="nil"/>
              <w:right w:val="nil"/>
            </w:tcBorders>
            <w:noWrap/>
          </w:tcPr>
          <w:p>
            <w:pPr>
              <w:pStyle w:val="yTableNAm"/>
            </w:pPr>
            <w:r>
              <w:t>30.50 plus</w:t>
            </w:r>
            <w:r>
              <w:br/>
              <w:t>21.00 per page</w:t>
            </w:r>
          </w:p>
        </w:tc>
        <w:tc>
          <w:tcPr>
            <w:tcW w:w="1276" w:type="dxa"/>
            <w:tcBorders>
              <w:top w:val="nil"/>
              <w:left w:val="nil"/>
              <w:bottom w:val="nil"/>
              <w:right w:val="nil"/>
            </w:tcBorders>
            <w:noWrap/>
          </w:tcPr>
          <w:p>
            <w:pPr>
              <w:pStyle w:val="yTableNAm"/>
            </w:pPr>
            <w:r>
              <w:t xml:space="preserve">9.15 plus </w:t>
            </w:r>
            <w:r>
              <w:br/>
              <w:t>3.15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(v)</w:t>
            </w:r>
            <w:r>
              <w:tab/>
              <w:t>provided within 14 days after the day on which the fee is paid</w:t>
            </w:r>
          </w:p>
        </w:tc>
        <w:tc>
          <w:tcPr>
            <w:tcW w:w="1275" w:type="dxa"/>
            <w:tcBorders>
              <w:top w:val="nil"/>
              <w:left w:val="nil"/>
              <w:bottom w:val="nil"/>
              <w:right w:val="nil"/>
            </w:tcBorders>
            <w:noWrap/>
          </w:tcPr>
          <w:p>
            <w:pPr>
              <w:pStyle w:val="yTableNAm"/>
            </w:pPr>
            <w:r>
              <w:t>30.50 plus</w:t>
            </w:r>
            <w:r>
              <w:br/>
              <w:t>8.90 per page</w:t>
            </w:r>
          </w:p>
        </w:tc>
        <w:tc>
          <w:tcPr>
            <w:tcW w:w="1276" w:type="dxa"/>
            <w:tcBorders>
              <w:top w:val="nil"/>
              <w:left w:val="nil"/>
              <w:bottom w:val="nil"/>
              <w:right w:val="nil"/>
            </w:tcBorders>
            <w:noWrap/>
          </w:tcPr>
          <w:p>
            <w:pPr>
              <w:pStyle w:val="yTableNAm"/>
            </w:pPr>
            <w:r>
              <w:t>30.50 plus</w:t>
            </w:r>
            <w:r>
              <w:br/>
              <w:t>17.85 per page</w:t>
            </w:r>
          </w:p>
        </w:tc>
        <w:tc>
          <w:tcPr>
            <w:tcW w:w="1276" w:type="dxa"/>
            <w:tcBorders>
              <w:top w:val="nil"/>
              <w:left w:val="nil"/>
              <w:bottom w:val="nil"/>
              <w:right w:val="nil"/>
            </w:tcBorders>
            <w:noWrap/>
          </w:tcPr>
          <w:p>
            <w:pPr>
              <w:pStyle w:val="yTableNAm"/>
            </w:pPr>
            <w:r>
              <w:t xml:space="preserve">9.15 plus </w:t>
            </w:r>
            <w:r>
              <w:br/>
              <w:t>2.65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t xml:space="preserve">30.50 plus </w:t>
            </w:r>
            <w:r>
              <w:br/>
              <w:t>13.35 per page</w:t>
            </w:r>
          </w:p>
        </w:tc>
        <w:tc>
          <w:tcPr>
            <w:tcW w:w="1276" w:type="dxa"/>
            <w:tcBorders>
              <w:top w:val="nil"/>
              <w:left w:val="nil"/>
              <w:bottom w:val="nil"/>
              <w:right w:val="nil"/>
            </w:tcBorders>
            <w:noWrap/>
          </w:tcPr>
          <w:p>
            <w:pPr>
              <w:pStyle w:val="yTableNAm"/>
            </w:pPr>
            <w:r>
              <w:t>30.50 plus</w:t>
            </w:r>
            <w:r>
              <w:br/>
              <w:t>26.70 per page</w:t>
            </w:r>
          </w:p>
        </w:tc>
        <w:tc>
          <w:tcPr>
            <w:tcW w:w="1276" w:type="dxa"/>
            <w:tcBorders>
              <w:top w:val="nil"/>
              <w:left w:val="nil"/>
              <w:bottom w:val="nil"/>
              <w:right w:val="nil"/>
            </w:tcBorders>
            <w:noWrap/>
          </w:tcPr>
          <w:p>
            <w:pPr>
              <w:pStyle w:val="yTableNAm"/>
              <w:rPr>
                <w:rStyle w:val="DraftersNotes"/>
                <w:b w:val="0"/>
                <w:i w:val="0"/>
              </w:rPr>
            </w:pPr>
            <w:r>
              <w:t xml:space="preserve">9.15 plus </w:t>
            </w:r>
            <w:r>
              <w:br/>
              <w:t>4.00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providing a copy of a transcript, or part of a transcript, </w:t>
            </w:r>
            <w:r>
              <w:rPr>
                <w:szCs w:val="22"/>
              </w:rPr>
              <w:t>if</w:t>
            </w:r>
            <w:r>
              <w:t xml:space="preserve"> the </w:t>
            </w:r>
            <w:r>
              <w:rPr>
                <w:szCs w:val="22"/>
              </w:rPr>
              <w:t>transcript</w:t>
            </w:r>
            <w:r>
              <w:t xml:space="preserve"> or part has been provided to the person requesting the copy — </w:t>
            </w:r>
          </w:p>
        </w:tc>
        <w:tc>
          <w:tcPr>
            <w:tcW w:w="1275" w:type="dxa"/>
            <w:tcBorders>
              <w:top w:val="nil"/>
              <w:left w:val="nil"/>
              <w:bottom w:val="nil"/>
              <w:right w:val="nil"/>
            </w:tcBorders>
            <w:noWrap/>
          </w:tcPr>
          <w:p>
            <w:pPr>
              <w:pStyle w:val="yTableNAm"/>
              <w:rPr>
                <w:szCs w:val="22"/>
              </w:rPr>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w:t>
            </w:r>
            <w:r>
              <w:tab/>
              <w:t>electronic format</w:t>
            </w:r>
          </w:p>
        </w:tc>
        <w:tc>
          <w:tcPr>
            <w:tcW w:w="1275" w:type="dxa"/>
            <w:tcBorders>
              <w:top w:val="nil"/>
              <w:left w:val="nil"/>
              <w:bottom w:val="nil"/>
              <w:right w:val="nil"/>
            </w:tcBorders>
            <w:noWrap/>
          </w:tcPr>
          <w:p>
            <w:pPr>
              <w:pStyle w:val="yTableNAm"/>
              <w:rPr>
                <w:szCs w:val="22"/>
              </w:rPr>
            </w:pPr>
            <w:r>
              <w:rPr>
                <w:szCs w:val="22"/>
              </w:rPr>
              <w:t>31.90 per copy</w:t>
            </w:r>
          </w:p>
        </w:tc>
        <w:tc>
          <w:tcPr>
            <w:tcW w:w="1276" w:type="dxa"/>
            <w:tcBorders>
              <w:top w:val="nil"/>
              <w:left w:val="nil"/>
              <w:bottom w:val="nil"/>
              <w:right w:val="nil"/>
            </w:tcBorders>
            <w:noWrap/>
          </w:tcPr>
          <w:p>
            <w:pPr>
              <w:pStyle w:val="yTableNAm"/>
            </w:pPr>
            <w:r>
              <w:rPr>
                <w:szCs w:val="22"/>
              </w:rPr>
              <w:t>31.90 </w:t>
            </w:r>
            <w:r>
              <w:t>per copy</w:t>
            </w:r>
          </w:p>
        </w:tc>
        <w:tc>
          <w:tcPr>
            <w:tcW w:w="1276" w:type="dxa"/>
            <w:tcBorders>
              <w:top w:val="nil"/>
              <w:left w:val="nil"/>
              <w:bottom w:val="nil"/>
              <w:right w:val="nil"/>
            </w:tcBorders>
            <w:noWrap/>
          </w:tcPr>
          <w:p>
            <w:pPr>
              <w:pStyle w:val="yTableNAm"/>
            </w:pPr>
            <w:r>
              <w:t>9.55 per copy</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w:t>
            </w:r>
            <w:r>
              <w:tab/>
              <w:t>paper copy</w:t>
            </w:r>
          </w:p>
        </w:tc>
        <w:tc>
          <w:tcPr>
            <w:tcW w:w="1275" w:type="dxa"/>
            <w:tcBorders>
              <w:top w:val="nil"/>
              <w:left w:val="nil"/>
              <w:bottom w:val="nil"/>
              <w:right w:val="nil"/>
            </w:tcBorders>
            <w:noWrap/>
          </w:tcPr>
          <w:p>
            <w:pPr>
              <w:pStyle w:val="yTableNAm"/>
              <w:rPr>
                <w:szCs w:val="22"/>
              </w:rPr>
            </w:pPr>
            <w:r>
              <w:rPr>
                <w:szCs w:val="22"/>
              </w:rPr>
              <w:t>3.20 per page</w:t>
            </w:r>
          </w:p>
        </w:tc>
        <w:tc>
          <w:tcPr>
            <w:tcW w:w="1276" w:type="dxa"/>
            <w:tcBorders>
              <w:top w:val="nil"/>
              <w:left w:val="nil"/>
              <w:bottom w:val="nil"/>
              <w:right w:val="nil"/>
            </w:tcBorders>
            <w:noWrap/>
          </w:tcPr>
          <w:p>
            <w:pPr>
              <w:pStyle w:val="yTableNAm"/>
            </w:pPr>
            <w:r>
              <w:t>3.20 per page</w:t>
            </w:r>
          </w:p>
        </w:tc>
        <w:tc>
          <w:tcPr>
            <w:tcW w:w="1276" w:type="dxa"/>
            <w:tcBorders>
              <w:top w:val="nil"/>
              <w:left w:val="nil"/>
              <w:bottom w:val="nil"/>
              <w:right w:val="nil"/>
            </w:tcBorders>
            <w:noWrap/>
          </w:tcPr>
          <w:p>
            <w:pPr>
              <w:pStyle w:val="yTableNAm"/>
            </w:pPr>
            <w:r>
              <w:t>0.95 per page</w:t>
            </w:r>
          </w:p>
        </w:tc>
      </w:tr>
      <w:tr>
        <w:trPr>
          <w:cantSplit/>
        </w:trPr>
        <w:tc>
          <w:tcPr>
            <w:tcW w:w="767" w:type="dxa"/>
            <w:tcBorders>
              <w:top w:val="nil"/>
              <w:left w:val="nil"/>
              <w:bottom w:val="nil"/>
              <w:right w:val="nil"/>
            </w:tcBorders>
            <w:noWrap/>
          </w:tcPr>
          <w:p>
            <w:pPr>
              <w:pStyle w:val="yTableNAm"/>
            </w:pPr>
            <w:r>
              <w:lastRenderedPageBreak/>
              <w:t>6.</w:t>
            </w:r>
          </w:p>
        </w:tc>
        <w:tc>
          <w:tcPr>
            <w:tcW w:w="2302" w:type="dxa"/>
            <w:tcBorders>
              <w:top w:val="nil"/>
              <w:left w:val="nil"/>
              <w:bottom w:val="nil"/>
              <w:right w:val="nil"/>
            </w:tcBorders>
            <w:noWrap/>
          </w:tcPr>
          <w:p>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yTableNAm"/>
              <w:ind w:right="175"/>
              <w:jc w:val="right"/>
            </w:pPr>
            <w:r>
              <w:t>33.20</w:t>
            </w:r>
          </w:p>
        </w:tc>
        <w:tc>
          <w:tcPr>
            <w:tcW w:w="1276" w:type="dxa"/>
            <w:tcBorders>
              <w:top w:val="nil"/>
              <w:left w:val="nil"/>
              <w:bottom w:val="nil"/>
              <w:right w:val="nil"/>
            </w:tcBorders>
            <w:noWrap/>
            <w:vAlign w:val="bottom"/>
          </w:tcPr>
          <w:p>
            <w:pPr>
              <w:pStyle w:val="yTableNAm"/>
              <w:ind w:right="175"/>
              <w:jc w:val="right"/>
            </w:pPr>
            <w:r>
              <w:t>33.20</w:t>
            </w:r>
          </w:p>
        </w:tc>
        <w:tc>
          <w:tcPr>
            <w:tcW w:w="1276" w:type="dxa"/>
            <w:tcBorders>
              <w:top w:val="nil"/>
              <w:left w:val="nil"/>
              <w:bottom w:val="nil"/>
              <w:right w:val="nil"/>
            </w:tcBorders>
            <w:noWrap/>
            <w:vAlign w:val="bottom"/>
          </w:tcPr>
          <w:p>
            <w:pPr>
              <w:pStyle w:val="yTableNAm"/>
              <w:ind w:right="175"/>
              <w:jc w:val="right"/>
            </w:pPr>
            <w:r>
              <w:t>9.95</w:t>
            </w:r>
          </w:p>
        </w:tc>
      </w:tr>
      <w:tr>
        <w:trPr>
          <w:cantSplit/>
        </w:trPr>
        <w:tc>
          <w:tcPr>
            <w:tcW w:w="767" w:type="dxa"/>
            <w:tcBorders>
              <w:top w:val="nil"/>
              <w:left w:val="nil"/>
              <w:bottom w:val="nil"/>
              <w:right w:val="nil"/>
            </w:tcBorders>
            <w:noWrap/>
          </w:tcPr>
          <w:p>
            <w:pPr>
              <w:pStyle w:val="yTableNAm"/>
            </w:pPr>
            <w:r>
              <w:t>7.</w:t>
            </w:r>
          </w:p>
        </w:tc>
        <w:tc>
          <w:tcPr>
            <w:tcW w:w="2302" w:type="dxa"/>
            <w:tcBorders>
              <w:top w:val="nil"/>
              <w:left w:val="nil"/>
              <w:bottom w:val="nil"/>
              <w:right w:val="nil"/>
            </w:tcBorders>
            <w:noWrap/>
          </w:tcPr>
          <w:p>
            <w:pPr>
              <w:pStyle w:val="yTableNAm"/>
            </w:pPr>
            <w:r>
              <w:t>For searching a proceeding or record (other than a search made by or on behalf of a party to the application)</w:t>
            </w:r>
          </w:p>
        </w:tc>
        <w:tc>
          <w:tcPr>
            <w:tcW w:w="1275" w:type="dxa"/>
            <w:tcBorders>
              <w:top w:val="nil"/>
              <w:left w:val="nil"/>
              <w:bottom w:val="nil"/>
              <w:right w:val="nil"/>
            </w:tcBorders>
            <w:noWrap/>
            <w:vAlign w:val="bottom"/>
          </w:tcPr>
          <w:p>
            <w:pPr>
              <w:pStyle w:val="yTableNAm"/>
              <w:ind w:right="175"/>
              <w:jc w:val="right"/>
            </w:pPr>
            <w:r>
              <w:t>73.50</w:t>
            </w:r>
          </w:p>
        </w:tc>
        <w:tc>
          <w:tcPr>
            <w:tcW w:w="1276" w:type="dxa"/>
            <w:tcBorders>
              <w:top w:val="nil"/>
              <w:left w:val="nil"/>
              <w:bottom w:val="nil"/>
              <w:right w:val="nil"/>
            </w:tcBorders>
            <w:noWrap/>
            <w:vAlign w:val="bottom"/>
          </w:tcPr>
          <w:p>
            <w:pPr>
              <w:pStyle w:val="yTableNAm"/>
              <w:ind w:right="175"/>
              <w:jc w:val="right"/>
            </w:pPr>
            <w:r>
              <w:t>73.50</w:t>
            </w:r>
          </w:p>
        </w:tc>
        <w:tc>
          <w:tcPr>
            <w:tcW w:w="1276" w:type="dxa"/>
            <w:tcBorders>
              <w:top w:val="nil"/>
              <w:left w:val="nil"/>
              <w:bottom w:val="nil"/>
              <w:right w:val="nil"/>
            </w:tcBorders>
            <w:noWrap/>
            <w:vAlign w:val="bottom"/>
          </w:tcPr>
          <w:p>
            <w:pPr>
              <w:pStyle w:val="yTableNAm"/>
              <w:ind w:right="175"/>
              <w:jc w:val="right"/>
            </w:pPr>
            <w:r>
              <w:t>22.10</w:t>
            </w:r>
          </w:p>
        </w:tc>
      </w:tr>
      <w:tr>
        <w:trPr>
          <w:cantSplit/>
        </w:trPr>
        <w:tc>
          <w:tcPr>
            <w:tcW w:w="767" w:type="dxa"/>
            <w:tcBorders>
              <w:top w:val="nil"/>
              <w:left w:val="nil"/>
              <w:bottom w:val="single" w:sz="4" w:space="0" w:color="auto"/>
              <w:right w:val="nil"/>
            </w:tcBorders>
            <w:noWrap/>
          </w:tcPr>
          <w:p>
            <w:pPr>
              <w:pStyle w:val="yTableNAm"/>
              <w:keepNext/>
            </w:pPr>
            <w:r>
              <w:t>8.</w:t>
            </w:r>
          </w:p>
        </w:tc>
        <w:tc>
          <w:tcPr>
            <w:tcW w:w="2302" w:type="dxa"/>
            <w:tcBorders>
              <w:top w:val="nil"/>
              <w:left w:val="nil"/>
              <w:bottom w:val="single" w:sz="4" w:space="0" w:color="auto"/>
              <w:right w:val="nil"/>
            </w:tcBorders>
            <w:noWrap/>
          </w:tcPr>
          <w:p>
            <w:pPr>
              <w:pStyle w:val="yTableNAm"/>
              <w:keepNext/>
            </w:pPr>
            <w:r>
              <w:t>For sealing a summons to a witness</w:t>
            </w:r>
          </w:p>
        </w:tc>
        <w:tc>
          <w:tcPr>
            <w:tcW w:w="1275" w:type="dxa"/>
            <w:tcBorders>
              <w:top w:val="nil"/>
              <w:left w:val="nil"/>
              <w:bottom w:val="single" w:sz="4" w:space="0" w:color="auto"/>
              <w:right w:val="nil"/>
            </w:tcBorders>
            <w:noWrap/>
            <w:vAlign w:val="bottom"/>
          </w:tcPr>
          <w:p>
            <w:pPr>
              <w:pStyle w:val="yTableNAm"/>
              <w:keepNext/>
              <w:ind w:right="175"/>
              <w:jc w:val="right"/>
            </w:pPr>
            <w:r>
              <w:t>60.50</w:t>
            </w:r>
          </w:p>
        </w:tc>
        <w:tc>
          <w:tcPr>
            <w:tcW w:w="1276" w:type="dxa"/>
            <w:tcBorders>
              <w:top w:val="nil"/>
              <w:left w:val="nil"/>
              <w:bottom w:val="single" w:sz="4" w:space="0" w:color="auto"/>
              <w:right w:val="nil"/>
            </w:tcBorders>
            <w:noWrap/>
            <w:vAlign w:val="bottom"/>
          </w:tcPr>
          <w:p>
            <w:pPr>
              <w:pStyle w:val="yTableNAm"/>
              <w:keepNext/>
              <w:ind w:right="175"/>
              <w:jc w:val="right"/>
            </w:pPr>
            <w:r>
              <w:t>60.50</w:t>
            </w:r>
          </w:p>
        </w:tc>
        <w:tc>
          <w:tcPr>
            <w:tcW w:w="1276" w:type="dxa"/>
            <w:tcBorders>
              <w:top w:val="nil"/>
              <w:left w:val="nil"/>
              <w:bottom w:val="single" w:sz="4" w:space="0" w:color="auto"/>
              <w:right w:val="nil"/>
            </w:tcBorders>
            <w:noWrap/>
            <w:vAlign w:val="bottom"/>
          </w:tcPr>
          <w:p>
            <w:pPr>
              <w:pStyle w:val="yTableNAm"/>
              <w:keepNext/>
              <w:ind w:right="175"/>
              <w:jc w:val="right"/>
            </w:pPr>
            <w:r>
              <w:t>18.15</w:t>
            </w:r>
          </w:p>
        </w:tc>
      </w:tr>
    </w:tbl>
    <w:p>
      <w:pPr>
        <w:pStyle w:val="yFootnotesection"/>
      </w:pPr>
      <w:r>
        <w:tab/>
        <w:t>[Schedule 8 inserted: SL 2025/111 r. 26.]</w:t>
      </w:r>
    </w:p>
    <w:p>
      <w:pPr>
        <w:pStyle w:val="yEdnoteschedule"/>
      </w:pPr>
      <w:r>
        <w:t>[Schedules 9</w:t>
      </w:r>
      <w:r>
        <w:noBreakHyphen/>
        <w:t>19 deleted: Gazette 26 Jun 2007 p. 2987.]</w:t>
      </w:r>
    </w:p>
    <w:p>
      <w:pPr>
        <w:pStyle w:val="yEdnoteschedule"/>
      </w:pPr>
      <w:r>
        <w:t>[Schedule 20 deleted: SL 2023/120 r. 37.]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4" w:bottom="3544" w:left="2404" w:header="709" w:footer="3544" w:gutter="0"/>
          <w:cols w:space="720"/>
          <w:noEndnote/>
          <w:docGrid w:linePitch="326"/>
        </w:sectPr>
      </w:pPr>
    </w:p>
    <w:p>
      <w:pPr>
        <w:pStyle w:val="nHeading2"/>
      </w:pPr>
      <w:bookmarkStart w:id="102" w:name="_Toc203732708"/>
      <w:bookmarkStart w:id="103" w:name="_Toc203733069"/>
      <w:bookmarkStart w:id="104" w:name="_Toc203746494"/>
      <w:bookmarkStart w:id="105" w:name="_Toc223420402"/>
      <w:bookmarkStart w:id="106" w:name="_Toc223420756"/>
      <w:bookmarkStart w:id="107" w:name="_Toc223449633"/>
      <w:r>
        <w:lastRenderedPageBreak/>
        <w:t>Notes</w:t>
      </w:r>
      <w:bookmarkEnd w:id="102"/>
      <w:bookmarkEnd w:id="103"/>
      <w:bookmarkEnd w:id="104"/>
      <w:bookmarkEnd w:id="105"/>
      <w:bookmarkEnd w:id="106"/>
      <w:bookmarkEnd w:id="107"/>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reprints, or versions that include editorial changes made under the </w:t>
      </w:r>
      <w:r>
        <w:rPr>
          <w:i/>
        </w:rPr>
        <w:t>Legislation Act 2021</w:t>
      </w:r>
      <w:r>
        <w:t xml:space="preserve"> Part 3, see the compilation table. For provisions affected by editorial changes see the editorial changes table.</w:t>
      </w:r>
    </w:p>
    <w:p>
      <w:pPr>
        <w:pStyle w:val="nHeading3"/>
      </w:pPr>
      <w:bookmarkStart w:id="108" w:name="_Toc223449634"/>
      <w:r>
        <w:t>Compilation table</w:t>
      </w:r>
      <w:bookmarkEnd w:id="108"/>
    </w:p>
    <w:tbl>
      <w:tblPr>
        <w:tblW w:w="708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693"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693"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693"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693"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693"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693"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693"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Statutes (Repeals and Minor Amendments) Act 2009</w:t>
            </w:r>
            <w:r>
              <w:t xml:space="preserve"> s. 10 assented to 3 Dec 2009</w:t>
            </w:r>
          </w:p>
        </w:tc>
        <w:tc>
          <w:tcPr>
            <w:tcW w:w="2693"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snapToGrid w:val="0"/>
              </w:rPr>
            </w:pPr>
            <w:r>
              <w:rPr>
                <w:i/>
                <w:snapToGrid w:val="0"/>
              </w:rPr>
              <w:lastRenderedPageBreak/>
              <w:t>Standardisation of Formatting Act 2010</w:t>
            </w:r>
            <w:r>
              <w:rPr>
                <w:iCs/>
                <w:snapToGrid w:val="0"/>
              </w:rPr>
              <w:t xml:space="preserve"> s. 51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693"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693"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shd w:val="clear" w:color="auto" w:fill="auto"/>
          </w:tcPr>
          <w:p>
            <w:pPr>
              <w:pStyle w:val="nTable"/>
              <w:spacing w:after="40"/>
            </w:pPr>
            <w:r>
              <w:t>15 Nov 2013 p. 5245-7</w:t>
            </w:r>
          </w:p>
        </w:tc>
        <w:tc>
          <w:tcPr>
            <w:tcW w:w="2693"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lastRenderedPageBreak/>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693"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693"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693"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693"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693"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693"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693"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693"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693"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693"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lastRenderedPageBreak/>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693"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State Administrative Tribunal Amendment Regulations 2018</w:t>
            </w:r>
          </w:p>
        </w:tc>
        <w:tc>
          <w:tcPr>
            <w:tcW w:w="1276" w:type="dxa"/>
            <w:shd w:val="clear" w:color="auto" w:fill="auto"/>
          </w:tcPr>
          <w:p>
            <w:pPr>
              <w:pStyle w:val="nTable"/>
              <w:spacing w:after="40"/>
            </w:pPr>
            <w:r>
              <w:t>26 Jun 2018 p. 2382</w:t>
            </w:r>
            <w:r>
              <w:noBreakHyphen/>
              <w:t>3</w:t>
            </w:r>
          </w:p>
        </w:tc>
        <w:tc>
          <w:tcPr>
            <w:tcW w:w="2693" w:type="dxa"/>
            <w:shd w:val="clear" w:color="auto" w:fill="auto"/>
          </w:tcPr>
          <w:p>
            <w:pPr>
              <w:pStyle w:val="nTable"/>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Justice Regulations Amendment (Fee Relief) Regulations 2018</w:t>
            </w:r>
            <w:r>
              <w:t xml:space="preserve"> Pt. 7</w:t>
            </w:r>
          </w:p>
        </w:tc>
        <w:tc>
          <w:tcPr>
            <w:tcW w:w="1276" w:type="dxa"/>
            <w:shd w:val="clear" w:color="auto" w:fill="auto"/>
          </w:tcPr>
          <w:p>
            <w:pPr>
              <w:pStyle w:val="nTable"/>
              <w:spacing w:after="40"/>
            </w:pPr>
            <w:r>
              <w:t>20 Jul 2018 p. 2621</w:t>
            </w:r>
            <w:r>
              <w:noBreakHyphen/>
              <w:t>30</w:t>
            </w:r>
          </w:p>
        </w:tc>
        <w:tc>
          <w:tcPr>
            <w:tcW w:w="2693"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2018</w:t>
            </w:r>
          </w:p>
        </w:tc>
        <w:tc>
          <w:tcPr>
            <w:tcW w:w="1276" w:type="dxa"/>
            <w:shd w:val="clear" w:color="auto" w:fill="auto"/>
          </w:tcPr>
          <w:p>
            <w:pPr>
              <w:pStyle w:val="nTable"/>
              <w:spacing w:after="40"/>
            </w:pPr>
            <w:r>
              <w:t>28 Sep 2018 p. 3579</w:t>
            </w:r>
          </w:p>
        </w:tc>
        <w:tc>
          <w:tcPr>
            <w:tcW w:w="2693" w:type="dxa"/>
            <w:shd w:val="clear" w:color="auto" w:fill="auto"/>
          </w:tcPr>
          <w:p>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spacing w:after="40"/>
            </w:pPr>
            <w:r>
              <w:t>7 Dec 2018 p. 4667-74</w:t>
            </w:r>
          </w:p>
        </w:tc>
        <w:tc>
          <w:tcPr>
            <w:tcW w:w="2693"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spacing w:after="40"/>
            </w:pPr>
            <w:r>
              <w:t>12 Mar 2019 p. 666</w:t>
            </w:r>
            <w:r>
              <w:noBreakHyphen/>
              <w:t>9</w:t>
            </w:r>
          </w:p>
        </w:tc>
        <w:tc>
          <w:tcPr>
            <w:tcW w:w="2693"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spacing w:after="40"/>
            </w:pPr>
            <w:r>
              <w:t>22 Mar 2019 p. 937</w:t>
            </w:r>
          </w:p>
        </w:tc>
        <w:tc>
          <w:tcPr>
            <w:tcW w:w="2693" w:type="dxa"/>
            <w:shd w:val="clear" w:color="auto" w:fill="auto"/>
          </w:tcPr>
          <w:p>
            <w:pPr>
              <w:pStyle w:val="nTable"/>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and Charges) Regulations 2019</w:t>
            </w:r>
            <w:r>
              <w:t xml:space="preserve"> Pt. 11</w:t>
            </w:r>
          </w:p>
        </w:tc>
        <w:tc>
          <w:tcPr>
            <w:tcW w:w="1276" w:type="dxa"/>
            <w:shd w:val="clear" w:color="auto" w:fill="auto"/>
          </w:tcPr>
          <w:p>
            <w:pPr>
              <w:pStyle w:val="nTable"/>
              <w:keepNext/>
              <w:spacing w:after="40"/>
            </w:pPr>
            <w:r>
              <w:t>28 Jun 2019 p. 2553</w:t>
            </w:r>
            <w:r>
              <w:noBreakHyphen/>
              <w:t>642</w:t>
            </w:r>
          </w:p>
        </w:tc>
        <w:tc>
          <w:tcPr>
            <w:tcW w:w="2693"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2019</w:t>
            </w:r>
          </w:p>
        </w:tc>
        <w:tc>
          <w:tcPr>
            <w:tcW w:w="1276" w:type="dxa"/>
            <w:shd w:val="clear" w:color="auto" w:fill="auto"/>
          </w:tcPr>
          <w:p>
            <w:pPr>
              <w:pStyle w:val="nTable"/>
              <w:keepNext/>
              <w:spacing w:after="40"/>
            </w:pPr>
            <w:r>
              <w:t>27 Sep 2019 p. 3499</w:t>
            </w:r>
          </w:p>
        </w:tc>
        <w:tc>
          <w:tcPr>
            <w:tcW w:w="2693" w:type="dxa"/>
            <w:shd w:val="clear" w:color="auto" w:fill="auto"/>
          </w:tcPr>
          <w:p>
            <w:pPr>
              <w:pStyle w:val="nTable"/>
              <w:keepNext/>
              <w:spacing w:after="40"/>
            </w:pPr>
            <w:r>
              <w:t>r. 1 and 2: 27 Sep 2019 (see r. 2(a));</w:t>
            </w:r>
            <w:r>
              <w:br/>
              <w:t>Regulations other than r. 1 and 2: 1 Oct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pPr>
              <w:pStyle w:val="nTable"/>
              <w:keepNext/>
              <w:spacing w:after="40"/>
            </w:pPr>
            <w:r>
              <w:t>24 Dec 2019 p. 4430</w:t>
            </w:r>
            <w:r>
              <w:noBreakHyphen/>
              <w:t>1</w:t>
            </w:r>
          </w:p>
        </w:tc>
        <w:tc>
          <w:tcPr>
            <w:tcW w:w="2693" w:type="dxa"/>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State Administrative Tribunal Amendment Regulations (No. 4) 2019</w:t>
            </w:r>
          </w:p>
        </w:tc>
        <w:tc>
          <w:tcPr>
            <w:tcW w:w="1276" w:type="dxa"/>
            <w:tcBorders>
              <w:top w:val="nil"/>
              <w:bottom w:val="nil"/>
            </w:tcBorders>
            <w:shd w:val="clear" w:color="auto" w:fill="auto"/>
          </w:tcPr>
          <w:p>
            <w:pPr>
              <w:pStyle w:val="nTable"/>
              <w:spacing w:after="40"/>
            </w:pPr>
            <w:r>
              <w:t>31 Dec 2019 p. 4657-60</w:t>
            </w:r>
          </w:p>
        </w:tc>
        <w:tc>
          <w:tcPr>
            <w:tcW w:w="2693" w:type="dxa"/>
            <w:tcBorders>
              <w:top w:val="nil"/>
              <w:bottom w:val="nil"/>
            </w:tcBorders>
            <w:shd w:val="clear" w:color="auto" w:fill="auto"/>
          </w:tcPr>
          <w:p>
            <w:pPr>
              <w:pStyle w:val="nTable"/>
              <w:spacing w:after="40"/>
            </w:pPr>
            <w:r>
              <w:t>r. 1 and 2: 31 Dec 2019 (see r. 2(a));</w:t>
            </w:r>
            <w:r>
              <w:br/>
              <w:t>Regulations other than r. 1 and 2: 1 May 2020 (see r. 2(b) and SL 2020/39 cl. 2)</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2020</w:t>
            </w:r>
          </w:p>
        </w:tc>
        <w:tc>
          <w:tcPr>
            <w:tcW w:w="1276" w:type="dxa"/>
            <w:tcBorders>
              <w:top w:val="nil"/>
              <w:bottom w:val="nil"/>
            </w:tcBorders>
            <w:shd w:val="clear" w:color="auto" w:fill="auto"/>
          </w:tcPr>
          <w:p>
            <w:pPr>
              <w:pStyle w:val="nTable"/>
              <w:spacing w:after="40"/>
            </w:pPr>
            <w:r>
              <w:t>SL 2020/23 27 Mar 2020</w:t>
            </w:r>
          </w:p>
        </w:tc>
        <w:tc>
          <w:tcPr>
            <w:tcW w:w="2693" w:type="dxa"/>
            <w:tcBorders>
              <w:top w:val="nil"/>
              <w:bottom w:val="nil"/>
            </w:tcBorders>
            <w:shd w:val="clear" w:color="auto" w:fill="auto"/>
          </w:tcPr>
          <w:p>
            <w:pPr>
              <w:pStyle w:val="nTable"/>
              <w:spacing w:after="40"/>
            </w:pPr>
            <w:r>
              <w:t>r. 1 and 2: 27 Mar 2020 (see r. 2(a));</w:t>
            </w:r>
            <w:r>
              <w:br/>
              <w:t>Regulations other than r. 1 and 2: 1 Apr 2020 (see r. 2(b))</w:t>
            </w:r>
          </w:p>
        </w:tc>
      </w:tr>
      <w:tr>
        <w:trPr>
          <w:cantSplit/>
        </w:trP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pPr>
              <w:pStyle w:val="nTable"/>
              <w:spacing w:after="40"/>
            </w:pPr>
            <w:r>
              <w:t>SL 2020/124 31 Jul 2020</w:t>
            </w:r>
          </w:p>
        </w:tc>
        <w:tc>
          <w:tcPr>
            <w:tcW w:w="2693" w:type="dxa"/>
            <w:tcBorders>
              <w:top w:val="nil"/>
              <w:bottom w:val="nil"/>
            </w:tcBorders>
            <w:shd w:val="clear" w:color="auto" w:fill="auto"/>
          </w:tcPr>
          <w:p>
            <w:pPr>
              <w:pStyle w:val="nTable"/>
              <w:spacing w:after="40"/>
            </w:pPr>
            <w:r>
              <w:t>1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2) 2020</w:t>
            </w:r>
          </w:p>
        </w:tc>
        <w:tc>
          <w:tcPr>
            <w:tcW w:w="1276" w:type="dxa"/>
            <w:tcBorders>
              <w:top w:val="nil"/>
              <w:bottom w:val="nil"/>
            </w:tcBorders>
            <w:shd w:val="clear" w:color="auto" w:fill="auto"/>
          </w:tcPr>
          <w:p>
            <w:pPr>
              <w:pStyle w:val="nTable"/>
              <w:spacing w:after="40"/>
            </w:pPr>
            <w:r>
              <w:t>SL 2020/136 14 Aug 2020</w:t>
            </w:r>
          </w:p>
        </w:tc>
        <w:tc>
          <w:tcPr>
            <w:tcW w:w="2693" w:type="dxa"/>
            <w:tcBorders>
              <w:top w:val="nil"/>
              <w:bottom w:val="nil"/>
            </w:tcBorders>
            <w:shd w:val="clear" w:color="auto" w:fill="auto"/>
          </w:tcPr>
          <w:p>
            <w:pPr>
              <w:pStyle w:val="nTable"/>
              <w:spacing w:after="40"/>
            </w:pPr>
            <w:r>
              <w:t>r. 1 and 2: 14 Aug 2020 (see r. 2(a));</w:t>
            </w:r>
            <w:r>
              <w:br/>
              <w:t>Regulations other than r. 1 and 2: 15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2020</w:t>
            </w:r>
          </w:p>
        </w:tc>
        <w:tc>
          <w:tcPr>
            <w:tcW w:w="1276" w:type="dxa"/>
            <w:tcBorders>
              <w:top w:val="nil"/>
              <w:bottom w:val="nil"/>
            </w:tcBorders>
            <w:shd w:val="clear" w:color="auto" w:fill="auto"/>
          </w:tcPr>
          <w:p>
            <w:pPr>
              <w:pStyle w:val="nTable"/>
              <w:spacing w:after="40"/>
            </w:pPr>
            <w:r>
              <w:t>SL 2020/158 21 Sep 2020</w:t>
            </w:r>
          </w:p>
        </w:tc>
        <w:tc>
          <w:tcPr>
            <w:tcW w:w="2693" w:type="dxa"/>
            <w:tcBorders>
              <w:top w:val="nil"/>
              <w:bottom w:val="nil"/>
            </w:tcBorders>
            <w:shd w:val="clear" w:color="auto" w:fill="auto"/>
          </w:tcPr>
          <w:p>
            <w:pPr>
              <w:pStyle w:val="nTable"/>
              <w:spacing w:after="40"/>
            </w:pPr>
            <w:r>
              <w:t>r. 1 and 2: 21 Sep 2020 (see r. 2(a));</w:t>
            </w:r>
            <w:r>
              <w:br/>
              <w:t>Regulations other than r. 1 and 2: 1 Oct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2021</w:t>
            </w:r>
          </w:p>
        </w:tc>
        <w:tc>
          <w:tcPr>
            <w:tcW w:w="1276" w:type="dxa"/>
            <w:tcBorders>
              <w:top w:val="nil"/>
              <w:bottom w:val="nil"/>
            </w:tcBorders>
            <w:shd w:val="clear" w:color="auto" w:fill="auto"/>
          </w:tcPr>
          <w:p>
            <w:pPr>
              <w:pStyle w:val="nTable"/>
              <w:spacing w:after="40"/>
            </w:pPr>
            <w:r>
              <w:t>SL 2021/31 26 Mar 2021</w:t>
            </w:r>
          </w:p>
        </w:tc>
        <w:tc>
          <w:tcPr>
            <w:tcW w:w="2693" w:type="dxa"/>
            <w:tcBorders>
              <w:top w:val="nil"/>
              <w:bottom w:val="nil"/>
            </w:tcBorders>
            <w:shd w:val="clear" w:color="auto" w:fill="auto"/>
          </w:tcPr>
          <w:p>
            <w:pPr>
              <w:pStyle w:val="nTable"/>
              <w:spacing w:after="40"/>
            </w:pPr>
            <w:r>
              <w:t>r. 1 and 2: 26 Mar 2021 (see r. 2(a));</w:t>
            </w:r>
            <w:r>
              <w:br/>
              <w:t>Regulations other than r. 1 and 2: 1 Apr 2021 (see r. 2(b))</w:t>
            </w:r>
          </w:p>
        </w:tc>
      </w:tr>
      <w:tr>
        <w:trPr>
          <w:cantSplit/>
        </w:trPr>
        <w:tc>
          <w:tcPr>
            <w:tcW w:w="3119" w:type="dxa"/>
            <w:tcBorders>
              <w:top w:val="nil"/>
              <w:bottom w:val="nil"/>
            </w:tcBorders>
            <w:shd w:val="clear" w:color="auto" w:fill="auto"/>
          </w:tcPr>
          <w:p>
            <w:pPr>
              <w:pStyle w:val="nTable"/>
              <w:spacing w:after="40"/>
              <w:rPr>
                <w:vertAlign w:val="superscript"/>
              </w:rPr>
            </w:pPr>
            <w:r>
              <w:rPr>
                <w:i/>
              </w:rPr>
              <w:t>Attorney General Regulations Amendment (Fees and Charges) Regulations 2021</w:t>
            </w:r>
            <w:r>
              <w:t xml:space="preserve"> Pt. 10</w:t>
            </w:r>
          </w:p>
        </w:tc>
        <w:tc>
          <w:tcPr>
            <w:tcW w:w="1276" w:type="dxa"/>
            <w:tcBorders>
              <w:top w:val="nil"/>
              <w:bottom w:val="nil"/>
            </w:tcBorders>
            <w:shd w:val="clear" w:color="auto" w:fill="auto"/>
          </w:tcPr>
          <w:p>
            <w:pPr>
              <w:pStyle w:val="nTable"/>
              <w:spacing w:after="40"/>
            </w:pPr>
            <w:r>
              <w:t>SL 2021/101 29 Jun 2021</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2021</w:t>
            </w:r>
          </w:p>
        </w:tc>
        <w:tc>
          <w:tcPr>
            <w:tcW w:w="1276" w:type="dxa"/>
            <w:tcBorders>
              <w:top w:val="nil"/>
              <w:bottom w:val="nil"/>
            </w:tcBorders>
            <w:shd w:val="clear" w:color="auto" w:fill="auto"/>
          </w:tcPr>
          <w:p>
            <w:pPr>
              <w:pStyle w:val="nTable"/>
              <w:spacing w:after="40"/>
            </w:pPr>
            <w:r>
              <w:t>SL 2021/102 29 Jun 2021</w:t>
            </w:r>
          </w:p>
        </w:tc>
        <w:tc>
          <w:tcPr>
            <w:tcW w:w="2693" w:type="dxa"/>
            <w:tcBorders>
              <w:top w:val="nil"/>
              <w:bottom w:val="nil"/>
            </w:tcBorders>
            <w:shd w:val="clear" w:color="auto" w:fill="auto"/>
          </w:tcPr>
          <w:p>
            <w:pPr>
              <w:pStyle w:val="nTable"/>
              <w:spacing w:after="40"/>
            </w:pPr>
            <w:r>
              <w:t>r. 1 and 2: 29 Jun 2021 (see r. 2(a));</w:t>
            </w:r>
            <w:r>
              <w:br/>
              <w:t>Regulations other than r. 1 and 2: 1 Jul 2021 (see r. 2(b) and SL 2021/83 cl. 2)</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(Swan Valley Planning Scheme) Regulations 2021</w:t>
            </w:r>
            <w:r>
              <w:t xml:space="preserve"> Pt. 3</w:t>
            </w:r>
          </w:p>
        </w:tc>
        <w:tc>
          <w:tcPr>
            <w:tcW w:w="1276" w:type="dxa"/>
            <w:tcBorders>
              <w:top w:val="nil"/>
              <w:bottom w:val="nil"/>
            </w:tcBorders>
            <w:shd w:val="clear" w:color="auto" w:fill="auto"/>
          </w:tcPr>
          <w:p>
            <w:pPr>
              <w:pStyle w:val="nTable"/>
              <w:spacing w:after="40"/>
            </w:pPr>
            <w:r>
              <w:t>SL 2021/127 16 Jul 2021</w:t>
            </w:r>
          </w:p>
        </w:tc>
        <w:tc>
          <w:tcPr>
            <w:tcW w:w="2693" w:type="dxa"/>
            <w:tcBorders>
              <w:top w:val="nil"/>
              <w:bottom w:val="nil"/>
            </w:tcBorders>
            <w:shd w:val="clear" w:color="auto" w:fill="auto"/>
          </w:tcPr>
          <w:p>
            <w:pPr>
              <w:pStyle w:val="nTable"/>
              <w:spacing w:after="40"/>
            </w:pPr>
            <w:r>
              <w:t>1 Aug 2021 (see r. 2(b) and SL 2021/124 cl. 2)</w:t>
            </w:r>
          </w:p>
        </w:tc>
      </w:tr>
      <w:tr>
        <w:trPr>
          <w:cantSplit/>
        </w:trPr>
        <w:tc>
          <w:tcPr>
            <w:tcW w:w="3119" w:type="dxa"/>
            <w:tcBorders>
              <w:top w:val="nil"/>
              <w:bottom w:val="nil"/>
            </w:tcBorders>
            <w:shd w:val="clear" w:color="auto" w:fill="auto"/>
          </w:tcPr>
          <w:p>
            <w:pPr>
              <w:pStyle w:val="nTable"/>
              <w:spacing w:after="40"/>
            </w:pPr>
            <w:r>
              <w:rPr>
                <w:i/>
                <w:iCs/>
              </w:rPr>
              <w:t>State Administrative Tribunal Amendment Regulations (No. 2) 2021</w:t>
            </w:r>
            <w:r>
              <w:t> </w:t>
            </w:r>
            <w:r>
              <w:rPr>
                <w:vertAlign w:val="superscript"/>
              </w:rPr>
              <w:t>11</w:t>
            </w:r>
          </w:p>
        </w:tc>
        <w:tc>
          <w:tcPr>
            <w:tcW w:w="1276" w:type="dxa"/>
            <w:tcBorders>
              <w:top w:val="nil"/>
              <w:bottom w:val="nil"/>
            </w:tcBorders>
            <w:shd w:val="clear" w:color="auto" w:fill="auto"/>
          </w:tcPr>
          <w:p>
            <w:pPr>
              <w:pStyle w:val="nTable"/>
              <w:spacing w:after="40"/>
            </w:pPr>
            <w:r>
              <w:t>SL 2021/138 30 Jul 2021</w:t>
            </w:r>
          </w:p>
        </w:tc>
        <w:tc>
          <w:tcPr>
            <w:tcW w:w="2693" w:type="dxa"/>
            <w:tcBorders>
              <w:top w:val="nil"/>
              <w:bottom w:val="nil"/>
            </w:tcBorders>
            <w:shd w:val="clear" w:color="auto" w:fill="auto"/>
          </w:tcPr>
          <w:p>
            <w:pPr>
              <w:pStyle w:val="nTable"/>
              <w:spacing w:after="40"/>
            </w:pPr>
            <w:r>
              <w:t>r. 1 and 2: 30 Jul 2021 (see r. 2(a));</w:t>
            </w:r>
            <w:r>
              <w:br/>
              <w:t>Regulations other than r. 1 and 2: 31 Jul 2021 (see r. 2(b))</w:t>
            </w:r>
          </w:p>
        </w:tc>
      </w:tr>
      <w:tr>
        <w:trPr>
          <w:cantSplit/>
        </w:trPr>
        <w:tc>
          <w:tcPr>
            <w:tcW w:w="3119" w:type="dxa"/>
            <w:tcBorders>
              <w:top w:val="nil"/>
              <w:bottom w:val="nil"/>
            </w:tcBorders>
            <w:shd w:val="clear" w:color="auto" w:fill="auto"/>
          </w:tcPr>
          <w:p>
            <w:pPr>
              <w:pStyle w:val="nTable"/>
              <w:spacing w:after="40"/>
              <w:rPr>
                <w:i/>
                <w:iCs/>
              </w:rPr>
            </w:pPr>
            <w:r>
              <w:rPr>
                <w:i/>
                <w:iCs/>
              </w:rPr>
              <w:lastRenderedPageBreak/>
              <w:t>State Administrative Tribunal Amendment Regulations (No. 4) 2021</w:t>
            </w:r>
          </w:p>
        </w:tc>
        <w:tc>
          <w:tcPr>
            <w:tcW w:w="1276" w:type="dxa"/>
            <w:tcBorders>
              <w:top w:val="nil"/>
              <w:bottom w:val="nil"/>
            </w:tcBorders>
            <w:shd w:val="clear" w:color="auto" w:fill="auto"/>
          </w:tcPr>
          <w:p>
            <w:pPr>
              <w:pStyle w:val="nTable"/>
              <w:spacing w:after="40"/>
            </w:pPr>
            <w:r>
              <w:t>SL 2021/157 10 Sep 2021</w:t>
            </w:r>
          </w:p>
        </w:tc>
        <w:tc>
          <w:tcPr>
            <w:tcW w:w="2693" w:type="dxa"/>
            <w:tcBorders>
              <w:top w:val="nil"/>
              <w:bottom w:val="nil"/>
            </w:tcBorders>
            <w:shd w:val="clear" w:color="auto" w:fill="auto"/>
          </w:tcPr>
          <w:p>
            <w:pPr>
              <w:pStyle w:val="nTable"/>
              <w:spacing w:after="40"/>
            </w:pPr>
            <w:r>
              <w:t>r. 1 and 2: 10 Sep 2021 (see r. 2(a));</w:t>
            </w:r>
            <w:r>
              <w:br/>
              <w:t>Regulations other than r. 1 and 2: 1 Oct 2021 (see r. 2(b))</w:t>
            </w:r>
          </w:p>
        </w:tc>
      </w:tr>
      <w:tr>
        <w:trPr>
          <w:cantSplit/>
        </w:trPr>
        <w:tc>
          <w:tcPr>
            <w:tcW w:w="3119" w:type="dxa"/>
            <w:tcBorders>
              <w:top w:val="nil"/>
              <w:bottom w:val="nil"/>
            </w:tcBorders>
            <w:shd w:val="clear" w:color="auto" w:fill="auto"/>
          </w:tcPr>
          <w:p>
            <w:pPr>
              <w:pStyle w:val="nTable"/>
              <w:spacing w:after="40"/>
              <w:rPr>
                <w:i/>
                <w:iCs/>
              </w:rPr>
            </w:pPr>
            <w:r>
              <w:rPr>
                <w:i/>
              </w:rPr>
              <w:t>State Administrative Tribunal Amendment Regulations (No. 5) 2021</w:t>
            </w:r>
          </w:p>
        </w:tc>
        <w:tc>
          <w:tcPr>
            <w:tcW w:w="1276" w:type="dxa"/>
            <w:tcBorders>
              <w:top w:val="nil"/>
              <w:bottom w:val="nil"/>
            </w:tcBorders>
            <w:shd w:val="clear" w:color="auto" w:fill="auto"/>
          </w:tcPr>
          <w:p>
            <w:pPr>
              <w:pStyle w:val="nTable"/>
              <w:spacing w:after="40"/>
            </w:pPr>
            <w:r>
              <w:t>SL 2021/201 3 Dec 2021</w:t>
            </w:r>
          </w:p>
        </w:tc>
        <w:tc>
          <w:tcPr>
            <w:tcW w:w="2693" w:type="dxa"/>
            <w:tcBorders>
              <w:top w:val="nil"/>
              <w:bottom w:val="nil"/>
            </w:tcBorders>
            <w:shd w:val="clear" w:color="auto" w:fill="auto"/>
          </w:tcPr>
          <w:p>
            <w:pPr>
              <w:pStyle w:val="nTable"/>
              <w:spacing w:after="40"/>
            </w:pPr>
            <w:r>
              <w:t>r. 1 and 2: 3 Dec 2021 (see r. 2(a));</w:t>
            </w:r>
            <w:r>
              <w:br/>
              <w:t>Regulations other than r. 1 and 2: 31 Jan 2022 (see r. 2(b) and SL 2021/195 cl. 2)</w:t>
            </w:r>
          </w:p>
        </w:tc>
      </w:tr>
      <w:tr>
        <w:trPr>
          <w:cantSplit/>
        </w:trPr>
        <w:tc>
          <w:tcPr>
            <w:tcW w:w="3119" w:type="dxa"/>
            <w:tcBorders>
              <w:top w:val="nil"/>
              <w:bottom w:val="nil"/>
            </w:tcBorders>
            <w:shd w:val="clear" w:color="auto" w:fill="auto"/>
          </w:tcPr>
          <w:p>
            <w:pPr>
              <w:pStyle w:val="nTable"/>
              <w:spacing w:after="40"/>
              <w:rPr>
                <w:i/>
              </w:rPr>
            </w:pPr>
            <w:r>
              <w:rPr>
                <w:i/>
                <w:noProof/>
              </w:rPr>
              <w:t>State Administrative Tribunal Amendment Regulations 2022</w:t>
            </w:r>
          </w:p>
        </w:tc>
        <w:tc>
          <w:tcPr>
            <w:tcW w:w="1276" w:type="dxa"/>
            <w:tcBorders>
              <w:top w:val="nil"/>
              <w:bottom w:val="nil"/>
            </w:tcBorders>
            <w:shd w:val="clear" w:color="auto" w:fill="auto"/>
          </w:tcPr>
          <w:p>
            <w:pPr>
              <w:pStyle w:val="nTable"/>
              <w:spacing w:after="40"/>
            </w:pPr>
            <w:r>
              <w:t>SL 2022/39 25 Mar 2022</w:t>
            </w:r>
          </w:p>
        </w:tc>
        <w:tc>
          <w:tcPr>
            <w:tcW w:w="2693" w:type="dxa"/>
            <w:tcBorders>
              <w:top w:val="nil"/>
              <w:bottom w:val="nil"/>
            </w:tcBorders>
            <w:shd w:val="clear" w:color="auto" w:fill="auto"/>
          </w:tcPr>
          <w:p>
            <w:pPr>
              <w:pStyle w:val="nTable"/>
              <w:spacing w:after="40"/>
            </w:pPr>
            <w:r>
              <w:t>r. 1 and 2: 25 Mar 2022 (see r. 2(a));</w:t>
            </w:r>
            <w:r>
              <w:br/>
              <w:t>Regulations other than r. 1 and 2: 1 Apr 2022 (see r. 2(b))</w:t>
            </w:r>
          </w:p>
        </w:tc>
      </w:tr>
      <w:tr>
        <w:trPr>
          <w:cantSplit/>
        </w:trPr>
        <w:tc>
          <w:tcPr>
            <w:tcW w:w="3119" w:type="dxa"/>
            <w:tcBorders>
              <w:top w:val="nil"/>
              <w:bottom w:val="nil"/>
            </w:tcBorders>
            <w:shd w:val="clear" w:color="auto" w:fill="auto"/>
          </w:tcPr>
          <w:p>
            <w:pPr>
              <w:pStyle w:val="nTable"/>
              <w:spacing w:after="40"/>
              <w:rPr>
                <w:i/>
                <w:noProof/>
              </w:rPr>
            </w:pPr>
            <w:r>
              <w:rPr>
                <w:i/>
                <w:noProof/>
              </w:rPr>
              <w:t>Attorney General Regulations Amendment (Veterinary Practice) Regulations 2022</w:t>
            </w:r>
            <w:r>
              <w:rPr>
                <w:noProof/>
              </w:rPr>
              <w:t xml:space="preserve"> Pt. 3</w:t>
            </w:r>
          </w:p>
        </w:tc>
        <w:tc>
          <w:tcPr>
            <w:tcW w:w="1276" w:type="dxa"/>
            <w:tcBorders>
              <w:top w:val="nil"/>
              <w:bottom w:val="nil"/>
            </w:tcBorders>
            <w:shd w:val="clear" w:color="auto" w:fill="auto"/>
          </w:tcPr>
          <w:p>
            <w:pPr>
              <w:pStyle w:val="nTable"/>
              <w:spacing w:after="40"/>
            </w:pPr>
            <w:r>
              <w:t>SL 2022/97 17 Jun 2022</w:t>
            </w:r>
          </w:p>
        </w:tc>
        <w:tc>
          <w:tcPr>
            <w:tcW w:w="2693" w:type="dxa"/>
            <w:tcBorders>
              <w:top w:val="nil"/>
              <w:bottom w:val="nil"/>
            </w:tcBorders>
            <w:shd w:val="clear" w:color="auto" w:fill="auto"/>
          </w:tcPr>
          <w:p>
            <w:pPr>
              <w:pStyle w:val="nTable"/>
              <w:spacing w:after="40"/>
            </w:pPr>
            <w:r>
              <w:rPr>
                <w:bCs/>
                <w:snapToGrid w:val="0"/>
              </w:rPr>
              <w:t>18 Jun 2022 (see r. 2(b) and SL 2022/81 cl. 2)</w:t>
            </w:r>
          </w:p>
        </w:tc>
      </w:tr>
      <w:tr>
        <w:trPr>
          <w:cantSplit/>
        </w:trPr>
        <w:tc>
          <w:tcPr>
            <w:tcW w:w="3119" w:type="dxa"/>
            <w:tcBorders>
              <w:top w:val="nil"/>
              <w:bottom w:val="nil"/>
            </w:tcBorders>
            <w:shd w:val="clear" w:color="auto" w:fill="auto"/>
          </w:tcPr>
          <w:p>
            <w:pPr>
              <w:pStyle w:val="nTable"/>
              <w:spacing w:after="40"/>
              <w:rPr>
                <w:i/>
                <w:noProof/>
              </w:rPr>
            </w:pPr>
            <w:r>
              <w:rPr>
                <w:i/>
              </w:rPr>
              <w:t>Attorney General Regulations Amendment (Fees and Charges) Regulations 2022</w:t>
            </w:r>
            <w:r>
              <w:t xml:space="preserve"> Pt. 11</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rPr>
                <w:bCs/>
                <w:snapToGrid w:val="0"/>
              </w:rPr>
            </w:pPr>
            <w:r>
              <w:t>1 Jul 2022 (see r. 2(b))</w:t>
            </w:r>
          </w:p>
        </w:tc>
      </w:tr>
      <w:tr>
        <w:trPr>
          <w:cantSplit/>
        </w:trPr>
        <w:tc>
          <w:tcPr>
            <w:tcW w:w="3119" w:type="dxa"/>
            <w:tcBorders>
              <w:top w:val="nil"/>
              <w:bottom w:val="nil"/>
            </w:tcBorders>
            <w:shd w:val="clear" w:color="auto" w:fill="auto"/>
          </w:tcPr>
          <w:p>
            <w:pPr>
              <w:pStyle w:val="nTable"/>
              <w:spacing w:after="40"/>
              <w:rPr>
                <w:i/>
                <w:noProof/>
              </w:rPr>
            </w:pPr>
            <w:r>
              <w:rPr>
                <w:i/>
              </w:rPr>
              <w:t>Attorney General Regulations Amendment (Legal Profession) Regulations 2022</w:t>
            </w:r>
            <w:r>
              <w:t xml:space="preserve"> Pt. 5</w:t>
            </w:r>
          </w:p>
        </w:tc>
        <w:tc>
          <w:tcPr>
            <w:tcW w:w="1276" w:type="dxa"/>
            <w:tcBorders>
              <w:top w:val="nil"/>
              <w:bottom w:val="nil"/>
            </w:tcBorders>
            <w:shd w:val="clear" w:color="auto" w:fill="auto"/>
          </w:tcPr>
          <w:p>
            <w:pPr>
              <w:pStyle w:val="nTable"/>
              <w:spacing w:after="40"/>
            </w:pPr>
            <w:r>
              <w:t>SL 2022/114</w:t>
            </w:r>
            <w:r>
              <w:br/>
              <w:t>30 Jun 2022</w:t>
            </w:r>
          </w:p>
        </w:tc>
        <w:tc>
          <w:tcPr>
            <w:tcW w:w="2693" w:type="dxa"/>
            <w:tcBorders>
              <w:top w:val="nil"/>
              <w:bottom w:val="nil"/>
            </w:tcBorders>
            <w:shd w:val="clear" w:color="auto" w:fill="auto"/>
          </w:tcPr>
          <w:p>
            <w:pPr>
              <w:pStyle w:val="nTable"/>
              <w:spacing w:after="40"/>
              <w:rPr>
                <w:bCs/>
                <w:snapToGrid w:val="0"/>
              </w:rPr>
            </w:pPr>
            <w:r>
              <w:t>1 Jul 2022 (see r. 2(b) and SL 2022/111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2023</w:t>
            </w:r>
          </w:p>
        </w:tc>
        <w:tc>
          <w:tcPr>
            <w:tcW w:w="1276" w:type="dxa"/>
            <w:tcBorders>
              <w:top w:val="nil"/>
              <w:bottom w:val="nil"/>
            </w:tcBorders>
            <w:shd w:val="clear" w:color="auto" w:fill="auto"/>
          </w:tcPr>
          <w:p>
            <w:pPr>
              <w:pStyle w:val="nTable"/>
              <w:spacing w:after="40"/>
            </w:pPr>
            <w:r>
              <w:t>SL 2023/49 19 May 2023</w:t>
            </w:r>
          </w:p>
        </w:tc>
        <w:tc>
          <w:tcPr>
            <w:tcW w:w="2693" w:type="dxa"/>
            <w:tcBorders>
              <w:top w:val="nil"/>
              <w:bottom w:val="nil"/>
            </w:tcBorders>
            <w:shd w:val="clear" w:color="auto" w:fill="auto"/>
          </w:tcPr>
          <w:p>
            <w:pPr>
              <w:pStyle w:val="nTable"/>
              <w:spacing w:after="40"/>
            </w:pPr>
            <w:r>
              <w:t>r. 1 and 2: 19 May 2023 (see r. 2(a));</w:t>
            </w:r>
            <w:r>
              <w:br/>
              <w:t>Regulations other than r. 1 and 2: 1 Jul 2023 (see r. 2(b))</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11</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rPr>
          <w:cantSplit/>
        </w:trPr>
        <w:tc>
          <w:tcPr>
            <w:tcW w:w="3119" w:type="dxa"/>
            <w:tcBorders>
              <w:top w:val="nil"/>
              <w:bottom w:val="nil"/>
            </w:tcBorders>
            <w:shd w:val="clear" w:color="auto" w:fill="auto"/>
          </w:tcPr>
          <w:p>
            <w:pPr>
              <w:pStyle w:val="nTable"/>
              <w:spacing w:after="40"/>
              <w:rPr>
                <w:i/>
              </w:rPr>
            </w:pPr>
            <w:r>
              <w:rPr>
                <w:i/>
                <w:iCs/>
              </w:rPr>
              <w:t>State Administrative Tribunal Amendment Regulations (No. 2) 2023</w:t>
            </w:r>
          </w:p>
        </w:tc>
        <w:tc>
          <w:tcPr>
            <w:tcW w:w="1276" w:type="dxa"/>
            <w:tcBorders>
              <w:top w:val="nil"/>
              <w:bottom w:val="nil"/>
            </w:tcBorders>
            <w:shd w:val="clear" w:color="auto" w:fill="auto"/>
          </w:tcPr>
          <w:p>
            <w:pPr>
              <w:pStyle w:val="nTable"/>
              <w:spacing w:after="40"/>
            </w:pPr>
            <w:r>
              <w:t>SL 2023/169 1 Nov 2023</w:t>
            </w:r>
          </w:p>
        </w:tc>
        <w:tc>
          <w:tcPr>
            <w:tcW w:w="2693" w:type="dxa"/>
            <w:tcBorders>
              <w:top w:val="nil"/>
              <w:bottom w:val="nil"/>
            </w:tcBorders>
            <w:shd w:val="clear" w:color="auto" w:fill="auto"/>
          </w:tcPr>
          <w:p>
            <w:pPr>
              <w:pStyle w:val="nTable"/>
              <w:spacing w:after="40"/>
            </w:pPr>
            <w:r>
              <w:t>r. 1 and 2: 1 Nov 2023 (see r. 2(a));</w:t>
            </w:r>
            <w:r>
              <w:br/>
              <w:t>Regulations other than r. 1 and 2: 15 Nov 2023 (see r. 2(b) and SL 2023/161 cl. 2)</w:t>
            </w:r>
          </w:p>
        </w:tc>
      </w:tr>
      <w:tr>
        <w:trPr>
          <w:cantSplit/>
        </w:trPr>
        <w:tc>
          <w:tcPr>
            <w:tcW w:w="3119" w:type="dxa"/>
            <w:tcBorders>
              <w:top w:val="nil"/>
              <w:bottom w:val="nil"/>
            </w:tcBorders>
            <w:shd w:val="clear" w:color="auto" w:fill="auto"/>
          </w:tcPr>
          <w:p>
            <w:pPr>
              <w:pStyle w:val="nTable"/>
              <w:spacing w:after="40"/>
              <w:rPr>
                <w:i/>
                <w:iCs/>
              </w:rPr>
            </w:pPr>
            <w:r>
              <w:rPr>
                <w:i/>
                <w:iCs/>
              </w:rPr>
              <w:t>State Administrative Tribunal Amendment Regulations 2024</w:t>
            </w:r>
          </w:p>
        </w:tc>
        <w:tc>
          <w:tcPr>
            <w:tcW w:w="1276" w:type="dxa"/>
            <w:tcBorders>
              <w:top w:val="nil"/>
              <w:bottom w:val="nil"/>
            </w:tcBorders>
            <w:shd w:val="clear" w:color="auto" w:fill="auto"/>
          </w:tcPr>
          <w:p>
            <w:pPr>
              <w:pStyle w:val="nTable"/>
              <w:spacing w:after="40"/>
            </w:pPr>
            <w:r>
              <w:t>SL 2024/39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5 Apr 2024 (see r. 2(b))</w:t>
            </w:r>
          </w:p>
        </w:tc>
      </w:tr>
      <w:tr>
        <w:trPr>
          <w:cantSplit/>
        </w:trPr>
        <w:tc>
          <w:tcPr>
            <w:tcW w:w="7088" w:type="dxa"/>
            <w:gridSpan w:val="3"/>
            <w:tcBorders>
              <w:top w:val="nil"/>
              <w:bottom w:val="nil"/>
            </w:tcBorders>
            <w:shd w:val="clear" w:color="auto" w:fill="auto"/>
          </w:tcPr>
          <w:p>
            <w:pPr>
              <w:pStyle w:val="nTable"/>
              <w:spacing w:after="40"/>
            </w:pPr>
            <w:r>
              <w:rPr>
                <w:b/>
                <w:i/>
                <w:noProof/>
              </w:rPr>
              <w:t>State Administrative Tribunal Regulations 2004</w:t>
            </w:r>
            <w:r>
              <w:rPr>
                <w:b/>
              </w:rPr>
              <w:t xml:space="preserve"> with editorial changes as at 14 Jun 2024 </w:t>
            </w:r>
            <w:r>
              <w:rPr>
                <w:bCs/>
                <w:snapToGrid w:val="0"/>
              </w:rPr>
              <w:t>(includes amendments listed above)</w:t>
            </w:r>
          </w:p>
        </w:tc>
      </w:tr>
      <w:tr>
        <w:trPr>
          <w:cantSplit/>
        </w:trPr>
        <w:tc>
          <w:tcPr>
            <w:tcW w:w="3119" w:type="dxa"/>
            <w:tcBorders>
              <w:top w:val="nil"/>
              <w:bottom w:val="nil"/>
            </w:tcBorders>
            <w:shd w:val="clear" w:color="auto" w:fill="auto"/>
          </w:tcPr>
          <w:p>
            <w:pPr>
              <w:pStyle w:val="nTable"/>
              <w:spacing w:after="40"/>
              <w:rPr>
                <w:i/>
                <w:iCs/>
              </w:rPr>
            </w:pPr>
            <w:r>
              <w:rPr>
                <w:i/>
              </w:rPr>
              <w:lastRenderedPageBreak/>
              <w:t>Attorney General Regulations Amendment (Fees and Charges) Regulations 2024</w:t>
            </w:r>
            <w:r>
              <w:t xml:space="preserve"> Pt. 11</w:t>
            </w:r>
          </w:p>
        </w:tc>
        <w:tc>
          <w:tcPr>
            <w:tcW w:w="1276" w:type="dxa"/>
            <w:tcBorders>
              <w:top w:val="nil"/>
              <w:bottom w:val="nil"/>
            </w:tcBorders>
            <w:shd w:val="clear" w:color="auto" w:fill="auto"/>
          </w:tcPr>
          <w:p>
            <w:pPr>
              <w:pStyle w:val="nTable"/>
              <w:spacing w:after="40"/>
              <w:rPr>
                <w:bCs/>
                <w:i/>
                <w:noProof/>
              </w:rPr>
            </w:pPr>
            <w:r>
              <w:t>SL 2024/113 26 Jun 2023</w:t>
            </w:r>
          </w:p>
        </w:tc>
        <w:tc>
          <w:tcPr>
            <w:tcW w:w="2693" w:type="dxa"/>
            <w:tcBorders>
              <w:top w:val="nil"/>
              <w:bottom w:val="nil"/>
            </w:tcBorders>
            <w:shd w:val="clear" w:color="auto" w:fill="auto"/>
          </w:tcPr>
          <w:p>
            <w:pPr>
              <w:pStyle w:val="nTable"/>
              <w:spacing w:after="40"/>
              <w:rPr>
                <w:bCs/>
                <w:i/>
                <w:noProof/>
              </w:rPr>
            </w:pPr>
            <w:r>
              <w:t>1 Jul 2024 (see r. 2(b))</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(Fees and Charges) Regulations 2025</w:t>
            </w:r>
            <w:r>
              <w:t xml:space="preserve"> Pt. 11</w:t>
            </w:r>
          </w:p>
        </w:tc>
        <w:tc>
          <w:tcPr>
            <w:tcW w:w="1276" w:type="dxa"/>
            <w:tcBorders>
              <w:top w:val="nil"/>
              <w:bottom w:val="nil"/>
            </w:tcBorders>
            <w:shd w:val="clear" w:color="auto" w:fill="auto"/>
          </w:tcPr>
          <w:p>
            <w:pPr>
              <w:pStyle w:val="nTable"/>
              <w:spacing w:after="40"/>
            </w:pPr>
            <w:r>
              <w:t>SL 2025/111 25 Jun 2025</w:t>
            </w:r>
          </w:p>
        </w:tc>
        <w:tc>
          <w:tcPr>
            <w:tcW w:w="2693" w:type="dxa"/>
            <w:tcBorders>
              <w:top w:val="nil"/>
              <w:bottom w:val="nil"/>
            </w:tcBorders>
            <w:shd w:val="clear" w:color="auto" w:fill="auto"/>
          </w:tcPr>
          <w:p>
            <w:pPr>
              <w:pStyle w:val="nTable"/>
              <w:spacing w:after="40"/>
            </w:pPr>
            <w:r>
              <w:t>1 Jul 2025 (see r. 2(b))</w:t>
            </w:r>
          </w:p>
        </w:tc>
      </w:tr>
      <w:tr>
        <w:trPr>
          <w:cantSplit/>
        </w:trPr>
        <w:tc>
          <w:tcPr>
            <w:tcW w:w="3119" w:type="dxa"/>
            <w:tcBorders>
              <w:top w:val="nil"/>
              <w:bottom w:val="nil"/>
            </w:tcBorders>
            <w:shd w:val="clear" w:color="auto" w:fill="auto"/>
          </w:tcPr>
          <w:p>
            <w:pPr>
              <w:pStyle w:val="nTable"/>
              <w:spacing w:after="40"/>
              <w:rPr>
                <w:i/>
              </w:rPr>
            </w:pPr>
            <w:r>
              <w:rPr>
                <w:i/>
                <w:iCs/>
              </w:rPr>
              <w:t>State Administrative Tribunal Amendment Regulations 2025</w:t>
            </w:r>
          </w:p>
        </w:tc>
        <w:tc>
          <w:tcPr>
            <w:tcW w:w="1276" w:type="dxa"/>
            <w:tcBorders>
              <w:top w:val="nil"/>
              <w:bottom w:val="nil"/>
            </w:tcBorders>
            <w:shd w:val="clear" w:color="auto" w:fill="auto"/>
          </w:tcPr>
          <w:p>
            <w:pPr>
              <w:pStyle w:val="nTable"/>
              <w:spacing w:after="40"/>
            </w:pPr>
            <w:r>
              <w:t>SL 2025/139 23 Jul 2025</w:t>
            </w:r>
          </w:p>
        </w:tc>
        <w:tc>
          <w:tcPr>
            <w:tcW w:w="2693" w:type="dxa"/>
            <w:tcBorders>
              <w:top w:val="nil"/>
              <w:bottom w:val="nil"/>
            </w:tcBorders>
            <w:shd w:val="clear" w:color="auto" w:fill="auto"/>
          </w:tcPr>
          <w:p>
            <w:pPr>
              <w:pStyle w:val="nTable"/>
              <w:spacing w:after="40"/>
            </w:pPr>
            <w:r>
              <w:t>r. 1 and 2: 23 Jul 2025 (see r. 2(a));</w:t>
            </w:r>
            <w:r>
              <w:br/>
              <w:t>Regulations other than r. 1 and 2: 24 Jul 2025 (see r. 2(b))</w:t>
            </w:r>
          </w:p>
        </w:tc>
      </w:tr>
      <w:tr>
        <w:trPr>
          <w:cantSplit/>
        </w:trPr>
        <w:tc>
          <w:tcPr>
            <w:tcW w:w="3119" w:type="dxa"/>
            <w:tcBorders>
              <w:top w:val="nil"/>
              <w:bottom w:val="single" w:sz="4" w:space="0" w:color="auto"/>
            </w:tcBorders>
            <w:shd w:val="clear" w:color="auto" w:fill="auto"/>
          </w:tcPr>
          <w:p>
            <w:pPr>
              <w:pStyle w:val="nTable"/>
              <w:spacing w:after="40"/>
              <w:rPr>
                <w:i/>
                <w:iCs/>
              </w:rPr>
            </w:pPr>
            <w:r>
              <w:rPr>
                <w:i/>
                <w:iCs/>
              </w:rPr>
              <w:t>State Administrative Tribunal Amendment Regulations 2026</w:t>
            </w:r>
          </w:p>
        </w:tc>
        <w:tc>
          <w:tcPr>
            <w:tcW w:w="1276" w:type="dxa"/>
            <w:tcBorders>
              <w:top w:val="nil"/>
              <w:bottom w:val="single" w:sz="4" w:space="0" w:color="auto"/>
            </w:tcBorders>
            <w:shd w:val="clear" w:color="auto" w:fill="auto"/>
          </w:tcPr>
          <w:p>
            <w:pPr>
              <w:pStyle w:val="nTable"/>
              <w:spacing w:after="40"/>
            </w:pPr>
            <w:r>
              <w:t>SL 2026/20 5 Mar 2026</w:t>
            </w:r>
          </w:p>
        </w:tc>
        <w:tc>
          <w:tcPr>
            <w:tcW w:w="2693" w:type="dxa"/>
            <w:tcBorders>
              <w:top w:val="nil"/>
              <w:bottom w:val="single" w:sz="4" w:space="0" w:color="auto"/>
            </w:tcBorders>
            <w:shd w:val="clear" w:color="auto" w:fill="auto"/>
          </w:tcPr>
          <w:p>
            <w:pPr>
              <w:pStyle w:val="nTable"/>
              <w:spacing w:after="40"/>
            </w:pPr>
            <w:r>
              <w:t>r. 1 and 2: 5 Mar 2026 (see r. 2(a));</w:t>
            </w:r>
            <w:r>
              <w:br/>
              <w:t>Regulations other than r. 1 and 2: 6 Mar 2026 (see r. 2(b))</w:t>
            </w:r>
          </w:p>
        </w:tc>
      </w:tr>
    </w:tbl>
    <w:p>
      <w:pPr>
        <w:pStyle w:val="nHeading3"/>
      </w:pPr>
      <w:bookmarkStart w:id="109" w:name="_Toc223449635"/>
      <w:r>
        <w:t>Editorial changes table</w:t>
      </w:r>
      <w:bookmarkEnd w:id="109"/>
    </w:p>
    <w:p>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pPr>
    </w:p>
    <w:p>
      <w:pPr>
        <w:pStyle w:val="nStatement"/>
        <w:keepNext/>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spacing w:after="40"/>
              <w:rPr>
                <w:b/>
              </w:rPr>
            </w:pPr>
            <w:r>
              <w:rPr>
                <w:b/>
              </w:rPr>
              <w:t>Provision/s affected</w:t>
            </w:r>
          </w:p>
        </w:tc>
        <w:tc>
          <w:tcPr>
            <w:tcW w:w="2694" w:type="dxa"/>
          </w:tcPr>
          <w:p>
            <w:pPr>
              <w:pStyle w:val="nTable"/>
              <w:spacing w:after="40"/>
              <w:rPr>
                <w:b/>
              </w:rPr>
            </w:pPr>
            <w:r>
              <w:rPr>
                <w:b/>
              </w:rPr>
              <w:t xml:space="preserve">Authorising provision of </w:t>
            </w:r>
            <w:r>
              <w:rPr>
                <w:b/>
                <w:i/>
                <w:iCs/>
              </w:rPr>
              <w:t>Legislation Act 2021</w:t>
            </w:r>
            <w:r>
              <w:rPr>
                <w:b/>
              </w:rPr>
              <w:t xml:space="preserve"> Part 3</w:t>
            </w:r>
          </w:p>
        </w:tc>
        <w:tc>
          <w:tcPr>
            <w:tcW w:w="1559" w:type="dxa"/>
          </w:tcPr>
          <w:p>
            <w:pPr>
              <w:pStyle w:val="nTable"/>
              <w:spacing w:after="40"/>
              <w:rPr>
                <w:b/>
              </w:rPr>
            </w:pPr>
            <w:r>
              <w:rPr>
                <w:b/>
              </w:rPr>
              <w:t>Effective date</w:t>
            </w:r>
            <w:r>
              <w:br/>
            </w:r>
            <w:r>
              <w:rPr>
                <w:b/>
              </w:rPr>
              <w:t>of change</w:t>
            </w:r>
          </w:p>
        </w:tc>
      </w:tr>
      <w:tr>
        <w:tc>
          <w:tcPr>
            <w:tcW w:w="2807" w:type="dxa"/>
          </w:tcPr>
          <w:p>
            <w:pPr>
              <w:pStyle w:val="nTable"/>
              <w:spacing w:after="40"/>
            </w:pPr>
            <w:r>
              <w:t>Sch. 6</w:t>
            </w:r>
          </w:p>
        </w:tc>
        <w:tc>
          <w:tcPr>
            <w:tcW w:w="2694" w:type="dxa"/>
          </w:tcPr>
          <w:p>
            <w:pPr>
              <w:pStyle w:val="nTable"/>
              <w:spacing w:after="40"/>
            </w:pPr>
            <w:r>
              <w:t>s. 25(2)</w:t>
            </w:r>
          </w:p>
        </w:tc>
        <w:tc>
          <w:tcPr>
            <w:tcW w:w="1559" w:type="dxa"/>
          </w:tcPr>
          <w:p>
            <w:pPr>
              <w:pStyle w:val="nTable"/>
              <w:spacing w:after="40"/>
            </w:pPr>
            <w:r>
              <w:t>14 Jun 2024</w:t>
            </w:r>
          </w:p>
        </w:tc>
      </w:tr>
    </w:tbl>
    <w:p>
      <w:pPr>
        <w:pStyle w:val="nHeading3"/>
      </w:pPr>
      <w:bookmarkStart w:id="110" w:name="_Toc223449636"/>
      <w:r>
        <w:t>Other notes</w:t>
      </w:r>
      <w:bookmarkEnd w:id="110"/>
    </w:p>
    <w:p>
      <w:pPr>
        <w:pStyle w:val="nNote"/>
        <w:keepNext/>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lastRenderedPageBreak/>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Note"/>
        <w:keepLines/>
      </w:pPr>
      <w:r>
        <w:rPr>
          <w:vertAlign w:val="superscript"/>
        </w:rPr>
        <w:t>11</w:t>
      </w:r>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112" w:name="_Toc203732712"/>
      <w:bookmarkStart w:id="113" w:name="_Toc203733073"/>
      <w:bookmarkStart w:id="114" w:name="_Toc203746498"/>
      <w:bookmarkStart w:id="115" w:name="_Toc223420406"/>
      <w:bookmarkStart w:id="116" w:name="_Toc223420760"/>
      <w:bookmarkStart w:id="117" w:name="_Toc223449637"/>
      <w:r>
        <w:rPr>
          <w:sz w:val="28"/>
        </w:rPr>
        <w:lastRenderedPageBreak/>
        <w:t>Defined terms</w:t>
      </w:r>
      <w:bookmarkEnd w:id="112"/>
      <w:bookmarkEnd w:id="113"/>
      <w:bookmarkEnd w:id="114"/>
      <w:bookmarkEnd w:id="115"/>
      <w:bookmarkEnd w:id="116"/>
      <w:bookmarkEnd w:id="1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5" w:name="Schedule"/>
    <w:bookmarkEnd w:id="6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8" w:name="DefinedTerms"/>
    <w:bookmarkEnd w:id="11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9" w:name="Coversheet"/>
    <w:bookmarkEnd w:id="1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718120251"/>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614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6142642_GUID" w:val="4b02dc38-9267-4252-bd09-c927a6850908"/>
    <w:docVar w:name="WAFER_20210728114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14036_GUID" w:val="d3daecd6-619d-4ffe-bfe7-865d5d1506e2"/>
    <w:docVar w:name="WAFER_20210907142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639_GUID" w:val="50099bf1-57d7-4dd8-80b4-fa136224cb7c"/>
    <w:docVar w:name="WAFER_2021090714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713_GUID" w:val="f7990591-06a1-46c5-bd7f-d49eea4beb79"/>
    <w:docVar w:name="WAFER_20210924140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4140738_GUID" w:val="74a70186-fe0e-4066-8dcd-afb82f9376da"/>
    <w:docVar w:name="WAFER_20211130141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1719_GUID" w:val="aa6fd55a-eadc-4458-8a18-77d5eb39e4b6"/>
    <w:docVar w:name="WAFER_202201241111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1128_GUID" w:val="569809f0-dc3e-4c26-b8df-b2a7be1bf399"/>
    <w:docVar w:name="WAFER_20220322145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45936_GUID" w:val="2165e26e-50f2-41e2-89d1-e804d0b20901"/>
    <w:docVar w:name="WAFER_20220614145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45534_GUID" w:val="d43efc82-29fe-4d1f-b065-b79d73ce2815"/>
    <w:docVar w:name="WAFER_20220614145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45649_GUID" w:val="a1aef976-392c-4ae0-94f0-70beee399d23"/>
    <w:docVar w:name="WAFER_202206271023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02351_GUID" w:val="98b0ff4b-d358-4385-a6e2-2dcb1e509520"/>
    <w:docVar w:name="WAFER_202305161529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2943_GUID" w:val="5379538c-d1e6-468f-9536-7c0dab88dd4a"/>
    <w:docVar w:name="WAFER_20230627142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2749_GUID" w:val="eb2b76e4-952f-4a62-8458-b4fab149db02"/>
    <w:docVar w:name="WAFER_20230801164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326_GUID" w:val="0e1b57d8-629b-4b4a-84e4-b2d699afa9a7"/>
    <w:docVar w:name="WAFER_20230802094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257_GUID" w:val="a00a2e90-0711-40cc-872f-4b1a9ae88feb"/>
    <w:docVar w:name="WAFER_202310310933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3343_GUID" w:val="e7f2b722-482b-4aad-8db1-34420db83c90"/>
    <w:docVar w:name="WAFER_202311101622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62201_GUID" w:val="fc0b369c-327c-427c-b379-148c67312ab6"/>
    <w:docVar w:name="WAFER_202312281612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240_GUID" w:val="92fd004d-9e2b-44b4-9ffa-63a4b7b0337e"/>
    <w:docVar w:name="WAFER_20240328134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4530_GUID" w:val="2ac2ea7d-d844-4f20-a48a-90a5b92ed781"/>
    <w:docVar w:name="WAFER_202404160938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6093815_GUID" w:val="5460f0c0-c559-4fa3-a948-558d125ffdd2"/>
    <w:docVar w:name="WAFER_202406211308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837_GUID" w:val="23b23940-ac5c-4a99-b7b5-efeb85ce3955"/>
    <w:docVar w:name="WAFER_202506201132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13259_GUID" w:val="3174082f-2e30-4306-95b8-f48c863add35"/>
    <w:docVar w:name="WAFER_202507181202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8120251_GUID" w:val="7d610338-cdbb-4b81-bfd5-b9370bb2ae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E22E6B-3A27-464D-9FE9-93284ABB2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9767</Words>
  <Characters>46006</Characters>
  <Application>Microsoft Office Word</Application>
  <DocSecurity>0</DocSecurity>
  <Lines>2000</Lines>
  <Paragraphs>1093</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54680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2004 - 06-e0-00</dc:title>
  <dc:subject/>
  <dc:creator/>
  <cp:keywords/>
  <dc:description/>
  <cp:lastModifiedBy>Master Repository Process</cp:lastModifiedBy>
  <cp:revision>4</cp:revision>
  <cp:lastPrinted>2021-03-23T06:07:00Z</cp:lastPrinted>
  <dcterms:created xsi:type="dcterms:W3CDTF">2026-03-04T08:06:00Z</dcterms:created>
  <dcterms:modified xsi:type="dcterms:W3CDTF">2026-03-04T08:06:00Z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No">
    <vt:lpwstr>6</vt:lpwstr>
  </property>
  <property fmtid="{D5CDD505-2E9C-101B-9397-08002B2CF9AE}" pid="6" name="ReprintedAsAt">
    <vt:filetime>2024-06-14T10:00:00Z</vt:filetime>
  </property>
  <property fmtid="{D5CDD505-2E9C-101B-9397-08002B2CF9AE}" pid="7" name="CommencementDate">
    <vt:lpwstr>20260306</vt:lpwstr>
  </property>
  <property fmtid="{D5CDD505-2E9C-101B-9397-08002B2CF9AE}" pid="8" name="CommencementAsAt">
    <vt:filetime>2026-03-05T16:00:00Z</vt:filetime>
  </property>
  <property fmtid="{D5CDD505-2E9C-101B-9397-08002B2CF9AE}" pid="9" name="CommencementYear">
    <vt:lpwstr>2026</vt:lpwstr>
  </property>
  <property fmtid="{D5CDD505-2E9C-101B-9397-08002B2CF9AE}" pid="10" name="AsAtDate">
    <vt:lpwstr>06 Mar 2026</vt:lpwstr>
  </property>
  <property fmtid="{D5CDD505-2E9C-101B-9397-08002B2CF9AE}" pid="11" name="Suffix">
    <vt:lpwstr>06-e0-00</vt:lpwstr>
  </property>
  <property fmtid="{D5CDD505-2E9C-101B-9397-08002B2CF9AE}" pid="12" name="Official">
    <vt:lpwstr/>
  </property>
</Properties>
</file>