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Statutory Corporations (Liability of Directors)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kern w:val="2"/>
          <w:sz w:val="24"/>
          <w:szCs w:val="24"/>
          <w14:ligatures w14:val="standardContextual"/>
        </w:rPr>
      </w:pPr>
      <w:r>
        <w:t>1</w:t>
      </w:r>
      <w:r>
        <w:rPr>
          <w:snapToGrid w:val="0"/>
        </w:rPr>
        <w:t>.</w:t>
      </w:r>
      <w:r>
        <w:rPr>
          <w:snapToGrid w:val="0"/>
        </w:rPr>
        <w:tab/>
        <w:t>Short title</w:t>
      </w:r>
      <w:r>
        <w:tab/>
      </w:r>
      <w:r>
        <w:fldChar w:fldCharType="begin"/>
      </w:r>
      <w:r>
        <w:instrText xml:space="preserve"> PAGEREF _Toc224311729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2</w:t>
      </w:r>
      <w:r>
        <w:rPr>
          <w:snapToGrid w:val="0"/>
        </w:rPr>
        <w:t>.</w:t>
      </w:r>
      <w:r>
        <w:rPr>
          <w:snapToGrid w:val="0"/>
        </w:rPr>
        <w:tab/>
        <w:t>Commencement</w:t>
      </w:r>
      <w:r>
        <w:tab/>
      </w:r>
      <w:r>
        <w:fldChar w:fldCharType="begin"/>
      </w:r>
      <w:r>
        <w:instrText xml:space="preserve"> PAGEREF _Toc224311730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 — Statutory corporations generally</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Pr>
          <w:snapToGrid w:val="0"/>
        </w:rPr>
        <w:t> — </w:t>
      </w:r>
      <w:r>
        <w:t>Interpretation</w:t>
      </w:r>
    </w:p>
    <w:p>
      <w:pPr>
        <w:pStyle w:val="TOC8"/>
        <w:rPr>
          <w:rFonts w:asciiTheme="minorHAnsi" w:eastAsiaTheme="minorEastAsia" w:hAnsiTheme="minorHAnsi" w:cstheme="minorBidi"/>
          <w:kern w:val="2"/>
          <w:sz w:val="24"/>
          <w:szCs w:val="24"/>
          <w14:ligatures w14:val="standardContextual"/>
        </w:rPr>
      </w:pPr>
      <w:r>
        <w:t>4</w:t>
      </w:r>
      <w:r>
        <w:rPr>
          <w:snapToGrid w:val="0"/>
        </w:rPr>
        <w:t>.</w:t>
      </w:r>
      <w:r>
        <w:rPr>
          <w:snapToGrid w:val="0"/>
        </w:rPr>
        <w:tab/>
        <w:t>Terms used</w:t>
      </w:r>
      <w:r>
        <w:tab/>
      </w:r>
      <w:r>
        <w:fldChar w:fldCharType="begin"/>
      </w:r>
      <w:r>
        <w:instrText xml:space="preserve"> PAGEREF _Toc224311733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Pr>
          <w:snapToGrid w:val="0"/>
        </w:rPr>
        <w:t> — </w:t>
      </w:r>
      <w:r>
        <w:t>Duties of directors stated</w:t>
      </w:r>
    </w:p>
    <w:p>
      <w:pPr>
        <w:pStyle w:val="TOC8"/>
        <w:rPr>
          <w:rFonts w:asciiTheme="minorHAnsi" w:eastAsiaTheme="minorEastAsia" w:hAnsiTheme="minorHAnsi" w:cstheme="minorBidi"/>
          <w:kern w:val="2"/>
          <w:sz w:val="24"/>
          <w:szCs w:val="24"/>
          <w14:ligatures w14:val="standardContextual"/>
        </w:rPr>
      </w:pPr>
      <w:r>
        <w:t>5</w:t>
      </w:r>
      <w:r>
        <w:rPr>
          <w:snapToGrid w:val="0"/>
        </w:rPr>
        <w:t>.</w:t>
      </w:r>
      <w:r>
        <w:rPr>
          <w:snapToGrid w:val="0"/>
        </w:rPr>
        <w:tab/>
        <w:t>Directors’ fiduciary relationship with and duties to corporation</w:t>
      </w:r>
      <w:r>
        <w:tab/>
      </w:r>
      <w:r>
        <w:fldChar w:fldCharType="begin"/>
      </w:r>
      <w:r>
        <w:instrText xml:space="preserve"> PAGEREF _Toc224311735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Pr>
          <w:snapToGrid w:val="0"/>
        </w:rPr>
        <w:t> — </w:t>
      </w:r>
      <w:r>
        <w:t>Ministerial directions</w:t>
      </w:r>
    </w:p>
    <w:p>
      <w:pPr>
        <w:pStyle w:val="TOC8"/>
        <w:rPr>
          <w:rFonts w:asciiTheme="minorHAnsi" w:eastAsiaTheme="minorEastAsia" w:hAnsiTheme="minorHAnsi" w:cstheme="minorBidi"/>
          <w:kern w:val="2"/>
          <w:sz w:val="24"/>
          <w:szCs w:val="24"/>
          <w14:ligatures w14:val="standardContextual"/>
        </w:rPr>
      </w:pPr>
      <w:r>
        <w:t>6</w:t>
      </w:r>
      <w:r>
        <w:rPr>
          <w:snapToGrid w:val="0"/>
        </w:rPr>
        <w:t>.</w:t>
      </w:r>
      <w:r>
        <w:rPr>
          <w:snapToGrid w:val="0"/>
        </w:rPr>
        <w:tab/>
        <w:t>Unlawful directions</w:t>
      </w:r>
      <w:r>
        <w:tab/>
      </w:r>
      <w:r>
        <w:fldChar w:fldCharType="begin"/>
      </w:r>
      <w:r>
        <w:instrText xml:space="preserve"> PAGEREF _Toc224311737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3 — Duties of directors of certain corporations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Pr>
          <w:snapToGrid w:val="0"/>
        </w:rPr>
        <w:t> — </w:t>
      </w:r>
      <w:r>
        <w:t>Interpretation</w:t>
      </w:r>
    </w:p>
    <w:p>
      <w:pPr>
        <w:pStyle w:val="TOC8"/>
        <w:rPr>
          <w:rFonts w:asciiTheme="minorHAnsi" w:eastAsiaTheme="minorEastAsia" w:hAnsiTheme="minorHAnsi" w:cstheme="minorBidi"/>
          <w:kern w:val="2"/>
          <w:sz w:val="24"/>
          <w:szCs w:val="24"/>
          <w14:ligatures w14:val="standardContextual"/>
        </w:rPr>
      </w:pPr>
      <w:r>
        <w:t>7</w:t>
      </w:r>
      <w:r>
        <w:rPr>
          <w:snapToGrid w:val="0"/>
        </w:rPr>
        <w:t>.</w:t>
      </w:r>
      <w:r>
        <w:rPr>
          <w:snapToGrid w:val="0"/>
        </w:rPr>
        <w:tab/>
        <w:t>Terms used; attempted offences; application of Part</w:t>
      </w:r>
      <w:r>
        <w:tab/>
      </w:r>
      <w:r>
        <w:fldChar w:fldCharType="begin"/>
      </w:r>
      <w:r>
        <w:instrText xml:space="preserve"> PAGEREF _Toc224311740 \h </w:instrText>
      </w:r>
      <w:r>
        <w:fldChar w:fldCharType="separate"/>
      </w:r>
      <w:r>
        <w:t>5</w:t>
      </w:r>
      <w:r>
        <w:fldChar w:fldCharType="end"/>
      </w:r>
    </w:p>
    <w:p>
      <w:pPr>
        <w:pStyle w:val="TOC8"/>
        <w:rPr>
          <w:rFonts w:asciiTheme="minorHAnsi" w:eastAsiaTheme="minorEastAsia" w:hAnsiTheme="minorHAnsi" w:cstheme="minorBidi"/>
          <w:kern w:val="2"/>
          <w:sz w:val="24"/>
          <w:szCs w:val="24"/>
          <w14:ligatures w14:val="standardContextual"/>
        </w:rPr>
      </w:pPr>
      <w:r>
        <w:t>8</w:t>
      </w:r>
      <w:r>
        <w:rPr>
          <w:snapToGrid w:val="0"/>
        </w:rPr>
        <w:t>.</w:t>
      </w:r>
      <w:r>
        <w:rPr>
          <w:snapToGrid w:val="0"/>
        </w:rPr>
        <w:tab/>
        <w:t>Amendment of Sch. 1</w:t>
      </w:r>
      <w:r>
        <w:tab/>
      </w:r>
      <w:r>
        <w:fldChar w:fldCharType="begin"/>
      </w:r>
      <w:r>
        <w:instrText xml:space="preserve"> PAGEREF _Toc224311741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Pr>
          <w:snapToGrid w:val="0"/>
        </w:rPr>
        <w:t> — </w:t>
      </w:r>
      <w:r>
        <w:t>Duties stated</w:t>
      </w:r>
    </w:p>
    <w:p>
      <w:pPr>
        <w:pStyle w:val="TOC8"/>
        <w:rPr>
          <w:rFonts w:asciiTheme="minorHAnsi" w:eastAsiaTheme="minorEastAsia" w:hAnsiTheme="minorHAnsi" w:cstheme="minorBidi"/>
          <w:kern w:val="2"/>
          <w:sz w:val="24"/>
          <w:szCs w:val="24"/>
          <w14:ligatures w14:val="standardContextual"/>
        </w:rPr>
      </w:pPr>
      <w:r>
        <w:t>9</w:t>
      </w:r>
      <w:r>
        <w:rPr>
          <w:snapToGrid w:val="0"/>
        </w:rPr>
        <w:t>.</w:t>
      </w:r>
      <w:r>
        <w:rPr>
          <w:snapToGrid w:val="0"/>
        </w:rPr>
        <w:tab/>
        <w:t>Duty to act honestly</w:t>
      </w:r>
      <w:r>
        <w:tab/>
      </w:r>
      <w:r>
        <w:fldChar w:fldCharType="begin"/>
      </w:r>
      <w:r>
        <w:instrText xml:space="preserve"> PAGEREF _Toc224311743 \h </w:instrText>
      </w:r>
      <w:r>
        <w:fldChar w:fldCharType="separate"/>
      </w:r>
      <w:r>
        <w:t>6</w:t>
      </w:r>
      <w:r>
        <w:fldChar w:fldCharType="end"/>
      </w:r>
    </w:p>
    <w:p>
      <w:pPr>
        <w:pStyle w:val="TOC8"/>
        <w:rPr>
          <w:rFonts w:asciiTheme="minorHAnsi" w:eastAsiaTheme="minorEastAsia" w:hAnsiTheme="minorHAnsi" w:cstheme="minorBidi"/>
          <w:kern w:val="2"/>
          <w:sz w:val="24"/>
          <w:szCs w:val="24"/>
          <w14:ligatures w14:val="standardContextual"/>
        </w:rPr>
      </w:pPr>
      <w:r>
        <w:t>10</w:t>
      </w:r>
      <w:r>
        <w:rPr>
          <w:snapToGrid w:val="0"/>
        </w:rPr>
        <w:t>.</w:t>
      </w:r>
      <w:r>
        <w:rPr>
          <w:snapToGrid w:val="0"/>
        </w:rPr>
        <w:tab/>
        <w:t>Duty to exercise reasonable care and diligence</w:t>
      </w:r>
      <w:r>
        <w:tab/>
      </w:r>
      <w:r>
        <w:fldChar w:fldCharType="begin"/>
      </w:r>
      <w:r>
        <w:instrText xml:space="preserve"> PAGEREF _Toc224311744 \h </w:instrText>
      </w:r>
      <w:r>
        <w:fldChar w:fldCharType="separate"/>
      </w:r>
      <w:r>
        <w:t>6</w:t>
      </w:r>
      <w:r>
        <w:fldChar w:fldCharType="end"/>
      </w:r>
    </w:p>
    <w:p>
      <w:pPr>
        <w:pStyle w:val="TOC8"/>
        <w:rPr>
          <w:rFonts w:asciiTheme="minorHAnsi" w:eastAsiaTheme="minorEastAsia" w:hAnsiTheme="minorHAnsi" w:cstheme="minorBidi"/>
          <w:kern w:val="2"/>
          <w:sz w:val="24"/>
          <w:szCs w:val="24"/>
          <w14:ligatures w14:val="standardContextual"/>
        </w:rPr>
      </w:pPr>
      <w:r>
        <w:t>11</w:t>
      </w:r>
      <w:r>
        <w:rPr>
          <w:snapToGrid w:val="0"/>
        </w:rPr>
        <w:t>.</w:t>
      </w:r>
      <w:r>
        <w:rPr>
          <w:snapToGrid w:val="0"/>
        </w:rPr>
        <w:tab/>
        <w:t>Duty not to make improper use of information</w:t>
      </w:r>
      <w:r>
        <w:tab/>
      </w:r>
      <w:r>
        <w:fldChar w:fldCharType="begin"/>
      </w:r>
      <w:r>
        <w:instrText xml:space="preserve"> PAGEREF _Toc224311745 \h </w:instrText>
      </w:r>
      <w:r>
        <w:fldChar w:fldCharType="separate"/>
      </w:r>
      <w:r>
        <w:t>6</w:t>
      </w:r>
      <w:r>
        <w:fldChar w:fldCharType="end"/>
      </w:r>
    </w:p>
    <w:p>
      <w:pPr>
        <w:pStyle w:val="TOC8"/>
        <w:rPr>
          <w:rFonts w:asciiTheme="minorHAnsi" w:eastAsiaTheme="minorEastAsia" w:hAnsiTheme="minorHAnsi" w:cstheme="minorBidi"/>
          <w:kern w:val="2"/>
          <w:sz w:val="24"/>
          <w:szCs w:val="24"/>
          <w14:ligatures w14:val="standardContextual"/>
        </w:rPr>
      </w:pPr>
      <w:r>
        <w:t>12</w:t>
      </w:r>
      <w:r>
        <w:rPr>
          <w:snapToGrid w:val="0"/>
        </w:rPr>
        <w:t>.</w:t>
      </w:r>
      <w:r>
        <w:rPr>
          <w:snapToGrid w:val="0"/>
        </w:rPr>
        <w:tab/>
        <w:t>Duty not to make improper use of position</w:t>
      </w:r>
      <w:r>
        <w:tab/>
      </w:r>
      <w:r>
        <w:fldChar w:fldCharType="begin"/>
      </w:r>
      <w:r>
        <w:instrText xml:space="preserve"> PAGEREF _Toc224311746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w:t>
      </w:r>
      <w:r>
        <w:rPr>
          <w:snapToGrid w:val="0"/>
        </w:rPr>
        <w:t> — </w:t>
      </w:r>
      <w:r>
        <w:t>Compensation</w:t>
      </w:r>
    </w:p>
    <w:p>
      <w:pPr>
        <w:pStyle w:val="TOC8"/>
        <w:rPr>
          <w:rFonts w:asciiTheme="minorHAnsi" w:eastAsiaTheme="minorEastAsia" w:hAnsiTheme="minorHAnsi" w:cstheme="minorBidi"/>
          <w:kern w:val="2"/>
          <w:sz w:val="24"/>
          <w:szCs w:val="24"/>
          <w14:ligatures w14:val="standardContextual"/>
        </w:rPr>
      </w:pPr>
      <w:r>
        <w:t>13</w:t>
      </w:r>
      <w:r>
        <w:rPr>
          <w:snapToGrid w:val="0"/>
        </w:rPr>
        <w:t>.</w:t>
      </w:r>
      <w:r>
        <w:rPr>
          <w:snapToGrid w:val="0"/>
        </w:rPr>
        <w:tab/>
        <w:t>Compensation may be ordered for breach of s. 9, 10, 11 or 12</w:t>
      </w:r>
      <w:r>
        <w:tab/>
      </w:r>
      <w:r>
        <w:fldChar w:fldCharType="begin"/>
      </w:r>
      <w:r>
        <w:instrText xml:space="preserve"> PAGEREF _Toc224311748 \h </w:instrText>
      </w:r>
      <w:r>
        <w:fldChar w:fldCharType="separate"/>
      </w:r>
      <w:r>
        <w:t>7</w:t>
      </w:r>
      <w:r>
        <w:fldChar w:fldCharType="end"/>
      </w:r>
    </w:p>
    <w:p>
      <w:pPr>
        <w:pStyle w:val="TOC8"/>
        <w:rPr>
          <w:rFonts w:asciiTheme="minorHAnsi" w:eastAsiaTheme="minorEastAsia" w:hAnsiTheme="minorHAnsi" w:cstheme="minorBidi"/>
          <w:kern w:val="2"/>
          <w:sz w:val="24"/>
          <w:szCs w:val="24"/>
          <w14:ligatures w14:val="standardContextual"/>
        </w:rPr>
      </w:pPr>
      <w:r>
        <w:t>14</w:t>
      </w:r>
      <w:r>
        <w:rPr>
          <w:snapToGrid w:val="0"/>
        </w:rPr>
        <w:t>.</w:t>
      </w:r>
      <w:r>
        <w:rPr>
          <w:snapToGrid w:val="0"/>
        </w:rPr>
        <w:tab/>
        <w:t>Civil proceedings for breach of s. 9, 10, 11 or 12</w:t>
      </w:r>
      <w:r>
        <w:tab/>
      </w:r>
      <w:r>
        <w:fldChar w:fldCharType="begin"/>
      </w:r>
      <w:r>
        <w:instrText xml:space="preserve"> PAGEREF _Toc224311749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15</w:t>
      </w:r>
      <w:r>
        <w:rPr>
          <w:snapToGrid w:val="0"/>
        </w:rPr>
        <w:t>.</w:t>
      </w:r>
      <w:r>
        <w:rPr>
          <w:snapToGrid w:val="0"/>
        </w:rPr>
        <w:tab/>
        <w:t>Corporation’s power to insure</w:t>
      </w:r>
      <w:r>
        <w:tab/>
      </w:r>
      <w:r>
        <w:fldChar w:fldCharType="begin"/>
      </w:r>
      <w:r>
        <w:instrText xml:space="preserve"> PAGEREF _Toc224311750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Pr>
          <w:snapToGrid w:val="0"/>
        </w:rPr>
        <w:t> — </w:t>
      </w:r>
      <w:r>
        <w:t>Ministerial directions</w:t>
      </w:r>
    </w:p>
    <w:p>
      <w:pPr>
        <w:pStyle w:val="TOC8"/>
        <w:rPr>
          <w:rFonts w:asciiTheme="minorHAnsi" w:eastAsiaTheme="minorEastAsia" w:hAnsiTheme="minorHAnsi" w:cstheme="minorBidi"/>
          <w:kern w:val="2"/>
          <w:sz w:val="24"/>
          <w:szCs w:val="24"/>
          <w14:ligatures w14:val="standardContextual"/>
        </w:rPr>
      </w:pPr>
      <w:r>
        <w:t>16</w:t>
      </w:r>
      <w:r>
        <w:rPr>
          <w:snapToGrid w:val="0"/>
        </w:rPr>
        <w:t>.</w:t>
      </w:r>
      <w:r>
        <w:rPr>
          <w:snapToGrid w:val="0"/>
        </w:rPr>
        <w:tab/>
        <w:t>Terms used</w:t>
      </w:r>
      <w:r>
        <w:tab/>
      </w:r>
      <w:r>
        <w:fldChar w:fldCharType="begin"/>
      </w:r>
      <w:r>
        <w:instrText xml:space="preserve"> PAGEREF _Toc224311752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17</w:t>
      </w:r>
      <w:r>
        <w:rPr>
          <w:snapToGrid w:val="0"/>
        </w:rPr>
        <w:t>.</w:t>
      </w:r>
      <w:r>
        <w:rPr>
          <w:snapToGrid w:val="0"/>
        </w:rPr>
        <w:tab/>
        <w:t>Governing body may question direction</w:t>
      </w:r>
      <w:r>
        <w:tab/>
      </w:r>
      <w:r>
        <w:fldChar w:fldCharType="begin"/>
      </w:r>
      <w:r>
        <w:instrText xml:space="preserve"> PAGEREF _Toc224311753 \h </w:instrText>
      </w:r>
      <w:r>
        <w:fldChar w:fldCharType="separate"/>
      </w:r>
      <w:r>
        <w:t>9</w:t>
      </w:r>
      <w:r>
        <w:fldChar w:fldCharType="end"/>
      </w:r>
    </w:p>
    <w:p>
      <w:pPr>
        <w:pStyle w:val="TOC8"/>
        <w:rPr>
          <w:rFonts w:asciiTheme="minorHAnsi" w:eastAsiaTheme="minorEastAsia" w:hAnsiTheme="minorHAnsi" w:cstheme="minorBidi"/>
          <w:kern w:val="2"/>
          <w:sz w:val="24"/>
          <w:szCs w:val="24"/>
          <w14:ligatures w14:val="standardContextual"/>
        </w:rPr>
      </w:pPr>
      <w:r>
        <w:t>18</w:t>
      </w:r>
      <w:r>
        <w:rPr>
          <w:snapToGrid w:val="0"/>
        </w:rPr>
        <w:t>.</w:t>
      </w:r>
      <w:r>
        <w:rPr>
          <w:snapToGrid w:val="0"/>
        </w:rPr>
        <w:tab/>
        <w:t>Corporation may challenge direction</w:t>
      </w:r>
      <w:r>
        <w:tab/>
      </w:r>
      <w:r>
        <w:fldChar w:fldCharType="begin"/>
      </w:r>
      <w:r>
        <w:instrText xml:space="preserve"> PAGEREF _Toc224311754 \h </w:instrText>
      </w:r>
      <w:r>
        <w:fldChar w:fldCharType="separate"/>
      </w:r>
      <w:r>
        <w:t>9</w:t>
      </w:r>
      <w:r>
        <w:fldChar w:fldCharType="end"/>
      </w:r>
    </w:p>
    <w:p>
      <w:pPr>
        <w:pStyle w:val="TOC8"/>
        <w:rPr>
          <w:rFonts w:asciiTheme="minorHAnsi" w:eastAsiaTheme="minorEastAsia" w:hAnsiTheme="minorHAnsi" w:cstheme="minorBidi"/>
          <w:kern w:val="2"/>
          <w:sz w:val="24"/>
          <w:szCs w:val="24"/>
          <w14:ligatures w14:val="standardContextual"/>
        </w:rPr>
      </w:pPr>
      <w:r>
        <w:t>19</w:t>
      </w:r>
      <w:r>
        <w:rPr>
          <w:snapToGrid w:val="0"/>
        </w:rPr>
        <w:t>.</w:t>
      </w:r>
      <w:r>
        <w:rPr>
          <w:snapToGrid w:val="0"/>
        </w:rPr>
        <w:tab/>
        <w:t>Protection of directors</w:t>
      </w:r>
      <w:r>
        <w:tab/>
      </w:r>
      <w:r>
        <w:fldChar w:fldCharType="begin"/>
      </w:r>
      <w:r>
        <w:instrText xml:space="preserve"> PAGEREF _Toc224311755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4 — Relief from liability</w:t>
      </w:r>
    </w:p>
    <w:p>
      <w:pPr>
        <w:pStyle w:val="TOC8"/>
        <w:rPr>
          <w:rFonts w:asciiTheme="minorHAnsi" w:eastAsiaTheme="minorEastAsia" w:hAnsiTheme="minorHAnsi" w:cstheme="minorBidi"/>
          <w:kern w:val="2"/>
          <w:sz w:val="24"/>
          <w:szCs w:val="24"/>
          <w14:ligatures w14:val="standardContextual"/>
        </w:rPr>
      </w:pPr>
      <w:r>
        <w:t>20</w:t>
      </w:r>
      <w:r>
        <w:rPr>
          <w:snapToGrid w:val="0"/>
        </w:rPr>
        <w:t>.</w:t>
      </w:r>
      <w:r>
        <w:rPr>
          <w:snapToGrid w:val="0"/>
        </w:rPr>
        <w:tab/>
        <w:t>Relief from liability under s. 5, 13 and 14</w:t>
      </w:r>
      <w:r>
        <w:tab/>
      </w:r>
      <w:r>
        <w:fldChar w:fldCharType="begin"/>
      </w:r>
      <w:r>
        <w:instrText xml:space="preserve"> PAGEREF _Toc224311757 \h </w:instrText>
      </w:r>
      <w:r>
        <w:fldChar w:fldCharType="separate"/>
      </w:r>
      <w:r>
        <w:t>11</w:t>
      </w:r>
      <w:r>
        <w:fldChar w:fldCharType="end"/>
      </w:r>
    </w:p>
    <w:p>
      <w:pPr>
        <w:pStyle w:val="TOC8"/>
        <w:rPr>
          <w:rFonts w:asciiTheme="minorHAnsi" w:eastAsiaTheme="minorEastAsia" w:hAnsiTheme="minorHAnsi" w:cstheme="minorBidi"/>
          <w:kern w:val="2"/>
          <w:sz w:val="24"/>
          <w:szCs w:val="24"/>
          <w14:ligatures w14:val="standardContextual"/>
        </w:rPr>
      </w:pPr>
      <w:r>
        <w:t>21</w:t>
      </w:r>
      <w:r>
        <w:rPr>
          <w:snapToGrid w:val="0"/>
        </w:rPr>
        <w:t>.</w:t>
      </w:r>
      <w:r>
        <w:rPr>
          <w:snapToGrid w:val="0"/>
        </w:rPr>
        <w:tab/>
        <w:t>Application for relief from liability under s. 5, 13 or 14</w:t>
      </w:r>
      <w:r>
        <w:tab/>
      </w:r>
      <w:r>
        <w:fldChar w:fldCharType="begin"/>
      </w:r>
      <w:r>
        <w:instrText xml:space="preserve"> PAGEREF _Toc224311758 \h </w:instrText>
      </w:r>
      <w:r>
        <w:fldChar w:fldCharType="separate"/>
      </w:r>
      <w:r>
        <w:t>11</w:t>
      </w:r>
      <w:r>
        <w:fldChar w:fldCharType="end"/>
      </w:r>
    </w:p>
    <w:p>
      <w:pPr>
        <w:pStyle w:val="TOC8"/>
        <w:rPr>
          <w:rFonts w:asciiTheme="minorHAnsi" w:eastAsiaTheme="minorEastAsia" w:hAnsiTheme="minorHAnsi" w:cstheme="minorBidi"/>
          <w:kern w:val="2"/>
          <w:sz w:val="24"/>
          <w:szCs w:val="24"/>
          <w14:ligatures w14:val="standardContextual"/>
        </w:rPr>
      </w:pPr>
      <w:r>
        <w:t>22</w:t>
      </w:r>
      <w:r>
        <w:rPr>
          <w:snapToGrid w:val="0"/>
        </w:rPr>
        <w:t>.</w:t>
      </w:r>
      <w:r>
        <w:rPr>
          <w:snapToGrid w:val="0"/>
        </w:rPr>
        <w:tab/>
        <w:t>Case may be withdrawn from jury</w:t>
      </w:r>
      <w:r>
        <w:tab/>
      </w:r>
      <w:r>
        <w:fldChar w:fldCharType="begin"/>
      </w:r>
      <w:r>
        <w:instrText xml:space="preserve"> PAGEREF _Toc224311759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Persons who are directors under Part 3</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_Toc224311762 \h </w:instrText>
      </w:r>
      <w:r>
        <w:fldChar w:fldCharType="separate"/>
      </w:r>
      <w:r>
        <w:t>15</w:t>
      </w:r>
      <w:r>
        <w:fldChar w:fldCharType="end"/>
      </w:r>
    </w:p>
    <w:p>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_Toc224311763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_Toc224311764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2" w:name="_Toc224293169"/>
      <w:bookmarkStart w:id="3" w:name="_Toc224293696"/>
      <w:bookmarkStart w:id="4" w:name="_Toc224293735"/>
      <w:bookmarkStart w:id="5" w:name="_Toc22431172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224311729"/>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w:t>
      </w:r>
    </w:p>
    <w:p>
      <w:pPr>
        <w:pStyle w:val="Heading5"/>
        <w:rPr>
          <w:snapToGrid w:val="0"/>
        </w:rPr>
      </w:pPr>
      <w:bookmarkStart w:id="7" w:name="_Toc224311730"/>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Ednotesection"/>
      </w:pPr>
      <w:r>
        <w:t>[</w:t>
      </w:r>
      <w:r>
        <w:rPr>
          <w:b/>
        </w:rPr>
        <w:t>3.</w:t>
      </w:r>
      <w:r>
        <w:tab/>
        <w:t>Omitted under the Reprints Act 1984 s. 7(4)(e).]</w:t>
      </w:r>
    </w:p>
    <w:p>
      <w:pPr>
        <w:pStyle w:val="Heading2"/>
      </w:pPr>
      <w:bookmarkStart w:id="8" w:name="_Toc224293172"/>
      <w:bookmarkStart w:id="9" w:name="_Toc224293699"/>
      <w:bookmarkStart w:id="10" w:name="_Toc224293738"/>
      <w:bookmarkStart w:id="11" w:name="_Toc224311731"/>
      <w:r>
        <w:rPr>
          <w:rStyle w:val="CharPartNo"/>
        </w:rPr>
        <w:lastRenderedPageBreak/>
        <w:t>Part 2</w:t>
      </w:r>
      <w:r>
        <w:t> — </w:t>
      </w:r>
      <w:r>
        <w:rPr>
          <w:rStyle w:val="CharPartText"/>
        </w:rPr>
        <w:t>Statutory corporations generally</w:t>
      </w:r>
      <w:bookmarkEnd w:id="8"/>
      <w:bookmarkEnd w:id="9"/>
      <w:bookmarkEnd w:id="10"/>
      <w:bookmarkEnd w:id="11"/>
      <w:r>
        <w:rPr>
          <w:rStyle w:val="CharPartText"/>
        </w:rPr>
        <w:t xml:space="preserve"> </w:t>
      </w:r>
    </w:p>
    <w:p>
      <w:pPr>
        <w:pStyle w:val="Heading3"/>
        <w:rPr>
          <w:snapToGrid w:val="0"/>
        </w:rPr>
      </w:pPr>
      <w:bookmarkStart w:id="12" w:name="_Toc224293173"/>
      <w:bookmarkStart w:id="13" w:name="_Toc224293700"/>
      <w:bookmarkStart w:id="14" w:name="_Toc224293739"/>
      <w:bookmarkStart w:id="15" w:name="_Toc224311732"/>
      <w:r>
        <w:rPr>
          <w:rStyle w:val="CharDivNo"/>
        </w:rPr>
        <w:t>Division 1</w:t>
      </w:r>
      <w:r>
        <w:rPr>
          <w:snapToGrid w:val="0"/>
        </w:rPr>
        <w:t> — </w:t>
      </w:r>
      <w:r>
        <w:rPr>
          <w:rStyle w:val="CharDivText"/>
        </w:rPr>
        <w:t>Interpretation</w:t>
      </w:r>
      <w:bookmarkEnd w:id="12"/>
      <w:bookmarkEnd w:id="13"/>
      <w:bookmarkEnd w:id="14"/>
      <w:bookmarkEnd w:id="15"/>
      <w:r>
        <w:rPr>
          <w:rStyle w:val="CharDivText"/>
        </w:rPr>
        <w:t xml:space="preserve"> </w:t>
      </w:r>
    </w:p>
    <w:p>
      <w:pPr>
        <w:pStyle w:val="Heading5"/>
        <w:rPr>
          <w:snapToGrid w:val="0"/>
        </w:rPr>
      </w:pPr>
      <w:bookmarkStart w:id="16" w:name="_Toc224311733"/>
      <w:r>
        <w:rPr>
          <w:rStyle w:val="CharSectno"/>
        </w:rPr>
        <w:t>4</w:t>
      </w:r>
      <w:r>
        <w:rPr>
          <w:snapToGrid w:val="0"/>
        </w:rPr>
        <w:t>.</w:t>
      </w:r>
      <w:r>
        <w:rPr>
          <w:snapToGrid w:val="0"/>
        </w:rPr>
        <w:tab/>
        <w:t>Terms used</w:t>
      </w:r>
      <w:bookmarkEnd w:id="1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GTE or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Defstart"/>
      </w:pPr>
      <w:r>
        <w:tab/>
      </w:r>
      <w:r>
        <w:rPr>
          <w:rStyle w:val="CharDefText"/>
        </w:rPr>
        <w:t>GTE</w:t>
      </w:r>
      <w:r>
        <w:t xml:space="preserve"> has the meaning given in the </w:t>
      </w:r>
      <w:r>
        <w:rPr>
          <w:i/>
        </w:rPr>
        <w:t>Government Trading Enterprises Act 2023</w:t>
      </w:r>
      <w:r>
        <w:t xml:space="preserve"> section 3(1).</w:t>
      </w:r>
    </w:p>
    <w:p>
      <w:pPr>
        <w:pStyle w:val="Footnotesection"/>
      </w:pPr>
      <w:r>
        <w:tab/>
        <w:t>[Section 4 amended: No. 8 of 2009 s. 121; No. 13 of 2023 s. 255.]</w:t>
      </w:r>
    </w:p>
    <w:p>
      <w:pPr>
        <w:pStyle w:val="Heading3"/>
        <w:rPr>
          <w:snapToGrid w:val="0"/>
        </w:rPr>
      </w:pPr>
      <w:bookmarkStart w:id="17" w:name="_Toc224293175"/>
      <w:bookmarkStart w:id="18" w:name="_Toc224293702"/>
      <w:bookmarkStart w:id="19" w:name="_Toc224293741"/>
      <w:bookmarkStart w:id="20" w:name="_Toc224311734"/>
      <w:r>
        <w:rPr>
          <w:rStyle w:val="CharDivNo"/>
        </w:rPr>
        <w:t>Division 2</w:t>
      </w:r>
      <w:r>
        <w:rPr>
          <w:snapToGrid w:val="0"/>
        </w:rPr>
        <w:t> — </w:t>
      </w:r>
      <w:r>
        <w:rPr>
          <w:rStyle w:val="CharDivText"/>
        </w:rPr>
        <w:t>Duties of directors stated</w:t>
      </w:r>
      <w:bookmarkEnd w:id="17"/>
      <w:bookmarkEnd w:id="18"/>
      <w:bookmarkEnd w:id="19"/>
      <w:bookmarkEnd w:id="20"/>
      <w:r>
        <w:rPr>
          <w:rStyle w:val="CharDivText"/>
        </w:rPr>
        <w:t xml:space="preserve"> </w:t>
      </w:r>
    </w:p>
    <w:p>
      <w:pPr>
        <w:pStyle w:val="Heading5"/>
        <w:rPr>
          <w:snapToGrid w:val="0"/>
        </w:rPr>
      </w:pPr>
      <w:bookmarkStart w:id="21" w:name="_Toc224311735"/>
      <w:r>
        <w:rPr>
          <w:rStyle w:val="CharSectno"/>
        </w:rPr>
        <w:t>5</w:t>
      </w:r>
      <w:r>
        <w:rPr>
          <w:snapToGrid w:val="0"/>
        </w:rPr>
        <w:t>.</w:t>
      </w:r>
      <w:r>
        <w:rPr>
          <w:snapToGrid w:val="0"/>
        </w:rPr>
        <w:tab/>
        <w:t>Directors’ fiduciary relationship with and duties to corporation</w:t>
      </w:r>
      <w:bookmarkEnd w:id="21"/>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keepNext/>
        <w:rPr>
          <w:snapToGrid w:val="0"/>
        </w:rPr>
      </w:pPr>
      <w:r>
        <w:rPr>
          <w:snapToGrid w:val="0"/>
        </w:rPr>
        <w:lastRenderedPageBreak/>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No. 10 of 2001 s. 220.]</w:t>
      </w:r>
    </w:p>
    <w:p>
      <w:pPr>
        <w:pStyle w:val="Heading3"/>
        <w:rPr>
          <w:snapToGrid w:val="0"/>
        </w:rPr>
      </w:pPr>
      <w:bookmarkStart w:id="22" w:name="_Toc224293177"/>
      <w:bookmarkStart w:id="23" w:name="_Toc224293704"/>
      <w:bookmarkStart w:id="24" w:name="_Toc224293743"/>
      <w:bookmarkStart w:id="25" w:name="_Toc224311736"/>
      <w:r>
        <w:rPr>
          <w:rStyle w:val="CharDivNo"/>
        </w:rPr>
        <w:t>Division 3</w:t>
      </w:r>
      <w:r>
        <w:rPr>
          <w:snapToGrid w:val="0"/>
        </w:rPr>
        <w:t> — </w:t>
      </w:r>
      <w:r>
        <w:rPr>
          <w:rStyle w:val="CharDivText"/>
        </w:rPr>
        <w:t>Ministerial directions</w:t>
      </w:r>
      <w:bookmarkEnd w:id="22"/>
      <w:bookmarkEnd w:id="23"/>
      <w:bookmarkEnd w:id="24"/>
      <w:bookmarkEnd w:id="25"/>
      <w:r>
        <w:rPr>
          <w:rStyle w:val="CharDivText"/>
        </w:rPr>
        <w:t xml:space="preserve"> </w:t>
      </w:r>
    </w:p>
    <w:p>
      <w:pPr>
        <w:pStyle w:val="Heading5"/>
        <w:rPr>
          <w:snapToGrid w:val="0"/>
        </w:rPr>
      </w:pPr>
      <w:bookmarkStart w:id="26" w:name="_Toc224311737"/>
      <w:r>
        <w:rPr>
          <w:rStyle w:val="CharSectno"/>
        </w:rPr>
        <w:t>6</w:t>
      </w:r>
      <w:r>
        <w:rPr>
          <w:snapToGrid w:val="0"/>
        </w:rPr>
        <w:t>.</w:t>
      </w:r>
      <w:r>
        <w:rPr>
          <w:snapToGrid w:val="0"/>
        </w:rPr>
        <w:tab/>
        <w:t>Unlawful directions</w:t>
      </w:r>
      <w:bookmarkEnd w:id="26"/>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27" w:name="_Toc224293179"/>
      <w:bookmarkStart w:id="28" w:name="_Toc224293706"/>
      <w:bookmarkStart w:id="29" w:name="_Toc224293745"/>
      <w:bookmarkStart w:id="30" w:name="_Toc224311738"/>
      <w:r>
        <w:rPr>
          <w:rStyle w:val="CharPartNo"/>
        </w:rPr>
        <w:lastRenderedPageBreak/>
        <w:t>Part 3</w:t>
      </w:r>
      <w:r>
        <w:t> — </w:t>
      </w:r>
      <w:r>
        <w:rPr>
          <w:rStyle w:val="CharPartText"/>
        </w:rPr>
        <w:t>Duties of directors of certain corporations</w:t>
      </w:r>
      <w:bookmarkEnd w:id="27"/>
      <w:bookmarkEnd w:id="28"/>
      <w:bookmarkEnd w:id="29"/>
      <w:bookmarkEnd w:id="30"/>
      <w:r>
        <w:rPr>
          <w:rStyle w:val="CharPartText"/>
        </w:rPr>
        <w:t xml:space="preserve"> </w:t>
      </w:r>
    </w:p>
    <w:p>
      <w:pPr>
        <w:pStyle w:val="Heading3"/>
        <w:rPr>
          <w:snapToGrid w:val="0"/>
        </w:rPr>
      </w:pPr>
      <w:bookmarkStart w:id="31" w:name="_Toc224293180"/>
      <w:bookmarkStart w:id="32" w:name="_Toc224293707"/>
      <w:bookmarkStart w:id="33" w:name="_Toc224293746"/>
      <w:bookmarkStart w:id="34" w:name="_Toc224311739"/>
      <w:r>
        <w:rPr>
          <w:rStyle w:val="CharDivNo"/>
        </w:rPr>
        <w:t>Division 1</w:t>
      </w:r>
      <w:r>
        <w:rPr>
          <w:snapToGrid w:val="0"/>
        </w:rPr>
        <w:t> — </w:t>
      </w:r>
      <w:r>
        <w:rPr>
          <w:rStyle w:val="CharDivText"/>
        </w:rPr>
        <w:t>Interpretation</w:t>
      </w:r>
      <w:bookmarkEnd w:id="31"/>
      <w:bookmarkEnd w:id="32"/>
      <w:bookmarkEnd w:id="33"/>
      <w:bookmarkEnd w:id="34"/>
      <w:r>
        <w:rPr>
          <w:rStyle w:val="CharDivText"/>
        </w:rPr>
        <w:t xml:space="preserve"> </w:t>
      </w:r>
    </w:p>
    <w:p>
      <w:pPr>
        <w:pStyle w:val="Heading5"/>
        <w:rPr>
          <w:snapToGrid w:val="0"/>
        </w:rPr>
      </w:pPr>
      <w:bookmarkStart w:id="35" w:name="_Toc224311740"/>
      <w:r>
        <w:rPr>
          <w:rStyle w:val="CharSectno"/>
        </w:rPr>
        <w:t>7</w:t>
      </w:r>
      <w:r>
        <w:rPr>
          <w:snapToGrid w:val="0"/>
        </w:rPr>
        <w:t>.</w:t>
      </w:r>
      <w:r>
        <w:rPr>
          <w:snapToGrid w:val="0"/>
        </w:rPr>
        <w:tab/>
        <w:t>Terms used; attempted offences; application of Part</w:t>
      </w:r>
      <w:bookmarkEnd w:id="35"/>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No. 4 of 2004 s. 58.]</w:t>
      </w:r>
    </w:p>
    <w:p>
      <w:pPr>
        <w:pStyle w:val="Heading5"/>
        <w:rPr>
          <w:snapToGrid w:val="0"/>
        </w:rPr>
      </w:pPr>
      <w:bookmarkStart w:id="36" w:name="_Toc224311741"/>
      <w:r>
        <w:rPr>
          <w:rStyle w:val="CharSectno"/>
        </w:rPr>
        <w:t>8</w:t>
      </w:r>
      <w:r>
        <w:rPr>
          <w:snapToGrid w:val="0"/>
        </w:rPr>
        <w:t>.</w:t>
      </w:r>
      <w:r>
        <w:rPr>
          <w:snapToGrid w:val="0"/>
        </w:rPr>
        <w:tab/>
        <w:t>Amendment of Sch. 1</w:t>
      </w:r>
      <w:bookmarkEnd w:id="36"/>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37" w:name="_Toc224293183"/>
      <w:bookmarkStart w:id="38" w:name="_Toc224293710"/>
      <w:bookmarkStart w:id="39" w:name="_Toc224293749"/>
      <w:bookmarkStart w:id="40" w:name="_Toc224311742"/>
      <w:r>
        <w:rPr>
          <w:rStyle w:val="CharDivNo"/>
        </w:rPr>
        <w:lastRenderedPageBreak/>
        <w:t>Division 2</w:t>
      </w:r>
      <w:r>
        <w:rPr>
          <w:snapToGrid w:val="0"/>
        </w:rPr>
        <w:t> — </w:t>
      </w:r>
      <w:r>
        <w:rPr>
          <w:rStyle w:val="CharDivText"/>
        </w:rPr>
        <w:t>Duties stated</w:t>
      </w:r>
      <w:bookmarkEnd w:id="37"/>
      <w:bookmarkEnd w:id="38"/>
      <w:bookmarkEnd w:id="39"/>
      <w:bookmarkEnd w:id="40"/>
      <w:r>
        <w:rPr>
          <w:rStyle w:val="CharDivText"/>
        </w:rPr>
        <w:t xml:space="preserve"> </w:t>
      </w:r>
    </w:p>
    <w:p>
      <w:pPr>
        <w:pStyle w:val="Heading5"/>
        <w:spacing w:before="180"/>
        <w:rPr>
          <w:snapToGrid w:val="0"/>
        </w:rPr>
      </w:pPr>
      <w:bookmarkStart w:id="41" w:name="_Toc224311743"/>
      <w:r>
        <w:rPr>
          <w:rStyle w:val="CharSectno"/>
        </w:rPr>
        <w:t>9</w:t>
      </w:r>
      <w:r>
        <w:rPr>
          <w:snapToGrid w:val="0"/>
        </w:rPr>
        <w:t>.</w:t>
      </w:r>
      <w:r>
        <w:rPr>
          <w:snapToGrid w:val="0"/>
        </w:rPr>
        <w:tab/>
        <w:t>Duty to act honestly</w:t>
      </w:r>
      <w:bookmarkEnd w:id="41"/>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42" w:name="_Toc224311744"/>
      <w:r>
        <w:rPr>
          <w:rStyle w:val="CharSectno"/>
        </w:rPr>
        <w:t>10</w:t>
      </w:r>
      <w:r>
        <w:rPr>
          <w:snapToGrid w:val="0"/>
        </w:rPr>
        <w:t>.</w:t>
      </w:r>
      <w:r>
        <w:rPr>
          <w:snapToGrid w:val="0"/>
        </w:rPr>
        <w:tab/>
        <w:t>Duty to exercise reasonable care and diligence</w:t>
      </w:r>
      <w:bookmarkEnd w:id="42"/>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43" w:name="_Toc224311745"/>
      <w:r>
        <w:rPr>
          <w:rStyle w:val="CharSectno"/>
        </w:rPr>
        <w:t>11</w:t>
      </w:r>
      <w:r>
        <w:rPr>
          <w:snapToGrid w:val="0"/>
        </w:rPr>
        <w:t>.</w:t>
      </w:r>
      <w:r>
        <w:rPr>
          <w:snapToGrid w:val="0"/>
        </w:rPr>
        <w:tab/>
        <w:t>Duty not to make improper use of information</w:t>
      </w:r>
      <w:bookmarkEnd w:id="43"/>
      <w:r>
        <w:rPr>
          <w:snapToGrid w:val="0"/>
        </w:rPr>
        <w:t xml:space="preserve"> </w:t>
      </w:r>
    </w:p>
    <w:p>
      <w:pPr>
        <w:pStyle w:val="Subsection"/>
        <w:rPr>
          <w:snapToGrid w:val="0"/>
        </w:rPr>
      </w:pPr>
      <w:r>
        <w:rPr>
          <w:snapToGrid w:val="0"/>
        </w:rPr>
        <w:tab/>
        <w:t>(1)</w:t>
      </w:r>
      <w:r>
        <w:rPr>
          <w:snapToGrid w:val="0"/>
        </w:rPr>
        <w:tab/>
        <w:t xml:space="preserve">A director or a former director must not, whether within or outside the State, make improper use of information acquired by virtue of his or her position as such to gain, directly or </w:t>
      </w:r>
      <w:r>
        <w:rPr>
          <w:snapToGrid w:val="0"/>
        </w:rPr>
        <w:lastRenderedPageBreak/>
        <w:t>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44" w:name="_Toc224311746"/>
      <w:r>
        <w:rPr>
          <w:rStyle w:val="CharSectno"/>
        </w:rPr>
        <w:t>12</w:t>
      </w:r>
      <w:r>
        <w:rPr>
          <w:snapToGrid w:val="0"/>
        </w:rPr>
        <w:t>.</w:t>
      </w:r>
      <w:r>
        <w:rPr>
          <w:snapToGrid w:val="0"/>
        </w:rPr>
        <w:tab/>
        <w:t>Duty not to make improper use of position</w:t>
      </w:r>
      <w:bookmarkEnd w:id="44"/>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45" w:name="_Toc224293188"/>
      <w:bookmarkStart w:id="46" w:name="_Toc224293715"/>
      <w:bookmarkStart w:id="47" w:name="_Toc224293754"/>
      <w:bookmarkStart w:id="48" w:name="_Toc224311747"/>
      <w:r>
        <w:rPr>
          <w:rStyle w:val="CharDivNo"/>
        </w:rPr>
        <w:t>Division 3</w:t>
      </w:r>
      <w:r>
        <w:rPr>
          <w:snapToGrid w:val="0"/>
        </w:rPr>
        <w:t> — </w:t>
      </w:r>
      <w:r>
        <w:rPr>
          <w:rStyle w:val="CharDivText"/>
        </w:rPr>
        <w:t>Compensation</w:t>
      </w:r>
      <w:bookmarkEnd w:id="45"/>
      <w:bookmarkEnd w:id="46"/>
      <w:bookmarkEnd w:id="47"/>
      <w:bookmarkEnd w:id="48"/>
      <w:r>
        <w:rPr>
          <w:rStyle w:val="CharDivText"/>
        </w:rPr>
        <w:t xml:space="preserve"> </w:t>
      </w:r>
    </w:p>
    <w:p>
      <w:pPr>
        <w:pStyle w:val="Heading5"/>
        <w:rPr>
          <w:snapToGrid w:val="0"/>
        </w:rPr>
      </w:pPr>
      <w:bookmarkStart w:id="49" w:name="_Toc224311748"/>
      <w:r>
        <w:rPr>
          <w:rStyle w:val="CharSectno"/>
        </w:rPr>
        <w:t>13</w:t>
      </w:r>
      <w:r>
        <w:rPr>
          <w:snapToGrid w:val="0"/>
        </w:rPr>
        <w:t>.</w:t>
      </w:r>
      <w:r>
        <w:rPr>
          <w:snapToGrid w:val="0"/>
        </w:rPr>
        <w:tab/>
        <w:t>Compensation may be ordered for breach of s. 9, 10, 11 or 12</w:t>
      </w:r>
      <w:bookmarkEnd w:id="4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lastRenderedPageBreak/>
        <w:tab/>
        <w:t>(2)</w:t>
      </w:r>
      <w:r>
        <w:rPr>
          <w:snapToGrid w:val="0"/>
        </w:rPr>
        <w:tab/>
        <w:t>Any such order may be enforced as if it were a judgment of the court.</w:t>
      </w:r>
    </w:p>
    <w:p>
      <w:pPr>
        <w:pStyle w:val="Heading5"/>
        <w:rPr>
          <w:snapToGrid w:val="0"/>
        </w:rPr>
      </w:pPr>
      <w:bookmarkStart w:id="50" w:name="_Toc224311749"/>
      <w:r>
        <w:rPr>
          <w:rStyle w:val="CharSectno"/>
        </w:rPr>
        <w:t>14</w:t>
      </w:r>
      <w:r>
        <w:rPr>
          <w:snapToGrid w:val="0"/>
        </w:rPr>
        <w:t>.</w:t>
      </w:r>
      <w:r>
        <w:rPr>
          <w:snapToGrid w:val="0"/>
        </w:rPr>
        <w:tab/>
        <w:t>Civil proceedings for breach of s. 9, 10, 11 or 12</w:t>
      </w:r>
      <w:bookmarkEnd w:id="50"/>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51" w:name="_Toc224311750"/>
      <w:r>
        <w:rPr>
          <w:rStyle w:val="CharSectno"/>
        </w:rPr>
        <w:t>15</w:t>
      </w:r>
      <w:r>
        <w:rPr>
          <w:snapToGrid w:val="0"/>
        </w:rPr>
        <w:t>.</w:t>
      </w:r>
      <w:r>
        <w:rPr>
          <w:snapToGrid w:val="0"/>
        </w:rPr>
        <w:tab/>
        <w:t>Corporation’s power to insure</w:t>
      </w:r>
      <w:bookmarkEnd w:id="51"/>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52" w:name="_Toc224293192"/>
      <w:bookmarkStart w:id="53" w:name="_Toc224293719"/>
      <w:bookmarkStart w:id="54" w:name="_Toc224293758"/>
      <w:bookmarkStart w:id="55" w:name="_Toc224311751"/>
      <w:r>
        <w:rPr>
          <w:rStyle w:val="CharDivNo"/>
        </w:rPr>
        <w:t>Division 4</w:t>
      </w:r>
      <w:r>
        <w:rPr>
          <w:snapToGrid w:val="0"/>
        </w:rPr>
        <w:t> — </w:t>
      </w:r>
      <w:r>
        <w:rPr>
          <w:rStyle w:val="CharDivText"/>
        </w:rPr>
        <w:t>Ministerial directions</w:t>
      </w:r>
      <w:bookmarkEnd w:id="52"/>
      <w:bookmarkEnd w:id="53"/>
      <w:bookmarkEnd w:id="54"/>
      <w:bookmarkEnd w:id="55"/>
      <w:r>
        <w:rPr>
          <w:rStyle w:val="CharDivText"/>
        </w:rPr>
        <w:t xml:space="preserve"> </w:t>
      </w:r>
    </w:p>
    <w:p>
      <w:pPr>
        <w:pStyle w:val="Heading5"/>
        <w:keepNext w:val="0"/>
        <w:keepLines w:val="0"/>
        <w:rPr>
          <w:snapToGrid w:val="0"/>
        </w:rPr>
      </w:pPr>
      <w:bookmarkStart w:id="56" w:name="_Toc224311752"/>
      <w:r>
        <w:rPr>
          <w:rStyle w:val="CharSectno"/>
        </w:rPr>
        <w:t>16</w:t>
      </w:r>
      <w:r>
        <w:rPr>
          <w:snapToGrid w:val="0"/>
        </w:rPr>
        <w:t>.</w:t>
      </w:r>
      <w:r>
        <w:rPr>
          <w:snapToGrid w:val="0"/>
        </w:rPr>
        <w:tab/>
        <w:t>Terms used</w:t>
      </w:r>
      <w:bookmarkEnd w:id="56"/>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lastRenderedPageBreak/>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57" w:name="_Toc224311753"/>
      <w:r>
        <w:rPr>
          <w:rStyle w:val="CharSectno"/>
        </w:rPr>
        <w:t>17</w:t>
      </w:r>
      <w:r>
        <w:rPr>
          <w:snapToGrid w:val="0"/>
        </w:rPr>
        <w:t>.</w:t>
      </w:r>
      <w:r>
        <w:rPr>
          <w:snapToGrid w:val="0"/>
        </w:rPr>
        <w:tab/>
        <w:t>Governing body may question direction</w:t>
      </w:r>
      <w:bookmarkEnd w:id="57"/>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58" w:name="_Toc224311754"/>
      <w:r>
        <w:rPr>
          <w:rStyle w:val="CharSectno"/>
        </w:rPr>
        <w:t>18</w:t>
      </w:r>
      <w:r>
        <w:rPr>
          <w:snapToGrid w:val="0"/>
        </w:rPr>
        <w:t>.</w:t>
      </w:r>
      <w:r>
        <w:rPr>
          <w:snapToGrid w:val="0"/>
        </w:rPr>
        <w:tab/>
        <w:t>Corporation may challenge direction</w:t>
      </w:r>
      <w:bookmarkEnd w:id="58"/>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59" w:name="_Toc224311755"/>
      <w:r>
        <w:rPr>
          <w:rStyle w:val="CharSectno"/>
        </w:rPr>
        <w:lastRenderedPageBreak/>
        <w:t>19</w:t>
      </w:r>
      <w:r>
        <w:rPr>
          <w:snapToGrid w:val="0"/>
        </w:rPr>
        <w:t>.</w:t>
      </w:r>
      <w:r>
        <w:rPr>
          <w:snapToGrid w:val="0"/>
        </w:rPr>
        <w:tab/>
        <w:t>Protection of directors</w:t>
      </w:r>
      <w:bookmarkEnd w:id="59"/>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60" w:name="_Toc224293197"/>
      <w:bookmarkStart w:id="61" w:name="_Toc224293724"/>
      <w:bookmarkStart w:id="62" w:name="_Toc224293763"/>
      <w:bookmarkStart w:id="63" w:name="_Toc224311756"/>
      <w:r>
        <w:rPr>
          <w:rStyle w:val="CharPartNo"/>
        </w:rPr>
        <w:lastRenderedPageBreak/>
        <w:t>Part 4</w:t>
      </w:r>
      <w:r>
        <w:rPr>
          <w:rStyle w:val="CharDivNo"/>
        </w:rPr>
        <w:t> </w:t>
      </w:r>
      <w:r>
        <w:t>—</w:t>
      </w:r>
      <w:r>
        <w:rPr>
          <w:rStyle w:val="CharDivText"/>
        </w:rPr>
        <w:t> </w:t>
      </w:r>
      <w:r>
        <w:rPr>
          <w:rStyle w:val="CharPartText"/>
        </w:rPr>
        <w:t>Relief from liability</w:t>
      </w:r>
      <w:bookmarkEnd w:id="60"/>
      <w:bookmarkEnd w:id="61"/>
      <w:bookmarkEnd w:id="62"/>
      <w:bookmarkEnd w:id="63"/>
      <w:r>
        <w:rPr>
          <w:rStyle w:val="CharPartText"/>
        </w:rPr>
        <w:t xml:space="preserve"> </w:t>
      </w:r>
    </w:p>
    <w:p>
      <w:pPr>
        <w:pStyle w:val="Heading5"/>
        <w:rPr>
          <w:snapToGrid w:val="0"/>
        </w:rPr>
      </w:pPr>
      <w:bookmarkStart w:id="64" w:name="_Toc224311757"/>
      <w:r>
        <w:rPr>
          <w:rStyle w:val="CharSectno"/>
        </w:rPr>
        <w:t>20</w:t>
      </w:r>
      <w:r>
        <w:rPr>
          <w:snapToGrid w:val="0"/>
        </w:rPr>
        <w:t>.</w:t>
      </w:r>
      <w:r>
        <w:rPr>
          <w:snapToGrid w:val="0"/>
        </w:rPr>
        <w:tab/>
        <w:t>Relief from liability under s. 5, 13 and 14</w:t>
      </w:r>
      <w:bookmarkEnd w:id="64"/>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65" w:name="_Toc224311758"/>
      <w:r>
        <w:rPr>
          <w:rStyle w:val="CharSectno"/>
        </w:rPr>
        <w:t>21</w:t>
      </w:r>
      <w:r>
        <w:rPr>
          <w:snapToGrid w:val="0"/>
        </w:rPr>
        <w:t>.</w:t>
      </w:r>
      <w:r>
        <w:rPr>
          <w:snapToGrid w:val="0"/>
        </w:rPr>
        <w:tab/>
        <w:t>Application for relief from liability under s. 5, 13 or 14</w:t>
      </w:r>
      <w:bookmarkEnd w:id="65"/>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66" w:name="_Toc224311759"/>
      <w:r>
        <w:rPr>
          <w:rStyle w:val="CharSectno"/>
        </w:rPr>
        <w:t>22</w:t>
      </w:r>
      <w:r>
        <w:rPr>
          <w:snapToGrid w:val="0"/>
        </w:rPr>
        <w:t>.</w:t>
      </w:r>
      <w:r>
        <w:rPr>
          <w:snapToGrid w:val="0"/>
        </w:rPr>
        <w:tab/>
        <w:t>Case may be withdrawn from jury</w:t>
      </w:r>
      <w:bookmarkEnd w:id="66"/>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67" w:name="_Toc224293201"/>
      <w:bookmarkStart w:id="68" w:name="_Toc224293728"/>
      <w:bookmarkStart w:id="69" w:name="_Toc224293767"/>
      <w:bookmarkStart w:id="70" w:name="_Toc224311760"/>
      <w:r>
        <w:rPr>
          <w:rStyle w:val="CharSchNo"/>
        </w:rPr>
        <w:lastRenderedPageBreak/>
        <w:t>Schedule 1</w:t>
      </w:r>
      <w:r>
        <w:t> — </w:t>
      </w:r>
      <w:r>
        <w:rPr>
          <w:rStyle w:val="CharSchText"/>
        </w:rPr>
        <w:t>Persons who are directors under Part 3</w:t>
      </w:r>
      <w:bookmarkEnd w:id="67"/>
      <w:bookmarkEnd w:id="68"/>
      <w:bookmarkEnd w:id="69"/>
      <w:bookmarkEnd w:id="70"/>
    </w:p>
    <w:p>
      <w:pPr>
        <w:pStyle w:val="yShoulderClause"/>
        <w:spacing w:after="60"/>
        <w:rPr>
          <w:snapToGrid w:val="0"/>
        </w:rPr>
      </w:pPr>
      <w:r>
        <w:rPr>
          <w:snapToGrid w:val="0"/>
        </w:rPr>
        <w:t>[s. 7(1)]</w:t>
      </w:r>
    </w:p>
    <w:p>
      <w:pPr>
        <w:pStyle w:val="yFootnoteheading"/>
        <w:spacing w:after="40"/>
      </w:pPr>
      <w:r>
        <w:tab/>
        <w:t>[Heading amended: No. 19 of 2010 s. 4.]</w:t>
      </w:r>
    </w:p>
    <w:tbl>
      <w:tblPr>
        <w:tblW w:w="7088" w:type="dxa"/>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Forest Products Commission</w:t>
            </w:r>
          </w:p>
        </w:tc>
        <w:tc>
          <w:tcPr>
            <w:tcW w:w="2410" w:type="dxa"/>
          </w:tcPr>
          <w:p>
            <w:pPr>
              <w:pStyle w:val="yTableNAm"/>
            </w:pPr>
            <w:r>
              <w:t>a commissioner</w:t>
            </w:r>
          </w:p>
        </w:tc>
        <w:tc>
          <w:tcPr>
            <w:tcW w:w="2126" w:type="dxa"/>
          </w:tcPr>
          <w:p>
            <w:pPr>
              <w:pStyle w:val="yTableNAm"/>
              <w:rPr>
                <w:i/>
              </w:rPr>
            </w:pPr>
            <w:r>
              <w:rPr>
                <w:i/>
              </w:rPr>
              <w:t>Forest Products Act 2000</w:t>
            </w:r>
          </w:p>
        </w:tc>
      </w:tr>
      <w:tr>
        <w:trPr>
          <w:cantSplit/>
        </w:trPr>
        <w:tc>
          <w:tcPr>
            <w:tcW w:w="2552" w:type="dxa"/>
          </w:tcPr>
          <w:p>
            <w:pPr>
              <w:pStyle w:val="yTableNAm"/>
            </w:pPr>
            <w:r>
              <w:t>Fremantle Cemetery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Insurance Commission of Western Australia</w:t>
            </w:r>
          </w:p>
        </w:tc>
        <w:tc>
          <w:tcPr>
            <w:tcW w:w="2410" w:type="dxa"/>
          </w:tcPr>
          <w:p>
            <w:pPr>
              <w:pStyle w:val="yTableNAm"/>
            </w:pPr>
            <w:r>
              <w:t>a commissioner</w:t>
            </w:r>
          </w:p>
        </w:tc>
        <w:tc>
          <w:tcPr>
            <w:tcW w:w="2126" w:type="dxa"/>
          </w:tcPr>
          <w:p>
            <w:pPr>
              <w:pStyle w:val="yTableNAm"/>
              <w:rPr>
                <w:i/>
              </w:rPr>
            </w:pPr>
            <w:r>
              <w:rPr>
                <w:i/>
              </w:rPr>
              <w:t>Insurance Commission of Western Australia Act 1986</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lastRenderedPageBreak/>
              <w:t>Racing and Wagering Western Australia</w:t>
            </w:r>
          </w:p>
        </w:tc>
        <w:tc>
          <w:tcPr>
            <w:tcW w:w="2410" w:type="dxa"/>
          </w:tcPr>
          <w:p>
            <w:pPr>
              <w:pStyle w:val="yTableNAm"/>
            </w:pPr>
            <w:r>
              <w:t>a director of the board</w:t>
            </w:r>
          </w:p>
        </w:tc>
        <w:tc>
          <w:tcPr>
            <w:tcW w:w="2126" w:type="dxa"/>
          </w:tcPr>
          <w:p>
            <w:pPr>
              <w:pStyle w:val="yTableNAm"/>
            </w:pPr>
            <w:r>
              <w:rPr>
                <w:i/>
              </w:rPr>
              <w:t>Racing and Wagering Western Australia Act 2003</w:t>
            </w:r>
          </w:p>
        </w:tc>
      </w:tr>
      <w:tr>
        <w:trPr>
          <w:cantSplit/>
        </w:trPr>
        <w:tc>
          <w:tcPr>
            <w:tcW w:w="2552" w:type="dxa"/>
          </w:tcPr>
          <w:p>
            <w:pPr>
              <w:pStyle w:val="yTableNAm"/>
            </w:pPr>
            <w:r>
              <w:t>Rottnest Island Authority</w:t>
            </w:r>
          </w:p>
        </w:tc>
        <w:tc>
          <w:tcPr>
            <w:tcW w:w="2410" w:type="dxa"/>
          </w:tcPr>
          <w:p>
            <w:pPr>
              <w:pStyle w:val="yTableNAm"/>
            </w:pPr>
            <w:r>
              <w:t>a member of the Authority</w:t>
            </w:r>
          </w:p>
        </w:tc>
        <w:tc>
          <w:tcPr>
            <w:tcW w:w="2126" w:type="dxa"/>
          </w:tcPr>
          <w:p>
            <w:pPr>
              <w:pStyle w:val="yTableNAm"/>
              <w:rPr>
                <w:i/>
              </w:rPr>
            </w:pPr>
            <w:r>
              <w:rPr>
                <w:i/>
              </w:rPr>
              <w:t>Rottnest Island Authority Act 1987</w:t>
            </w:r>
          </w:p>
        </w:tc>
      </w:tr>
      <w:tr>
        <w:trPr>
          <w:cantSplit/>
        </w:trPr>
        <w:tc>
          <w:tcPr>
            <w:tcW w:w="2552" w:type="dxa"/>
          </w:tcPr>
          <w:p>
            <w:pPr>
              <w:pStyle w:val="yTableNAm"/>
            </w:pPr>
            <w:r>
              <w:t xml:space="preserve">State Government Insurance Corporation </w:t>
            </w:r>
            <w:r>
              <w:rPr>
                <w:snapToGrid w:val="0"/>
                <w:vertAlign w:val="superscript"/>
              </w:rPr>
              <w:t>1</w:t>
            </w:r>
          </w:p>
        </w:tc>
        <w:tc>
          <w:tcPr>
            <w:tcW w:w="2410" w:type="dxa"/>
          </w:tcPr>
          <w:p>
            <w:pPr>
              <w:pStyle w:val="yTableNAm"/>
              <w:rPr>
                <w:vertAlign w:val="superscript"/>
              </w:rPr>
            </w:pPr>
            <w:r>
              <w:t>a director of the Corporation </w:t>
            </w:r>
            <w:r>
              <w:rPr>
                <w:vertAlign w:val="superscript"/>
              </w:rPr>
              <w:t>1</w:t>
            </w:r>
          </w:p>
        </w:tc>
        <w:tc>
          <w:tcPr>
            <w:tcW w:w="2126" w:type="dxa"/>
          </w:tcPr>
          <w:p>
            <w:pPr>
              <w:pStyle w:val="yTableNAm"/>
            </w:pPr>
            <w:r>
              <w:rPr>
                <w:i/>
              </w:rPr>
              <w:t>Insurance Commission of Western Australia Act 1986</w:t>
            </w:r>
            <w:r>
              <w:t xml:space="preserve"> </w:t>
            </w:r>
            <w:r>
              <w:rPr>
                <w:snapToGrid w:val="0"/>
                <w:vertAlign w:val="superscript"/>
              </w:rPr>
              <w:t>2</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r>
              <w:t>Western Australian Land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3</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keepLines w:val="0"/>
      </w:pPr>
      <w:r>
        <w:tab/>
        <w:t xml:space="preserve">[Schedule 1 amended: No. 4 of 1998 s. 48; No. 30 of 1998 s. 8; No. 25 of 1998 s. 27; No. 46 of 1998 s. 12; No. 5 of 1999 s. 21; No. 8 of 1999 s. 19; No. 38 of 1999 s. 76; No. 34 of 2000 s. 72; No. 43 of </w:t>
      </w:r>
      <w:r>
        <w:lastRenderedPageBreak/>
        <w:t>2000 s. 65; No. 25 of 2001 s. 69; No. 30 of 2002 s. 47; No. 31 of 2003 s. 208(2); No. 35 of 2003 s. 24(2) and 52; Gazette 26 Nov 2004 p. 5314</w:t>
      </w:r>
      <w:r>
        <w:noBreakHyphen/>
        <w:t xml:space="preserve">15; No. 20 of 2004 s. 9; No. 28 of 2006 s. 45; No. 60 of 2006 s. 188; No. 10 of 2007 s. 43; No. 28 of 2008 s. 14; </w:t>
      </w:r>
      <w:r>
        <w:rPr>
          <w:spacing w:val="-4"/>
        </w:rPr>
        <w:t>No. 45 of 2011 s. 1</w:t>
      </w:r>
      <w:r>
        <w:t>43; No. 25 of 2012 s. 231; No. 9 of 2014 s. 45; Gazette 12 Aug 2014 p. 2891; No. 40 of 2015 s. 56; No. 22 of 2016 s. 16; Gazette 27 Jul 2018 p. 2690; No. 15 of 2021 s. 78(2); No. 13 of 2023 s. 256; No. 44 of 2024 s. 72.]</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nHeading2"/>
      </w:pPr>
      <w:bookmarkStart w:id="72" w:name="_Toc224293202"/>
      <w:bookmarkStart w:id="73" w:name="_Toc224293729"/>
      <w:bookmarkStart w:id="74" w:name="_Toc224293768"/>
      <w:bookmarkStart w:id="75" w:name="_Toc224311761"/>
      <w:r>
        <w:lastRenderedPageBreak/>
        <w:t>Notes</w:t>
      </w:r>
      <w:bookmarkEnd w:id="72"/>
      <w:bookmarkEnd w:id="73"/>
      <w:bookmarkEnd w:id="74"/>
      <w:bookmarkEnd w:id="75"/>
    </w:p>
    <w:p>
      <w:pPr>
        <w:pStyle w:val="nStatement"/>
      </w:pPr>
      <w:r>
        <w:t xml:space="preserve">This is a compilation of the </w:t>
      </w:r>
      <w:r>
        <w:rPr>
          <w:i/>
          <w:noProof/>
        </w:rPr>
        <w:t>Statutory Corporations (Liability of Directors) Act 1996</w:t>
      </w:r>
      <w:r>
        <w:t xml:space="preserve"> and includes amendments made by other written laws </w:t>
      </w:r>
      <w:r>
        <w:rPr>
          <w:vertAlign w:val="superscript"/>
        </w:rPr>
        <w:t>4</w:t>
      </w:r>
      <w:r>
        <w:t>. For provisions that have come into operation, and for information about any reprints, see the compilation table. For provisions that have not yet come into operation see the uncommenced provisions table.</w:t>
      </w:r>
    </w:p>
    <w:p>
      <w:pPr>
        <w:pStyle w:val="nHeading3"/>
      </w:pPr>
      <w:bookmarkStart w:id="76" w:name="_Toc224311762"/>
      <w:r>
        <w:t>Compilation table</w:t>
      </w:r>
      <w:bookmarkEnd w:id="76"/>
    </w:p>
    <w:tbl>
      <w:tblPr>
        <w:tblW w:w="7111" w:type="dxa"/>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4"/>
        <w:gridCol w:w="28"/>
        <w:gridCol w:w="1106"/>
        <w:gridCol w:w="28"/>
        <w:gridCol w:w="1106"/>
        <w:gridCol w:w="28"/>
        <w:gridCol w:w="2561"/>
      </w:tblGrid>
      <w:tr>
        <w:trPr>
          <w:cantSplit/>
          <w:tblHeader/>
        </w:trPr>
        <w:tc>
          <w:tcPr>
            <w:tcW w:w="2282"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6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82" w:type="dxa"/>
            <w:gridSpan w:val="2"/>
            <w:tcBorders>
              <w:top w:val="nil"/>
              <w:bottom w:val="nil"/>
            </w:tcBorders>
          </w:tcPr>
          <w:p>
            <w:pPr>
              <w:pStyle w:val="nTable"/>
              <w:spacing w:after="40"/>
              <w:ind w:right="113"/>
            </w:pPr>
            <w:r>
              <w:rPr>
                <w:i/>
              </w:rPr>
              <w:t>Statutory Corporations (Liability of Directors) Act 1996</w:t>
            </w:r>
          </w:p>
        </w:tc>
        <w:tc>
          <w:tcPr>
            <w:tcW w:w="1134" w:type="dxa"/>
            <w:gridSpan w:val="2"/>
            <w:tcBorders>
              <w:top w:val="nil"/>
              <w:bottom w:val="nil"/>
            </w:tcBorders>
          </w:tcPr>
          <w:p>
            <w:pPr>
              <w:pStyle w:val="nTable"/>
              <w:spacing w:after="40"/>
            </w:pPr>
            <w:r>
              <w:t>41 of 1996</w:t>
            </w:r>
          </w:p>
        </w:tc>
        <w:tc>
          <w:tcPr>
            <w:tcW w:w="1134" w:type="dxa"/>
            <w:gridSpan w:val="2"/>
            <w:tcBorders>
              <w:top w:val="nil"/>
              <w:bottom w:val="nil"/>
            </w:tcBorders>
          </w:tcPr>
          <w:p>
            <w:pPr>
              <w:pStyle w:val="nTable"/>
              <w:spacing w:after="40"/>
            </w:pPr>
            <w:r>
              <w:t>10 Oct 1996</w:t>
            </w:r>
          </w:p>
        </w:tc>
        <w:tc>
          <w:tcPr>
            <w:tcW w:w="2561" w:type="dxa"/>
            <w:tcBorders>
              <w:top w:val="nil"/>
              <w:bottom w:val="nil"/>
            </w:tcBorders>
          </w:tcPr>
          <w:p>
            <w:pPr>
              <w:pStyle w:val="nTable"/>
              <w:spacing w:after="40"/>
            </w:pPr>
            <w:r>
              <w:t>s. 1 and 2: 10 Oct 1996;</w:t>
            </w:r>
            <w:r>
              <w:br/>
              <w:t xml:space="preserve">Act other than s. 1 and 2: 1 Dec 1996 (see s. 2 and </w:t>
            </w:r>
            <w:r>
              <w:rPr>
                <w:i/>
              </w:rPr>
              <w:t>Gazette</w:t>
            </w:r>
            <w:r>
              <w:t xml:space="preserve"> 12 Nov 1996 p. 6301)</w:t>
            </w:r>
          </w:p>
        </w:tc>
      </w:tr>
      <w:tr>
        <w:trPr>
          <w:cantSplit/>
        </w:trPr>
        <w:tc>
          <w:tcPr>
            <w:tcW w:w="2282" w:type="dxa"/>
            <w:gridSpan w:val="2"/>
            <w:tcBorders>
              <w:top w:val="nil"/>
              <w:bottom w:val="nil"/>
            </w:tcBorders>
          </w:tcPr>
          <w:p>
            <w:pPr>
              <w:pStyle w:val="nTable"/>
              <w:spacing w:after="40"/>
              <w:ind w:right="113"/>
            </w:pPr>
            <w:r>
              <w:rPr>
                <w:i/>
              </w:rPr>
              <w:t>Country Housing Act 1998</w:t>
            </w:r>
            <w:r>
              <w:t xml:space="preserve"> s. 48</w:t>
            </w:r>
          </w:p>
        </w:tc>
        <w:tc>
          <w:tcPr>
            <w:tcW w:w="1134" w:type="dxa"/>
            <w:gridSpan w:val="2"/>
            <w:tcBorders>
              <w:top w:val="nil"/>
              <w:bottom w:val="nil"/>
            </w:tcBorders>
          </w:tcPr>
          <w:p>
            <w:pPr>
              <w:pStyle w:val="nTable"/>
              <w:spacing w:after="40"/>
            </w:pPr>
            <w:r>
              <w:t>4 of 1998</w:t>
            </w:r>
          </w:p>
        </w:tc>
        <w:tc>
          <w:tcPr>
            <w:tcW w:w="1134" w:type="dxa"/>
            <w:gridSpan w:val="2"/>
            <w:tcBorders>
              <w:top w:val="nil"/>
              <w:bottom w:val="nil"/>
            </w:tcBorders>
          </w:tcPr>
          <w:p>
            <w:pPr>
              <w:pStyle w:val="nTable"/>
              <w:spacing w:after="40"/>
            </w:pPr>
            <w:r>
              <w:t>14 Apr 1998</w:t>
            </w:r>
          </w:p>
        </w:tc>
        <w:tc>
          <w:tcPr>
            <w:tcW w:w="2561"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Pr>
        <w:tc>
          <w:tcPr>
            <w:tcW w:w="2282" w:type="dxa"/>
            <w:gridSpan w:val="2"/>
            <w:tcBorders>
              <w:top w:val="nil"/>
              <w:bottom w:val="nil"/>
            </w:tcBorders>
          </w:tcPr>
          <w:p>
            <w:pPr>
              <w:pStyle w:val="nTable"/>
              <w:spacing w:after="40"/>
              <w:ind w:right="113"/>
            </w:pPr>
            <w:r>
              <w:rPr>
                <w:i/>
              </w:rPr>
              <w:t>Western Australian Treasury Corporation Amendment Act 1998</w:t>
            </w:r>
            <w:r>
              <w:t xml:space="preserve"> s. 27</w:t>
            </w:r>
          </w:p>
        </w:tc>
        <w:tc>
          <w:tcPr>
            <w:tcW w:w="1134" w:type="dxa"/>
            <w:gridSpan w:val="2"/>
            <w:tcBorders>
              <w:top w:val="nil"/>
              <w:bottom w:val="nil"/>
            </w:tcBorders>
          </w:tcPr>
          <w:p>
            <w:pPr>
              <w:pStyle w:val="nTable"/>
              <w:spacing w:after="40"/>
            </w:pPr>
            <w:r>
              <w:t>25 of 1998</w:t>
            </w:r>
          </w:p>
        </w:tc>
        <w:tc>
          <w:tcPr>
            <w:tcW w:w="1134" w:type="dxa"/>
            <w:gridSpan w:val="2"/>
            <w:tcBorders>
              <w:top w:val="nil"/>
              <w:bottom w:val="nil"/>
            </w:tcBorders>
          </w:tcPr>
          <w:p>
            <w:pPr>
              <w:pStyle w:val="nTable"/>
              <w:spacing w:after="40"/>
            </w:pPr>
            <w:r>
              <w:t>30 Jun 1998</w:t>
            </w:r>
          </w:p>
        </w:tc>
        <w:tc>
          <w:tcPr>
            <w:tcW w:w="2561" w:type="dxa"/>
            <w:tcBorders>
              <w:top w:val="nil"/>
              <w:bottom w:val="nil"/>
            </w:tcBorders>
          </w:tcPr>
          <w:p>
            <w:pPr>
              <w:pStyle w:val="nTable"/>
              <w:spacing w:after="40"/>
            </w:pPr>
            <w:r>
              <w:t xml:space="preserve">10 Nov 1998 (see s. 2 and </w:t>
            </w:r>
            <w:r>
              <w:rPr>
                <w:i/>
              </w:rPr>
              <w:t>Gazette</w:t>
            </w:r>
            <w:r>
              <w:t xml:space="preserve"> 10 Nov 1998 p. 6149)</w:t>
            </w:r>
          </w:p>
        </w:tc>
      </w:tr>
      <w:tr>
        <w:trPr>
          <w:cantSplit/>
        </w:trPr>
        <w:tc>
          <w:tcPr>
            <w:tcW w:w="2282" w:type="dxa"/>
            <w:gridSpan w:val="2"/>
            <w:tcBorders>
              <w:top w:val="nil"/>
              <w:bottom w:val="nil"/>
            </w:tcBorders>
          </w:tcPr>
          <w:p>
            <w:pPr>
              <w:pStyle w:val="nTable"/>
              <w:spacing w:after="40"/>
              <w:ind w:right="113"/>
            </w:pPr>
            <w:r>
              <w:rPr>
                <w:i/>
              </w:rPr>
              <w:t>WADC and WA Exim Corporation Repeal Act 1998</w:t>
            </w:r>
            <w:r>
              <w:t xml:space="preserve"> s. 8</w:t>
            </w:r>
          </w:p>
        </w:tc>
        <w:tc>
          <w:tcPr>
            <w:tcW w:w="1134" w:type="dxa"/>
            <w:gridSpan w:val="2"/>
            <w:tcBorders>
              <w:top w:val="nil"/>
              <w:bottom w:val="nil"/>
            </w:tcBorders>
          </w:tcPr>
          <w:p>
            <w:pPr>
              <w:pStyle w:val="nTable"/>
              <w:spacing w:after="40"/>
            </w:pPr>
            <w:r>
              <w:t>30 of 1998</w:t>
            </w:r>
          </w:p>
        </w:tc>
        <w:tc>
          <w:tcPr>
            <w:tcW w:w="1134" w:type="dxa"/>
            <w:gridSpan w:val="2"/>
            <w:tcBorders>
              <w:top w:val="nil"/>
              <w:bottom w:val="nil"/>
            </w:tcBorders>
          </w:tcPr>
          <w:p>
            <w:pPr>
              <w:pStyle w:val="nTable"/>
              <w:spacing w:after="40"/>
            </w:pPr>
            <w:r>
              <w:t>30 Jun 1998</w:t>
            </w:r>
          </w:p>
        </w:tc>
        <w:tc>
          <w:tcPr>
            <w:tcW w:w="2561" w:type="dxa"/>
            <w:tcBorders>
              <w:top w:val="nil"/>
              <w:bottom w:val="nil"/>
            </w:tcBorders>
          </w:tcPr>
          <w:p>
            <w:pPr>
              <w:pStyle w:val="nTable"/>
              <w:spacing w:after="40"/>
            </w:pPr>
            <w:r>
              <w:t>30 Jun 1998 (see s. 2)</w:t>
            </w:r>
          </w:p>
        </w:tc>
      </w:tr>
      <w:tr>
        <w:trPr>
          <w:cantSplit/>
        </w:trPr>
        <w:tc>
          <w:tcPr>
            <w:tcW w:w="2282" w:type="dxa"/>
            <w:gridSpan w:val="2"/>
            <w:tcBorders>
              <w:top w:val="nil"/>
              <w:bottom w:val="nil"/>
            </w:tcBorders>
          </w:tcPr>
          <w:p>
            <w:pPr>
              <w:pStyle w:val="nTable"/>
              <w:spacing w:after="40"/>
              <w:ind w:right="113"/>
            </w:pPr>
            <w:r>
              <w:rPr>
                <w:i/>
              </w:rPr>
              <w:t>Western Australian Meat Industry Authority Amendment Act 1998</w:t>
            </w:r>
            <w:r>
              <w:t xml:space="preserve"> s. 12</w:t>
            </w:r>
          </w:p>
        </w:tc>
        <w:tc>
          <w:tcPr>
            <w:tcW w:w="1134" w:type="dxa"/>
            <w:gridSpan w:val="2"/>
            <w:tcBorders>
              <w:top w:val="nil"/>
              <w:bottom w:val="nil"/>
            </w:tcBorders>
          </w:tcPr>
          <w:p>
            <w:pPr>
              <w:pStyle w:val="nTable"/>
              <w:spacing w:after="40"/>
            </w:pPr>
            <w:r>
              <w:t>46 of 1998</w:t>
            </w:r>
          </w:p>
        </w:tc>
        <w:tc>
          <w:tcPr>
            <w:tcW w:w="1134" w:type="dxa"/>
            <w:gridSpan w:val="2"/>
            <w:tcBorders>
              <w:top w:val="nil"/>
              <w:bottom w:val="nil"/>
            </w:tcBorders>
          </w:tcPr>
          <w:p>
            <w:pPr>
              <w:pStyle w:val="nTable"/>
              <w:spacing w:after="40"/>
            </w:pPr>
            <w:r>
              <w:t>19 Nov 1998</w:t>
            </w:r>
          </w:p>
        </w:tc>
        <w:tc>
          <w:tcPr>
            <w:tcW w:w="2561" w:type="dxa"/>
            <w:tcBorders>
              <w:top w:val="nil"/>
              <w:bottom w:val="nil"/>
            </w:tcBorders>
          </w:tcPr>
          <w:p>
            <w:pPr>
              <w:pStyle w:val="nTable"/>
              <w:spacing w:after="40"/>
            </w:pPr>
            <w:r>
              <w:t>19 Nov 1998 (see s. 2)</w:t>
            </w:r>
          </w:p>
        </w:tc>
      </w:tr>
      <w:tr>
        <w:trPr>
          <w:cantSplit/>
        </w:trPr>
        <w:tc>
          <w:tcPr>
            <w:tcW w:w="2282" w:type="dxa"/>
            <w:gridSpan w:val="2"/>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34" w:type="dxa"/>
            <w:gridSpan w:val="2"/>
            <w:tcBorders>
              <w:top w:val="nil"/>
              <w:bottom w:val="nil"/>
            </w:tcBorders>
          </w:tcPr>
          <w:p>
            <w:pPr>
              <w:pStyle w:val="nTable"/>
              <w:spacing w:after="40"/>
            </w:pPr>
            <w:r>
              <w:t>5 of 1999</w:t>
            </w:r>
          </w:p>
        </w:tc>
        <w:tc>
          <w:tcPr>
            <w:tcW w:w="1134" w:type="dxa"/>
            <w:gridSpan w:val="2"/>
            <w:tcBorders>
              <w:top w:val="nil"/>
              <w:bottom w:val="nil"/>
            </w:tcBorders>
          </w:tcPr>
          <w:p>
            <w:pPr>
              <w:pStyle w:val="nTable"/>
              <w:spacing w:after="40"/>
            </w:pPr>
            <w:r>
              <w:t>13 Apr 1999</w:t>
            </w:r>
          </w:p>
        </w:tc>
        <w:tc>
          <w:tcPr>
            <w:tcW w:w="2561" w:type="dxa"/>
            <w:tcBorders>
              <w:top w:val="nil"/>
              <w:bottom w:val="nil"/>
            </w:tcBorders>
          </w:tcPr>
          <w:p>
            <w:pPr>
              <w:pStyle w:val="nTable"/>
              <w:spacing w:after="40"/>
            </w:pPr>
            <w:r>
              <w:t>Sch. 1 and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Pr>
        <w:tc>
          <w:tcPr>
            <w:tcW w:w="2282" w:type="dxa"/>
            <w:gridSpan w:val="2"/>
            <w:tcBorders>
              <w:top w:val="nil"/>
              <w:bottom w:val="nil"/>
            </w:tcBorders>
          </w:tcPr>
          <w:p>
            <w:pPr>
              <w:pStyle w:val="nTable"/>
              <w:spacing w:after="40"/>
              <w:ind w:right="113"/>
            </w:pPr>
            <w:r>
              <w:rPr>
                <w:i/>
              </w:rPr>
              <w:t>Marketing of Meat Amendment Act 1999</w:t>
            </w:r>
            <w:r>
              <w:t xml:space="preserve"> s. 19</w:t>
            </w:r>
          </w:p>
        </w:tc>
        <w:tc>
          <w:tcPr>
            <w:tcW w:w="1134" w:type="dxa"/>
            <w:gridSpan w:val="2"/>
            <w:tcBorders>
              <w:top w:val="nil"/>
              <w:bottom w:val="nil"/>
            </w:tcBorders>
          </w:tcPr>
          <w:p>
            <w:pPr>
              <w:pStyle w:val="nTable"/>
              <w:spacing w:after="40"/>
            </w:pPr>
            <w:r>
              <w:t>8 of 1999</w:t>
            </w:r>
          </w:p>
        </w:tc>
        <w:tc>
          <w:tcPr>
            <w:tcW w:w="1134" w:type="dxa"/>
            <w:gridSpan w:val="2"/>
            <w:tcBorders>
              <w:top w:val="nil"/>
              <w:bottom w:val="nil"/>
            </w:tcBorders>
          </w:tcPr>
          <w:p>
            <w:pPr>
              <w:pStyle w:val="nTable"/>
              <w:spacing w:after="40"/>
            </w:pPr>
            <w:r>
              <w:t>13 Apr 1999</w:t>
            </w:r>
          </w:p>
        </w:tc>
        <w:tc>
          <w:tcPr>
            <w:tcW w:w="2561" w:type="dxa"/>
            <w:tcBorders>
              <w:top w:val="nil"/>
              <w:bottom w:val="nil"/>
            </w:tcBorders>
          </w:tcPr>
          <w:p>
            <w:pPr>
              <w:pStyle w:val="nTable"/>
              <w:spacing w:after="40"/>
            </w:pPr>
            <w:r>
              <w:t xml:space="preserve">13 Aug 1999 (see s. 2(2) and </w:t>
            </w:r>
            <w:r>
              <w:rPr>
                <w:i/>
              </w:rPr>
              <w:t>Gazette</w:t>
            </w:r>
            <w:r>
              <w:t xml:space="preserve"> 13 Aug 1999 p. 3823)</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Midland Redevelopment Act 1999</w:t>
            </w:r>
            <w:r>
              <w:t xml:space="preserve"> s. 76</w:t>
            </w:r>
          </w:p>
        </w:tc>
        <w:tc>
          <w:tcPr>
            <w:tcW w:w="1134" w:type="dxa"/>
            <w:gridSpan w:val="2"/>
          </w:tcPr>
          <w:p>
            <w:pPr>
              <w:pStyle w:val="nTable"/>
              <w:spacing w:after="40"/>
            </w:pPr>
            <w:r>
              <w:t>38 of 1999</w:t>
            </w:r>
          </w:p>
        </w:tc>
        <w:tc>
          <w:tcPr>
            <w:tcW w:w="1134" w:type="dxa"/>
            <w:gridSpan w:val="2"/>
          </w:tcPr>
          <w:p>
            <w:pPr>
              <w:pStyle w:val="nTable"/>
              <w:spacing w:after="40"/>
            </w:pPr>
            <w:r>
              <w:t>11 Nov 1999</w:t>
            </w:r>
          </w:p>
        </w:tc>
        <w:tc>
          <w:tcPr>
            <w:tcW w:w="2561" w:type="dxa"/>
          </w:tcPr>
          <w:p>
            <w:pPr>
              <w:pStyle w:val="nTable"/>
              <w:spacing w:after="40"/>
            </w:pPr>
            <w:r>
              <w:t xml:space="preserve">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pPr>
            <w:r>
              <w:rPr>
                <w:b/>
              </w:rPr>
              <w:t xml:space="preserve">Reprint of the </w:t>
            </w:r>
            <w:r>
              <w:rPr>
                <w:b/>
                <w:i/>
              </w:rPr>
              <w:t>Statutory Corporations (Liability of Directors) Act 1996</w:t>
            </w:r>
            <w:r>
              <w:rPr>
                <w:b/>
              </w:rPr>
              <w:t xml:space="preserve"> as at 8 Sep 2000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 xml:space="preserve">Forest Products Act 2000 </w:t>
            </w:r>
            <w:r>
              <w:t>s. 72</w:t>
            </w:r>
          </w:p>
        </w:tc>
        <w:tc>
          <w:tcPr>
            <w:tcW w:w="1134" w:type="dxa"/>
            <w:gridSpan w:val="2"/>
          </w:tcPr>
          <w:p>
            <w:pPr>
              <w:pStyle w:val="nTable"/>
              <w:spacing w:after="40"/>
            </w:pPr>
            <w:r>
              <w:t>34 of 2000</w:t>
            </w:r>
          </w:p>
        </w:tc>
        <w:tc>
          <w:tcPr>
            <w:tcW w:w="1134" w:type="dxa"/>
            <w:gridSpan w:val="2"/>
          </w:tcPr>
          <w:p>
            <w:pPr>
              <w:pStyle w:val="nTable"/>
              <w:spacing w:after="40"/>
            </w:pPr>
            <w:r>
              <w:t>10 Oct 2000</w:t>
            </w:r>
          </w:p>
        </w:tc>
        <w:tc>
          <w:tcPr>
            <w:tcW w:w="2561" w:type="dxa"/>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lastRenderedPageBreak/>
              <w:t xml:space="preserve">State Superannuation (Transitional and Consequential Provisions) Act 2000 </w:t>
            </w:r>
            <w:r>
              <w:t>s. 65</w:t>
            </w:r>
          </w:p>
        </w:tc>
        <w:tc>
          <w:tcPr>
            <w:tcW w:w="1134" w:type="dxa"/>
            <w:gridSpan w:val="2"/>
          </w:tcPr>
          <w:p>
            <w:pPr>
              <w:pStyle w:val="nTable"/>
              <w:spacing w:after="40"/>
            </w:pPr>
            <w:r>
              <w:t>43 of 2000</w:t>
            </w:r>
          </w:p>
        </w:tc>
        <w:tc>
          <w:tcPr>
            <w:tcW w:w="1134" w:type="dxa"/>
            <w:gridSpan w:val="2"/>
          </w:tcPr>
          <w:p>
            <w:pPr>
              <w:pStyle w:val="nTable"/>
              <w:spacing w:after="40"/>
            </w:pPr>
            <w:r>
              <w:t>2 Nov 2000</w:t>
            </w:r>
          </w:p>
        </w:tc>
        <w:tc>
          <w:tcPr>
            <w:tcW w:w="2561" w:type="dxa"/>
          </w:tcPr>
          <w:p>
            <w:pPr>
              <w:pStyle w:val="nTable"/>
              <w:spacing w:after="40"/>
            </w:pPr>
            <w:r>
              <w:t xml:space="preserve">17 Feb 2001 (see s. 2(1)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6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rPr>
                <w:spacing w:val="-4"/>
              </w:rPr>
            </w:pPr>
            <w:r>
              <w:rPr>
                <w:b/>
                <w:spacing w:val="-4"/>
              </w:rPr>
              <w:t xml:space="preserve">Reprint of the </w:t>
            </w:r>
            <w:r>
              <w:rPr>
                <w:b/>
                <w:i/>
                <w:spacing w:val="-4"/>
              </w:rPr>
              <w:t>Statutory Corporations (Liability of Directors) Act 1996</w:t>
            </w:r>
            <w:r>
              <w:rPr>
                <w:b/>
                <w:spacing w:val="-4"/>
              </w:rPr>
              <w:t xml:space="preserve"> as at 10 Aug 2001</w:t>
            </w:r>
            <w:r>
              <w:rPr>
                <w:b/>
                <w:spacing w:val="-4"/>
              </w:rPr>
              <w:br/>
            </w:r>
            <w:r>
              <w:rPr>
                <w:spacing w:val="-4"/>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82" w:type="dxa"/>
            <w:gridSpan w:val="2"/>
          </w:tcPr>
          <w:p>
            <w:pPr>
              <w:pStyle w:val="nTable"/>
              <w:spacing w:after="40"/>
              <w:ind w:right="113"/>
            </w:pPr>
            <w:r>
              <w:rPr>
                <w:i/>
              </w:rPr>
              <w:t>Armadale Redevelopment Act 2001</w:t>
            </w:r>
            <w:r>
              <w:t xml:space="preserve"> s. 69</w:t>
            </w:r>
          </w:p>
        </w:tc>
        <w:tc>
          <w:tcPr>
            <w:tcW w:w="1134" w:type="dxa"/>
            <w:gridSpan w:val="2"/>
          </w:tcPr>
          <w:p>
            <w:pPr>
              <w:pStyle w:val="nTable"/>
              <w:spacing w:after="40"/>
            </w:pPr>
            <w:r>
              <w:t>25 of 2001</w:t>
            </w:r>
          </w:p>
        </w:tc>
        <w:tc>
          <w:tcPr>
            <w:tcW w:w="1134" w:type="dxa"/>
            <w:gridSpan w:val="2"/>
          </w:tcPr>
          <w:p>
            <w:pPr>
              <w:pStyle w:val="nTable"/>
              <w:spacing w:after="40"/>
            </w:pPr>
            <w:r>
              <w:t>26 Nov 2001</w:t>
            </w:r>
          </w:p>
        </w:tc>
        <w:tc>
          <w:tcPr>
            <w:tcW w:w="2561"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82" w:type="dxa"/>
            <w:gridSpan w:val="2"/>
          </w:tcPr>
          <w:p>
            <w:pPr>
              <w:pStyle w:val="nTable"/>
              <w:spacing w:after="40"/>
              <w:ind w:right="113"/>
            </w:pPr>
            <w:r>
              <w:rPr>
                <w:i/>
              </w:rPr>
              <w:t>Grain Marketing Act 2002</w:t>
            </w:r>
            <w:r>
              <w:t xml:space="preserve"> s. 47</w:t>
            </w:r>
          </w:p>
        </w:tc>
        <w:tc>
          <w:tcPr>
            <w:tcW w:w="1134" w:type="dxa"/>
            <w:gridSpan w:val="2"/>
          </w:tcPr>
          <w:p>
            <w:pPr>
              <w:pStyle w:val="nTable"/>
              <w:spacing w:after="40"/>
            </w:pPr>
            <w:r>
              <w:t>30 of 2002</w:t>
            </w:r>
          </w:p>
        </w:tc>
        <w:tc>
          <w:tcPr>
            <w:tcW w:w="1134" w:type="dxa"/>
            <w:gridSpan w:val="2"/>
          </w:tcPr>
          <w:p>
            <w:pPr>
              <w:pStyle w:val="nTable"/>
              <w:spacing w:after="40"/>
            </w:pPr>
            <w:r>
              <w:t>25 Oct 2002</w:t>
            </w:r>
          </w:p>
        </w:tc>
        <w:tc>
          <w:tcPr>
            <w:tcW w:w="2561" w:type="dxa"/>
          </w:tcPr>
          <w:p>
            <w:pPr>
              <w:pStyle w:val="nTable"/>
              <w:spacing w:after="40"/>
            </w:pPr>
            <w:r>
              <w:t xml:space="preserve">31 Oct 2002 (see s. 2 and </w:t>
            </w:r>
            <w:r>
              <w:rPr>
                <w:i/>
              </w:rPr>
              <w:t>Gazette</w:t>
            </w:r>
            <w:r>
              <w:t xml:space="preserve"> 30 Oct 2002 p. 5351)</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Public Transport Authority Act 2003</w:t>
            </w:r>
            <w:r>
              <w:t xml:space="preserve"> s. 208</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61"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Racing and Gambling Legislation Amendment and Repeal Act 2003</w:t>
            </w:r>
            <w:r>
              <w:t xml:space="preserve"> s. 24 and 52</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61" w:type="dxa"/>
          </w:tcPr>
          <w:p>
            <w:pPr>
              <w:pStyle w:val="nTable"/>
              <w:spacing w:after="40"/>
            </w:pPr>
            <w:r>
              <w:t xml:space="preserve">s. 24: 1 Aug 2003 (see s. 2 and </w:t>
            </w:r>
            <w:r>
              <w:rPr>
                <w:i/>
              </w:rPr>
              <w:t>Gazette</w:t>
            </w:r>
            <w:r>
              <w:t xml:space="preserve"> 29 Jul 2003 p. 3259);</w:t>
            </w:r>
            <w:r>
              <w:br/>
              <w:t xml:space="preserve">s. 52: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pPr>
            <w:r>
              <w:rPr>
                <w:b/>
                <w:spacing w:val="-4"/>
              </w:rPr>
              <w:t xml:space="preserve">Reprint 3: The </w:t>
            </w:r>
            <w:r>
              <w:rPr>
                <w:b/>
                <w:i/>
                <w:spacing w:val="-4"/>
              </w:rPr>
              <w:t>Statutory Corporations (Liability of Directors) Act 1996</w:t>
            </w:r>
            <w:r>
              <w:rPr>
                <w:b/>
                <w:spacing w:val="-4"/>
              </w:rPr>
              <w:t xml:space="preserve"> as at 7 Nov 2003 </w:t>
            </w:r>
            <w:r>
              <w:rPr>
                <w:spacing w:val="-4"/>
              </w:rPr>
              <w:t xml:space="preserve">(includes amendments listed above except those in the </w:t>
            </w:r>
            <w:r>
              <w:rPr>
                <w:i/>
              </w:rPr>
              <w:t>Racing and Gambling Legislation Amendment and Repeal Act 2003</w:t>
            </w:r>
            <w:r>
              <w:t xml:space="preserve"> </w:t>
            </w:r>
            <w:r>
              <w:rPr>
                <w:spacing w:val="-4"/>
              </w:rPr>
              <w:t>s. 52)</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Criminal Code Amendment Act 2004</w:t>
            </w:r>
            <w:r>
              <w:t xml:space="preserve"> s. 58 </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61"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 xml:space="preserve">Marketing of Eggs Amendment Act 2004 </w:t>
            </w:r>
            <w:r>
              <w:t>s. 9</w:t>
            </w:r>
          </w:p>
        </w:tc>
        <w:tc>
          <w:tcPr>
            <w:tcW w:w="1134" w:type="dxa"/>
            <w:gridSpan w:val="2"/>
          </w:tcPr>
          <w:p>
            <w:pPr>
              <w:pStyle w:val="nTable"/>
              <w:spacing w:after="40"/>
            </w:pPr>
            <w:r>
              <w:t>20 of 2004</w:t>
            </w:r>
          </w:p>
        </w:tc>
        <w:tc>
          <w:tcPr>
            <w:tcW w:w="1134" w:type="dxa"/>
            <w:gridSpan w:val="2"/>
          </w:tcPr>
          <w:p>
            <w:pPr>
              <w:pStyle w:val="nTable"/>
              <w:spacing w:after="40"/>
            </w:pPr>
            <w:r>
              <w:t>26 Aug 2004</w:t>
            </w:r>
          </w:p>
        </w:tc>
        <w:tc>
          <w:tcPr>
            <w:tcW w:w="2561" w:type="dxa"/>
          </w:tcPr>
          <w:p>
            <w:pPr>
              <w:pStyle w:val="nTable"/>
              <w:spacing w:after="40"/>
            </w:pPr>
            <w:r>
              <w:t xml:space="preserve">2 Jul 2005 (see s. 2(2) and </w:t>
            </w:r>
            <w:r>
              <w:rPr>
                <w:i/>
                <w:iCs/>
              </w:rPr>
              <w:t>Gazette</w:t>
            </w:r>
            <w:r>
              <w:t xml:space="preserve"> 28 Jun 2005 p. 2895)</w:t>
            </w:r>
          </w:p>
        </w:tc>
      </w:tr>
      <w:tr>
        <w:tblPrEx>
          <w:tblBorders>
            <w:top w:val="none" w:sz="0" w:space="0" w:color="auto"/>
            <w:bottom w:val="none" w:sz="0" w:space="0" w:color="auto"/>
            <w:insideH w:val="none" w:sz="0" w:space="0" w:color="auto"/>
          </w:tblBorders>
        </w:tblPrEx>
        <w:trPr>
          <w:cantSplit/>
        </w:trPr>
        <w:tc>
          <w:tcPr>
            <w:tcW w:w="4550" w:type="dxa"/>
            <w:gridSpan w:val="6"/>
          </w:tcPr>
          <w:p>
            <w:pPr>
              <w:pStyle w:val="nTable"/>
              <w:spacing w:after="40"/>
            </w:pPr>
            <w:r>
              <w:rPr>
                <w:i/>
              </w:rPr>
              <w:t xml:space="preserve">Statutory Corporations (Liability of Directors) (Act Amendment) Regulations 2004 </w:t>
            </w:r>
            <w:r>
              <w:t xml:space="preserve">published in </w:t>
            </w:r>
            <w:r>
              <w:rPr>
                <w:i/>
              </w:rPr>
              <w:t xml:space="preserve">Gazette </w:t>
            </w:r>
            <w:r>
              <w:t>26 Nov 2004 p. 5314</w:t>
            </w:r>
            <w:r>
              <w:noBreakHyphen/>
              <w:t>15</w:t>
            </w:r>
          </w:p>
        </w:tc>
        <w:tc>
          <w:tcPr>
            <w:tcW w:w="2561" w:type="dxa"/>
          </w:tcPr>
          <w:p>
            <w:pPr>
              <w:pStyle w:val="nTable"/>
              <w:spacing w:after="40"/>
            </w:pPr>
            <w:r>
              <w:t xml:space="preserve">1 Dec 2004 (see r. 2 and </w:t>
            </w:r>
            <w:r>
              <w:rPr>
                <w:i/>
              </w:rPr>
              <w:t xml:space="preserve">Gazette </w:t>
            </w:r>
            <w:r>
              <w:t>30 Nov 2004 p. 5515)</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Machinery of Government (Miscellaneous Amendments) Act 2006</w:t>
            </w:r>
            <w:r>
              <w:rPr>
                <w:i/>
                <w:iCs/>
              </w:rPr>
              <w:t xml:space="preserve"> </w:t>
            </w:r>
            <w:r>
              <w:t>Pt. 3 Div. 6</w:t>
            </w:r>
          </w:p>
        </w:tc>
        <w:tc>
          <w:tcPr>
            <w:tcW w:w="1134" w:type="dxa"/>
            <w:gridSpan w:val="2"/>
          </w:tcPr>
          <w:p>
            <w:pPr>
              <w:pStyle w:val="nTable"/>
              <w:spacing w:after="40"/>
            </w:pPr>
            <w:r>
              <w:t>28 of 2006</w:t>
            </w:r>
          </w:p>
        </w:tc>
        <w:tc>
          <w:tcPr>
            <w:tcW w:w="1134" w:type="dxa"/>
            <w:gridSpan w:val="2"/>
          </w:tcPr>
          <w:p>
            <w:pPr>
              <w:pStyle w:val="nTable"/>
              <w:spacing w:after="40"/>
            </w:pPr>
            <w:r>
              <w:t>26 Jun 2006</w:t>
            </w:r>
          </w:p>
        </w:tc>
        <w:tc>
          <w:tcPr>
            <w:tcW w:w="2561"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snapToGrid w:val="0"/>
              </w:rPr>
              <w:t>Land Information Authority Act 2006</w:t>
            </w:r>
            <w:r>
              <w:rPr>
                <w:iCs/>
                <w:snapToGrid w:val="0"/>
              </w:rPr>
              <w:t xml:space="preserve"> s. 188 </w:t>
            </w:r>
          </w:p>
        </w:tc>
        <w:tc>
          <w:tcPr>
            <w:tcW w:w="1134" w:type="dxa"/>
            <w:gridSpan w:val="2"/>
          </w:tcPr>
          <w:p>
            <w:pPr>
              <w:pStyle w:val="nTable"/>
              <w:spacing w:after="40"/>
            </w:pPr>
            <w:r>
              <w:rPr>
                <w:snapToGrid w:val="0"/>
              </w:rPr>
              <w:t>60 of 2006</w:t>
            </w:r>
          </w:p>
        </w:tc>
        <w:tc>
          <w:tcPr>
            <w:tcW w:w="1134" w:type="dxa"/>
            <w:gridSpan w:val="2"/>
          </w:tcPr>
          <w:p>
            <w:pPr>
              <w:pStyle w:val="nTable"/>
              <w:spacing w:after="40"/>
            </w:pPr>
            <w:r>
              <w:rPr>
                <w:snapToGrid w:val="0"/>
              </w:rPr>
              <w:t>16 Nov 2006</w:t>
            </w:r>
          </w:p>
        </w:tc>
        <w:tc>
          <w:tcPr>
            <w:tcW w:w="2561"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pPr>
            <w:r>
              <w:rPr>
                <w:b/>
                <w:bCs/>
              </w:rPr>
              <w:t xml:space="preserve">Reprint 4:  </w:t>
            </w:r>
            <w:r>
              <w:rPr>
                <w:b/>
                <w:bCs/>
                <w:spacing w:val="-4"/>
              </w:rPr>
              <w:t>The</w:t>
            </w:r>
            <w:r>
              <w:rPr>
                <w:b/>
                <w:spacing w:val="-4"/>
              </w:rPr>
              <w:t xml:space="preserve"> </w:t>
            </w:r>
            <w:r>
              <w:rPr>
                <w:b/>
                <w:i/>
                <w:spacing w:val="-4"/>
              </w:rPr>
              <w:t>Statutory Corporations (Liability of Directors) Act 1996</w:t>
            </w:r>
            <w:r>
              <w:rPr>
                <w:b/>
                <w:spacing w:val="-4"/>
              </w:rPr>
              <w:t xml:space="preserve"> as at 9 Feb 2007 </w:t>
            </w:r>
            <w:r>
              <w:rPr>
                <w:spacing w:val="-4"/>
              </w:rPr>
              <w:t>(includes amendments listed above)</w:t>
            </w:r>
            <w:r>
              <w:t xml:space="preserve"> </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Cs/>
              </w:rPr>
            </w:pPr>
            <w:r>
              <w:rPr>
                <w:i/>
                <w:snapToGrid w:val="0"/>
              </w:rPr>
              <w:lastRenderedPageBreak/>
              <w:t>Chemistry Centre (WA) Act 2007</w:t>
            </w:r>
            <w:r>
              <w:rPr>
                <w:iCs/>
                <w:snapToGrid w:val="0"/>
              </w:rPr>
              <w:t xml:space="preserve"> s. 43</w:t>
            </w:r>
          </w:p>
        </w:tc>
        <w:tc>
          <w:tcPr>
            <w:tcW w:w="1134" w:type="dxa"/>
            <w:gridSpan w:val="2"/>
          </w:tcPr>
          <w:p>
            <w:pPr>
              <w:pStyle w:val="nTable"/>
              <w:spacing w:after="40"/>
            </w:pPr>
            <w:r>
              <w:rPr>
                <w:snapToGrid w:val="0"/>
              </w:rPr>
              <w:t>10 of 2007</w:t>
            </w:r>
          </w:p>
        </w:tc>
        <w:tc>
          <w:tcPr>
            <w:tcW w:w="1134" w:type="dxa"/>
            <w:gridSpan w:val="2"/>
          </w:tcPr>
          <w:p>
            <w:pPr>
              <w:pStyle w:val="nTable"/>
              <w:spacing w:after="40"/>
            </w:pPr>
            <w:r>
              <w:rPr>
                <w:snapToGrid w:val="0"/>
              </w:rPr>
              <w:t>29</w:t>
            </w:r>
            <w:r>
              <w:t> Jun 2007</w:t>
            </w:r>
          </w:p>
        </w:tc>
        <w:tc>
          <w:tcPr>
            <w:tcW w:w="2561" w:type="dxa"/>
          </w:tcPr>
          <w:p>
            <w:pPr>
              <w:pStyle w:val="nTable"/>
              <w:spacing w:after="40"/>
            </w:pPr>
            <w:r>
              <w:t xml:space="preserve">1 Aug 2007 (see s. 2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snapToGrid w:val="0"/>
              </w:rPr>
            </w:pPr>
            <w:r>
              <w:rPr>
                <w:i/>
                <w:snapToGrid w:val="0"/>
              </w:rPr>
              <w:t>Eastern Goldfields Transport Board Repeal Act 2008</w:t>
            </w:r>
            <w:r>
              <w:rPr>
                <w:snapToGrid w:val="0"/>
              </w:rPr>
              <w:t xml:space="preserve"> s. 14 </w:t>
            </w:r>
          </w:p>
        </w:tc>
        <w:tc>
          <w:tcPr>
            <w:tcW w:w="1134" w:type="dxa"/>
            <w:gridSpan w:val="2"/>
          </w:tcPr>
          <w:p>
            <w:pPr>
              <w:pStyle w:val="nTable"/>
              <w:spacing w:after="40"/>
              <w:rPr>
                <w:snapToGrid w:val="0"/>
              </w:rPr>
            </w:pPr>
            <w:r>
              <w:rPr>
                <w:snapToGrid w:val="0"/>
              </w:rPr>
              <w:t>28 of 2008</w:t>
            </w:r>
          </w:p>
        </w:tc>
        <w:tc>
          <w:tcPr>
            <w:tcW w:w="1134" w:type="dxa"/>
            <w:gridSpan w:val="2"/>
          </w:tcPr>
          <w:p>
            <w:pPr>
              <w:pStyle w:val="nTable"/>
              <w:spacing w:after="40"/>
              <w:rPr>
                <w:snapToGrid w:val="0"/>
              </w:rPr>
            </w:pPr>
            <w:r>
              <w:t>1 Jul 2008</w:t>
            </w:r>
          </w:p>
        </w:tc>
        <w:tc>
          <w:tcPr>
            <w:tcW w:w="2561"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Cs/>
              </w:rPr>
            </w:pPr>
            <w:r>
              <w:rPr>
                <w:i/>
              </w:rPr>
              <w:t>Statutes (Repeals and Miscellaneous Amendments) Act 2009</w:t>
            </w:r>
            <w:r>
              <w:rPr>
                <w:iCs/>
              </w:rPr>
              <w:t xml:space="preserve"> s. 121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6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82"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shd w:val="clear" w:color="auto" w:fill="auto"/>
          </w:tcPr>
          <w:p>
            <w:pPr>
              <w:pStyle w:val="nTable"/>
              <w:spacing w:after="40"/>
              <w:rPr>
                <w:snapToGrid w:val="0"/>
              </w:rPr>
            </w:pPr>
            <w:r>
              <w:rPr>
                <w:snapToGrid w:val="0"/>
              </w:rPr>
              <w:t>19 of 2010</w:t>
            </w:r>
          </w:p>
        </w:tc>
        <w:tc>
          <w:tcPr>
            <w:tcW w:w="1134" w:type="dxa"/>
            <w:gridSpan w:val="2"/>
            <w:shd w:val="clear" w:color="auto" w:fill="auto"/>
          </w:tcPr>
          <w:p>
            <w:pPr>
              <w:pStyle w:val="nTable"/>
              <w:spacing w:after="40"/>
              <w:rPr>
                <w:snapToGrid w:val="0"/>
              </w:rPr>
            </w:pPr>
            <w:r>
              <w:rPr>
                <w:snapToGrid w:val="0"/>
              </w:rPr>
              <w:t>28 Jun 2010</w:t>
            </w:r>
          </w:p>
        </w:tc>
        <w:tc>
          <w:tcPr>
            <w:tcW w:w="256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111" w:type="dxa"/>
            <w:gridSpan w:val="7"/>
            <w:shd w:val="clear" w:color="auto" w:fill="auto"/>
          </w:tcPr>
          <w:p>
            <w:pPr>
              <w:pStyle w:val="nTable"/>
              <w:spacing w:after="40"/>
              <w:rPr>
                <w:snapToGrid w:val="0"/>
              </w:rPr>
            </w:pPr>
            <w:r>
              <w:rPr>
                <w:b/>
                <w:bCs/>
              </w:rPr>
              <w:t xml:space="preserve">Reprint 5:  </w:t>
            </w:r>
            <w:r>
              <w:rPr>
                <w:b/>
                <w:bCs/>
                <w:spacing w:val="-4"/>
              </w:rPr>
              <w:t>The</w:t>
            </w:r>
            <w:r>
              <w:rPr>
                <w:b/>
                <w:spacing w:val="-4"/>
              </w:rPr>
              <w:t xml:space="preserve"> </w:t>
            </w:r>
            <w:r>
              <w:rPr>
                <w:b/>
                <w:i/>
                <w:spacing w:val="-4"/>
              </w:rPr>
              <w:t>Statutory Corporations (Liability of Directors) Act 1996</w:t>
            </w:r>
            <w:r>
              <w:rPr>
                <w:b/>
                <w:spacing w:val="-4"/>
              </w:rPr>
              <w:t xml:space="preserve"> as at 4 Nov 2011 </w:t>
            </w:r>
            <w:r>
              <w:rPr>
                <w:spacing w:val="-4"/>
              </w:rPr>
              <w:t>(includes amendments listed above)</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tcPr>
          <w:p>
            <w:pPr>
              <w:pStyle w:val="nTable"/>
              <w:spacing w:after="40"/>
              <w:rPr>
                <w:i/>
                <w:snapToGrid w:val="0"/>
              </w:rPr>
            </w:pPr>
            <w:r>
              <w:rPr>
                <w:i/>
                <w:snapToGrid w:val="0"/>
              </w:rPr>
              <w:t xml:space="preserve">Metropolitan Redevelopment Authority Act 2011 </w:t>
            </w:r>
            <w:r>
              <w:rPr>
                <w:snapToGrid w:val="0"/>
              </w:rPr>
              <w:t>s. 143</w:t>
            </w:r>
          </w:p>
        </w:tc>
        <w:tc>
          <w:tcPr>
            <w:tcW w:w="1134" w:type="dxa"/>
            <w:gridSpan w:val="2"/>
            <w:tcBorders>
              <w:top w:val="nil"/>
              <w:bottom w:val="nil"/>
            </w:tcBorders>
          </w:tcPr>
          <w:p>
            <w:pPr>
              <w:pStyle w:val="nTable"/>
              <w:spacing w:after="40"/>
              <w:rPr>
                <w:snapToGrid w:val="0"/>
              </w:rPr>
            </w:pPr>
            <w:r>
              <w:rPr>
                <w:snapToGrid w:val="0"/>
              </w:rPr>
              <w:t>45 of 2011</w:t>
            </w:r>
          </w:p>
        </w:tc>
        <w:tc>
          <w:tcPr>
            <w:tcW w:w="1134" w:type="dxa"/>
            <w:gridSpan w:val="2"/>
            <w:tcBorders>
              <w:top w:val="nil"/>
              <w:bottom w:val="nil"/>
            </w:tcBorders>
          </w:tcPr>
          <w:p>
            <w:pPr>
              <w:pStyle w:val="nTable"/>
              <w:spacing w:after="40"/>
            </w:pPr>
            <w:r>
              <w:rPr>
                <w:snapToGrid w:val="0"/>
              </w:rPr>
              <w:t>12 Oct 2011</w:t>
            </w:r>
          </w:p>
        </w:tc>
        <w:tc>
          <w:tcPr>
            <w:tcW w:w="2561" w:type="dxa"/>
            <w:tcBorders>
              <w:top w:val="nil"/>
              <w:bottom w:val="nil"/>
            </w:tcBorders>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tcPr>
          <w:p>
            <w:pPr>
              <w:pStyle w:val="nTable"/>
              <w:spacing w:after="40"/>
              <w:rPr>
                <w:i/>
                <w:snapToGrid w:val="0"/>
              </w:rPr>
            </w:pPr>
            <w:r>
              <w:rPr>
                <w:i/>
                <w:snapToGrid w:val="0"/>
              </w:rPr>
              <w:t>Water Services Legislation Amendment and Repeal Act 2012</w:t>
            </w:r>
            <w:r>
              <w:rPr>
                <w:snapToGrid w:val="0"/>
              </w:rPr>
              <w:t xml:space="preserve"> s. 231</w:t>
            </w:r>
          </w:p>
        </w:tc>
        <w:tc>
          <w:tcPr>
            <w:tcW w:w="1134" w:type="dxa"/>
            <w:gridSpan w:val="2"/>
            <w:tcBorders>
              <w:top w:val="nil"/>
              <w:bottom w:val="nil"/>
            </w:tcBorders>
          </w:tcPr>
          <w:p>
            <w:pPr>
              <w:pStyle w:val="nTable"/>
              <w:spacing w:after="40"/>
              <w:rPr>
                <w:snapToGrid w:val="0"/>
              </w:rPr>
            </w:pPr>
            <w:r>
              <w:rPr>
                <w:snapToGrid w:val="0"/>
              </w:rPr>
              <w:t>25 of 2012</w:t>
            </w:r>
          </w:p>
        </w:tc>
        <w:tc>
          <w:tcPr>
            <w:tcW w:w="1134" w:type="dxa"/>
            <w:gridSpan w:val="2"/>
            <w:tcBorders>
              <w:top w:val="nil"/>
              <w:bottom w:val="nil"/>
            </w:tcBorders>
          </w:tcPr>
          <w:p>
            <w:pPr>
              <w:pStyle w:val="nTable"/>
              <w:spacing w:after="40"/>
              <w:rPr>
                <w:snapToGrid w:val="0"/>
              </w:rPr>
            </w:pPr>
            <w:r>
              <w:t>3 Sep 2012</w:t>
            </w:r>
          </w:p>
        </w:tc>
        <w:tc>
          <w:tcPr>
            <w:tcW w:w="2561" w:type="dxa"/>
            <w:tcBorders>
              <w:top w:val="nil"/>
              <w:bottom w:val="nil"/>
            </w:tcBorders>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shd w:val="clear" w:color="auto" w:fill="auto"/>
          </w:tcPr>
          <w:p>
            <w:pPr>
              <w:pStyle w:val="nTable"/>
              <w:spacing w:after="40"/>
              <w:rPr>
                <w:i/>
                <w:snapToGrid w:val="0"/>
              </w:rPr>
            </w:pPr>
            <w:r>
              <w:rPr>
                <w:i/>
                <w:snapToGrid w:val="0"/>
              </w:rPr>
              <w:t>Ports Legislation Amendment Act 2014</w:t>
            </w:r>
            <w:r>
              <w:rPr>
                <w:snapToGrid w:val="0"/>
              </w:rPr>
              <w:t xml:space="preserve"> s. 45</w:t>
            </w:r>
            <w:r>
              <w:rPr>
                <w:snapToGrid w:val="0"/>
                <w:vertAlign w:val="superscript"/>
              </w:rPr>
              <w:t> 5</w:t>
            </w:r>
          </w:p>
        </w:tc>
        <w:tc>
          <w:tcPr>
            <w:tcW w:w="1134" w:type="dxa"/>
            <w:gridSpan w:val="2"/>
            <w:tcBorders>
              <w:top w:val="nil"/>
              <w:bottom w:val="nil"/>
            </w:tcBorders>
            <w:shd w:val="clear" w:color="auto" w:fill="auto"/>
          </w:tcPr>
          <w:p>
            <w:pPr>
              <w:pStyle w:val="nTable"/>
              <w:spacing w:after="40"/>
              <w:rPr>
                <w:snapToGrid w:val="0"/>
              </w:rPr>
            </w:pPr>
            <w:r>
              <w:rPr>
                <w:snapToGrid w:val="0"/>
              </w:rPr>
              <w:t>9 of 2014</w:t>
            </w:r>
          </w:p>
        </w:tc>
        <w:tc>
          <w:tcPr>
            <w:tcW w:w="1134" w:type="dxa"/>
            <w:gridSpan w:val="2"/>
            <w:tcBorders>
              <w:top w:val="nil"/>
              <w:bottom w:val="nil"/>
            </w:tcBorders>
            <w:shd w:val="clear" w:color="auto" w:fill="auto"/>
          </w:tcPr>
          <w:p>
            <w:pPr>
              <w:pStyle w:val="nTable"/>
              <w:spacing w:after="40"/>
            </w:pPr>
            <w:r>
              <w:rPr>
                <w:snapToGrid w:val="0"/>
              </w:rPr>
              <w:t>20 May 2014</w:t>
            </w:r>
          </w:p>
        </w:tc>
        <w:tc>
          <w:tcPr>
            <w:tcW w:w="2561" w:type="dxa"/>
            <w:tcBorders>
              <w:top w:val="nil"/>
              <w:bottom w:val="nil"/>
            </w:tcBorders>
            <w:shd w:val="clear" w:color="auto" w:fill="auto"/>
          </w:tcPr>
          <w:p>
            <w:pPr>
              <w:pStyle w:val="nTable"/>
              <w:spacing w:after="40"/>
              <w:rPr>
                <w:snapToGrid w:val="0"/>
              </w:rPr>
            </w:pPr>
            <w:r>
              <w:rPr>
                <w:snapToGrid w:val="0"/>
              </w:rPr>
              <w:t>s. 45(1) and (3)</w:t>
            </w:r>
            <w:r>
              <w:rPr>
                <w:snapToGrid w:val="0"/>
              </w:rPr>
              <w:noBreakHyphen/>
              <w:t xml:space="preserve">(5): 1 Jul 2014 (see s. 2(1)(c) and </w:t>
            </w:r>
            <w:r>
              <w:rPr>
                <w:i/>
                <w:snapToGrid w:val="0"/>
              </w:rPr>
              <w:t>Gazette</w:t>
            </w:r>
            <w:r>
              <w:rPr>
                <w:snapToGrid w:val="0"/>
              </w:rPr>
              <w:t xml:space="preserve"> 20 Jun 2014 p. 2023);</w:t>
            </w:r>
            <w:r>
              <w:rPr>
                <w:snapToGrid w:val="0"/>
              </w:rPr>
              <w:br/>
              <w:t xml:space="preserve">s. 45(2): 1 Oct 2014 (see s. 2(1)(c) and </w:t>
            </w:r>
            <w:r>
              <w:rPr>
                <w:i/>
                <w:snapToGrid w:val="0"/>
              </w:rPr>
              <w:t>Gazette</w:t>
            </w:r>
            <w:r>
              <w:rPr>
                <w:snapToGrid w:val="0"/>
              </w:rPr>
              <w:t xml:space="preserve"> 19 Sep 2014 p. 3329)</w:t>
            </w:r>
          </w:p>
        </w:tc>
      </w:tr>
      <w:tr>
        <w:tblPrEx>
          <w:tblBorders>
            <w:top w:val="single" w:sz="8" w:space="0" w:color="auto"/>
            <w:bottom w:val="single" w:sz="8" w:space="0" w:color="auto"/>
            <w:insideH w:val="single" w:sz="8" w:space="0" w:color="auto"/>
          </w:tblBorders>
        </w:tblPrEx>
        <w:tc>
          <w:tcPr>
            <w:tcW w:w="4550" w:type="dxa"/>
            <w:gridSpan w:val="6"/>
            <w:tcBorders>
              <w:top w:val="nil"/>
              <w:bottom w:val="nil"/>
            </w:tcBorders>
            <w:shd w:val="clear" w:color="auto" w:fill="auto"/>
          </w:tcPr>
          <w:p>
            <w:pPr>
              <w:pStyle w:val="nTable"/>
              <w:spacing w:after="40"/>
              <w:rPr>
                <w:snapToGrid w:val="0"/>
              </w:rPr>
            </w:pPr>
            <w:r>
              <w:rPr>
                <w:i/>
              </w:rPr>
              <w:t xml:space="preserve">Statutory Corporations (Liability of Directors) (Act Amendment) Regulations 2014 </w:t>
            </w:r>
            <w:r>
              <w:t xml:space="preserve">published in </w:t>
            </w:r>
            <w:r>
              <w:rPr>
                <w:i/>
              </w:rPr>
              <w:t xml:space="preserve">Gazette </w:t>
            </w:r>
            <w:r>
              <w:t>12 Aug 2014 p. 2891</w:t>
            </w:r>
          </w:p>
        </w:tc>
        <w:tc>
          <w:tcPr>
            <w:tcW w:w="2561" w:type="dxa"/>
            <w:tcBorders>
              <w:top w:val="nil"/>
              <w:bottom w:val="nil"/>
            </w:tcBorders>
            <w:shd w:val="clear" w:color="auto" w:fill="auto"/>
          </w:tcPr>
          <w:p>
            <w:pPr>
              <w:pStyle w:val="nTable"/>
              <w:spacing w:after="40"/>
              <w:rPr>
                <w:snapToGrid w:val="0"/>
              </w:rPr>
            </w:pPr>
            <w:r>
              <w:rPr>
                <w:snapToGrid w:val="0"/>
              </w:rPr>
              <w:t>r. 1 and 2: 12 Aug 2014 (see r. 2(a));</w:t>
            </w:r>
            <w:r>
              <w:rPr>
                <w:snapToGrid w:val="0"/>
              </w:rPr>
              <w:br/>
              <w:t>Regulations other than r. 1 and 2: 13 Aug 2014 (see r. 2(b))</w:t>
            </w:r>
          </w:p>
        </w:tc>
      </w:tr>
      <w:tr>
        <w:trPr>
          <w:cantSplit/>
        </w:trPr>
        <w:tc>
          <w:tcPr>
            <w:tcW w:w="2254" w:type="dxa"/>
            <w:tcBorders>
              <w:top w:val="nil"/>
              <w:bottom w:val="nil"/>
            </w:tcBorders>
            <w:shd w:val="clear" w:color="auto" w:fill="auto"/>
          </w:tcPr>
          <w:p>
            <w:pPr>
              <w:pStyle w:val="nTable"/>
              <w:spacing w:after="40"/>
              <w:rPr>
                <w:i/>
              </w:rPr>
            </w:pPr>
            <w:r>
              <w:rPr>
                <w:i/>
                <w:snapToGrid w:val="0"/>
              </w:rPr>
              <w:t xml:space="preserve">Perth Market (Disposal) Act 2015 </w:t>
            </w:r>
            <w:r>
              <w:rPr>
                <w:snapToGrid w:val="0"/>
              </w:rPr>
              <w:t>s. 56</w:t>
            </w:r>
          </w:p>
        </w:tc>
        <w:tc>
          <w:tcPr>
            <w:tcW w:w="1134" w:type="dxa"/>
            <w:gridSpan w:val="2"/>
            <w:tcBorders>
              <w:top w:val="nil"/>
              <w:bottom w:val="nil"/>
            </w:tcBorders>
            <w:shd w:val="clear" w:color="auto" w:fill="auto"/>
          </w:tcPr>
          <w:p>
            <w:pPr>
              <w:pStyle w:val="nTable"/>
              <w:spacing w:after="40"/>
            </w:pPr>
            <w:r>
              <w:rPr>
                <w:snapToGrid w:val="0"/>
              </w:rPr>
              <w:t>40 of 2015</w:t>
            </w:r>
          </w:p>
        </w:tc>
        <w:tc>
          <w:tcPr>
            <w:tcW w:w="1134" w:type="dxa"/>
            <w:gridSpan w:val="2"/>
            <w:tcBorders>
              <w:top w:val="nil"/>
              <w:bottom w:val="nil"/>
            </w:tcBorders>
            <w:shd w:val="clear" w:color="auto" w:fill="auto"/>
          </w:tcPr>
          <w:p>
            <w:pPr>
              <w:pStyle w:val="nTable"/>
              <w:spacing w:after="40"/>
              <w:rPr>
                <w:snapToGrid w:val="0"/>
              </w:rPr>
            </w:pPr>
            <w:r>
              <w:rPr>
                <w:snapToGrid w:val="0"/>
              </w:rPr>
              <w:t>8 Dec 2015</w:t>
            </w:r>
          </w:p>
        </w:tc>
        <w:tc>
          <w:tcPr>
            <w:tcW w:w="2589" w:type="dxa"/>
            <w:gridSpan w:val="2"/>
            <w:tcBorders>
              <w:top w:val="nil"/>
              <w:bottom w:val="nil"/>
            </w:tcBorders>
            <w:shd w:val="clear" w:color="auto" w:fill="auto"/>
          </w:tcPr>
          <w:p>
            <w:pPr>
              <w:pStyle w:val="nTable"/>
              <w:spacing w:after="40"/>
            </w:pPr>
            <w:r>
              <w:rPr>
                <w:snapToGrid w:val="0"/>
              </w:rPr>
              <w:t xml:space="preserve">31 Mar 2016 (see s. 2(2) and 42 and </w:t>
            </w:r>
            <w:r>
              <w:rPr>
                <w:i/>
                <w:snapToGrid w:val="0"/>
              </w:rPr>
              <w:t>Gazette</w:t>
            </w:r>
            <w:r>
              <w:rPr>
                <w:snapToGrid w:val="0"/>
              </w:rPr>
              <w:t xml:space="preserve"> 31 Mar 2016 p. 969)</w:t>
            </w:r>
          </w:p>
        </w:tc>
      </w:tr>
      <w:tr>
        <w:trPr>
          <w:cantSplit/>
        </w:trPr>
        <w:tc>
          <w:tcPr>
            <w:tcW w:w="2254"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16</w:t>
            </w:r>
          </w:p>
        </w:tc>
        <w:tc>
          <w:tcPr>
            <w:tcW w:w="1134" w:type="dxa"/>
            <w:gridSpan w:val="2"/>
            <w:tcBorders>
              <w:top w:val="nil"/>
              <w:bottom w:val="nil"/>
            </w:tcBorders>
            <w:shd w:val="clear" w:color="auto" w:fill="auto"/>
          </w:tcPr>
          <w:p>
            <w:pPr>
              <w:pStyle w:val="nTable"/>
              <w:spacing w:after="40"/>
              <w:rPr>
                <w:snapToGrid w:val="0"/>
              </w:rPr>
            </w:pPr>
            <w:r>
              <w:t>22 of 2016</w:t>
            </w:r>
          </w:p>
        </w:tc>
        <w:tc>
          <w:tcPr>
            <w:tcW w:w="1134" w:type="dxa"/>
            <w:gridSpan w:val="2"/>
            <w:tcBorders>
              <w:top w:val="nil"/>
              <w:bottom w:val="nil"/>
            </w:tcBorders>
            <w:shd w:val="clear" w:color="auto" w:fill="auto"/>
          </w:tcPr>
          <w:p>
            <w:pPr>
              <w:pStyle w:val="nTable"/>
              <w:spacing w:after="40"/>
              <w:rPr>
                <w:snapToGrid w:val="0"/>
              </w:rPr>
            </w:pPr>
            <w:r>
              <w:t>12 Sep 2016</w:t>
            </w:r>
          </w:p>
        </w:tc>
        <w:tc>
          <w:tcPr>
            <w:tcW w:w="2589" w:type="dxa"/>
            <w:gridSpan w:val="2"/>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7111" w:type="dxa"/>
            <w:gridSpan w:val="7"/>
            <w:tcBorders>
              <w:top w:val="nil"/>
              <w:bottom w:val="nil"/>
            </w:tcBorders>
            <w:shd w:val="clear" w:color="auto" w:fill="auto"/>
          </w:tcPr>
          <w:p>
            <w:pPr>
              <w:pStyle w:val="nTable"/>
              <w:spacing w:after="40"/>
            </w:pPr>
            <w:r>
              <w:rPr>
                <w:b/>
                <w:bCs/>
              </w:rPr>
              <w:t xml:space="preserve">Reprint 6: The </w:t>
            </w:r>
            <w:r>
              <w:rPr>
                <w:b/>
                <w:bCs/>
                <w:i/>
              </w:rPr>
              <w:t>Statutory Corporations (Liability of Directors) Act</w:t>
            </w:r>
            <w:r>
              <w:rPr>
                <w:bCs/>
                <w:i/>
              </w:rPr>
              <w:t> </w:t>
            </w:r>
            <w:r>
              <w:rPr>
                <w:b/>
                <w:bCs/>
                <w:i/>
              </w:rPr>
              <w:t>1996</w:t>
            </w:r>
            <w:r>
              <w:rPr>
                <w:b/>
                <w:bCs/>
              </w:rPr>
              <w:t xml:space="preserve"> as at 23 Sep 2016 </w:t>
            </w:r>
            <w:r>
              <w:rPr>
                <w:bCs/>
              </w:rPr>
              <w:t xml:space="preserve">(includes amendments listed above except those in the </w:t>
            </w:r>
            <w:r>
              <w:rPr>
                <w:i/>
              </w:rPr>
              <w:t>Marketing of Potatoes Amendment and Repeal Act 2016</w:t>
            </w:r>
            <w:r>
              <w:t xml:space="preserve"> s. 16</w:t>
            </w:r>
            <w:r>
              <w:rPr>
                <w:bCs/>
              </w:rPr>
              <w:t>)</w:t>
            </w:r>
          </w:p>
        </w:tc>
      </w:tr>
      <w:tr>
        <w:tblPrEx>
          <w:tblBorders>
            <w:top w:val="single" w:sz="8" w:space="0" w:color="auto"/>
            <w:bottom w:val="single" w:sz="8" w:space="0" w:color="auto"/>
            <w:insideH w:val="single" w:sz="8" w:space="0" w:color="auto"/>
          </w:tblBorders>
        </w:tblPrEx>
        <w:tc>
          <w:tcPr>
            <w:tcW w:w="4550" w:type="dxa"/>
            <w:gridSpan w:val="6"/>
            <w:tcBorders>
              <w:top w:val="nil"/>
              <w:bottom w:val="nil"/>
            </w:tcBorders>
            <w:shd w:val="clear" w:color="auto" w:fill="auto"/>
          </w:tcPr>
          <w:p>
            <w:pPr>
              <w:pStyle w:val="nTable"/>
              <w:spacing w:after="40"/>
              <w:rPr>
                <w:snapToGrid w:val="0"/>
              </w:rPr>
            </w:pPr>
            <w:r>
              <w:rPr>
                <w:i/>
              </w:rPr>
              <w:lastRenderedPageBreak/>
              <w:t xml:space="preserve">Statutory Corporations (Liability of Directors) (Act Amendment) Regulations 2018 </w:t>
            </w:r>
            <w:r>
              <w:t xml:space="preserve">published in </w:t>
            </w:r>
            <w:r>
              <w:rPr>
                <w:i/>
              </w:rPr>
              <w:t xml:space="preserve">Gazette </w:t>
            </w:r>
            <w:r>
              <w:t>27 Jul 2018 p. 2690</w:t>
            </w:r>
          </w:p>
        </w:tc>
        <w:tc>
          <w:tcPr>
            <w:tcW w:w="2561" w:type="dxa"/>
            <w:tcBorders>
              <w:top w:val="nil"/>
              <w:bottom w:val="nil"/>
            </w:tcBorders>
            <w:shd w:val="clear" w:color="auto" w:fill="auto"/>
          </w:tcPr>
          <w:p>
            <w:pPr>
              <w:pStyle w:val="nTable"/>
              <w:spacing w:after="40"/>
              <w:rPr>
                <w:snapToGrid w:val="0"/>
              </w:rPr>
            </w:pPr>
            <w:r>
              <w:rPr>
                <w:snapToGrid w:val="0"/>
              </w:rPr>
              <w:t>r. 1 and 2: 27 Jul 2018 (see r. 2(a));</w:t>
            </w:r>
            <w:r>
              <w:rPr>
                <w:snapToGrid w:val="0"/>
              </w:rPr>
              <w:br/>
              <w:t>Regulations other than r. 1 and 2: 28 Jul 2018 (see r. 2(b))</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shd w:val="clear" w:color="auto" w:fill="auto"/>
          </w:tcPr>
          <w:p>
            <w:pPr>
              <w:pStyle w:val="nTable"/>
              <w:spacing w:after="40"/>
              <w:rPr>
                <w:snapToGrid w:val="0"/>
              </w:rPr>
            </w:pPr>
            <w:r>
              <w:rPr>
                <w:i/>
              </w:rPr>
              <w:t>Arts and Culture Trust Act 2021</w:t>
            </w:r>
            <w:r>
              <w:t xml:space="preserve"> s. 78</w:t>
            </w:r>
          </w:p>
        </w:tc>
        <w:tc>
          <w:tcPr>
            <w:tcW w:w="1134" w:type="dxa"/>
            <w:gridSpan w:val="2"/>
            <w:tcBorders>
              <w:top w:val="nil"/>
              <w:bottom w:val="nil"/>
            </w:tcBorders>
            <w:shd w:val="clear" w:color="auto" w:fill="auto"/>
          </w:tcPr>
          <w:p>
            <w:pPr>
              <w:pStyle w:val="nTable"/>
              <w:spacing w:after="40"/>
              <w:rPr>
                <w:snapToGrid w:val="0"/>
              </w:rPr>
            </w:pPr>
            <w:r>
              <w:t>15 of 2021</w:t>
            </w:r>
          </w:p>
        </w:tc>
        <w:tc>
          <w:tcPr>
            <w:tcW w:w="1134" w:type="dxa"/>
            <w:gridSpan w:val="2"/>
            <w:tcBorders>
              <w:top w:val="nil"/>
              <w:bottom w:val="nil"/>
            </w:tcBorders>
            <w:shd w:val="clear" w:color="auto" w:fill="auto"/>
          </w:tcPr>
          <w:p>
            <w:pPr>
              <w:pStyle w:val="nTable"/>
              <w:spacing w:after="40"/>
              <w:rPr>
                <w:snapToGrid w:val="0"/>
              </w:rPr>
            </w:pPr>
            <w:r>
              <w:t>9 Sep 2021</w:t>
            </w:r>
          </w:p>
        </w:tc>
        <w:tc>
          <w:tcPr>
            <w:tcW w:w="2561" w:type="dxa"/>
            <w:tcBorders>
              <w:top w:val="nil"/>
              <w:bottom w:val="nil"/>
            </w:tcBorders>
            <w:shd w:val="clear" w:color="auto" w:fill="auto"/>
          </w:tcPr>
          <w:p>
            <w:pPr>
              <w:pStyle w:val="nTable"/>
              <w:spacing w:after="40"/>
              <w:rPr>
                <w:snapToGrid w:val="0"/>
              </w:rPr>
            </w:pPr>
            <w:r>
              <w:rPr>
                <w:snapToGrid w:val="0"/>
              </w:rPr>
              <w:t>1 Jul 2022 (see s. 2(b) and SL 2022/</w:t>
            </w:r>
            <w:r>
              <w:t>77</w:t>
            </w:r>
            <w:r>
              <w:rPr>
                <w:snapToGrid w:val="0"/>
              </w:rPr>
              <w:t xml:space="preserve"> cl. 2)</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shd w:val="clear" w:color="auto" w:fill="auto"/>
          </w:tcPr>
          <w:p>
            <w:pPr>
              <w:pStyle w:val="nTable"/>
              <w:spacing w:after="40"/>
              <w:rPr>
                <w:i/>
              </w:rPr>
            </w:pPr>
            <w:r>
              <w:rPr>
                <w:i/>
              </w:rPr>
              <w:t>Government Trading Enterprises Act 2023</w:t>
            </w:r>
            <w:r>
              <w:t xml:space="preserve"> Pt. 12 Div. 8</w:t>
            </w:r>
          </w:p>
        </w:tc>
        <w:tc>
          <w:tcPr>
            <w:tcW w:w="1134" w:type="dxa"/>
            <w:gridSpan w:val="2"/>
            <w:tcBorders>
              <w:top w:val="nil"/>
              <w:bottom w:val="nil"/>
            </w:tcBorders>
            <w:shd w:val="clear" w:color="auto" w:fill="auto"/>
          </w:tcPr>
          <w:p>
            <w:pPr>
              <w:pStyle w:val="nTable"/>
              <w:spacing w:after="40"/>
            </w:pPr>
            <w:r>
              <w:t>13 of 2023</w:t>
            </w:r>
          </w:p>
        </w:tc>
        <w:tc>
          <w:tcPr>
            <w:tcW w:w="1134" w:type="dxa"/>
            <w:gridSpan w:val="2"/>
            <w:tcBorders>
              <w:top w:val="nil"/>
              <w:bottom w:val="nil"/>
            </w:tcBorders>
            <w:shd w:val="clear" w:color="auto" w:fill="auto"/>
          </w:tcPr>
          <w:p>
            <w:pPr>
              <w:pStyle w:val="nTable"/>
              <w:spacing w:after="40"/>
            </w:pPr>
            <w:r>
              <w:t>22 Jun 2023</w:t>
            </w:r>
          </w:p>
        </w:tc>
        <w:tc>
          <w:tcPr>
            <w:tcW w:w="2561" w:type="dxa"/>
            <w:tcBorders>
              <w:top w:val="nil"/>
              <w:bottom w:val="nil"/>
            </w:tcBorders>
            <w:shd w:val="clear" w:color="auto" w:fill="auto"/>
          </w:tcPr>
          <w:p>
            <w:pPr>
              <w:pStyle w:val="nTable"/>
              <w:spacing w:after="40"/>
              <w:rPr>
                <w:snapToGrid w:val="0"/>
              </w:rPr>
            </w:pPr>
            <w:r>
              <w:t>1 Jul 2023 (see s. 2(b) and SL 2023/89 cl. 2)</w:t>
            </w:r>
          </w:p>
        </w:tc>
      </w:tr>
      <w:tr>
        <w:tblPrEx>
          <w:tblBorders>
            <w:top w:val="single" w:sz="8" w:space="0" w:color="auto"/>
            <w:bottom w:val="single" w:sz="8" w:space="0" w:color="auto"/>
            <w:insideH w:val="single" w:sz="8" w:space="0" w:color="auto"/>
          </w:tblBorders>
        </w:tblPrEx>
        <w:tc>
          <w:tcPr>
            <w:tcW w:w="2282" w:type="dxa"/>
            <w:gridSpan w:val="2"/>
            <w:tcBorders>
              <w:top w:val="nil"/>
              <w:bottom w:val="single" w:sz="4" w:space="0" w:color="auto"/>
            </w:tcBorders>
            <w:shd w:val="clear" w:color="auto" w:fill="auto"/>
          </w:tcPr>
          <w:p>
            <w:pPr>
              <w:pStyle w:val="nTable"/>
              <w:spacing w:after="40"/>
              <w:rPr>
                <w:i/>
              </w:rPr>
            </w:pPr>
            <w:r>
              <w:rPr>
                <w:i/>
              </w:rPr>
              <w:t xml:space="preserve">Keystart Act 2024 </w:t>
            </w:r>
            <w:r>
              <w:rPr>
                <w:iCs/>
              </w:rPr>
              <w:t>Pt. 8 Div. 7</w:t>
            </w:r>
          </w:p>
        </w:tc>
        <w:tc>
          <w:tcPr>
            <w:tcW w:w="1134" w:type="dxa"/>
            <w:gridSpan w:val="2"/>
            <w:tcBorders>
              <w:top w:val="nil"/>
              <w:bottom w:val="single" w:sz="4" w:space="0" w:color="auto"/>
            </w:tcBorders>
            <w:shd w:val="clear" w:color="auto" w:fill="auto"/>
          </w:tcPr>
          <w:p>
            <w:pPr>
              <w:pStyle w:val="nTable"/>
              <w:spacing w:after="40"/>
            </w:pPr>
            <w:r>
              <w:t>44 of 2024</w:t>
            </w:r>
          </w:p>
        </w:tc>
        <w:tc>
          <w:tcPr>
            <w:tcW w:w="1134" w:type="dxa"/>
            <w:gridSpan w:val="2"/>
            <w:tcBorders>
              <w:top w:val="nil"/>
              <w:bottom w:val="single" w:sz="4" w:space="0" w:color="auto"/>
            </w:tcBorders>
            <w:shd w:val="clear" w:color="auto" w:fill="auto"/>
          </w:tcPr>
          <w:p>
            <w:pPr>
              <w:pStyle w:val="nTable"/>
              <w:spacing w:after="40"/>
            </w:pPr>
            <w:r>
              <w:t>13 Nov 2024</w:t>
            </w:r>
          </w:p>
        </w:tc>
        <w:tc>
          <w:tcPr>
            <w:tcW w:w="2561" w:type="dxa"/>
            <w:tcBorders>
              <w:top w:val="nil"/>
              <w:bottom w:val="single" w:sz="4" w:space="0" w:color="auto"/>
            </w:tcBorders>
            <w:shd w:val="clear" w:color="auto" w:fill="auto"/>
          </w:tcPr>
          <w:p>
            <w:pPr>
              <w:pStyle w:val="nTable"/>
              <w:spacing w:after="40"/>
            </w:pPr>
            <w:r>
              <w:rPr>
                <w:snapToGrid w:val="0"/>
              </w:rPr>
              <w:t>19 Mar 2026 (see s. 2(c) and SL 2026/28 cl. 2)</w:t>
            </w:r>
          </w:p>
        </w:tc>
      </w:tr>
    </w:tbl>
    <w:p>
      <w:pPr>
        <w:pStyle w:val="nHeading3"/>
      </w:pPr>
      <w:bookmarkStart w:id="77" w:name="_Toc224311763"/>
      <w:r>
        <w:t>Uncommenced provisions table</w:t>
      </w:r>
      <w:bookmarkEnd w:id="77"/>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7"/>
        <w:gridCol w:w="1133"/>
        <w:gridCol w:w="1133"/>
        <w:gridCol w:w="2540"/>
        <w:gridCol w:w="10"/>
      </w:tblGrid>
      <w:tr>
        <w:trPr>
          <w:tblHeader/>
        </w:trPr>
        <w:tc>
          <w:tcPr>
            <w:tcW w:w="2277" w:type="dxa"/>
            <w:tcBorders>
              <w:bottom w:val="single" w:sz="8" w:space="0" w:color="auto"/>
            </w:tcBorders>
          </w:tcPr>
          <w:p>
            <w:pPr>
              <w:pStyle w:val="nTable"/>
              <w:spacing w:after="40"/>
              <w:rPr>
                <w:b/>
              </w:rPr>
            </w:pPr>
            <w:r>
              <w:rPr>
                <w:b/>
              </w:rPr>
              <w:t>Short title</w:t>
            </w:r>
          </w:p>
        </w:tc>
        <w:tc>
          <w:tcPr>
            <w:tcW w:w="1133" w:type="dxa"/>
            <w:tcBorders>
              <w:bottom w:val="single" w:sz="8" w:space="0" w:color="auto"/>
            </w:tcBorders>
          </w:tcPr>
          <w:p>
            <w:pPr>
              <w:pStyle w:val="nTable"/>
              <w:spacing w:after="40"/>
              <w:rPr>
                <w:b/>
              </w:rPr>
            </w:pPr>
            <w:r>
              <w:rPr>
                <w:b/>
              </w:rPr>
              <w:t>Number and year</w:t>
            </w:r>
          </w:p>
        </w:tc>
        <w:tc>
          <w:tcPr>
            <w:tcW w:w="1133" w:type="dxa"/>
            <w:tcBorders>
              <w:bottom w:val="single" w:sz="8" w:space="0" w:color="auto"/>
            </w:tcBorders>
          </w:tcPr>
          <w:p>
            <w:pPr>
              <w:pStyle w:val="nTable"/>
              <w:spacing w:after="40"/>
              <w:rPr>
                <w:b/>
              </w:rPr>
            </w:pPr>
            <w:r>
              <w:rPr>
                <w:b/>
              </w:rPr>
              <w:t>Assent</w:t>
            </w:r>
          </w:p>
        </w:tc>
        <w:tc>
          <w:tcPr>
            <w:tcW w:w="2550" w:type="dxa"/>
            <w:gridSpan w:val="2"/>
            <w:tcBorders>
              <w:bottom w:val="single" w:sz="8" w:space="0" w:color="auto"/>
            </w:tcBorders>
          </w:tcPr>
          <w:p>
            <w:pPr>
              <w:pStyle w:val="nTable"/>
              <w:spacing w:after="40"/>
              <w:rPr>
                <w:b/>
              </w:rPr>
            </w:pPr>
            <w:r>
              <w:rPr>
                <w:b/>
              </w:rPr>
              <w:t>Commencement</w:t>
            </w:r>
          </w:p>
        </w:tc>
      </w:tr>
      <w:tr>
        <w:tblPrEx>
          <w:tblCellMar>
            <w:left w:w="57" w:type="dxa"/>
            <w:right w:w="57" w:type="dxa"/>
          </w:tblCellMar>
        </w:tblPrEx>
        <w:trPr>
          <w:gridAfter w:val="1"/>
          <w:wAfter w:w="10" w:type="dxa"/>
        </w:trPr>
        <w:tc>
          <w:tcPr>
            <w:tcW w:w="2277" w:type="dxa"/>
            <w:tcBorders>
              <w:top w:val="single" w:sz="8" w:space="0" w:color="auto"/>
              <w:bottom w:val="single" w:sz="4" w:space="0" w:color="auto"/>
              <w:right w:val="nil"/>
            </w:tcBorders>
          </w:tcPr>
          <w:p>
            <w:pPr>
              <w:pStyle w:val="nTable"/>
              <w:spacing w:after="40"/>
              <w:rPr>
                <w:i/>
                <w:vertAlign w:val="superscript"/>
              </w:rPr>
            </w:pPr>
            <w:r>
              <w:rPr>
                <w:i/>
              </w:rPr>
              <w:t xml:space="preserve">TAB (Disposal) Act 2019 </w:t>
            </w:r>
            <w:r>
              <w:t>s. 157</w:t>
            </w:r>
          </w:p>
        </w:tc>
        <w:tc>
          <w:tcPr>
            <w:tcW w:w="1133" w:type="dxa"/>
            <w:tcBorders>
              <w:top w:val="nil"/>
              <w:left w:val="nil"/>
              <w:bottom w:val="single" w:sz="4" w:space="0" w:color="auto"/>
              <w:right w:val="nil"/>
            </w:tcBorders>
          </w:tcPr>
          <w:p>
            <w:pPr>
              <w:pStyle w:val="nTable"/>
              <w:spacing w:after="40"/>
            </w:pPr>
            <w:r>
              <w:t>21 of 2019</w:t>
            </w:r>
          </w:p>
        </w:tc>
        <w:tc>
          <w:tcPr>
            <w:tcW w:w="1133" w:type="dxa"/>
            <w:tcBorders>
              <w:top w:val="nil"/>
              <w:left w:val="nil"/>
              <w:bottom w:val="single" w:sz="4" w:space="0" w:color="auto"/>
              <w:right w:val="nil"/>
            </w:tcBorders>
          </w:tcPr>
          <w:p>
            <w:pPr>
              <w:pStyle w:val="nTable"/>
              <w:spacing w:after="40"/>
            </w:pPr>
            <w:r>
              <w:t>18 Sep 2019</w:t>
            </w:r>
          </w:p>
        </w:tc>
        <w:tc>
          <w:tcPr>
            <w:tcW w:w="2540" w:type="dxa"/>
            <w:tcBorders>
              <w:top w:val="nil"/>
              <w:left w:val="nil"/>
              <w:bottom w:val="single" w:sz="4" w:space="0" w:color="auto"/>
            </w:tcBorders>
          </w:tcPr>
          <w:p>
            <w:pPr>
              <w:pStyle w:val="nTable"/>
              <w:spacing w:after="40"/>
              <w:rPr>
                <w:snapToGrid w:val="0"/>
              </w:rPr>
            </w:pPr>
            <w:r>
              <w:rPr>
                <w:snapToGrid w:val="0"/>
              </w:rPr>
              <w:t>To be proclaimed (see s. 2(1)(b)(xiii))</w:t>
            </w:r>
          </w:p>
        </w:tc>
      </w:tr>
    </w:tbl>
    <w:p>
      <w:pPr>
        <w:pStyle w:val="nHeading3"/>
      </w:pPr>
      <w:bookmarkStart w:id="78" w:name="_Toc224311764"/>
      <w:r>
        <w:t>Other notes</w:t>
      </w:r>
      <w:bookmarkEnd w:id="78"/>
    </w:p>
    <w:p>
      <w:pPr>
        <w:pStyle w:val="nNote"/>
        <w:spacing w:before="160"/>
        <w:rPr>
          <w:rStyle w:val="DraftersNotes"/>
        </w:rPr>
      </w:pPr>
      <w:r>
        <w:rPr>
          <w:vertAlign w:val="superscript"/>
        </w:rPr>
        <w:t>1</w:t>
      </w:r>
      <w:r>
        <w:tab/>
      </w:r>
      <w:r>
        <w:rPr>
          <w:snapToGrid w:val="0"/>
        </w:rPr>
        <w:t xml:space="preserve">The State Government Insurance Corporation ceased to exist on 1 July 2012. </w:t>
      </w:r>
    </w:p>
    <w:p>
      <w:pPr>
        <w:pStyle w:val="nNote"/>
      </w:pPr>
      <w:r>
        <w:rPr>
          <w:vertAlign w:val="superscript"/>
        </w:rPr>
        <w:t>2</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Note"/>
      </w:pPr>
      <w:r>
        <w:rPr>
          <w:vertAlign w:val="superscript"/>
        </w:rPr>
        <w:t>3</w:t>
      </w:r>
      <w:r>
        <w:tab/>
        <w:t xml:space="preserve">Repealed by the </w:t>
      </w:r>
      <w:r>
        <w:rPr>
          <w:i/>
        </w:rPr>
        <w:t>Meat Industry Legislation (Amendment and Repeal) Act 1993</w:t>
      </w:r>
      <w:r>
        <w:t>.</w:t>
      </w:r>
    </w:p>
    <w:p>
      <w:pPr>
        <w:pStyle w:val="nNote"/>
        <w:keepLines/>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87 is not included because that section was repealed by the </w:t>
      </w:r>
      <w:r>
        <w:rPr>
          <w:i/>
          <w:snapToGrid w:val="0"/>
        </w:rPr>
        <w:t>State Superannuation Amendment Act 2011</w:t>
      </w:r>
      <w:r>
        <w:rPr>
          <w:snapToGrid w:val="0"/>
        </w:rPr>
        <w:t xml:space="preserve"> s. 4 before it came into operation.</w:t>
      </w:r>
    </w:p>
    <w:p>
      <w:pPr>
        <w:pStyle w:val="nNote"/>
        <w:keepNext/>
        <w:keepLines/>
        <w:spacing w:before="120"/>
      </w:pPr>
      <w:r>
        <w:rPr>
          <w:snapToGrid w:val="0"/>
          <w:vertAlign w:val="superscript"/>
        </w:rPr>
        <w:t>5</w:t>
      </w:r>
      <w:r>
        <w:rPr>
          <w:snapToGrid w:val="0"/>
        </w:rPr>
        <w:tab/>
      </w:r>
      <w:r>
        <w:t xml:space="preserve">The amendment in the </w:t>
      </w:r>
      <w:r>
        <w:rPr>
          <w:i/>
          <w:snapToGrid w:val="0"/>
        </w:rPr>
        <w:t>Ports Legislation Amendment Act 2014</w:t>
      </w:r>
      <w:r>
        <w:rPr>
          <w:snapToGrid w:val="0"/>
        </w:rPr>
        <w:t xml:space="preserve"> s. 45(4)(b) is not included because it is a duplication of the amendment in s. 45(3)(b) of that Act.</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80" w:name="_Toc224293206"/>
      <w:bookmarkStart w:id="81" w:name="_Toc224293733"/>
      <w:bookmarkStart w:id="82" w:name="_Toc224293772"/>
      <w:bookmarkStart w:id="83" w:name="_Toc224311765"/>
      <w:r>
        <w:rPr>
          <w:sz w:val="28"/>
        </w:rPr>
        <w:lastRenderedPageBreak/>
        <w:t>Defined terms</w:t>
      </w:r>
      <w:bookmarkEnd w:id="80"/>
      <w:bookmarkEnd w:id="81"/>
      <w:bookmarkEnd w:id="82"/>
      <w:bookmarkEnd w:id="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4, 7(1)</w:t>
      </w:r>
    </w:p>
    <w:p>
      <w:pPr>
        <w:pStyle w:val="DefinedTerms"/>
      </w:pPr>
      <w:r>
        <w:t>director</w:t>
      </w:r>
      <w:r>
        <w:tab/>
        <w:t>4, 7(1)</w:t>
      </w:r>
    </w:p>
    <w:p>
      <w:pPr>
        <w:pStyle w:val="DefinedTerms"/>
      </w:pPr>
      <w:r>
        <w:t>governing body</w:t>
      </w:r>
      <w:r>
        <w:tab/>
        <w:t>16(1)</w:t>
      </w:r>
    </w:p>
    <w:p>
      <w:pPr>
        <w:pStyle w:val="DefinedTerms"/>
      </w:pPr>
      <w:r>
        <w:t>GTE</w:t>
      </w:r>
      <w:r>
        <w:tab/>
        <w:t>4</w:t>
      </w:r>
    </w:p>
    <w:p>
      <w:pPr>
        <w:pStyle w:val="DefinedTerms"/>
      </w:pPr>
      <w:r>
        <w:t>responsible Minister</w:t>
      </w:r>
      <w:r>
        <w:tab/>
        <w:t>15(2), 16(1)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7380093</wp:posOffset>
                </wp:positionV>
                <wp:extent cx="127000" cy="771586"/>
                <wp:effectExtent l="0" t="0" r="1905" b="9525"/>
                <wp:wrapNone/>
                <wp:docPr id="1" name="Authority"/>
                <wp:cNvGraphicFramePr/>
                <a:graphic xmlns:a="http://schemas.openxmlformats.org/drawingml/2006/main">
                  <a:graphicData uri="http://schemas.microsoft.com/office/word/2010/wordprocessingShape">
                    <wps:wsp>
                      <wps:cNvSpPr txBox="1"/>
                      <wps:spPr>
                        <a:xfrm>
                          <a:off x="0" y="0"/>
                          <a:ext cx="127000" cy="771586"/>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oel="http://schemas.microsoft.com/office/2019/extlst">
            <w:pict>
              <v:shapetype w14:anchorId="67998B15" id="_x0000_t202" coordsize="21600,21600" o:spt="202" path="m,l,21600r21600,l21600,xe">
                <v:stroke joinstyle="miter"/>
                <v:path gradientshapeok="t" o:connecttype="rect"/>
              </v:shapetype>
              <v:shape id="Authority" o:spid="_x0000_s1026" type="#_x0000_t202" style="position:absolute;margin-left:0;margin-top:581.1pt;width:10pt;height:60.7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" stroked="f" strokeweight=".5pt">
                <v:textbox>
                  <w:txbxContent>
                    <w:p w14:paraId="29B02E3C" w14:textId="0E526246" w:rsidR="00033C6F" w:rsidRDefault="00FE616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7165A">
                        <w:rPr>
                          <w:sz w:val="16"/>
                        </w:rPr>
                        <w:t>2026</w:t>
                      </w:r>
                      <w:r>
                        <w:rPr>
                          <w:sz w:val="16"/>
                        </w:rPr>
                        <w:fldChar w:fldCharType="end"/>
                      </w:r>
                      <w:r>
                        <w:rPr>
                          <w:sz w:val="16"/>
                        </w:rPr>
                        <w:t>.</w:t>
                      </w:r>
                    </w:p>
                    <w:p w14:paraId="66EA72F6" w14:textId="77777777" w:rsidR="00033C6F" w:rsidRDefault="00FE616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B49316E" w14:textId="3EEB92E0" w:rsidR="00033C6F" w:rsidRDefault="00FE616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7165A">
                        <w:rPr>
                          <w:sz w:val="16"/>
                        </w:rPr>
                        <w:t>2026</w:t>
                      </w:r>
                      <w:r>
                        <w:rPr>
                          <w:sz w:val="16"/>
                        </w:rPr>
                        <w:fldChar w:fldCharType="end"/>
                      </w:r>
                      <w:r>
                        <w:rPr>
                          <w:sz w:val="16"/>
                        </w:rPr>
                        <w:t>.</w:t>
                      </w:r>
                    </w:p>
                    <w:p w14:paraId="51FA13E3" w14:textId="71A900B1" w:rsidR="00033C6F" w:rsidRDefault="00FE616F">
                      <w:pPr>
                        <w:ind w:left="2438" w:right="2098"/>
                        <w:jc w:val="center"/>
                        <w:rPr>
                          <w:rFonts w:ascii="Arial" w:hAnsi="Arial" w:cs="Arial"/>
                          <w:sz w:val="12"/>
                        </w:rPr>
                      </w:pPr>
                      <w:r>
                        <w:rPr>
                          <w:rFonts w:ascii="Arial" w:hAnsi="Arial" w:cs="Arial"/>
                          <w:sz w:val="12"/>
                        </w:rPr>
                        <w:t xml:space="preserve">By Authority: </w:t>
                      </w:r>
                      <w:r w:rsidR="0076167D">
                        <w:rPr>
                          <w:rFonts w:ascii="Arial" w:hAnsi="Arial" w:cs="Arial"/>
                          <w:sz w:val="12"/>
                        </w:rPr>
                        <w:t>ROGER JACOBS</w:t>
                      </w:r>
                      <w:r>
                        <w:rPr>
                          <w:rFonts w:ascii="Arial" w:hAnsi="Arial" w:cs="Arial"/>
                          <w:sz w:val="12"/>
                        </w:rPr>
                        <w:t>,</w:t>
                      </w:r>
                      <w:r w:rsidR="0076167D">
                        <w:rPr>
                          <w:rFonts w:ascii="Arial" w:hAnsi="Arial" w:cs="Arial"/>
                          <w:sz w:val="12"/>
                        </w:rPr>
                        <w:t xml:space="preserve"> Acting</w:t>
                      </w:r>
                      <w:r>
                        <w:rPr>
                          <w:rFonts w:ascii="Arial" w:hAnsi="Arial" w:cs="Arial"/>
                          <w:sz w:val="12"/>
                        </w:rPr>
                        <w:t xml:space="preserve">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71" w:name="Schedule"/>
    <w:bookmarkEnd w:id="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9" w:name="Compilation"/>
    <w:bookmarkEnd w:id="7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4" w:name="DefinedTerms"/>
    <w:bookmarkEnd w:id="8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5" w:name="Coversheet"/>
    <w:bookmarkEnd w:id="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2EE8E9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9"/>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13111758"/>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 w:name="WAFER_20140619154119" w:val="RemoveTocBookmarks,RemoveUnusedBookmarks,RemoveLanguageTags,UsedStyles,ResetPageSize,UpdateArrangement"/>
    <w:docVar w:name="WAFER_20140619154119_GUID" w:val="5a064643-f9de-4c4d-a089-03dd2924ec4f"/>
    <w:docVar w:name="WAFER_20140811095723" w:val="RemoveTocBookmarks,RemoveUnusedBookmarks,RemoveLanguageTags,UsedStyles,ResetPageSize,UpdateArrangement"/>
    <w:docVar w:name="WAFER_20140811095723_GUID" w:val="3f836468-fc9e-4217-b0e6-cb9d46e61128"/>
    <w:docVar w:name="WAFER_20140919113556" w:val="RemoveTocBookmarks,RunningHeaders"/>
    <w:docVar w:name="WAFER_20140919113556_GUID" w:val="2293c17a-4cc8-44dd-94eb-782c2160d7b0"/>
    <w:docVar w:name="WAFER_20150713103826" w:val="ResetPageSize,UpdateArrangement,UpdateNTable"/>
    <w:docVar w:name="WAFER_20150713103826_GUID" w:val="f53ec77a-07ce-4094-a4a5-c06c4e867f2f"/>
    <w:docVar w:name="WAFER_20151109175209" w:val="UpdateStyles,UsedStyles"/>
    <w:docVar w:name="WAFER_20151109175209_GUID" w:val="215f61f7-7a1b-44a8-8147-2ce8df0f6596"/>
    <w:docVar w:name="WAFER_20160803164115" w:val="RemoveTocBookmarks,RemoveUnusedBookmarks,RemoveLanguageTags,UsedStyles,ResetPageSize,RemoveCustomizations"/>
    <w:docVar w:name="WAFER_20160803164115_GUID" w:val="74736861-ce37-443b-bf7f-343aab64ee19"/>
    <w:docVar w:name="WAFER_20160831121501" w:val="RemoveTocBookmarks,RemoveUnusedBookmarks,RemoveLanguageTags,UsedStyles,RemoveTrackChanges"/>
    <w:docVar w:name="WAFER_20160831121501_GUID" w:val="a3bcc723-c55e-4aa7-accd-3a20b76b4df9"/>
    <w:docVar w:name="WAFER_20160831121516" w:val="RemoveTocBookmarks,RemoveLanguageTags,RemoveTrackChanges,RunningHeaders"/>
    <w:docVar w:name="WAFER_20160831121516_GUID" w:val="600ffe07-aa8e-4ed1-bb73-681b7a670d8d"/>
    <w:docVar w:name="WAFER_20170131141335" w:val="RemoveTocBookmarks,RemoveUnusedBookmarks,RemoveLanguageTags,UsedStyles,ResetPageSize"/>
    <w:docVar w:name="WAFER_20170131141335_GUID" w:val="eb5a5f50-20d5-4846-99ca-3cfc83f72b69"/>
    <w:docVar w:name="WAFER_20180726142329" w:val="RemoveTocBookmarks,RemoveUnusedBookmarks,RemoveLanguageTags,UsedStyles,ResetPageSize"/>
    <w:docVar w:name="WAFER_20180726142329_GUID" w:val="164e818d-5532-44f7-9c73-c6533df8b602"/>
    <w:docVar w:name="WAFER_202105181556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18155609_GUID" w:val="b4381f12-50b3-4920-a780-5335a230475e"/>
    <w:docVar w:name="WAFER_2021090814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35_GUID" w:val="a2e6d108-7d33-4354-b64d-ebd04730f429"/>
    <w:docVar w:name="WAFER_202206101337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710_GUID" w:val="74ac0225-4d43-45a0-8a47-993afac04101"/>
    <w:docVar w:name="WAFER_202206221001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129_GUID" w:val="5b77edf6-93dc-4e2c-9bbd-bfbc6958c420"/>
    <w:docVar w:name="WAFER_202206221045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4551_GUID" w:val="c22a4412-fc5f-43f9-bfc3-05d426af9ecd"/>
    <w:docVar w:name="WAFER_20230623103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03339_GUID" w:val="7d12d9e8-4d4e-48e7-94b7-34f4505ac325"/>
    <w:docVar w:name="WAFER_20230628094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94453_GUID" w:val="9e8c7f61-2364-4745-9d75-7bc316517332"/>
    <w:docVar w:name="WAFER_20231227142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722_GUID" w:val="3a12eccf-5b98-4c2c-9cf4-dde365550c10"/>
    <w:docVar w:name="WAFER_202411131127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112717_GUID" w:val="6e05f59e-7646-40f0-ae9c-b7453b68c09c"/>
    <w:docVar w:name="WAFER_20260313111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13111758_GUID" w:val="e4811c53-3ec5-44ff-aff6-ebb02ccb14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4482</Words>
  <Characters>20264</Characters>
  <Application>Microsoft Office Word</Application>
  <DocSecurity>0</DocSecurity>
  <Lines>810</Lines>
  <Paragraphs>526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1996 - 06-j0-00</dc:title>
  <dc:subject/>
  <dc:creator/>
  <cp:keywords/>
  <dc:description/>
  <cp:lastModifiedBy>Master Repository Process</cp:lastModifiedBy>
  <cp:revision>4</cp:revision>
  <cp:lastPrinted>2018-07-27T01:38:00Z</cp:lastPrinted>
  <dcterms:created xsi:type="dcterms:W3CDTF">2026-03-17T08:06:00Z</dcterms:created>
  <dcterms:modified xsi:type="dcterms:W3CDTF">2026-03-17T08:06:00Z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DocumentType">
    <vt:lpwstr>Act</vt:lpwstr>
  </property>
  <property fmtid="{D5CDD505-2E9C-101B-9397-08002B2CF9AE}" pid="4" name="OwlsUID">
    <vt:i4>790</vt:i4>
  </property>
  <property fmtid="{D5CDD505-2E9C-101B-9397-08002B2CF9AE}" pid="5" name="ReprintedAsAt">
    <vt:filetime>2016-09-22T16:00:00Z</vt:filetime>
  </property>
  <property fmtid="{D5CDD505-2E9C-101B-9397-08002B2CF9AE}" pid="6" name="ReprintNo">
    <vt:lpwstr>6</vt:lpwstr>
  </property>
  <property fmtid="{D5CDD505-2E9C-101B-9397-08002B2CF9AE}" pid="7" name="CommencementDate">
    <vt:lpwstr>20260319</vt:lpwstr>
  </property>
  <property fmtid="{D5CDD505-2E9C-101B-9397-08002B2CF9AE}" pid="8" name="CommencementAsAt">
    <vt:filetime>2026-03-18T16:00:00Z</vt:filetime>
  </property>
  <property fmtid="{D5CDD505-2E9C-101B-9397-08002B2CF9AE}" pid="9" name="CommencementYear">
    <vt:lpwstr>2026</vt:lpwstr>
  </property>
  <property fmtid="{D5CDD505-2E9C-101B-9397-08002B2CF9AE}" pid="10" name="AsAtDate">
    <vt:lpwstr>19 Mar 2026</vt:lpwstr>
  </property>
  <property fmtid="{D5CDD505-2E9C-101B-9397-08002B2CF9AE}" pid="11" name="Suffix">
    <vt:lpwstr>06-j0-00</vt:lpwstr>
  </property>
  <property fmtid="{D5CDD505-2E9C-101B-9397-08002B2CF9AE}" pid="12" name="Official">
    <vt:lpwstr/>
  </property>
</Properties>
</file>