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_Toc224889444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_Toc224889445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6) 2026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24888960"/>
      <w:bookmarkStart w:id="3" w:name="_Toc2248894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6) 2026</w:t>
      </w:r>
      <w:r>
        <w:t>.</w:t>
      </w:r>
    </w:p>
    <w:p>
      <w:pPr>
        <w:pStyle w:val="Heading5"/>
      </w:pPr>
      <w:bookmarkStart w:id="4" w:name="_Toc224888961"/>
      <w:bookmarkStart w:id="5" w:name="_Toc22488944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>The following therapeutic legislative instrument has been made and published on the Federal Register of Legislation website www.legislation.gov.au:</w:t>
      </w:r>
    </w:p>
    <w:p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 xml:space="preserve">Therapeutic Goods (Medical Devices—Foreign Countries) </w:t>
      </w:r>
      <w:r>
        <w:rPr>
          <w:color w:val="000000" w:themeColor="text1"/>
          <w:szCs w:val="24"/>
        </w:rPr>
        <w:t>Determination</w:t>
      </w:r>
      <w:r>
        <w:t> 2026</w:t>
      </w:r>
    </w:p>
    <w:p>
      <w:pPr>
        <w:pStyle w:val="PermNoteHeading"/>
        <w:tabs>
          <w:tab w:val="left" w:pos="426"/>
        </w:tabs>
        <w:ind w:left="709" w:firstLine="579"/>
      </w:pPr>
      <w:r>
        <w:t>Note: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 2024</w:t>
      </w:r>
      <w:r>
        <w:t xml:space="preserve"> section 10(1) (subject to section 10(2) of that Act). The above instrument may not have effect under the </w:t>
      </w:r>
      <w:r>
        <w:rPr>
          <w:i/>
          <w:iCs/>
        </w:rPr>
        <w:t>Therapeutic Goods Law Application Act 2024</w:t>
      </w:r>
      <w:r>
        <w:t xml:space="preserve"> section 11 or may cease to have effect under the </w:t>
      </w:r>
      <w:r>
        <w:rPr>
          <w:i/>
          <w:iCs/>
        </w:rPr>
        <w:t>Therapeutic Goods Law Application Act 2024</w:t>
      </w:r>
      <w:r>
        <w:t xml:space="preserve"> section 13.</w:t>
      </w:r>
    </w:p>
    <w:p>
      <w:pPr>
        <w:pStyle w:val="ByCommand"/>
        <w:spacing w:before="600"/>
        <w:rPr>
          <w:b/>
          <w:bCs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</w:rPr>
        <w:t>JANE LAURENCE</w:t>
      </w:r>
      <w:r>
        <w:rPr>
          <w:b/>
          <w:bCs/>
        </w:rPr>
        <w:br/>
        <w:t>GENERAL COUNSEL AND DIRECTOR</w:t>
      </w:r>
      <w:r>
        <w:rPr>
          <w:b/>
          <w:bCs/>
        </w:rPr>
        <w:br/>
        <w:t>LEGAL AND LEGISLATIVE SERVICES</w:t>
      </w:r>
      <w:r>
        <w:rPr>
          <w:b/>
          <w:bCs/>
        </w:rPr>
        <w:br/>
        <w:t>DEPARTMENT OF HEALTH</w:t>
      </w:r>
      <w:r>
        <w:t xml:space="preserve"> </w:t>
      </w:r>
      <w:r>
        <w:rPr>
          <w:b/>
          <w:bCs/>
        </w:rPr>
        <w:t>WA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7460673</wp:posOffset>
                </wp:positionV>
                <wp:extent cx="127000" cy="696191"/>
                <wp:effectExtent l="0" t="0" r="1905" b="889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61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7.45pt;width:10pt;height:54.8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3200847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2008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20082838_GUID" w:val="4ed1770f-a504-45fd-b716-09b2458d3a20"/>
    <w:docVar w:name="WAFER_202603200847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20084756_GUID" w:val="8dd1b83a-33d7-4e3c-a1ed-dc0c6c1d92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E1233AAD-0465-42B4-8330-E408ADDE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248</Words>
  <Characters>1475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6)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2026-03-20T00:59:00Z</dcterms:created>
  <dcterms:modified xsi:type="dcterms:W3CDTF">2026-03-20T00:59:00Z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55883</vt:lpwstr>
  </property>
  <property fmtid="{D5CDD505-2E9C-101B-9397-08002B2CF9AE}" pid="3" name="DocumentType">
    <vt:lpwstr>Reg</vt:lpwstr>
  </property>
  <property fmtid="{D5CDD505-2E9C-101B-9397-08002B2CF9AE}" pid="4" name="AsAtDate">
    <vt:lpwstr>23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2026/33</vt:lpwstr>
  </property>
  <property fmtid="{D5CDD505-2E9C-101B-9397-08002B2CF9AE}" pid="8" name="PublishDate">
    <vt:lpwstr>23 Mar 2026</vt:lpwstr>
  </property>
  <property fmtid="{D5CDD505-2E9C-101B-9397-08002B2CF9AE}" pid="9" name="CommencementDate">
    <vt:lpwstr>20260323</vt:lpwstr>
  </property>
  <property fmtid="{D5CDD505-2E9C-101B-9397-08002B2CF9AE}" pid="10" name="CommencementAsAt">
    <vt:filetime>2026-03-22T16:00:00Z</vt:filetime>
  </property>
  <property fmtid="{D5CDD505-2E9C-101B-9397-08002B2CF9AE}" pid="11" name="CommencementYear">
    <vt:lpwstr>2026</vt:lpwstr>
  </property>
</Properties>
</file>