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t>Short title</w:t>
      </w:r>
      <w:r>
        <w:tab/>
      </w:r>
      <w:r>
        <w:fldChar w:fldCharType="begin"/>
      </w:r>
      <w:r>
        <w:instrText xml:space="preserve"> PAGEREF _Toc225329592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w:t>
      </w:r>
      <w:r>
        <w:rPr>
          <w:snapToGrid w:val="0"/>
        </w:rPr>
        <w:tab/>
        <w:t>Commencement</w:t>
      </w:r>
      <w:r>
        <w:tab/>
      </w:r>
      <w:r>
        <w:fldChar w:fldCharType="begin"/>
      </w:r>
      <w:r>
        <w:instrText xml:space="preserve"> PAGEREF _Toc225329593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w:t>
      </w:r>
      <w:r>
        <w:rPr>
          <w:snapToGrid w:val="0"/>
        </w:rPr>
        <w:t>.</w:t>
      </w:r>
      <w:r>
        <w:rPr>
          <w:snapToGrid w:val="0"/>
        </w:rPr>
        <w:tab/>
        <w:t>Terms used</w:t>
      </w:r>
      <w:r>
        <w:tab/>
      </w:r>
      <w:r>
        <w:fldChar w:fldCharType="begin"/>
      </w:r>
      <w:r>
        <w:instrText xml:space="preserve"> PAGEREF _Toc225329594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3A.</w:t>
      </w:r>
      <w:r>
        <w:tab/>
        <w:t>References to residential premises or premises</w:t>
      </w:r>
      <w:r>
        <w:tab/>
      </w:r>
      <w:r>
        <w:fldChar w:fldCharType="begin"/>
      </w:r>
      <w:r>
        <w:instrText xml:space="preserve"> PAGEREF _Toc225329595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4</w:t>
      </w:r>
      <w:r>
        <w:rPr>
          <w:snapToGrid w:val="0"/>
        </w:rPr>
        <w:t>.</w:t>
      </w:r>
      <w:r>
        <w:rPr>
          <w:snapToGrid w:val="0"/>
        </w:rPr>
        <w:tab/>
        <w:t>Position of Crown</w:t>
      </w:r>
      <w:r>
        <w:tab/>
      </w:r>
      <w:r>
        <w:fldChar w:fldCharType="begin"/>
      </w:r>
      <w:r>
        <w:instrText xml:space="preserve"> PAGEREF _Toc225329596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5</w:t>
      </w:r>
      <w:r>
        <w:rPr>
          <w:snapToGrid w:val="0"/>
        </w:rPr>
        <w:t>.</w:t>
      </w:r>
      <w:r>
        <w:rPr>
          <w:snapToGrid w:val="0"/>
        </w:rPr>
        <w:tab/>
        <w:t>Application of Act</w:t>
      </w:r>
      <w:r>
        <w:tab/>
      </w:r>
      <w:r>
        <w:fldChar w:fldCharType="begin"/>
      </w:r>
      <w:r>
        <w:instrText xml:space="preserve"> PAGEREF _Toc225329597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6</w:t>
      </w:r>
      <w:r>
        <w:rPr>
          <w:snapToGrid w:val="0"/>
        </w:rPr>
        <w:t>.</w:t>
      </w:r>
      <w:r>
        <w:rPr>
          <w:snapToGrid w:val="0"/>
        </w:rPr>
        <w:tab/>
        <w:t>Modification of application of Act by regulation</w:t>
      </w:r>
      <w:r>
        <w:tab/>
      </w:r>
      <w:r>
        <w:fldChar w:fldCharType="begin"/>
      </w:r>
      <w:r>
        <w:instrText xml:space="preserve"> PAGEREF _Toc225329598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7</w:t>
      </w:r>
      <w:r>
        <w:rPr>
          <w:snapToGrid w:val="0"/>
        </w:rPr>
        <w:t>.</w:t>
      </w:r>
      <w:r>
        <w:rPr>
          <w:snapToGrid w:val="0"/>
        </w:rPr>
        <w:tab/>
      </w:r>
      <w:r>
        <w:rPr>
          <w:bCs/>
        </w:rPr>
        <w:t>Transitional provisions relating to commencement of this Act</w:t>
      </w:r>
      <w:r>
        <w:tab/>
      </w:r>
      <w:r>
        <w:fldChar w:fldCharType="begin"/>
      </w:r>
      <w:r>
        <w:instrText xml:space="preserve"> PAGEREF _Toc225329599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Administration</w:t>
      </w:r>
    </w:p>
    <w:p>
      <w:pPr>
        <w:pStyle w:val="TOC8"/>
        <w:rPr>
          <w:rFonts w:asciiTheme="minorHAnsi" w:eastAsiaTheme="minorEastAsia" w:hAnsiTheme="minorHAnsi" w:cstheme="minorBidi"/>
          <w:kern w:val="2"/>
          <w:sz w:val="24"/>
          <w:szCs w:val="24"/>
          <w14:ligatures w14:val="standardContextual"/>
        </w:rPr>
      </w:pPr>
      <w:r>
        <w:t>7A.</w:t>
      </w:r>
      <w:r>
        <w:tab/>
        <w:t>Commissioner</w:t>
      </w:r>
      <w:r>
        <w:tab/>
      </w:r>
      <w:r>
        <w:fldChar w:fldCharType="begin"/>
      </w:r>
      <w:r>
        <w:instrText xml:space="preserve"> PAGEREF _Toc225329601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8</w:t>
      </w:r>
      <w:r>
        <w:rPr>
          <w:snapToGrid w:val="0"/>
        </w:rPr>
        <w:t>.</w:t>
      </w:r>
      <w:r>
        <w:rPr>
          <w:snapToGrid w:val="0"/>
        </w:rPr>
        <w:tab/>
        <w:t>Functions of Commissioner</w:t>
      </w:r>
      <w:r>
        <w:tab/>
      </w:r>
      <w:r>
        <w:fldChar w:fldCharType="begin"/>
      </w:r>
      <w:r>
        <w:instrText xml:space="preserve"> PAGEREF _Toc225329602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9</w:t>
      </w:r>
      <w:r>
        <w:rPr>
          <w:snapToGrid w:val="0"/>
        </w:rPr>
        <w:t>.</w:t>
      </w:r>
      <w:r>
        <w:rPr>
          <w:snapToGrid w:val="0"/>
        </w:rPr>
        <w:tab/>
        <w:t>Commissioner may institute or defend proceedings for party</w:t>
      </w:r>
      <w:r>
        <w:tab/>
      </w:r>
      <w:r>
        <w:fldChar w:fldCharType="begin"/>
      </w:r>
      <w:r>
        <w:instrText xml:space="preserve"> PAGEREF _Toc225329603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10.</w:t>
      </w:r>
      <w:r>
        <w:tab/>
        <w:t>Delegation</w:t>
      </w:r>
      <w:r>
        <w:tab/>
      </w:r>
      <w:r>
        <w:fldChar w:fldCharType="begin"/>
      </w:r>
      <w:r>
        <w:instrText xml:space="preserve"> PAGEREF _Toc225329604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11.</w:t>
      </w:r>
      <w:r>
        <w:tab/>
        <w:t>Protection from liability</w:t>
      </w:r>
      <w:r>
        <w:tab/>
      </w:r>
      <w:r>
        <w:fldChar w:fldCharType="begin"/>
      </w:r>
      <w:r>
        <w:instrText xml:space="preserve"> PAGEREF _Toc225329605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11AA.</w:t>
      </w:r>
      <w:r>
        <w:tab/>
        <w:t>Disclosure of bond information</w:t>
      </w:r>
      <w:r>
        <w:tab/>
      </w:r>
      <w:r>
        <w:fldChar w:fldCharType="begin"/>
      </w:r>
      <w:r>
        <w:instrText xml:space="preserve"> PAGEREF _Toc225329606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11A.</w:t>
      </w:r>
      <w:r>
        <w:tab/>
        <w:t>Information officially obtained to be confidential</w:t>
      </w:r>
      <w:r>
        <w:tab/>
      </w:r>
      <w:r>
        <w:fldChar w:fldCharType="begin"/>
      </w:r>
      <w:r>
        <w:instrText xml:space="preserve"> PAGEREF _Toc225329607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11B.</w:t>
      </w:r>
      <w:r>
        <w:tab/>
        <w:t>Powers of investigation</w:t>
      </w:r>
      <w:r>
        <w:tab/>
      </w:r>
      <w:r>
        <w:fldChar w:fldCharType="begin"/>
      </w:r>
      <w:r>
        <w:instrText xml:space="preserve"> PAGEREF _Toc225329608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Determination of disputes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Provisions relating to applications made or referred to Commissioner</w:t>
      </w:r>
    </w:p>
    <w:p>
      <w:pPr>
        <w:pStyle w:val="TOC8"/>
        <w:rPr>
          <w:rFonts w:asciiTheme="minorHAnsi" w:eastAsiaTheme="minorEastAsia" w:hAnsiTheme="minorHAnsi" w:cstheme="minorBidi"/>
          <w:kern w:val="2"/>
          <w:sz w:val="24"/>
          <w:szCs w:val="24"/>
          <w14:ligatures w14:val="standardContextual"/>
        </w:rPr>
      </w:pPr>
      <w:r>
        <w:t>11C.</w:t>
      </w:r>
      <w:r>
        <w:tab/>
        <w:t>Application of Division</w:t>
      </w:r>
      <w:r>
        <w:tab/>
      </w:r>
      <w:r>
        <w:fldChar w:fldCharType="begin"/>
      </w:r>
      <w:r>
        <w:instrText xml:space="preserve"> PAGEREF _Toc225329611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11D.</w:t>
      </w:r>
      <w:r>
        <w:tab/>
        <w:t>Parties to application</w:t>
      </w:r>
      <w:r>
        <w:tab/>
      </w:r>
      <w:r>
        <w:fldChar w:fldCharType="begin"/>
      </w:r>
      <w:r>
        <w:instrText xml:space="preserve"> PAGEREF _Toc225329612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11E.</w:t>
      </w:r>
      <w:r>
        <w:tab/>
        <w:t>Disputed tenancy matters</w:t>
      </w:r>
      <w:r>
        <w:tab/>
      </w:r>
      <w:r>
        <w:fldChar w:fldCharType="begin"/>
      </w:r>
      <w:r>
        <w:instrText xml:space="preserve"> PAGEREF _Toc225329613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11F.</w:t>
      </w:r>
      <w:r>
        <w:tab/>
        <w:t>Notice of application and invitation to make submissions</w:t>
      </w:r>
      <w:r>
        <w:tab/>
      </w:r>
      <w:r>
        <w:fldChar w:fldCharType="begin"/>
      </w:r>
      <w:r>
        <w:instrText xml:space="preserve"> PAGEREF _Toc225329614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11G.</w:t>
      </w:r>
      <w:r>
        <w:tab/>
        <w:t>Commissioner may require further information</w:t>
      </w:r>
      <w:r>
        <w:tab/>
      </w:r>
      <w:r>
        <w:fldChar w:fldCharType="begin"/>
      </w:r>
      <w:r>
        <w:instrText xml:space="preserve"> PAGEREF _Toc225329615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11H.</w:t>
      </w:r>
      <w:r>
        <w:tab/>
        <w:t>False or misleading information</w:t>
      </w:r>
      <w:r>
        <w:tab/>
      </w:r>
      <w:r>
        <w:fldChar w:fldCharType="begin"/>
      </w:r>
      <w:r>
        <w:instrText xml:space="preserve"> PAGEREF _Toc225329616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11I.</w:t>
      </w:r>
      <w:r>
        <w:tab/>
        <w:t>Deciding application</w:t>
      </w:r>
      <w:r>
        <w:tab/>
      </w:r>
      <w:r>
        <w:fldChar w:fldCharType="begin"/>
      </w:r>
      <w:r>
        <w:instrText xml:space="preserve"> PAGEREF _Toc225329617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11J.</w:t>
      </w:r>
      <w:r>
        <w:tab/>
        <w:t>Notice of Commissioner’s decision</w:t>
      </w:r>
      <w:r>
        <w:tab/>
      </w:r>
      <w:r>
        <w:fldChar w:fldCharType="begin"/>
      </w:r>
      <w:r>
        <w:instrText xml:space="preserve"> PAGEREF _Toc225329618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11K.</w:t>
      </w:r>
      <w:r>
        <w:tab/>
        <w:t>Commissioner may publish decision and reasons</w:t>
      </w:r>
      <w:r>
        <w:tab/>
      </w:r>
      <w:r>
        <w:fldChar w:fldCharType="begin"/>
      </w:r>
      <w:r>
        <w:instrText xml:space="preserve"> PAGEREF _Toc225329619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11L.</w:t>
      </w:r>
      <w:r>
        <w:tab/>
        <w:t>Commissioner may decline to decide application and refer parties to Magistrates Court</w:t>
      </w:r>
      <w:r>
        <w:tab/>
      </w:r>
      <w:r>
        <w:fldChar w:fldCharType="begin"/>
      </w:r>
      <w:r>
        <w:instrText xml:space="preserve"> PAGEREF _Toc225329620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rPr>
          <w:bCs/>
        </w:rPr>
        <w:t>Division 2</w:t>
      </w:r>
      <w:r>
        <w:t> — </w:t>
      </w:r>
      <w:r>
        <w:rPr>
          <w:bCs/>
        </w:rPr>
        <w:t>Disputes determined by the Magistrates Court</w:t>
      </w:r>
    </w:p>
    <w:p>
      <w:pPr>
        <w:pStyle w:val="TOC8"/>
        <w:rPr>
          <w:rFonts w:asciiTheme="minorHAnsi" w:eastAsiaTheme="minorEastAsia" w:hAnsiTheme="minorHAnsi" w:cstheme="minorBidi"/>
          <w:kern w:val="2"/>
          <w:sz w:val="24"/>
          <w:szCs w:val="24"/>
          <w14:ligatures w14:val="standardContextual"/>
        </w:rPr>
      </w:pPr>
      <w:r>
        <w:t>12.</w:t>
      </w:r>
      <w:r>
        <w:tab/>
        <w:t>Terms used</w:t>
      </w:r>
      <w:r>
        <w:tab/>
      </w:r>
      <w:r>
        <w:fldChar w:fldCharType="begin"/>
      </w:r>
      <w:r>
        <w:instrText xml:space="preserve"> PAGEREF _Toc225329622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_Toc225329623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13.</w:t>
      </w:r>
      <w:r>
        <w:tab/>
        <w:t>Jurisdiction over other disputes</w:t>
      </w:r>
      <w:r>
        <w:tab/>
      </w:r>
      <w:r>
        <w:fldChar w:fldCharType="begin"/>
      </w:r>
      <w:r>
        <w:instrText xml:space="preserve"> PAGEREF _Toc225329624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13A.</w:t>
      </w:r>
      <w:r>
        <w:tab/>
      </w:r>
      <w:r>
        <w:rPr>
          <w:snapToGrid w:val="0"/>
        </w:rPr>
        <w:t>Magistrates</w:t>
      </w:r>
      <w:r>
        <w:t xml:space="preserve"> Court’s jurisdiction</w:t>
      </w:r>
      <w:r>
        <w:tab/>
      </w:r>
      <w:r>
        <w:fldChar w:fldCharType="begin"/>
      </w:r>
      <w:r>
        <w:instrText xml:space="preserve"> PAGEREF _Toc225329625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13B.</w:t>
      </w:r>
      <w:r>
        <w:tab/>
        <w:t>Appeals from decisions of registrar</w:t>
      </w:r>
      <w:r>
        <w:tab/>
      </w:r>
      <w:r>
        <w:fldChar w:fldCharType="begin"/>
      </w:r>
      <w:r>
        <w:instrText xml:space="preserve"> PAGEREF _Toc225329626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13C.</w:t>
      </w:r>
      <w:r>
        <w:tab/>
        <w:t>Appeals from decisions of Commissioner</w:t>
      </w:r>
      <w:r>
        <w:tab/>
      </w:r>
      <w:r>
        <w:fldChar w:fldCharType="begin"/>
      </w:r>
      <w:r>
        <w:instrText xml:space="preserve"> PAGEREF _Toc225329627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14</w:t>
      </w:r>
      <w:r>
        <w:rPr>
          <w:snapToGrid w:val="0"/>
        </w:rPr>
        <w:t>.</w:t>
      </w:r>
      <w:r>
        <w:rPr>
          <w:snapToGrid w:val="0"/>
        </w:rPr>
        <w:tab/>
        <w:t>Time for determination of proceedings</w:t>
      </w:r>
      <w:r>
        <w:tab/>
      </w:r>
      <w:r>
        <w:fldChar w:fldCharType="begin"/>
      </w:r>
      <w:r>
        <w:instrText xml:space="preserve"> PAGEREF _Toc225329628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15</w:t>
      </w:r>
      <w:r>
        <w:rPr>
          <w:snapToGrid w:val="0"/>
        </w:rPr>
        <w:t>.</w:t>
      </w:r>
      <w:r>
        <w:rPr>
          <w:snapToGrid w:val="0"/>
        </w:rPr>
        <w:tab/>
        <w:t>Applications for relief and orders that may be made</w:t>
      </w:r>
      <w:r>
        <w:tab/>
      </w:r>
      <w:r>
        <w:fldChar w:fldCharType="begin"/>
      </w:r>
      <w:r>
        <w:instrText xml:space="preserve"> PAGEREF _Toc225329629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16</w:t>
      </w:r>
      <w:r>
        <w:rPr>
          <w:snapToGrid w:val="0"/>
        </w:rPr>
        <w:t>.</w:t>
      </w:r>
      <w:r>
        <w:rPr>
          <w:snapToGrid w:val="0"/>
        </w:rPr>
        <w:tab/>
        <w:t>Enforcement</w:t>
      </w:r>
      <w:r>
        <w:tab/>
      </w:r>
      <w:r>
        <w:fldChar w:fldCharType="begin"/>
      </w:r>
      <w:r>
        <w:instrText xml:space="preserve"> PAGEREF _Toc225329630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17A.</w:t>
      </w:r>
      <w:r>
        <w:tab/>
        <w:t>Disputes between tenants</w:t>
      </w:r>
      <w:r>
        <w:tab/>
      </w:r>
      <w:r>
        <w:fldChar w:fldCharType="begin"/>
      </w:r>
      <w:r>
        <w:instrText xml:space="preserve"> PAGEREF _Toc225329631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17B.</w:t>
      </w:r>
      <w:r>
        <w:tab/>
        <w:t>Determination of rights and liabilities after termination of tenant’s interest on grounds of family violence</w:t>
      </w:r>
      <w:r>
        <w:tab/>
      </w:r>
      <w:r>
        <w:fldChar w:fldCharType="begin"/>
      </w:r>
      <w:r>
        <w:instrText xml:space="preserve"> PAGEREF _Toc225329632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17</w:t>
      </w:r>
      <w:r>
        <w:rPr>
          <w:snapToGrid w:val="0"/>
        </w:rPr>
        <w:t>.</w:t>
      </w:r>
      <w:r>
        <w:rPr>
          <w:snapToGrid w:val="0"/>
        </w:rPr>
        <w:tab/>
        <w:t>Application to vary or set aside order</w:t>
      </w:r>
      <w:r>
        <w:tab/>
      </w:r>
      <w:r>
        <w:fldChar w:fldCharType="begin"/>
      </w:r>
      <w:r>
        <w:instrText xml:space="preserve"> PAGEREF _Toc225329633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18</w:t>
      </w:r>
      <w:r>
        <w:rPr>
          <w:snapToGrid w:val="0"/>
        </w:rPr>
        <w:t>.</w:t>
      </w:r>
      <w:r>
        <w:rPr>
          <w:snapToGrid w:val="0"/>
        </w:rPr>
        <w:tab/>
        <w:t>Form of applications and notice of hearing</w:t>
      </w:r>
      <w:r>
        <w:tab/>
      </w:r>
      <w:r>
        <w:fldChar w:fldCharType="begin"/>
      </w:r>
      <w:r>
        <w:instrText xml:space="preserve"> PAGEREF _Toc225329634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18A.</w:t>
      </w:r>
      <w:r>
        <w:tab/>
        <w:t>Notice of intention to dispute application for release of security bond</w:t>
      </w:r>
      <w:r>
        <w:tab/>
      </w:r>
      <w:r>
        <w:fldChar w:fldCharType="begin"/>
      </w:r>
      <w:r>
        <w:instrText xml:space="preserve"> PAGEREF _Toc225329635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19</w:t>
      </w:r>
      <w:r>
        <w:rPr>
          <w:snapToGrid w:val="0"/>
        </w:rPr>
        <w:t>.</w:t>
      </w:r>
      <w:r>
        <w:rPr>
          <w:snapToGrid w:val="0"/>
        </w:rPr>
        <w:tab/>
        <w:t>Witnesses and inspection of documents</w:t>
      </w:r>
      <w:r>
        <w:tab/>
      </w:r>
      <w:r>
        <w:fldChar w:fldCharType="begin"/>
      </w:r>
      <w:r>
        <w:instrText xml:space="preserve"> PAGEREF _Toc225329636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20</w:t>
      </w:r>
      <w:r>
        <w:rPr>
          <w:snapToGrid w:val="0"/>
        </w:rPr>
        <w:t>.</w:t>
      </w:r>
      <w:r>
        <w:rPr>
          <w:snapToGrid w:val="0"/>
        </w:rPr>
        <w:tab/>
        <w:t>General powers in proceedings</w:t>
      </w:r>
      <w:r>
        <w:tab/>
      </w:r>
      <w:r>
        <w:fldChar w:fldCharType="begin"/>
      </w:r>
      <w:r>
        <w:instrText xml:space="preserve"> PAGEREF _Toc225329637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21.</w:t>
      </w:r>
      <w:r>
        <w:tab/>
        <w:t>Evidence</w:t>
      </w:r>
      <w:r>
        <w:tab/>
      </w:r>
      <w:r>
        <w:fldChar w:fldCharType="begin"/>
      </w:r>
      <w:r>
        <w:instrText xml:space="preserve"> PAGEREF _Toc225329638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22</w:t>
      </w:r>
      <w:r>
        <w:rPr>
          <w:snapToGrid w:val="0"/>
        </w:rPr>
        <w:t>.</w:t>
      </w:r>
      <w:r>
        <w:rPr>
          <w:snapToGrid w:val="0"/>
        </w:rPr>
        <w:tab/>
        <w:t>Presentation of cases</w:t>
      </w:r>
      <w:r>
        <w:tab/>
      </w:r>
      <w:r>
        <w:fldChar w:fldCharType="begin"/>
      </w:r>
      <w:r>
        <w:instrText xml:space="preserve"> PAGEREF _Toc225329639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23</w:t>
      </w:r>
      <w:r>
        <w:rPr>
          <w:snapToGrid w:val="0"/>
        </w:rPr>
        <w:t>.</w:t>
      </w:r>
      <w:r>
        <w:rPr>
          <w:snapToGrid w:val="0"/>
        </w:rPr>
        <w:tab/>
        <w:t>Settlement by conciliation</w:t>
      </w:r>
      <w:r>
        <w:tab/>
      </w:r>
      <w:r>
        <w:fldChar w:fldCharType="begin"/>
      </w:r>
      <w:r>
        <w:instrText xml:space="preserve"> PAGEREF _Toc225329640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24</w:t>
      </w:r>
      <w:r>
        <w:rPr>
          <w:snapToGrid w:val="0"/>
        </w:rPr>
        <w:t>.</w:t>
      </w:r>
      <w:r>
        <w:rPr>
          <w:snapToGrid w:val="0"/>
        </w:rPr>
        <w:tab/>
        <w:t>Costs</w:t>
      </w:r>
      <w:r>
        <w:tab/>
      </w:r>
      <w:r>
        <w:fldChar w:fldCharType="begin"/>
      </w:r>
      <w:r>
        <w:instrText xml:space="preserve"> PAGEREF _Toc225329641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25</w:t>
      </w:r>
      <w:r>
        <w:rPr>
          <w:snapToGrid w:val="0"/>
        </w:rPr>
        <w:t>.</w:t>
      </w:r>
      <w:r>
        <w:rPr>
          <w:snapToGrid w:val="0"/>
        </w:rPr>
        <w:tab/>
        <w:t>Reservation of question of law</w:t>
      </w:r>
      <w:r>
        <w:tab/>
      </w:r>
      <w:r>
        <w:fldChar w:fldCharType="begin"/>
      </w:r>
      <w:r>
        <w:instrText xml:space="preserve"> PAGEREF _Toc225329642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26</w:t>
      </w:r>
      <w:r>
        <w:rPr>
          <w:snapToGrid w:val="0"/>
        </w:rPr>
        <w:t>.</w:t>
      </w:r>
      <w:r>
        <w:rPr>
          <w:snapToGrid w:val="0"/>
        </w:rPr>
        <w:tab/>
        <w:t>Finality of proceedings</w:t>
      </w:r>
      <w:r>
        <w:tab/>
      </w:r>
      <w:r>
        <w:fldChar w:fldCharType="begin"/>
      </w:r>
      <w:r>
        <w:instrText xml:space="preserve"> PAGEREF _Toc225329643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Retaliatory action taken by lessor</w:t>
      </w:r>
    </w:p>
    <w:p>
      <w:pPr>
        <w:pStyle w:val="TOC8"/>
        <w:rPr>
          <w:rFonts w:asciiTheme="minorHAnsi" w:eastAsiaTheme="minorEastAsia" w:hAnsiTheme="minorHAnsi" w:cstheme="minorBidi"/>
          <w:kern w:val="2"/>
          <w:sz w:val="24"/>
          <w:szCs w:val="24"/>
          <w14:ligatures w14:val="standardContextual"/>
        </w:rPr>
      </w:pPr>
      <w:r>
        <w:t>26A.</w:t>
      </w:r>
      <w:r>
        <w:tab/>
        <w:t>Retaliatory action</w:t>
      </w:r>
      <w:r>
        <w:tab/>
      </w:r>
      <w:r>
        <w:fldChar w:fldCharType="begin"/>
      </w:r>
      <w:r>
        <w:instrText xml:space="preserve"> PAGEREF _Toc225329645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26B.</w:t>
      </w:r>
      <w:r>
        <w:tab/>
        <w:t>Retaliatory action taken by lessor</w:t>
      </w:r>
      <w:r>
        <w:tab/>
      </w:r>
      <w:r>
        <w:fldChar w:fldCharType="begin"/>
      </w:r>
      <w:r>
        <w:instrText xml:space="preserve"> PAGEREF _Toc225329646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Residential tenancy agreements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Form of residential tenancy agreement and associated documents</w:t>
      </w:r>
    </w:p>
    <w:p>
      <w:pPr>
        <w:pStyle w:val="TOC8"/>
        <w:rPr>
          <w:rFonts w:asciiTheme="minorHAnsi" w:eastAsiaTheme="minorEastAsia" w:hAnsiTheme="minorHAnsi" w:cstheme="minorBidi"/>
          <w:kern w:val="2"/>
          <w:sz w:val="24"/>
          <w:szCs w:val="24"/>
          <w14:ligatures w14:val="standardContextual"/>
        </w:rPr>
      </w:pPr>
      <w:r>
        <w:t>27A.</w:t>
      </w:r>
      <w:r>
        <w:tab/>
        <w:t>Written residential tenancy agreement to be in approved form</w:t>
      </w:r>
      <w:r>
        <w:tab/>
      </w:r>
      <w:r>
        <w:fldChar w:fldCharType="begin"/>
      </w:r>
      <w:r>
        <w:instrText xml:space="preserve"> PAGEREF _Toc225329649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27B.</w:t>
      </w:r>
      <w:r>
        <w:tab/>
        <w:t>Information to be given to tenant by lessor</w:t>
      </w:r>
      <w:r>
        <w:tab/>
      </w:r>
      <w:r>
        <w:fldChar w:fldCharType="begin"/>
      </w:r>
      <w:r>
        <w:instrText xml:space="preserve"> PAGEREF _Toc225329650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27C.</w:t>
      </w:r>
      <w:r>
        <w:tab/>
      </w:r>
      <w:r>
        <w:rPr>
          <w:snapToGrid w:val="0"/>
        </w:rPr>
        <w:t>Property condition report at start and end of tenancy</w:t>
      </w:r>
      <w:r>
        <w:tab/>
      </w:r>
      <w:r>
        <w:fldChar w:fldCharType="begin"/>
      </w:r>
      <w:r>
        <w:instrText xml:space="preserve"> PAGEREF _Toc225329651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Pr>
          <w:snapToGrid w:val="0"/>
        </w:rPr>
        <w:t> — </w:t>
      </w:r>
      <w:r>
        <w:t>Rent and security bonds</w:t>
      </w:r>
    </w:p>
    <w:p>
      <w:pPr>
        <w:pStyle w:val="TOC8"/>
        <w:rPr>
          <w:rFonts w:asciiTheme="minorHAnsi" w:eastAsiaTheme="minorEastAsia" w:hAnsiTheme="minorHAnsi" w:cstheme="minorBidi"/>
          <w:kern w:val="2"/>
          <w:sz w:val="24"/>
          <w:szCs w:val="24"/>
          <w14:ligatures w14:val="standardContextual"/>
        </w:rPr>
      </w:pPr>
      <w:r>
        <w:t>27</w:t>
      </w:r>
      <w:r>
        <w:rPr>
          <w:snapToGrid w:val="0"/>
        </w:rPr>
        <w:t>.</w:t>
      </w:r>
      <w:r>
        <w:rPr>
          <w:snapToGrid w:val="0"/>
        </w:rPr>
        <w:tab/>
        <w:t>Restriction on consideration for tenancy agreement</w:t>
      </w:r>
      <w:r>
        <w:tab/>
      </w:r>
      <w:r>
        <w:fldChar w:fldCharType="begin"/>
      </w:r>
      <w:r>
        <w:instrText xml:space="preserve"> PAGEREF _Toc225329653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27AA.</w:t>
      </w:r>
      <w:r>
        <w:tab/>
        <w:t>Residential tenancy must be offered for rent at fixed amount</w:t>
      </w:r>
      <w:r>
        <w:tab/>
      </w:r>
      <w:r>
        <w:fldChar w:fldCharType="begin"/>
      </w:r>
      <w:r>
        <w:instrText xml:space="preserve"> PAGEREF _Toc225329654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28</w:t>
      </w:r>
      <w:r>
        <w:rPr>
          <w:snapToGrid w:val="0"/>
        </w:rPr>
        <w:t>.</w:t>
      </w:r>
      <w:r>
        <w:rPr>
          <w:snapToGrid w:val="0"/>
        </w:rPr>
        <w:tab/>
        <w:t>Rent in advance</w:t>
      </w:r>
      <w:r>
        <w:tab/>
      </w:r>
      <w:r>
        <w:fldChar w:fldCharType="begin"/>
      </w:r>
      <w:r>
        <w:instrText xml:space="preserve"> PAGEREF _Toc225329655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29</w:t>
      </w:r>
      <w:r>
        <w:rPr>
          <w:snapToGrid w:val="0"/>
        </w:rPr>
        <w:t>.</w:t>
      </w:r>
      <w:r>
        <w:rPr>
          <w:snapToGrid w:val="0"/>
        </w:rPr>
        <w:tab/>
        <w:t>Security bonds</w:t>
      </w:r>
      <w:r>
        <w:tab/>
      </w:r>
      <w:r>
        <w:fldChar w:fldCharType="begin"/>
      </w:r>
      <w:r>
        <w:instrText xml:space="preserve"> PAGEREF _Toc225329656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30</w:t>
      </w:r>
      <w:r>
        <w:rPr>
          <w:snapToGrid w:val="0"/>
        </w:rPr>
        <w:t>.</w:t>
      </w:r>
      <w:r>
        <w:rPr>
          <w:snapToGrid w:val="0"/>
        </w:rPr>
        <w:tab/>
        <w:t>Variation of rent (except where calculated by reference to tenant’s income)</w:t>
      </w:r>
      <w:r>
        <w:tab/>
      </w:r>
      <w:r>
        <w:fldChar w:fldCharType="begin"/>
      </w:r>
      <w:r>
        <w:instrText xml:space="preserve"> PAGEREF _Toc225329657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31A.</w:t>
      </w:r>
      <w:r>
        <w:tab/>
        <w:t>Variation of rent where calculated by reference to tenant’s income</w:t>
      </w:r>
      <w:r>
        <w:tab/>
      </w:r>
      <w:r>
        <w:fldChar w:fldCharType="begin"/>
      </w:r>
      <w:r>
        <w:instrText xml:space="preserve"> PAGEREF _Toc225329658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31B.</w:t>
      </w:r>
      <w:r>
        <w:tab/>
        <w:t>When residential tenancy agreement is continuation of existing residential tenancy agreement</w:t>
      </w:r>
      <w:r>
        <w:tab/>
      </w:r>
      <w:r>
        <w:fldChar w:fldCharType="begin"/>
      </w:r>
      <w:r>
        <w:instrText xml:space="preserve"> PAGEREF _Toc225329659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31</w:t>
      </w:r>
      <w:r>
        <w:rPr>
          <w:snapToGrid w:val="0"/>
        </w:rPr>
        <w:t>.</w:t>
      </w:r>
      <w:r>
        <w:rPr>
          <w:snapToGrid w:val="0"/>
        </w:rPr>
        <w:tab/>
        <w:t>Increase in security bond</w:t>
      </w:r>
      <w:r>
        <w:tab/>
      </w:r>
      <w:r>
        <w:fldChar w:fldCharType="begin"/>
      </w:r>
      <w:r>
        <w:instrText xml:space="preserve"> PAGEREF _Toc225329660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32</w:t>
      </w:r>
      <w:r>
        <w:rPr>
          <w:snapToGrid w:val="0"/>
        </w:rPr>
        <w:t>.</w:t>
      </w:r>
      <w:r>
        <w:rPr>
          <w:snapToGrid w:val="0"/>
        </w:rPr>
        <w:tab/>
        <w:t>Limitation of excessive rents in certain circumstances</w:t>
      </w:r>
      <w:r>
        <w:tab/>
      </w:r>
      <w:r>
        <w:fldChar w:fldCharType="begin"/>
      </w:r>
      <w:r>
        <w:instrText xml:space="preserve"> PAGEREF _Toc225329661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33</w:t>
      </w:r>
      <w:r>
        <w:rPr>
          <w:snapToGrid w:val="0"/>
        </w:rPr>
        <w:t>.</w:t>
      </w:r>
      <w:r>
        <w:rPr>
          <w:snapToGrid w:val="0"/>
        </w:rPr>
        <w:tab/>
        <w:t>Duty to give receipt for rent</w:t>
      </w:r>
      <w:r>
        <w:tab/>
      </w:r>
      <w:r>
        <w:fldChar w:fldCharType="begin"/>
      </w:r>
      <w:r>
        <w:instrText xml:space="preserve"> PAGEREF _Toc225329662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34A.</w:t>
      </w:r>
      <w:r>
        <w:tab/>
        <w:t>Manner of payment of rent</w:t>
      </w:r>
      <w:r>
        <w:tab/>
      </w:r>
      <w:r>
        <w:fldChar w:fldCharType="begin"/>
      </w:r>
      <w:r>
        <w:instrText xml:space="preserve"> PAGEREF _Toc225329663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34</w:t>
      </w:r>
      <w:r>
        <w:rPr>
          <w:snapToGrid w:val="0"/>
        </w:rPr>
        <w:t>.</w:t>
      </w:r>
      <w:r>
        <w:rPr>
          <w:snapToGrid w:val="0"/>
        </w:rPr>
        <w:tab/>
        <w:t>Proper records of rent to be kept</w:t>
      </w:r>
      <w:r>
        <w:tab/>
      </w:r>
      <w:r>
        <w:fldChar w:fldCharType="begin"/>
      </w:r>
      <w:r>
        <w:instrText xml:space="preserve"> PAGEREF _Toc225329664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_Toc225329665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36</w:t>
      </w:r>
      <w:r>
        <w:rPr>
          <w:snapToGrid w:val="0"/>
        </w:rPr>
        <w:t>.</w:t>
      </w:r>
      <w:r>
        <w:rPr>
          <w:snapToGrid w:val="0"/>
        </w:rPr>
        <w:tab/>
        <w:t>Apportionment of rent</w:t>
      </w:r>
      <w:r>
        <w:tab/>
      </w:r>
      <w:r>
        <w:fldChar w:fldCharType="begin"/>
      </w:r>
      <w:r>
        <w:instrText xml:space="preserve"> PAGEREF _Toc225329666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Pr>
          <w:snapToGrid w:val="0"/>
        </w:rPr>
        <w:t> — </w:t>
      </w:r>
      <w:r>
        <w:t>General standard terms</w:t>
      </w:r>
    </w:p>
    <w:p>
      <w:pPr>
        <w:pStyle w:val="TOC8"/>
        <w:rPr>
          <w:rFonts w:asciiTheme="minorHAnsi" w:eastAsiaTheme="minorEastAsia" w:hAnsiTheme="minorHAnsi" w:cstheme="minorBidi"/>
          <w:kern w:val="2"/>
          <w:sz w:val="24"/>
          <w:szCs w:val="24"/>
          <w14:ligatures w14:val="standardContextual"/>
        </w:rPr>
      </w:pPr>
      <w:r>
        <w:t>38</w:t>
      </w:r>
      <w:r>
        <w:rPr>
          <w:snapToGrid w:val="0"/>
        </w:rPr>
        <w:t>.</w:t>
      </w:r>
      <w:r>
        <w:rPr>
          <w:snapToGrid w:val="0"/>
        </w:rPr>
        <w:tab/>
        <w:t>Tenant’s responsibility for cleanliness and damage</w:t>
      </w:r>
      <w:r>
        <w:tab/>
      </w:r>
      <w:r>
        <w:fldChar w:fldCharType="begin"/>
      </w:r>
      <w:r>
        <w:instrText xml:space="preserve"> PAGEREF _Toc225329668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39</w:t>
      </w:r>
      <w:r>
        <w:rPr>
          <w:snapToGrid w:val="0"/>
        </w:rPr>
        <w:t>.</w:t>
      </w:r>
      <w:r>
        <w:rPr>
          <w:snapToGrid w:val="0"/>
        </w:rPr>
        <w:tab/>
        <w:t>Tenant’s conduct on premises</w:t>
      </w:r>
      <w:r>
        <w:tab/>
      </w:r>
      <w:r>
        <w:fldChar w:fldCharType="begin"/>
      </w:r>
      <w:r>
        <w:instrText xml:space="preserve"> PAGEREF _Toc225329669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40.</w:t>
      </w:r>
      <w:r>
        <w:tab/>
        <w:t>Vacant possession</w:t>
      </w:r>
      <w:r>
        <w:tab/>
      </w:r>
      <w:r>
        <w:fldChar w:fldCharType="begin"/>
      </w:r>
      <w:r>
        <w:instrText xml:space="preserve"> PAGEREF _Toc225329670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41</w:t>
      </w:r>
      <w:r>
        <w:rPr>
          <w:snapToGrid w:val="0"/>
        </w:rPr>
        <w:t>.</w:t>
      </w:r>
      <w:r>
        <w:rPr>
          <w:snapToGrid w:val="0"/>
        </w:rPr>
        <w:tab/>
        <w:t>Legal impediments to occupation as residence</w:t>
      </w:r>
      <w:r>
        <w:tab/>
      </w:r>
      <w:r>
        <w:fldChar w:fldCharType="begin"/>
      </w:r>
      <w:r>
        <w:instrText xml:space="preserve"> PAGEREF _Toc225329671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42.</w:t>
      </w:r>
      <w:r>
        <w:tab/>
        <w:t>Lessor’s responsibility for cleanliness and repairs</w:t>
      </w:r>
      <w:r>
        <w:tab/>
      </w:r>
      <w:r>
        <w:fldChar w:fldCharType="begin"/>
      </w:r>
      <w:r>
        <w:instrText xml:space="preserve"> PAGEREF _Toc225329672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43.</w:t>
      </w:r>
      <w:r>
        <w:tab/>
        <w:t>Urgent repairs</w:t>
      </w:r>
      <w:r>
        <w:tab/>
      </w:r>
      <w:r>
        <w:fldChar w:fldCharType="begin"/>
      </w:r>
      <w:r>
        <w:instrText xml:space="preserve"> PAGEREF _Toc225329673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t>44.</w:t>
      </w:r>
      <w:r>
        <w:tab/>
        <w:t>Quiet enjoyment</w:t>
      </w:r>
      <w:r>
        <w:tab/>
      </w:r>
      <w:r>
        <w:fldChar w:fldCharType="begin"/>
      </w:r>
      <w:r>
        <w:instrText xml:space="preserve"> PAGEREF _Toc225329674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t>45.</w:t>
      </w:r>
      <w:r>
        <w:tab/>
        <w:t>Securing premises</w:t>
      </w:r>
      <w:r>
        <w:tab/>
      </w:r>
      <w:r>
        <w:fldChar w:fldCharType="begin"/>
      </w:r>
      <w:r>
        <w:instrText xml:space="preserve"> PAGEREF _Toc225329675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t>46.</w:t>
      </w:r>
      <w:r>
        <w:tab/>
        <w:t>Lessor’s right of entry</w:t>
      </w:r>
      <w:r>
        <w:tab/>
      </w:r>
      <w:r>
        <w:fldChar w:fldCharType="begin"/>
      </w:r>
      <w:r>
        <w:instrText xml:space="preserve"> PAGEREF _Toc225329676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48</w:t>
      </w:r>
      <w:r>
        <w:rPr>
          <w:snapToGrid w:val="0"/>
        </w:rPr>
        <w:t>.</w:t>
      </w:r>
      <w:r>
        <w:rPr>
          <w:snapToGrid w:val="0"/>
        </w:rPr>
        <w:tab/>
        <w:t>Lessor to bear outgoings in respect of premises</w:t>
      </w:r>
      <w:r>
        <w:tab/>
      </w:r>
      <w:r>
        <w:fldChar w:fldCharType="begin"/>
      </w:r>
      <w:r>
        <w:instrText xml:space="preserve"> PAGEREF _Toc225329677 \h </w:instrText>
      </w:r>
      <w:r>
        <w:fldChar w:fldCharType="separate"/>
      </w:r>
      <w:r>
        <w:t>69</w:t>
      </w:r>
      <w:r>
        <w:fldChar w:fldCharType="end"/>
      </w:r>
    </w:p>
    <w:p>
      <w:pPr>
        <w:pStyle w:val="TOC8"/>
        <w:rPr>
          <w:rFonts w:asciiTheme="minorHAnsi" w:eastAsiaTheme="minorEastAsia" w:hAnsiTheme="minorHAnsi" w:cstheme="minorBidi"/>
          <w:kern w:val="2"/>
          <w:sz w:val="24"/>
          <w:szCs w:val="24"/>
          <w14:ligatures w14:val="standardContextual"/>
        </w:rPr>
      </w:pPr>
      <w:r>
        <w:t>49A.</w:t>
      </w:r>
      <w:r>
        <w:tab/>
        <w:t>Lessor’s and tenant’s responsibilities in respect of public utility services</w:t>
      </w:r>
      <w:r>
        <w:tab/>
      </w:r>
      <w:r>
        <w:fldChar w:fldCharType="begin"/>
      </w:r>
      <w:r>
        <w:instrText xml:space="preserve"> PAGEREF _Toc225329678 \h </w:instrText>
      </w:r>
      <w:r>
        <w:fldChar w:fldCharType="separate"/>
      </w:r>
      <w:r>
        <w:t>69</w:t>
      </w:r>
      <w:r>
        <w:fldChar w:fldCharType="end"/>
      </w:r>
    </w:p>
    <w:p>
      <w:pPr>
        <w:pStyle w:val="TOC8"/>
        <w:rPr>
          <w:rFonts w:asciiTheme="minorHAnsi" w:eastAsiaTheme="minorEastAsia" w:hAnsiTheme="minorHAnsi" w:cstheme="minorBidi"/>
          <w:kern w:val="2"/>
          <w:sz w:val="24"/>
          <w:szCs w:val="24"/>
          <w14:ligatures w14:val="standardContextual"/>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_Toc225329679 \h </w:instrText>
      </w:r>
      <w:r>
        <w:fldChar w:fldCharType="separate"/>
      </w:r>
      <w:r>
        <w:t>71</w:t>
      </w:r>
      <w:r>
        <w:fldChar w:fldCharType="end"/>
      </w:r>
    </w:p>
    <w:p>
      <w:pPr>
        <w:pStyle w:val="TOC8"/>
        <w:rPr>
          <w:rFonts w:asciiTheme="minorHAnsi" w:eastAsiaTheme="minorEastAsia" w:hAnsiTheme="minorHAnsi" w:cstheme="minorBidi"/>
          <w:kern w:val="2"/>
          <w:sz w:val="24"/>
          <w:szCs w:val="24"/>
          <w14:ligatures w14:val="standardContextual"/>
        </w:rPr>
      </w:pPr>
      <w:r>
        <w:t>50</w:t>
      </w:r>
      <w:r>
        <w:rPr>
          <w:snapToGrid w:val="0"/>
        </w:rPr>
        <w:t>.</w:t>
      </w:r>
      <w:r>
        <w:rPr>
          <w:snapToGrid w:val="0"/>
        </w:rPr>
        <w:tab/>
        <w:t>Vicarious responsibility of tenant for breach by other person lawfully on premises</w:t>
      </w:r>
      <w:r>
        <w:tab/>
      </w:r>
      <w:r>
        <w:fldChar w:fldCharType="begin"/>
      </w:r>
      <w:r>
        <w:instrText xml:space="preserve"> PAGEREF _Toc225329680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Standard terms related to keeping pets</w:t>
      </w:r>
    </w:p>
    <w:p>
      <w:pPr>
        <w:pStyle w:val="TOC8"/>
        <w:rPr>
          <w:rFonts w:asciiTheme="minorHAnsi" w:eastAsiaTheme="minorEastAsia" w:hAnsiTheme="minorHAnsi" w:cstheme="minorBidi"/>
          <w:kern w:val="2"/>
          <w:sz w:val="24"/>
          <w:szCs w:val="24"/>
          <w14:ligatures w14:val="standardContextual"/>
        </w:rPr>
      </w:pPr>
      <w:r>
        <w:t>50A.</w:t>
      </w:r>
      <w:r>
        <w:tab/>
        <w:t>Keeping pet at residential premises</w:t>
      </w:r>
      <w:r>
        <w:tab/>
      </w:r>
      <w:r>
        <w:fldChar w:fldCharType="begin"/>
      </w:r>
      <w:r>
        <w:instrText xml:space="preserve"> PAGEREF _Toc225329682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50B.</w:t>
      </w:r>
      <w:r>
        <w:tab/>
        <w:t>Request for consent to keep pet at premises</w:t>
      </w:r>
      <w:r>
        <w:tab/>
      </w:r>
      <w:r>
        <w:fldChar w:fldCharType="begin"/>
      </w:r>
      <w:r>
        <w:instrText xml:space="preserve"> PAGEREF _Toc225329683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50C.</w:t>
      </w:r>
      <w:r>
        <w:tab/>
        <w:t>Conditions for approval to keep pet at premises</w:t>
      </w:r>
      <w:r>
        <w:tab/>
      </w:r>
      <w:r>
        <w:fldChar w:fldCharType="begin"/>
      </w:r>
      <w:r>
        <w:instrText xml:space="preserve"> PAGEREF _Toc225329684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50D.</w:t>
      </w:r>
      <w:r>
        <w:tab/>
        <w:t>Grounds for refusing pet being kept at premises</w:t>
      </w:r>
      <w:r>
        <w:tab/>
      </w:r>
      <w:r>
        <w:fldChar w:fldCharType="begin"/>
      </w:r>
      <w:r>
        <w:instrText xml:space="preserve"> PAGEREF _Toc225329685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50E.</w:t>
      </w:r>
      <w:r>
        <w:tab/>
        <w:t>Lessor’s application for approval to refuse consent to keep pet at premises</w:t>
      </w:r>
      <w:r>
        <w:tab/>
      </w:r>
      <w:r>
        <w:fldChar w:fldCharType="begin"/>
      </w:r>
      <w:r>
        <w:instrText xml:space="preserve"> PAGEREF _Toc225329686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50F.</w:t>
      </w:r>
      <w:r>
        <w:tab/>
        <w:t>Lessor’s application for approval to impose conditions on consent to keep pet at premises</w:t>
      </w:r>
      <w:r>
        <w:tab/>
      </w:r>
      <w:r>
        <w:fldChar w:fldCharType="begin"/>
      </w:r>
      <w:r>
        <w:instrText xml:space="preserve"> PAGEREF _Toc225329687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t>50G.</w:t>
      </w:r>
      <w:r>
        <w:tab/>
        <w:t>Tenant’s application for order that refusal not permitted</w:t>
      </w:r>
      <w:r>
        <w:tab/>
      </w:r>
      <w:r>
        <w:fldChar w:fldCharType="begin"/>
      </w:r>
      <w:r>
        <w:instrText xml:space="preserve"> PAGEREF _Toc225329688 \h </w:instrText>
      </w:r>
      <w:r>
        <w:fldChar w:fldCharType="separate"/>
      </w:r>
      <w:r>
        <w:t>77</w:t>
      </w:r>
      <w:r>
        <w:fldChar w:fldCharType="end"/>
      </w:r>
    </w:p>
    <w:p>
      <w:pPr>
        <w:pStyle w:val="TOC8"/>
        <w:rPr>
          <w:rFonts w:asciiTheme="minorHAnsi" w:eastAsiaTheme="minorEastAsia" w:hAnsiTheme="minorHAnsi" w:cstheme="minorBidi"/>
          <w:kern w:val="2"/>
          <w:sz w:val="24"/>
          <w:szCs w:val="24"/>
          <w14:ligatures w14:val="standardContextual"/>
        </w:rPr>
      </w:pPr>
      <w:r>
        <w:t>50H.</w:t>
      </w:r>
      <w:r>
        <w:tab/>
        <w:t>Tenant’s application for order that conditions imposed on consent are unreasonable</w:t>
      </w:r>
      <w:r>
        <w:tab/>
      </w:r>
      <w:r>
        <w:fldChar w:fldCharType="begin"/>
      </w:r>
      <w:r>
        <w:instrText xml:space="preserve"> PAGEREF _Toc225329689 \h </w:instrText>
      </w:r>
      <w:r>
        <w:fldChar w:fldCharType="separate"/>
      </w:r>
      <w:r>
        <w:t>77</w:t>
      </w:r>
      <w:r>
        <w:fldChar w:fldCharType="end"/>
      </w:r>
    </w:p>
    <w:p>
      <w:pPr>
        <w:pStyle w:val="TOC8"/>
        <w:rPr>
          <w:rFonts w:asciiTheme="minorHAnsi" w:eastAsiaTheme="minorEastAsia" w:hAnsiTheme="minorHAnsi" w:cstheme="minorBidi"/>
          <w:kern w:val="2"/>
          <w:sz w:val="24"/>
          <w:szCs w:val="24"/>
          <w14:ligatures w14:val="standardContextual"/>
        </w:rPr>
      </w:pPr>
      <w:r>
        <w:t>50I.</w:t>
      </w:r>
      <w:r>
        <w:tab/>
        <w:t>Tenant responsible for pet</w:t>
      </w:r>
      <w:r>
        <w:tab/>
      </w:r>
      <w:r>
        <w:fldChar w:fldCharType="begin"/>
      </w:r>
      <w:r>
        <w:instrText xml:space="preserve"> PAGEREF _Toc225329690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2B — Standard terms related to modifications to premises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Modifications by tenant to prevent furniture from falling</w:t>
      </w:r>
    </w:p>
    <w:p>
      <w:pPr>
        <w:pStyle w:val="TOC8"/>
        <w:rPr>
          <w:rFonts w:asciiTheme="minorHAnsi" w:eastAsiaTheme="minorEastAsia" w:hAnsiTheme="minorHAnsi" w:cstheme="minorBidi"/>
          <w:kern w:val="2"/>
          <w:sz w:val="24"/>
          <w:szCs w:val="24"/>
          <w14:ligatures w14:val="standardContextual"/>
        </w:rPr>
      </w:pPr>
      <w:r>
        <w:t>50J.</w:t>
      </w:r>
      <w:r>
        <w:tab/>
        <w:t>Tenant may attach furniture to wall for safety of child or person with disability</w:t>
      </w:r>
      <w:r>
        <w:tab/>
      </w:r>
      <w:r>
        <w:fldChar w:fldCharType="begin"/>
      </w:r>
      <w:r>
        <w:instrText xml:space="preserve"> PAGEREF _Toc225329693 \h </w:instrText>
      </w:r>
      <w:r>
        <w:fldChar w:fldCharType="separate"/>
      </w:r>
      <w:r>
        <w:t>79</w:t>
      </w:r>
      <w:r>
        <w:fldChar w:fldCharType="end"/>
      </w:r>
    </w:p>
    <w:p>
      <w:pPr>
        <w:pStyle w:val="TOC8"/>
        <w:rPr>
          <w:rFonts w:asciiTheme="minorHAnsi" w:eastAsiaTheme="minorEastAsia" w:hAnsiTheme="minorHAnsi" w:cstheme="minorBidi"/>
          <w:kern w:val="2"/>
          <w:sz w:val="24"/>
          <w:szCs w:val="24"/>
          <w14:ligatures w14:val="standardContextual"/>
        </w:rPr>
      </w:pPr>
      <w:r>
        <w:t>50K.</w:t>
      </w:r>
      <w:r>
        <w:tab/>
        <w:t>Request for consent to make furniture safety modification</w:t>
      </w:r>
      <w:r>
        <w:tab/>
      </w:r>
      <w:r>
        <w:fldChar w:fldCharType="begin"/>
      </w:r>
      <w:r>
        <w:instrText xml:space="preserve"> PAGEREF _Toc225329694 \h </w:instrText>
      </w:r>
      <w:r>
        <w:fldChar w:fldCharType="separate"/>
      </w:r>
      <w:r>
        <w:t>79</w:t>
      </w:r>
      <w:r>
        <w:fldChar w:fldCharType="end"/>
      </w:r>
    </w:p>
    <w:p>
      <w:pPr>
        <w:pStyle w:val="TOC8"/>
        <w:rPr>
          <w:rFonts w:asciiTheme="minorHAnsi" w:eastAsiaTheme="minorEastAsia" w:hAnsiTheme="minorHAnsi" w:cstheme="minorBidi"/>
          <w:kern w:val="2"/>
          <w:sz w:val="24"/>
          <w:szCs w:val="24"/>
          <w14:ligatures w14:val="standardContextual"/>
        </w:rPr>
      </w:pPr>
      <w:r>
        <w:t>50L.</w:t>
      </w:r>
      <w:r>
        <w:tab/>
        <w:t>Grounds for refusing tenant’s request to make furniture safety modification</w:t>
      </w:r>
      <w:r>
        <w:tab/>
      </w:r>
      <w:r>
        <w:fldChar w:fldCharType="begin"/>
      </w:r>
      <w:r>
        <w:instrText xml:space="preserve"> PAGEREF _Toc225329695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Modifications by tenant to prevent entry to premises in circumstances of family violence</w:t>
      </w:r>
    </w:p>
    <w:p>
      <w:pPr>
        <w:pStyle w:val="TOC8"/>
        <w:rPr>
          <w:rFonts w:asciiTheme="minorHAnsi" w:eastAsiaTheme="minorEastAsia" w:hAnsiTheme="minorHAnsi" w:cstheme="minorBidi"/>
          <w:kern w:val="2"/>
          <w:sz w:val="24"/>
          <w:szCs w:val="24"/>
          <w14:ligatures w14:val="standardContextual"/>
        </w:rPr>
      </w:pPr>
      <w:r>
        <w:t>50M.</w:t>
      </w:r>
      <w:r>
        <w:tab/>
        <w:t>Tenant may make prescribed modification to prevent entry in circumstances of family violence</w:t>
      </w:r>
      <w:r>
        <w:tab/>
      </w:r>
      <w:r>
        <w:fldChar w:fldCharType="begin"/>
      </w:r>
      <w:r>
        <w:instrText xml:space="preserve"> PAGEREF _Toc225329697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Minor modifications made by tenant</w:t>
      </w:r>
    </w:p>
    <w:p>
      <w:pPr>
        <w:pStyle w:val="TOC8"/>
        <w:rPr>
          <w:rFonts w:asciiTheme="minorHAnsi" w:eastAsiaTheme="minorEastAsia" w:hAnsiTheme="minorHAnsi" w:cstheme="minorBidi"/>
          <w:kern w:val="2"/>
          <w:sz w:val="24"/>
          <w:szCs w:val="24"/>
          <w14:ligatures w14:val="standardContextual"/>
        </w:rPr>
      </w:pPr>
      <w:r>
        <w:t>50N.</w:t>
      </w:r>
      <w:r>
        <w:tab/>
        <w:t>Tenant may make minor modification to premises</w:t>
      </w:r>
      <w:r>
        <w:tab/>
      </w:r>
      <w:r>
        <w:fldChar w:fldCharType="begin"/>
      </w:r>
      <w:r>
        <w:instrText xml:space="preserve"> PAGEREF _Toc225329699 \h </w:instrText>
      </w:r>
      <w:r>
        <w:fldChar w:fldCharType="separate"/>
      </w:r>
      <w:r>
        <w:t>82</w:t>
      </w:r>
      <w:r>
        <w:fldChar w:fldCharType="end"/>
      </w:r>
    </w:p>
    <w:p>
      <w:pPr>
        <w:pStyle w:val="TOC8"/>
        <w:rPr>
          <w:rFonts w:asciiTheme="minorHAnsi" w:eastAsiaTheme="minorEastAsia" w:hAnsiTheme="minorHAnsi" w:cstheme="minorBidi"/>
          <w:kern w:val="2"/>
          <w:sz w:val="24"/>
          <w:szCs w:val="24"/>
          <w14:ligatures w14:val="standardContextual"/>
        </w:rPr>
      </w:pPr>
      <w:r>
        <w:t>50O.</w:t>
      </w:r>
      <w:r>
        <w:tab/>
        <w:t>Request for approval to make minor modification</w:t>
      </w:r>
      <w:r>
        <w:tab/>
      </w:r>
      <w:r>
        <w:fldChar w:fldCharType="begin"/>
      </w:r>
      <w:r>
        <w:instrText xml:space="preserve"> PAGEREF _Toc225329700 \h </w:instrText>
      </w:r>
      <w:r>
        <w:fldChar w:fldCharType="separate"/>
      </w:r>
      <w:r>
        <w:t>82</w:t>
      </w:r>
      <w:r>
        <w:fldChar w:fldCharType="end"/>
      </w:r>
    </w:p>
    <w:p>
      <w:pPr>
        <w:pStyle w:val="TOC8"/>
        <w:rPr>
          <w:rFonts w:asciiTheme="minorHAnsi" w:eastAsiaTheme="minorEastAsia" w:hAnsiTheme="minorHAnsi" w:cstheme="minorBidi"/>
          <w:kern w:val="2"/>
          <w:sz w:val="24"/>
          <w:szCs w:val="24"/>
          <w14:ligatures w14:val="standardContextual"/>
        </w:rPr>
      </w:pPr>
      <w:r>
        <w:t>50P.</w:t>
      </w:r>
      <w:r>
        <w:tab/>
        <w:t>Conditions for consent to make minor modification</w:t>
      </w:r>
      <w:r>
        <w:tab/>
      </w:r>
      <w:r>
        <w:fldChar w:fldCharType="begin"/>
      </w:r>
      <w:r>
        <w:instrText xml:space="preserve"> PAGEREF _Toc225329701 \h </w:instrText>
      </w:r>
      <w:r>
        <w:fldChar w:fldCharType="separate"/>
      </w:r>
      <w:r>
        <w:t>84</w:t>
      </w:r>
      <w:r>
        <w:fldChar w:fldCharType="end"/>
      </w:r>
    </w:p>
    <w:p>
      <w:pPr>
        <w:pStyle w:val="TOC8"/>
        <w:rPr>
          <w:rFonts w:asciiTheme="minorHAnsi" w:eastAsiaTheme="minorEastAsia" w:hAnsiTheme="minorHAnsi" w:cstheme="minorBidi"/>
          <w:kern w:val="2"/>
          <w:sz w:val="24"/>
          <w:szCs w:val="24"/>
          <w14:ligatures w14:val="standardContextual"/>
        </w:rPr>
      </w:pPr>
      <w:r>
        <w:t>50Q.</w:t>
      </w:r>
      <w:r>
        <w:tab/>
        <w:t>Grounds for refusing tenant’s request to make minor modification</w:t>
      </w:r>
      <w:r>
        <w:tab/>
      </w:r>
      <w:r>
        <w:fldChar w:fldCharType="begin"/>
      </w:r>
      <w:r>
        <w:instrText xml:space="preserve"> PAGEREF _Toc225329702 \h </w:instrText>
      </w:r>
      <w:r>
        <w:fldChar w:fldCharType="separate"/>
      </w:r>
      <w:r>
        <w:t>84</w:t>
      </w:r>
      <w:r>
        <w:fldChar w:fldCharType="end"/>
      </w:r>
    </w:p>
    <w:p>
      <w:pPr>
        <w:pStyle w:val="TOC8"/>
        <w:rPr>
          <w:rFonts w:asciiTheme="minorHAnsi" w:eastAsiaTheme="minorEastAsia" w:hAnsiTheme="minorHAnsi" w:cstheme="minorBidi"/>
          <w:kern w:val="2"/>
          <w:sz w:val="24"/>
          <w:szCs w:val="24"/>
          <w14:ligatures w14:val="standardContextual"/>
        </w:rPr>
      </w:pPr>
      <w:r>
        <w:t>50R.</w:t>
      </w:r>
      <w:r>
        <w:tab/>
        <w:t>Refusal of consent to make modification needed for disability access prohibited</w:t>
      </w:r>
      <w:r>
        <w:tab/>
      </w:r>
      <w:r>
        <w:fldChar w:fldCharType="begin"/>
      </w:r>
      <w:r>
        <w:instrText xml:space="preserve"> PAGEREF _Toc225329703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50S.</w:t>
      </w:r>
      <w:r>
        <w:tab/>
        <w:t>Lessor’s application for approval to refuse consent for minor modification</w:t>
      </w:r>
      <w:r>
        <w:tab/>
      </w:r>
      <w:r>
        <w:fldChar w:fldCharType="begin"/>
      </w:r>
      <w:r>
        <w:instrText xml:space="preserve"> PAGEREF _Toc225329704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50T.</w:t>
      </w:r>
      <w:r>
        <w:tab/>
        <w:t>Lessor’s application for approval to impose conditions on consent for minor modification</w:t>
      </w:r>
      <w:r>
        <w:tab/>
      </w:r>
      <w:r>
        <w:fldChar w:fldCharType="begin"/>
      </w:r>
      <w:r>
        <w:instrText xml:space="preserve"> PAGEREF _Toc225329705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50U.</w:t>
      </w:r>
      <w:r>
        <w:tab/>
        <w:t>Tenant’s application for order that refusal not permitted</w:t>
      </w:r>
      <w:r>
        <w:tab/>
      </w:r>
      <w:r>
        <w:fldChar w:fldCharType="begin"/>
      </w:r>
      <w:r>
        <w:instrText xml:space="preserve"> PAGEREF _Toc225329706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50V.</w:t>
      </w:r>
      <w:r>
        <w:tab/>
        <w:t>Tenant’s application for order that conditions imposed on consent are unreasonable</w:t>
      </w:r>
      <w:r>
        <w:tab/>
      </w:r>
      <w:r>
        <w:fldChar w:fldCharType="begin"/>
      </w:r>
      <w:r>
        <w:instrText xml:space="preserve"> PAGEREF _Toc225329707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Other modifications</w:t>
      </w:r>
    </w:p>
    <w:p>
      <w:pPr>
        <w:pStyle w:val="TOC8"/>
        <w:rPr>
          <w:rFonts w:asciiTheme="minorHAnsi" w:eastAsiaTheme="minorEastAsia" w:hAnsiTheme="minorHAnsi" w:cstheme="minorBidi"/>
          <w:kern w:val="2"/>
          <w:sz w:val="24"/>
          <w:szCs w:val="24"/>
          <w14:ligatures w14:val="standardContextual"/>
        </w:rPr>
      </w:pPr>
      <w:r>
        <w:t>50W.</w:t>
      </w:r>
      <w:r>
        <w:tab/>
        <w:t>When tenant may make other modifications to premises</w:t>
      </w:r>
      <w:r>
        <w:tab/>
      </w:r>
      <w:r>
        <w:fldChar w:fldCharType="begin"/>
      </w:r>
      <w:r>
        <w:instrText xml:space="preserve"> PAGEREF _Toc225329709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50X.</w:t>
      </w:r>
      <w:r>
        <w:tab/>
        <w:t>Lessor may make modification to premises</w:t>
      </w:r>
      <w:r>
        <w:tab/>
      </w:r>
      <w:r>
        <w:fldChar w:fldCharType="begin"/>
      </w:r>
      <w:r>
        <w:instrText xml:space="preserve"> PAGEREF _Toc225329710 \h </w:instrText>
      </w:r>
      <w:r>
        <w:fldChar w:fldCharType="separate"/>
      </w:r>
      <w:r>
        <w:t>89</w:t>
      </w:r>
      <w:r>
        <w:fldChar w:fldCharType="end"/>
      </w:r>
    </w:p>
    <w:p>
      <w:pPr>
        <w:pStyle w:val="TOC8"/>
        <w:rPr>
          <w:rFonts w:asciiTheme="minorHAnsi" w:eastAsiaTheme="minorEastAsia" w:hAnsiTheme="minorHAnsi" w:cstheme="minorBidi"/>
          <w:kern w:val="2"/>
          <w:sz w:val="24"/>
          <w:szCs w:val="24"/>
          <w14:ligatures w14:val="standardContextual"/>
        </w:rPr>
      </w:pPr>
      <w:r>
        <w:t>50Y.</w:t>
      </w:r>
      <w:r>
        <w:tab/>
        <w:t>Request for approval to make modification</w:t>
      </w:r>
      <w:r>
        <w:tab/>
      </w:r>
      <w:r>
        <w:fldChar w:fldCharType="begin"/>
      </w:r>
      <w:r>
        <w:instrText xml:space="preserve"> PAGEREF _Toc225329711 \h </w:instrText>
      </w:r>
      <w:r>
        <w:fldChar w:fldCharType="separate"/>
      </w:r>
      <w:r>
        <w:t>90</w:t>
      </w:r>
      <w:r>
        <w:fldChar w:fldCharType="end"/>
      </w:r>
    </w:p>
    <w:p>
      <w:pPr>
        <w:pStyle w:val="TOC8"/>
        <w:rPr>
          <w:rFonts w:asciiTheme="minorHAnsi" w:eastAsiaTheme="minorEastAsia" w:hAnsiTheme="minorHAnsi" w:cstheme="minorBidi"/>
          <w:kern w:val="2"/>
          <w:sz w:val="24"/>
          <w:szCs w:val="24"/>
          <w14:ligatures w14:val="standardContextual"/>
        </w:rPr>
      </w:pPr>
      <w:r>
        <w:t>50Z.</w:t>
      </w:r>
      <w:r>
        <w:tab/>
        <w:t>Refusal of consent to modification needed for disability access prohibited</w:t>
      </w:r>
      <w:r>
        <w:tab/>
      </w:r>
      <w:r>
        <w:fldChar w:fldCharType="begin"/>
      </w:r>
      <w:r>
        <w:instrText xml:space="preserve"> PAGEREF _Toc225329712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Tenant’s responsibilities in relation to modifications to premises</w:t>
      </w:r>
    </w:p>
    <w:p>
      <w:pPr>
        <w:pStyle w:val="TOC8"/>
        <w:rPr>
          <w:rFonts w:asciiTheme="minorHAnsi" w:eastAsiaTheme="minorEastAsia" w:hAnsiTheme="minorHAnsi" w:cstheme="minorBidi"/>
          <w:kern w:val="2"/>
          <w:sz w:val="24"/>
          <w:szCs w:val="24"/>
          <w14:ligatures w14:val="standardContextual"/>
        </w:rPr>
      </w:pPr>
      <w:r>
        <w:t>50ZA.</w:t>
      </w:r>
      <w:r>
        <w:tab/>
        <w:t>Purpose of Subdivision</w:t>
      </w:r>
      <w:r>
        <w:tab/>
      </w:r>
      <w:r>
        <w:fldChar w:fldCharType="begin"/>
      </w:r>
      <w:r>
        <w:instrText xml:space="preserve"> PAGEREF _Toc225329714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50ZB.</w:t>
      </w:r>
      <w:r>
        <w:tab/>
        <w:t>Tenant bears costs of modification and responsibility for repairs</w:t>
      </w:r>
      <w:r>
        <w:tab/>
      </w:r>
      <w:r>
        <w:fldChar w:fldCharType="begin"/>
      </w:r>
      <w:r>
        <w:instrText xml:space="preserve"> PAGEREF _Toc225329715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50ZC.</w:t>
      </w:r>
      <w:r>
        <w:tab/>
        <w:t>Modification to have regard to age and character of premises</w:t>
      </w:r>
      <w:r>
        <w:tab/>
      </w:r>
      <w:r>
        <w:fldChar w:fldCharType="begin"/>
      </w:r>
      <w:r>
        <w:instrText xml:space="preserve"> PAGEREF _Toc225329716 \h </w:instrText>
      </w:r>
      <w:r>
        <w:fldChar w:fldCharType="separate"/>
      </w:r>
      <w:r>
        <w:t>92</w:t>
      </w:r>
      <w:r>
        <w:fldChar w:fldCharType="end"/>
      </w:r>
    </w:p>
    <w:p>
      <w:pPr>
        <w:pStyle w:val="TOC8"/>
        <w:rPr>
          <w:rFonts w:asciiTheme="minorHAnsi" w:eastAsiaTheme="minorEastAsia" w:hAnsiTheme="minorHAnsi" w:cstheme="minorBidi"/>
          <w:kern w:val="2"/>
          <w:sz w:val="24"/>
          <w:szCs w:val="24"/>
          <w14:ligatures w14:val="standardContextual"/>
        </w:rPr>
      </w:pPr>
      <w:r>
        <w:t>50ZD.</w:t>
      </w:r>
      <w:r>
        <w:tab/>
        <w:t>Tenant must remove modification and restore premises</w:t>
      </w:r>
      <w:r>
        <w:tab/>
      </w:r>
      <w:r>
        <w:fldChar w:fldCharType="begin"/>
      </w:r>
      <w:r>
        <w:instrText xml:space="preserve"> PAGEREF _Toc225329717 \h </w:instrText>
      </w:r>
      <w:r>
        <w:fldChar w:fldCharType="separate"/>
      </w:r>
      <w:r>
        <w:t>92</w:t>
      </w:r>
      <w:r>
        <w:fldChar w:fldCharType="end"/>
      </w:r>
    </w:p>
    <w:p>
      <w:pPr>
        <w:pStyle w:val="TOC8"/>
        <w:rPr>
          <w:rFonts w:asciiTheme="minorHAnsi" w:eastAsiaTheme="minorEastAsia" w:hAnsiTheme="minorHAnsi" w:cstheme="minorBidi"/>
          <w:kern w:val="2"/>
          <w:sz w:val="24"/>
          <w:szCs w:val="24"/>
          <w14:ligatures w14:val="standardContextual"/>
        </w:rPr>
      </w:pPr>
      <w:r>
        <w:t>50ZE.</w:t>
      </w:r>
      <w:r>
        <w:tab/>
        <w:t>Tenant responsible for damage caused by making or removing modification or restoring premises</w:t>
      </w:r>
      <w:r>
        <w:tab/>
      </w:r>
      <w:r>
        <w:fldChar w:fldCharType="begin"/>
      </w:r>
      <w:r>
        <w:instrText xml:space="preserve"> PAGEREF _Toc225329718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General</w:t>
      </w:r>
    </w:p>
    <w:p>
      <w:pPr>
        <w:pStyle w:val="TOC8"/>
        <w:rPr>
          <w:rFonts w:asciiTheme="minorHAnsi" w:eastAsiaTheme="minorEastAsia" w:hAnsiTheme="minorHAnsi" w:cstheme="minorBidi"/>
          <w:kern w:val="2"/>
          <w:sz w:val="24"/>
          <w:szCs w:val="24"/>
          <w14:ligatures w14:val="standardContextual"/>
        </w:rPr>
      </w:pPr>
      <w:r>
        <w:t>51.</w:t>
      </w:r>
      <w:r>
        <w:tab/>
        <w:t>Tenant to be notified of lessor’s name and address</w:t>
      </w:r>
      <w:r>
        <w:tab/>
      </w:r>
      <w:r>
        <w:fldChar w:fldCharType="begin"/>
      </w:r>
      <w:r>
        <w:instrText xml:space="preserve"> PAGEREF _Toc225329720 \h </w:instrText>
      </w:r>
      <w:r>
        <w:fldChar w:fldCharType="separate"/>
      </w:r>
      <w:r>
        <w:t>93</w:t>
      </w:r>
      <w:r>
        <w:fldChar w:fldCharType="end"/>
      </w:r>
    </w:p>
    <w:p>
      <w:pPr>
        <w:pStyle w:val="TOC8"/>
        <w:rPr>
          <w:rFonts w:asciiTheme="minorHAnsi" w:eastAsiaTheme="minorEastAsia" w:hAnsiTheme="minorHAnsi" w:cstheme="minorBidi"/>
          <w:kern w:val="2"/>
          <w:sz w:val="24"/>
          <w:szCs w:val="24"/>
          <w14:ligatures w14:val="standardContextual"/>
        </w:rPr>
      </w:pPr>
      <w:r>
        <w:t>52</w:t>
      </w:r>
      <w:r>
        <w:rPr>
          <w:snapToGrid w:val="0"/>
        </w:rPr>
        <w:t>.</w:t>
      </w:r>
      <w:r>
        <w:rPr>
          <w:snapToGrid w:val="0"/>
        </w:rPr>
        <w:tab/>
        <w:t>Failure to pay rent with intention it be recovered from security bond</w:t>
      </w:r>
      <w:r>
        <w:tab/>
      </w:r>
      <w:r>
        <w:fldChar w:fldCharType="begin"/>
      </w:r>
      <w:r>
        <w:instrText xml:space="preserve"> PAGEREF _Toc225329721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53.</w:t>
      </w:r>
      <w:r>
        <w:tab/>
        <w:t>Tenant’s name, place of employment and forwarding address</w:t>
      </w:r>
      <w:r>
        <w:tab/>
      </w:r>
      <w:r>
        <w:fldChar w:fldCharType="begin"/>
      </w:r>
      <w:r>
        <w:instrText xml:space="preserve"> PAGEREF _Toc225329722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54</w:t>
      </w:r>
      <w:r>
        <w:rPr>
          <w:snapToGrid w:val="0"/>
        </w:rPr>
        <w:t>.</w:t>
      </w:r>
      <w:r>
        <w:rPr>
          <w:snapToGrid w:val="0"/>
        </w:rPr>
        <w:tab/>
        <w:t>Lessor to deliver copy of agreement to tenant</w:t>
      </w:r>
      <w:r>
        <w:tab/>
      </w:r>
      <w:r>
        <w:fldChar w:fldCharType="begin"/>
      </w:r>
      <w:r>
        <w:instrText xml:space="preserve"> PAGEREF _Toc225329723 \h </w:instrText>
      </w:r>
      <w:r>
        <w:fldChar w:fldCharType="separate"/>
      </w:r>
      <w:r>
        <w:t>96</w:t>
      </w:r>
      <w:r>
        <w:fldChar w:fldCharType="end"/>
      </w:r>
    </w:p>
    <w:p>
      <w:pPr>
        <w:pStyle w:val="TOC8"/>
        <w:rPr>
          <w:rFonts w:asciiTheme="minorHAnsi" w:eastAsiaTheme="minorEastAsia" w:hAnsiTheme="minorHAnsi" w:cstheme="minorBidi"/>
          <w:kern w:val="2"/>
          <w:sz w:val="24"/>
          <w:szCs w:val="24"/>
          <w14:ligatures w14:val="standardContextual"/>
        </w:rPr>
      </w:pPr>
      <w:r>
        <w:t>55.</w:t>
      </w:r>
      <w:r>
        <w:tab/>
        <w:t>Cost of written agreement to be borne by lessor</w:t>
      </w:r>
      <w:r>
        <w:tab/>
      </w:r>
      <w:r>
        <w:fldChar w:fldCharType="begin"/>
      </w:r>
      <w:r>
        <w:instrText xml:space="preserve"> PAGEREF _Toc225329724 \h </w:instrText>
      </w:r>
      <w:r>
        <w:fldChar w:fldCharType="separate"/>
      </w:r>
      <w:r>
        <w:t>96</w:t>
      </w:r>
      <w:r>
        <w:fldChar w:fldCharType="end"/>
      </w:r>
    </w:p>
    <w:p>
      <w:pPr>
        <w:pStyle w:val="TOC8"/>
        <w:rPr>
          <w:rFonts w:asciiTheme="minorHAnsi" w:eastAsiaTheme="minorEastAsia" w:hAnsiTheme="minorHAnsi" w:cstheme="minorBidi"/>
          <w:kern w:val="2"/>
          <w:sz w:val="24"/>
          <w:szCs w:val="24"/>
          <w14:ligatures w14:val="standardContextual"/>
        </w:rPr>
      </w:pPr>
      <w:r>
        <w:t>56</w:t>
      </w:r>
      <w:r>
        <w:rPr>
          <w:snapToGrid w:val="0"/>
        </w:rPr>
        <w:t>.</w:t>
      </w:r>
      <w:r>
        <w:rPr>
          <w:snapToGrid w:val="0"/>
        </w:rPr>
        <w:tab/>
        <w:t>Discrimination against tenants with children</w:t>
      </w:r>
      <w:r>
        <w:tab/>
      </w:r>
      <w:r>
        <w:fldChar w:fldCharType="begin"/>
      </w:r>
      <w:r>
        <w:instrText xml:space="preserve"> PAGEREF _Toc225329725 \h </w:instrText>
      </w:r>
      <w:r>
        <w:fldChar w:fldCharType="separate"/>
      </w:r>
      <w:r>
        <w:t>96</w:t>
      </w:r>
      <w:r>
        <w:fldChar w:fldCharType="end"/>
      </w:r>
    </w:p>
    <w:p>
      <w:pPr>
        <w:pStyle w:val="TOC8"/>
        <w:rPr>
          <w:rFonts w:asciiTheme="minorHAnsi" w:eastAsiaTheme="minorEastAsia" w:hAnsiTheme="minorHAnsi" w:cstheme="minorBidi"/>
          <w:kern w:val="2"/>
          <w:sz w:val="24"/>
          <w:szCs w:val="24"/>
          <w14:ligatures w14:val="standardContextual"/>
        </w:rPr>
      </w:pPr>
      <w:r>
        <w:t>56A.</w:t>
      </w:r>
      <w:r>
        <w:tab/>
        <w:t>Discrimination against tenants subjected or exposed to family violence</w:t>
      </w:r>
      <w:r>
        <w:tab/>
      </w:r>
      <w:r>
        <w:fldChar w:fldCharType="begin"/>
      </w:r>
      <w:r>
        <w:instrText xml:space="preserve"> PAGEREF _Toc225329726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57</w:t>
      </w:r>
      <w:r>
        <w:rPr>
          <w:snapToGrid w:val="0"/>
        </w:rPr>
        <w:t>.</w:t>
      </w:r>
      <w:r>
        <w:rPr>
          <w:snapToGrid w:val="0"/>
        </w:rPr>
        <w:tab/>
        <w:t>Accelerated rent and liquidated damages prohibited</w:t>
      </w:r>
      <w:r>
        <w:tab/>
      </w:r>
      <w:r>
        <w:fldChar w:fldCharType="begin"/>
      </w:r>
      <w:r>
        <w:instrText xml:space="preserve"> PAGEREF _Toc225329727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58</w:t>
      </w:r>
      <w:r>
        <w:rPr>
          <w:snapToGrid w:val="0"/>
        </w:rPr>
        <w:t>.</w:t>
      </w:r>
      <w:r>
        <w:rPr>
          <w:snapToGrid w:val="0"/>
        </w:rPr>
        <w:tab/>
        <w:t>Duty of mitigation</w:t>
      </w:r>
      <w:r>
        <w:tab/>
      </w:r>
      <w:r>
        <w:fldChar w:fldCharType="begin"/>
      </w:r>
      <w:r>
        <w:instrText xml:space="preserve"> PAGEREF _Toc225329728 \h </w:instrText>
      </w:r>
      <w:r>
        <w:fldChar w:fldCharType="separate"/>
      </w:r>
      <w:r>
        <w:t>98</w:t>
      </w:r>
      <w:r>
        <w:fldChar w:fldCharType="end"/>
      </w:r>
    </w:p>
    <w:p>
      <w:pPr>
        <w:pStyle w:val="TOC8"/>
        <w:rPr>
          <w:rFonts w:asciiTheme="minorHAnsi" w:eastAsiaTheme="minorEastAsia" w:hAnsiTheme="minorHAnsi" w:cstheme="minorBidi"/>
          <w:kern w:val="2"/>
          <w:sz w:val="24"/>
          <w:szCs w:val="24"/>
          <w14:ligatures w14:val="standardContextual"/>
        </w:rPr>
      </w:pPr>
      <w:r>
        <w:t>59A.</w:t>
      </w:r>
      <w:r>
        <w:tab/>
        <w:t>Minors</w:t>
      </w:r>
      <w:r>
        <w:tab/>
      </w:r>
      <w:r>
        <w:fldChar w:fldCharType="begin"/>
      </w:r>
      <w:r>
        <w:instrText xml:space="preserve"> PAGEREF _Toc225329729 \h </w:instrText>
      </w:r>
      <w:r>
        <w:fldChar w:fldCharType="separate"/>
      </w:r>
      <w:r>
        <w:t>98</w:t>
      </w:r>
      <w:r>
        <w:fldChar w:fldCharType="end"/>
      </w:r>
    </w:p>
    <w:p>
      <w:pPr>
        <w:pStyle w:val="TOC8"/>
        <w:rPr>
          <w:rFonts w:asciiTheme="minorHAnsi" w:eastAsiaTheme="minorEastAsia" w:hAnsiTheme="minorHAnsi" w:cstheme="minorBidi"/>
          <w:kern w:val="2"/>
          <w:sz w:val="24"/>
          <w:szCs w:val="24"/>
          <w14:ligatures w14:val="standardContextual"/>
        </w:rPr>
      </w:pPr>
      <w:r>
        <w:t>59B.</w:t>
      </w:r>
      <w:r>
        <w:tab/>
        <w:t>Death of one of 2 or more tenants</w:t>
      </w:r>
      <w:r>
        <w:tab/>
      </w:r>
      <w:r>
        <w:fldChar w:fldCharType="begin"/>
      </w:r>
      <w:r>
        <w:instrText xml:space="preserve"> PAGEREF _Toc225329730 \h </w:instrText>
      </w:r>
      <w:r>
        <w:fldChar w:fldCharType="separate"/>
      </w:r>
      <w:r>
        <w:t>99</w:t>
      </w:r>
      <w:r>
        <w:fldChar w:fldCharType="end"/>
      </w:r>
    </w:p>
    <w:p>
      <w:pPr>
        <w:pStyle w:val="TOC8"/>
        <w:rPr>
          <w:rFonts w:asciiTheme="minorHAnsi" w:eastAsiaTheme="minorEastAsia" w:hAnsiTheme="minorHAnsi" w:cstheme="minorBidi"/>
          <w:kern w:val="2"/>
          <w:sz w:val="24"/>
          <w:szCs w:val="24"/>
          <w14:ligatures w14:val="standardContextual"/>
        </w:rPr>
      </w:pPr>
      <w:r>
        <w:t>59C.</w:t>
      </w:r>
      <w:r>
        <w:tab/>
        <w:t>Recognition of certain persons as tenants</w:t>
      </w:r>
      <w:r>
        <w:tab/>
      </w:r>
      <w:r>
        <w:fldChar w:fldCharType="begin"/>
      </w:r>
      <w:r>
        <w:instrText xml:space="preserve"> PAGEREF _Toc225329731 \h </w:instrText>
      </w:r>
      <w:r>
        <w:fldChar w:fldCharType="separate"/>
      </w:r>
      <w:r>
        <w:t>99</w:t>
      </w:r>
      <w:r>
        <w:fldChar w:fldCharType="end"/>
      </w:r>
    </w:p>
    <w:p>
      <w:pPr>
        <w:pStyle w:val="TOC8"/>
        <w:rPr>
          <w:rFonts w:asciiTheme="minorHAnsi" w:eastAsiaTheme="minorEastAsia" w:hAnsiTheme="minorHAnsi" w:cstheme="minorBidi"/>
          <w:kern w:val="2"/>
          <w:sz w:val="24"/>
          <w:szCs w:val="24"/>
          <w14:ligatures w14:val="standardContextual"/>
        </w:rPr>
      </w:pPr>
      <w:r>
        <w:t>59D.</w:t>
      </w:r>
      <w:r>
        <w:tab/>
        <w:t>Tenant compensation bonds</w:t>
      </w:r>
      <w:r>
        <w:tab/>
      </w:r>
      <w:r>
        <w:fldChar w:fldCharType="begin"/>
      </w:r>
      <w:r>
        <w:instrText xml:space="preserve"> PAGEREF _Toc225329732 \h </w:instrText>
      </w:r>
      <w:r>
        <w:fldChar w:fldCharType="separate"/>
      </w:r>
      <w:r>
        <w:t>100</w:t>
      </w:r>
      <w:r>
        <w:fldChar w:fldCharType="end"/>
      </w:r>
    </w:p>
    <w:p>
      <w:pPr>
        <w:pStyle w:val="TOC8"/>
        <w:rPr>
          <w:rFonts w:asciiTheme="minorHAnsi" w:eastAsiaTheme="minorEastAsia" w:hAnsiTheme="minorHAnsi" w:cstheme="minorBidi"/>
          <w:kern w:val="2"/>
          <w:sz w:val="24"/>
          <w:szCs w:val="24"/>
          <w14:ligatures w14:val="standardContextual"/>
        </w:rPr>
      </w:pPr>
      <w:r>
        <w:t>59E.</w:t>
      </w:r>
      <w:r>
        <w:tab/>
      </w:r>
      <w:r>
        <w:rPr>
          <w:snapToGrid w:val="0"/>
        </w:rPr>
        <w:t>Interference with quiet enjoyment</w:t>
      </w:r>
      <w:r>
        <w:tab/>
      </w:r>
      <w:r>
        <w:fldChar w:fldCharType="begin"/>
      </w:r>
      <w:r>
        <w:instrText xml:space="preserve"> PAGEREF _Toc225329733 \h </w:instrText>
      </w:r>
      <w:r>
        <w:fldChar w:fldCharType="separate"/>
      </w:r>
      <w:r>
        <w:t>101</w:t>
      </w:r>
      <w:r>
        <w:fldChar w:fldCharType="end"/>
      </w:r>
    </w:p>
    <w:p>
      <w:pPr>
        <w:pStyle w:val="TOC8"/>
        <w:rPr>
          <w:rFonts w:asciiTheme="minorHAnsi" w:eastAsiaTheme="minorEastAsia" w:hAnsiTheme="minorHAnsi" w:cstheme="minorBidi"/>
          <w:kern w:val="2"/>
          <w:sz w:val="24"/>
          <w:szCs w:val="24"/>
          <w14:ligatures w14:val="standardContextual"/>
        </w:rPr>
      </w:pPr>
      <w:r>
        <w:t>59F.</w:t>
      </w:r>
      <w:r>
        <w:tab/>
      </w:r>
      <w:r>
        <w:rPr>
          <w:snapToGrid w:val="0"/>
        </w:rPr>
        <w:t>Offences relating to security of residential premises</w:t>
      </w:r>
      <w:r>
        <w:tab/>
      </w:r>
      <w:r>
        <w:fldChar w:fldCharType="begin"/>
      </w:r>
      <w:r>
        <w:instrText xml:space="preserve"> PAGEREF _Toc225329734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V — Termination of residential tenancy agreements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How residential tenancy agreements are terminated</w:t>
      </w:r>
    </w:p>
    <w:p>
      <w:pPr>
        <w:pStyle w:val="TOC8"/>
        <w:rPr>
          <w:rFonts w:asciiTheme="minorHAnsi" w:eastAsiaTheme="minorEastAsia" w:hAnsiTheme="minorHAnsi" w:cstheme="minorBidi"/>
          <w:kern w:val="2"/>
          <w:sz w:val="24"/>
          <w:szCs w:val="24"/>
          <w14:ligatures w14:val="standardContextual"/>
        </w:rPr>
      </w:pPr>
      <w:r>
        <w:t>60</w:t>
      </w:r>
      <w:r>
        <w:rPr>
          <w:snapToGrid w:val="0"/>
        </w:rPr>
        <w:t>.</w:t>
      </w:r>
      <w:r>
        <w:rPr>
          <w:snapToGrid w:val="0"/>
        </w:rPr>
        <w:tab/>
        <w:t>How residential tenancy agreements and tenant’s interests in agreements are terminated</w:t>
      </w:r>
      <w:r>
        <w:tab/>
      </w:r>
      <w:r>
        <w:fldChar w:fldCharType="begin"/>
      </w:r>
      <w:r>
        <w:instrText xml:space="preserve"> PAGEREF _Toc225329737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Notices of termination</w:t>
      </w:r>
    </w:p>
    <w:p>
      <w:pPr>
        <w:pStyle w:val="TOC8"/>
        <w:rPr>
          <w:rFonts w:asciiTheme="minorHAnsi" w:eastAsiaTheme="minorEastAsia" w:hAnsiTheme="minorHAnsi" w:cstheme="minorBidi"/>
          <w:kern w:val="2"/>
          <w:sz w:val="24"/>
          <w:szCs w:val="24"/>
          <w14:ligatures w14:val="standardContextual"/>
        </w:rPr>
      </w:pPr>
      <w:r>
        <w:t>61.</w:t>
      </w:r>
      <w:r>
        <w:tab/>
        <w:t>Form of notice of termination by lessor</w:t>
      </w:r>
      <w:r>
        <w:tab/>
      </w:r>
      <w:r>
        <w:fldChar w:fldCharType="begin"/>
      </w:r>
      <w:r>
        <w:instrText xml:space="preserve"> PAGEREF _Toc225329739 \h </w:instrText>
      </w:r>
      <w:r>
        <w:fldChar w:fldCharType="separate"/>
      </w:r>
      <w:r>
        <w:t>105</w:t>
      </w:r>
      <w:r>
        <w:fldChar w:fldCharType="end"/>
      </w:r>
    </w:p>
    <w:p>
      <w:pPr>
        <w:pStyle w:val="TOC8"/>
        <w:rPr>
          <w:rFonts w:asciiTheme="minorHAnsi" w:eastAsiaTheme="minorEastAsia" w:hAnsiTheme="minorHAnsi" w:cstheme="minorBidi"/>
          <w:kern w:val="2"/>
          <w:sz w:val="24"/>
          <w:szCs w:val="24"/>
          <w14:ligatures w14:val="standardContextual"/>
        </w:rPr>
      </w:pPr>
      <w:r>
        <w:t>62</w:t>
      </w:r>
      <w:r>
        <w:rPr>
          <w:snapToGrid w:val="0"/>
        </w:rPr>
        <w:t>.</w:t>
      </w:r>
      <w:r>
        <w:rPr>
          <w:snapToGrid w:val="0"/>
        </w:rPr>
        <w:tab/>
        <w:t>Notice of termination by lessor upon ground of breach of term of agreement</w:t>
      </w:r>
      <w:r>
        <w:tab/>
      </w:r>
      <w:r>
        <w:fldChar w:fldCharType="begin"/>
      </w:r>
      <w:r>
        <w:instrText xml:space="preserve"> PAGEREF _Toc225329740 \h </w:instrText>
      </w:r>
      <w:r>
        <w:fldChar w:fldCharType="separate"/>
      </w:r>
      <w:r>
        <w:t>105</w:t>
      </w:r>
      <w:r>
        <w:fldChar w:fldCharType="end"/>
      </w:r>
    </w:p>
    <w:p>
      <w:pPr>
        <w:pStyle w:val="TOC8"/>
        <w:rPr>
          <w:rFonts w:asciiTheme="minorHAnsi" w:eastAsiaTheme="minorEastAsia" w:hAnsiTheme="minorHAnsi" w:cstheme="minorBidi"/>
          <w:kern w:val="2"/>
          <w:sz w:val="24"/>
          <w:szCs w:val="24"/>
          <w14:ligatures w14:val="standardContextual"/>
        </w:rPr>
      </w:pPr>
      <w:r>
        <w:t>63.</w:t>
      </w:r>
      <w:r>
        <w:tab/>
        <w:t>Notice of termination by lessor who has entered into contract of sale</w:t>
      </w:r>
      <w:r>
        <w:tab/>
      </w:r>
      <w:r>
        <w:fldChar w:fldCharType="begin"/>
      </w:r>
      <w:r>
        <w:instrText xml:space="preserve"> PAGEREF _Toc225329741 \h </w:instrText>
      </w:r>
      <w:r>
        <w:fldChar w:fldCharType="separate"/>
      </w:r>
      <w:r>
        <w:t>107</w:t>
      </w:r>
      <w:r>
        <w:fldChar w:fldCharType="end"/>
      </w:r>
    </w:p>
    <w:p>
      <w:pPr>
        <w:pStyle w:val="TOC8"/>
        <w:rPr>
          <w:rFonts w:asciiTheme="minorHAnsi" w:eastAsiaTheme="minorEastAsia" w:hAnsiTheme="minorHAnsi" w:cstheme="minorBidi"/>
          <w:kern w:val="2"/>
          <w:sz w:val="24"/>
          <w:szCs w:val="24"/>
          <w14:ligatures w14:val="standardContextual"/>
        </w:rPr>
      </w:pPr>
      <w:r>
        <w:t>64.</w:t>
      </w:r>
      <w:r>
        <w:tab/>
        <w:t>Notice of termination by lessor without any ground</w:t>
      </w:r>
      <w:r>
        <w:tab/>
      </w:r>
      <w:r>
        <w:fldChar w:fldCharType="begin"/>
      </w:r>
      <w:r>
        <w:instrText xml:space="preserve"> PAGEREF _Toc225329742 \h </w:instrText>
      </w:r>
      <w:r>
        <w:fldChar w:fldCharType="separate"/>
      </w:r>
      <w:r>
        <w:t>108</w:t>
      </w:r>
      <w:r>
        <w:fldChar w:fldCharType="end"/>
      </w:r>
    </w:p>
    <w:p>
      <w:pPr>
        <w:pStyle w:val="TOC8"/>
        <w:rPr>
          <w:rFonts w:asciiTheme="minorHAnsi" w:eastAsiaTheme="minorEastAsia" w:hAnsiTheme="minorHAnsi" w:cstheme="minorBidi"/>
          <w:kern w:val="2"/>
          <w:sz w:val="24"/>
          <w:szCs w:val="24"/>
          <w14:ligatures w14:val="standardContextual"/>
        </w:rPr>
      </w:pPr>
      <w:r>
        <w:t>65</w:t>
      </w:r>
      <w:r>
        <w:rPr>
          <w:snapToGrid w:val="0"/>
        </w:rPr>
        <w:t>.</w:t>
      </w:r>
      <w:r>
        <w:rPr>
          <w:snapToGrid w:val="0"/>
        </w:rPr>
        <w:tab/>
        <w:t>Termination by lessor where s. 32 invoked</w:t>
      </w:r>
      <w:r>
        <w:tab/>
      </w:r>
      <w:r>
        <w:fldChar w:fldCharType="begin"/>
      </w:r>
      <w:r>
        <w:instrText xml:space="preserve"> PAGEREF _Toc225329743 \h </w:instrText>
      </w:r>
      <w:r>
        <w:fldChar w:fldCharType="separate"/>
      </w:r>
      <w:r>
        <w:t>109</w:t>
      </w:r>
      <w:r>
        <w:fldChar w:fldCharType="end"/>
      </w:r>
    </w:p>
    <w:p>
      <w:pPr>
        <w:pStyle w:val="TOC8"/>
        <w:rPr>
          <w:rFonts w:asciiTheme="minorHAnsi" w:eastAsiaTheme="minorEastAsia" w:hAnsiTheme="minorHAnsi" w:cstheme="minorBidi"/>
          <w:kern w:val="2"/>
          <w:sz w:val="24"/>
          <w:szCs w:val="24"/>
          <w14:ligatures w14:val="standardContextual"/>
        </w:rPr>
      </w:pPr>
      <w:r>
        <w:t>66</w:t>
      </w:r>
      <w:r>
        <w:rPr>
          <w:snapToGrid w:val="0"/>
        </w:rPr>
        <w:t>.</w:t>
      </w:r>
      <w:r>
        <w:rPr>
          <w:snapToGrid w:val="0"/>
        </w:rPr>
        <w:tab/>
        <w:t>Notice by lessor not waived by acceptance of rent</w:t>
      </w:r>
      <w:r>
        <w:tab/>
      </w:r>
      <w:r>
        <w:fldChar w:fldCharType="begin"/>
      </w:r>
      <w:r>
        <w:instrText xml:space="preserve"> PAGEREF _Toc225329744 \h </w:instrText>
      </w:r>
      <w:r>
        <w:fldChar w:fldCharType="separate"/>
      </w:r>
      <w:r>
        <w:t>109</w:t>
      </w:r>
      <w:r>
        <w:fldChar w:fldCharType="end"/>
      </w:r>
    </w:p>
    <w:p>
      <w:pPr>
        <w:pStyle w:val="TOC8"/>
        <w:rPr>
          <w:rFonts w:asciiTheme="minorHAnsi" w:eastAsiaTheme="minorEastAsia" w:hAnsiTheme="minorHAnsi" w:cstheme="minorBidi"/>
          <w:kern w:val="2"/>
          <w:sz w:val="24"/>
          <w:szCs w:val="24"/>
          <w14:ligatures w14:val="standardContextual"/>
        </w:rPr>
      </w:pPr>
      <w:r>
        <w:t>67</w:t>
      </w:r>
      <w:r>
        <w:rPr>
          <w:snapToGrid w:val="0"/>
        </w:rPr>
        <w:t>.</w:t>
      </w:r>
      <w:r>
        <w:rPr>
          <w:snapToGrid w:val="0"/>
        </w:rPr>
        <w:tab/>
        <w:t>Form of notice of termination by tenant</w:t>
      </w:r>
      <w:r>
        <w:tab/>
      </w:r>
      <w:r>
        <w:fldChar w:fldCharType="begin"/>
      </w:r>
      <w:r>
        <w:instrText xml:space="preserve"> PAGEREF _Toc225329745 \h </w:instrText>
      </w:r>
      <w:r>
        <w:fldChar w:fldCharType="separate"/>
      </w:r>
      <w:r>
        <w:t>110</w:t>
      </w:r>
      <w:r>
        <w:fldChar w:fldCharType="end"/>
      </w:r>
    </w:p>
    <w:p>
      <w:pPr>
        <w:pStyle w:val="TOC8"/>
        <w:rPr>
          <w:rFonts w:asciiTheme="minorHAnsi" w:eastAsiaTheme="minorEastAsia" w:hAnsiTheme="minorHAnsi" w:cstheme="minorBidi"/>
          <w:kern w:val="2"/>
          <w:sz w:val="24"/>
          <w:szCs w:val="24"/>
          <w14:ligatures w14:val="standardContextual"/>
        </w:rPr>
      </w:pPr>
      <w:r>
        <w:t>68</w:t>
      </w:r>
      <w:r>
        <w:rPr>
          <w:snapToGrid w:val="0"/>
        </w:rPr>
        <w:t>.</w:t>
      </w:r>
      <w:r>
        <w:rPr>
          <w:snapToGrid w:val="0"/>
        </w:rPr>
        <w:tab/>
        <w:t>Notice of termination by tenant</w:t>
      </w:r>
      <w:r>
        <w:tab/>
      </w:r>
      <w:r>
        <w:fldChar w:fldCharType="begin"/>
      </w:r>
      <w:r>
        <w:instrText xml:space="preserve"> PAGEREF _Toc225329746 \h </w:instrText>
      </w:r>
      <w:r>
        <w:fldChar w:fldCharType="separate"/>
      </w:r>
      <w:r>
        <w:t>110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69</w:t>
      </w:r>
      <w:r>
        <w:rPr>
          <w:snapToGrid w:val="0"/>
        </w:rPr>
        <w:t>.</w:t>
      </w:r>
      <w:r>
        <w:rPr>
          <w:snapToGrid w:val="0"/>
        </w:rPr>
        <w:tab/>
        <w:t>Notice of termination by lessor or tenant where agreement frustrated</w:t>
      </w:r>
      <w:r>
        <w:tab/>
      </w:r>
      <w:r>
        <w:fldChar w:fldCharType="begin"/>
      </w:r>
      <w:r>
        <w:instrText xml:space="preserve"> PAGEREF _Toc225329747 \h </w:instrText>
      </w:r>
      <w:r>
        <w:fldChar w:fldCharType="separate"/>
      </w:r>
      <w:r>
        <w:t>111</w:t>
      </w:r>
      <w:r>
        <w:fldChar w:fldCharType="end"/>
      </w:r>
    </w:p>
    <w:p>
      <w:pPr>
        <w:pStyle w:val="TOC8"/>
        <w:rPr>
          <w:rFonts w:asciiTheme="minorHAnsi" w:eastAsiaTheme="minorEastAsia" w:hAnsiTheme="minorHAnsi" w:cstheme="minorBidi"/>
          <w:kern w:val="2"/>
          <w:sz w:val="24"/>
          <w:szCs w:val="24"/>
          <w14:ligatures w14:val="standardContextual"/>
        </w:rPr>
      </w:pPr>
      <w:r>
        <w:t>70A.</w:t>
      </w:r>
      <w:r>
        <w:tab/>
        <w:t>Notice of termination by lessor or tenant at end of fixed term tenancy</w:t>
      </w:r>
      <w:r>
        <w:tab/>
      </w:r>
      <w:r>
        <w:fldChar w:fldCharType="begin"/>
      </w:r>
      <w:r>
        <w:instrText xml:space="preserve"> PAGEREF _Toc225329748 \h </w:instrText>
      </w:r>
      <w:r>
        <w:fldChar w:fldCharType="separate"/>
      </w:r>
      <w:r>
        <w:t>111</w:t>
      </w:r>
      <w:r>
        <w:fldChar w:fldCharType="end"/>
      </w:r>
    </w:p>
    <w:p>
      <w:pPr>
        <w:pStyle w:val="TOC8"/>
        <w:rPr>
          <w:rFonts w:asciiTheme="minorHAnsi" w:eastAsiaTheme="minorEastAsia" w:hAnsiTheme="minorHAnsi" w:cstheme="minorBidi"/>
          <w:kern w:val="2"/>
          <w:sz w:val="24"/>
          <w:szCs w:val="24"/>
          <w14:ligatures w14:val="standardContextual"/>
        </w:rPr>
      </w:pPr>
      <w:r>
        <w:t>70</w:t>
      </w:r>
      <w:r>
        <w:rPr>
          <w:snapToGrid w:val="0"/>
        </w:rPr>
        <w:t>.</w:t>
      </w:r>
      <w:r>
        <w:rPr>
          <w:snapToGrid w:val="0"/>
        </w:rPr>
        <w:tab/>
        <w:t>Effect of notice of termination of periodic tenancy</w:t>
      </w:r>
      <w:r>
        <w:tab/>
      </w:r>
      <w:r>
        <w:fldChar w:fldCharType="begin"/>
      </w:r>
      <w:r>
        <w:instrText xml:space="preserve"> PAGEREF _Toc225329749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Special provisions about terminating tenant’s interest on grounds of family violence</w:t>
      </w:r>
    </w:p>
    <w:p>
      <w:pPr>
        <w:pStyle w:val="TOC8"/>
        <w:rPr>
          <w:rFonts w:asciiTheme="minorHAnsi" w:eastAsiaTheme="minorEastAsia" w:hAnsiTheme="minorHAnsi" w:cstheme="minorBidi"/>
          <w:kern w:val="2"/>
          <w:sz w:val="24"/>
          <w:szCs w:val="24"/>
          <w14:ligatures w14:val="standardContextual"/>
        </w:rPr>
      </w:pPr>
      <w:r>
        <w:t>71AA.</w:t>
      </w:r>
      <w:r>
        <w:tab/>
        <w:t>Terms used</w:t>
      </w:r>
      <w:r>
        <w:tab/>
      </w:r>
      <w:r>
        <w:fldChar w:fldCharType="begin"/>
      </w:r>
      <w:r>
        <w:instrText xml:space="preserve"> PAGEREF _Toc225329751 \h </w:instrText>
      </w:r>
      <w:r>
        <w:fldChar w:fldCharType="separate"/>
      </w:r>
      <w:r>
        <w:t>113</w:t>
      </w:r>
      <w:r>
        <w:fldChar w:fldCharType="end"/>
      </w:r>
    </w:p>
    <w:p>
      <w:pPr>
        <w:pStyle w:val="TOC8"/>
        <w:rPr>
          <w:rFonts w:asciiTheme="minorHAnsi" w:eastAsiaTheme="minorEastAsia" w:hAnsiTheme="minorHAnsi" w:cstheme="minorBidi"/>
          <w:kern w:val="2"/>
          <w:sz w:val="24"/>
          <w:szCs w:val="24"/>
          <w14:ligatures w14:val="standardContextual"/>
        </w:rPr>
      </w:pPr>
      <w:r>
        <w:t>71AB.</w:t>
      </w:r>
      <w:r>
        <w:tab/>
        <w:t>Notice of termination of tenant’s interest on ground that tenant subject to family violence</w:t>
      </w:r>
      <w:r>
        <w:tab/>
      </w:r>
      <w:r>
        <w:fldChar w:fldCharType="begin"/>
      </w:r>
      <w:r>
        <w:instrText xml:space="preserve"> PAGEREF _Toc225329752 \h </w:instrText>
      </w:r>
      <w:r>
        <w:fldChar w:fldCharType="separate"/>
      </w:r>
      <w:r>
        <w:t>113</w:t>
      </w:r>
      <w:r>
        <w:fldChar w:fldCharType="end"/>
      </w:r>
    </w:p>
    <w:p>
      <w:pPr>
        <w:pStyle w:val="TOC8"/>
        <w:rPr>
          <w:rFonts w:asciiTheme="minorHAnsi" w:eastAsiaTheme="minorEastAsia" w:hAnsiTheme="minorHAnsi" w:cstheme="minorBidi"/>
          <w:kern w:val="2"/>
          <w:sz w:val="24"/>
          <w:szCs w:val="24"/>
          <w14:ligatures w14:val="standardContextual"/>
        </w:rPr>
      </w:pPr>
      <w:r>
        <w:t>71AC.</w:t>
      </w:r>
      <w:r>
        <w:tab/>
        <w:t>Review of notice of termination under s. 71AB</w:t>
      </w:r>
      <w:r>
        <w:tab/>
      </w:r>
      <w:r>
        <w:fldChar w:fldCharType="begin"/>
      </w:r>
      <w:r>
        <w:instrText xml:space="preserve"> PAGEREF _Toc225329753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71AD.</w:t>
      </w:r>
      <w:r>
        <w:tab/>
        <w:t>Rights of co</w:t>
      </w:r>
      <w:r>
        <w:noBreakHyphen/>
        <w:t>tenants after notice under s. 71AB</w:t>
      </w:r>
      <w:r>
        <w:tab/>
      </w:r>
      <w:r>
        <w:fldChar w:fldCharType="begin"/>
      </w:r>
      <w:r>
        <w:instrText xml:space="preserve"> PAGEREF _Toc225329754 \h </w:instrText>
      </w:r>
      <w:r>
        <w:fldChar w:fldCharType="separate"/>
      </w:r>
      <w:r>
        <w:t>116</w:t>
      </w:r>
      <w:r>
        <w:fldChar w:fldCharType="end"/>
      </w:r>
    </w:p>
    <w:p>
      <w:pPr>
        <w:pStyle w:val="TOC8"/>
        <w:rPr>
          <w:rFonts w:asciiTheme="minorHAnsi" w:eastAsiaTheme="minorEastAsia" w:hAnsiTheme="minorHAnsi" w:cstheme="minorBidi"/>
          <w:kern w:val="2"/>
          <w:sz w:val="24"/>
          <w:szCs w:val="24"/>
          <w14:ligatures w14:val="standardContextual"/>
        </w:rPr>
      </w:pPr>
      <w:r>
        <w:t>71AE.</w:t>
      </w:r>
      <w:r>
        <w:tab/>
        <w:t>Termination of tenant’s interest by court on grounds of family violence</w:t>
      </w:r>
      <w:r>
        <w:tab/>
      </w:r>
      <w:r>
        <w:fldChar w:fldCharType="begin"/>
      </w:r>
      <w:r>
        <w:instrText xml:space="preserve"> PAGEREF _Toc225329755 \h </w:instrText>
      </w:r>
      <w:r>
        <w:fldChar w:fldCharType="separate"/>
      </w:r>
      <w:r>
        <w:t>116</w:t>
      </w:r>
      <w:r>
        <w:fldChar w:fldCharType="end"/>
      </w:r>
    </w:p>
    <w:p>
      <w:pPr>
        <w:pStyle w:val="TOC8"/>
        <w:rPr>
          <w:rFonts w:asciiTheme="minorHAnsi" w:eastAsiaTheme="minorEastAsia" w:hAnsiTheme="minorHAnsi" w:cstheme="minorBidi"/>
          <w:kern w:val="2"/>
          <w:sz w:val="24"/>
          <w:szCs w:val="24"/>
          <w14:ligatures w14:val="standardContextual"/>
        </w:rPr>
      </w:pPr>
      <w:r>
        <w:t>71AF.</w:t>
      </w:r>
      <w:r>
        <w:tab/>
        <w:t>Review of Division</w:t>
      </w:r>
      <w:r>
        <w:tab/>
      </w:r>
      <w:r>
        <w:fldChar w:fldCharType="begin"/>
      </w:r>
      <w:r>
        <w:instrText xml:space="preserve"> PAGEREF _Toc225329756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Special provisions about terminating social housing tenancy agreements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pPr>
        <w:pStyle w:val="TOC8"/>
        <w:rPr>
          <w:rFonts w:asciiTheme="minorHAnsi" w:eastAsiaTheme="minorEastAsia" w:hAnsiTheme="minorHAnsi" w:cstheme="minorBidi"/>
          <w:kern w:val="2"/>
          <w:sz w:val="24"/>
          <w:szCs w:val="24"/>
          <w14:ligatures w14:val="standardContextual"/>
        </w:rPr>
      </w:pPr>
      <w:r>
        <w:t>71A.</w:t>
      </w:r>
      <w:r>
        <w:tab/>
        <w:t>Terms used</w:t>
      </w:r>
      <w:r>
        <w:tab/>
      </w:r>
      <w:r>
        <w:fldChar w:fldCharType="begin"/>
      </w:r>
      <w:r>
        <w:instrText xml:space="preserve"> PAGEREF _Toc225329759 \h </w:instrText>
      </w:r>
      <w:r>
        <w:fldChar w:fldCharType="separate"/>
      </w:r>
      <w:r>
        <w:t>119</w:t>
      </w:r>
      <w:r>
        <w:fldChar w:fldCharType="end"/>
      </w:r>
    </w:p>
    <w:p>
      <w:pPr>
        <w:pStyle w:val="TOC8"/>
        <w:rPr>
          <w:rFonts w:asciiTheme="minorHAnsi" w:eastAsiaTheme="minorEastAsia" w:hAnsiTheme="minorHAnsi" w:cstheme="minorBidi"/>
          <w:kern w:val="2"/>
          <w:sz w:val="24"/>
          <w:szCs w:val="24"/>
          <w14:ligatures w14:val="standardContextual"/>
        </w:rPr>
      </w:pPr>
      <w:r>
        <w:t>71B.</w:t>
      </w:r>
      <w:r>
        <w:tab/>
        <w:t>Application of Division</w:t>
      </w:r>
      <w:r>
        <w:tab/>
      </w:r>
      <w:r>
        <w:fldChar w:fldCharType="begin"/>
      </w:r>
      <w:r>
        <w:instrText xml:space="preserve"> PAGEREF _Toc225329760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Notice of termination where tenant not eligible for social housing premises</w:t>
      </w:r>
    </w:p>
    <w:p>
      <w:pPr>
        <w:pStyle w:val="TOC8"/>
        <w:rPr>
          <w:rFonts w:asciiTheme="minorHAnsi" w:eastAsiaTheme="minorEastAsia" w:hAnsiTheme="minorHAnsi" w:cstheme="minorBidi"/>
          <w:kern w:val="2"/>
          <w:sz w:val="24"/>
          <w:szCs w:val="24"/>
          <w14:ligatures w14:val="standardContextual"/>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_Toc225329762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t>71D.</w:t>
      </w:r>
      <w:r>
        <w:tab/>
        <w:t>Assessment of tenants eligibility for social housing premises</w:t>
      </w:r>
      <w:r>
        <w:tab/>
      </w:r>
      <w:r>
        <w:fldChar w:fldCharType="begin"/>
      </w:r>
      <w:r>
        <w:instrText xml:space="preserve"> PAGEREF _Toc225329763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t>71E.</w:t>
      </w:r>
      <w:r>
        <w:tab/>
        <w:t>Criteria for assessing eligibility of tenants for social housing premises under s. 71D</w:t>
      </w:r>
      <w:r>
        <w:tab/>
      </w:r>
      <w:r>
        <w:fldChar w:fldCharType="begin"/>
      </w:r>
      <w:r>
        <w:instrText xml:space="preserve"> PAGEREF _Toc225329764 \h </w:instrText>
      </w:r>
      <w:r>
        <w:fldChar w:fldCharType="separate"/>
      </w:r>
      <w:r>
        <w:t>121</w:t>
      </w:r>
      <w:r>
        <w:fldChar w:fldCharType="end"/>
      </w:r>
    </w:p>
    <w:p>
      <w:pPr>
        <w:pStyle w:val="TOC8"/>
        <w:rPr>
          <w:rFonts w:asciiTheme="minorHAnsi" w:eastAsiaTheme="minorEastAsia" w:hAnsiTheme="minorHAnsi" w:cstheme="minorBidi"/>
          <w:kern w:val="2"/>
          <w:sz w:val="24"/>
          <w:szCs w:val="24"/>
          <w14:ligatures w14:val="standardContextual"/>
        </w:rPr>
      </w:pPr>
      <w:r>
        <w:t>71F.</w:t>
      </w:r>
      <w:r>
        <w:tab/>
        <w:t>Review of decision to give notice on ground that tenant not eligible for social housing premises</w:t>
      </w:r>
      <w:r>
        <w:tab/>
      </w:r>
      <w:r>
        <w:fldChar w:fldCharType="begin"/>
      </w:r>
      <w:r>
        <w:instrText xml:space="preserve"> PAGEREF _Toc225329765 \h </w:instrText>
      </w:r>
      <w:r>
        <w:fldChar w:fldCharType="separate"/>
      </w:r>
      <w:r>
        <w:t>121</w:t>
      </w:r>
      <w:r>
        <w:fldChar w:fldCharType="end"/>
      </w:r>
    </w:p>
    <w:p>
      <w:pPr>
        <w:pStyle w:val="TOC8"/>
        <w:rPr>
          <w:rFonts w:asciiTheme="minorHAnsi" w:eastAsiaTheme="minorEastAsia" w:hAnsiTheme="minorHAnsi" w:cstheme="minorBidi"/>
          <w:kern w:val="2"/>
          <w:sz w:val="24"/>
          <w:szCs w:val="24"/>
          <w14:ligatures w14:val="standardContextual"/>
        </w:rPr>
      </w:pPr>
      <w:r>
        <w:t>71G.</w:t>
      </w:r>
      <w:r>
        <w:tab/>
        <w:t xml:space="preserve">Time </w:t>
      </w:r>
      <w:r>
        <w:rPr>
          <w:snapToGrid w:val="0"/>
        </w:rPr>
        <w:t>periods to be observed where notice of termination given under this Subdivision</w:t>
      </w:r>
      <w:r>
        <w:tab/>
      </w:r>
      <w:r>
        <w:fldChar w:fldCharType="begin"/>
      </w:r>
      <w:r>
        <w:instrText xml:space="preserve"> PAGEREF _Toc225329766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Notice of termination where tenant offered alternative social housing premises</w:t>
      </w:r>
    </w:p>
    <w:p>
      <w:pPr>
        <w:pStyle w:val="TOC8"/>
        <w:rPr>
          <w:rFonts w:asciiTheme="minorHAnsi" w:eastAsiaTheme="minorEastAsia" w:hAnsiTheme="minorHAnsi" w:cstheme="minorBidi"/>
          <w:kern w:val="2"/>
          <w:sz w:val="24"/>
          <w:szCs w:val="24"/>
          <w14:ligatures w14:val="standardContextual"/>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_Toc225329768 \h </w:instrText>
      </w:r>
      <w:r>
        <w:fldChar w:fldCharType="separate"/>
      </w:r>
      <w:r>
        <w:t>123</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71I.</w:t>
      </w:r>
      <w:r>
        <w:tab/>
        <w:t>Review of decision to give notice on ground that tenant offered alternative social housing premises</w:t>
      </w:r>
      <w:r>
        <w:tab/>
      </w:r>
      <w:r>
        <w:fldChar w:fldCharType="begin"/>
      </w:r>
      <w:r>
        <w:instrText xml:space="preserve"> PAGEREF _Toc225329769 \h </w:instrText>
      </w:r>
      <w:r>
        <w:fldChar w:fldCharType="separate"/>
      </w:r>
      <w:r>
        <w:t>124</w:t>
      </w:r>
      <w:r>
        <w:fldChar w:fldCharType="end"/>
      </w:r>
    </w:p>
    <w:p>
      <w:pPr>
        <w:pStyle w:val="TOC8"/>
        <w:rPr>
          <w:rFonts w:asciiTheme="minorHAnsi" w:eastAsiaTheme="minorEastAsia" w:hAnsiTheme="minorHAnsi" w:cstheme="minorBidi"/>
          <w:kern w:val="2"/>
          <w:sz w:val="24"/>
          <w:szCs w:val="24"/>
          <w14:ligatures w14:val="standardContextual"/>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_Toc225329770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Orders for termination of residential tenancy agreement</w:t>
      </w:r>
    </w:p>
    <w:p>
      <w:pPr>
        <w:pStyle w:val="TOC8"/>
        <w:rPr>
          <w:rFonts w:asciiTheme="minorHAnsi" w:eastAsiaTheme="minorEastAsia" w:hAnsiTheme="minorHAnsi" w:cstheme="minorBidi"/>
          <w:kern w:val="2"/>
          <w:sz w:val="24"/>
          <w:szCs w:val="24"/>
          <w14:ligatures w14:val="standardContextual"/>
        </w:rPr>
      </w:pPr>
      <w:r>
        <w:t>71</w:t>
      </w:r>
      <w:r>
        <w:rPr>
          <w:snapToGrid w:val="0"/>
        </w:rPr>
        <w:t>.</w:t>
      </w:r>
      <w:r>
        <w:rPr>
          <w:snapToGrid w:val="0"/>
        </w:rPr>
        <w:tab/>
        <w:t>Application by lessor for termination and order for possession</w:t>
      </w:r>
      <w:r>
        <w:tab/>
      </w:r>
      <w:r>
        <w:fldChar w:fldCharType="begin"/>
      </w:r>
      <w:r>
        <w:instrText xml:space="preserve"> PAGEREF _Toc225329772 \h </w:instrText>
      </w:r>
      <w:r>
        <w:fldChar w:fldCharType="separate"/>
      </w:r>
      <w:r>
        <w:t>126</w:t>
      </w:r>
      <w:r>
        <w:fldChar w:fldCharType="end"/>
      </w:r>
    </w:p>
    <w:p>
      <w:pPr>
        <w:pStyle w:val="TOC8"/>
        <w:rPr>
          <w:rFonts w:asciiTheme="minorHAnsi" w:eastAsiaTheme="minorEastAsia" w:hAnsiTheme="minorHAnsi" w:cstheme="minorBidi"/>
          <w:kern w:val="2"/>
          <w:sz w:val="24"/>
          <w:szCs w:val="24"/>
          <w14:ligatures w14:val="standardContextual"/>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_Toc225329773 \h </w:instrText>
      </w:r>
      <w:r>
        <w:fldChar w:fldCharType="separate"/>
      </w:r>
      <w:r>
        <w:t>130</w:t>
      </w:r>
      <w:r>
        <w:fldChar w:fldCharType="end"/>
      </w:r>
    </w:p>
    <w:p>
      <w:pPr>
        <w:pStyle w:val="TOC8"/>
        <w:rPr>
          <w:rFonts w:asciiTheme="minorHAnsi" w:eastAsiaTheme="minorEastAsia" w:hAnsiTheme="minorHAnsi" w:cstheme="minorBidi"/>
          <w:kern w:val="2"/>
          <w:sz w:val="24"/>
          <w:szCs w:val="24"/>
          <w14:ligatures w14:val="standardContextual"/>
        </w:rPr>
      </w:pPr>
      <w:r>
        <w:t>73A.</w:t>
      </w:r>
      <w:r>
        <w:tab/>
        <w:t>Notice of termination not required in certain cases</w:t>
      </w:r>
      <w:r>
        <w:tab/>
      </w:r>
      <w:r>
        <w:fldChar w:fldCharType="begin"/>
      </w:r>
      <w:r>
        <w:instrText xml:space="preserve"> PAGEREF _Toc225329774 \h </w:instrText>
      </w:r>
      <w:r>
        <w:fldChar w:fldCharType="separate"/>
      </w:r>
      <w:r>
        <w:t>131</w:t>
      </w:r>
      <w:r>
        <w:fldChar w:fldCharType="end"/>
      </w:r>
    </w:p>
    <w:p>
      <w:pPr>
        <w:pStyle w:val="TOC8"/>
        <w:rPr>
          <w:rFonts w:asciiTheme="minorHAnsi" w:eastAsiaTheme="minorEastAsia" w:hAnsiTheme="minorHAnsi" w:cstheme="minorBidi"/>
          <w:kern w:val="2"/>
          <w:sz w:val="24"/>
          <w:szCs w:val="24"/>
          <w14:ligatures w14:val="standardContextual"/>
        </w:rPr>
      </w:pPr>
      <w:r>
        <w:t>73</w:t>
      </w:r>
      <w:r>
        <w:rPr>
          <w:snapToGrid w:val="0"/>
        </w:rPr>
        <w:t>.</w:t>
      </w:r>
      <w:r>
        <w:rPr>
          <w:snapToGrid w:val="0"/>
        </w:rPr>
        <w:tab/>
        <w:t>Termination of agreement where tenant causing serious damage or injury</w:t>
      </w:r>
      <w:r>
        <w:tab/>
      </w:r>
      <w:r>
        <w:fldChar w:fldCharType="begin"/>
      </w:r>
      <w:r>
        <w:instrText xml:space="preserve"> PAGEREF _Toc225329775 \h </w:instrText>
      </w:r>
      <w:r>
        <w:fldChar w:fldCharType="separate"/>
      </w:r>
      <w:r>
        <w:t>132</w:t>
      </w:r>
      <w:r>
        <w:fldChar w:fldCharType="end"/>
      </w:r>
    </w:p>
    <w:p>
      <w:pPr>
        <w:pStyle w:val="TOC8"/>
        <w:rPr>
          <w:rFonts w:asciiTheme="minorHAnsi" w:eastAsiaTheme="minorEastAsia" w:hAnsiTheme="minorHAnsi" w:cstheme="minorBidi"/>
          <w:kern w:val="2"/>
          <w:sz w:val="24"/>
          <w:szCs w:val="24"/>
          <w14:ligatures w14:val="standardContextual"/>
        </w:rPr>
      </w:pPr>
      <w:r>
        <w:t>74</w:t>
      </w:r>
      <w:r>
        <w:rPr>
          <w:snapToGrid w:val="0"/>
        </w:rPr>
        <w:t>.</w:t>
      </w:r>
      <w:r>
        <w:rPr>
          <w:snapToGrid w:val="0"/>
        </w:rPr>
        <w:tab/>
        <w:t>Termination of agreement where lessor or tenant would otherwise suffer undue hardship</w:t>
      </w:r>
      <w:r>
        <w:tab/>
      </w:r>
      <w:r>
        <w:fldChar w:fldCharType="begin"/>
      </w:r>
      <w:r>
        <w:instrText xml:space="preserve"> PAGEREF _Toc225329776 \h </w:instrText>
      </w:r>
      <w:r>
        <w:fldChar w:fldCharType="separate"/>
      </w:r>
      <w:r>
        <w:t>132</w:t>
      </w:r>
      <w:r>
        <w:fldChar w:fldCharType="end"/>
      </w:r>
    </w:p>
    <w:p>
      <w:pPr>
        <w:pStyle w:val="TOC8"/>
        <w:rPr>
          <w:rFonts w:asciiTheme="minorHAnsi" w:eastAsiaTheme="minorEastAsia" w:hAnsiTheme="minorHAnsi" w:cstheme="minorBidi"/>
          <w:kern w:val="2"/>
          <w:sz w:val="24"/>
          <w:szCs w:val="24"/>
          <w14:ligatures w14:val="standardContextual"/>
        </w:rPr>
      </w:pPr>
      <w:r>
        <w:t>75A.</w:t>
      </w:r>
      <w:r>
        <w:tab/>
        <w:t>Termination of social housing tenancy agreement due to objectionable behaviour</w:t>
      </w:r>
      <w:r>
        <w:tab/>
      </w:r>
      <w:r>
        <w:fldChar w:fldCharType="begin"/>
      </w:r>
      <w:r>
        <w:instrText xml:space="preserve"> PAGEREF _Toc225329777 \h </w:instrText>
      </w:r>
      <w:r>
        <w:fldChar w:fldCharType="separate"/>
      </w:r>
      <w:r>
        <w:t>133</w:t>
      </w:r>
      <w:r>
        <w:fldChar w:fldCharType="end"/>
      </w:r>
    </w:p>
    <w:p>
      <w:pPr>
        <w:pStyle w:val="TOC8"/>
        <w:rPr>
          <w:rFonts w:asciiTheme="minorHAnsi" w:eastAsiaTheme="minorEastAsia" w:hAnsiTheme="minorHAnsi" w:cstheme="minorBidi"/>
          <w:kern w:val="2"/>
          <w:sz w:val="24"/>
          <w:szCs w:val="24"/>
          <w14:ligatures w14:val="standardContextual"/>
        </w:rPr>
      </w:pPr>
      <w:r>
        <w:t>75</w:t>
      </w:r>
      <w:r>
        <w:rPr>
          <w:snapToGrid w:val="0"/>
        </w:rPr>
        <w:t>.</w:t>
      </w:r>
      <w:r>
        <w:rPr>
          <w:snapToGrid w:val="0"/>
        </w:rPr>
        <w:tab/>
        <w:t>Termination of agreement for breach by lessor</w:t>
      </w:r>
      <w:r>
        <w:tab/>
      </w:r>
      <w:r>
        <w:fldChar w:fldCharType="begin"/>
      </w:r>
      <w:r>
        <w:instrText xml:space="preserve"> PAGEREF _Toc225329778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76A.</w:t>
      </w:r>
      <w:r>
        <w:tab/>
        <w:t>Termination of agreement by lessor if premises abandoned</w:t>
      </w:r>
      <w:r>
        <w:tab/>
      </w:r>
      <w:r>
        <w:fldChar w:fldCharType="begin"/>
      </w:r>
      <w:r>
        <w:instrText xml:space="preserve"> PAGEREF _Toc225329779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76B.</w:t>
      </w:r>
      <w:r>
        <w:tab/>
        <w:t>Dispute about s. 76A notice</w:t>
      </w:r>
      <w:r>
        <w:tab/>
      </w:r>
      <w:r>
        <w:fldChar w:fldCharType="begin"/>
      </w:r>
      <w:r>
        <w:instrText xml:space="preserve"> PAGEREF _Toc225329780 \h </w:instrText>
      </w:r>
      <w:r>
        <w:fldChar w:fldCharType="separate"/>
      </w:r>
      <w:r>
        <w:t>135</w:t>
      </w:r>
      <w:r>
        <w:fldChar w:fldCharType="end"/>
      </w:r>
    </w:p>
    <w:p>
      <w:pPr>
        <w:pStyle w:val="TOC8"/>
        <w:rPr>
          <w:rFonts w:asciiTheme="minorHAnsi" w:eastAsiaTheme="minorEastAsia" w:hAnsiTheme="minorHAnsi" w:cstheme="minorBidi"/>
          <w:kern w:val="2"/>
          <w:sz w:val="24"/>
          <w:szCs w:val="24"/>
          <w14:ligatures w14:val="standardContextual"/>
        </w:rPr>
      </w:pPr>
      <w:r>
        <w:t>76BA.</w:t>
      </w:r>
      <w:r>
        <w:tab/>
        <w:t>Order about payment of security bond</w:t>
      </w:r>
      <w:r>
        <w:tab/>
      </w:r>
      <w:r>
        <w:fldChar w:fldCharType="begin"/>
      </w:r>
      <w:r>
        <w:instrText xml:space="preserve"> PAGEREF _Toc225329781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General</w:t>
      </w:r>
    </w:p>
    <w:p>
      <w:pPr>
        <w:pStyle w:val="TOC8"/>
        <w:rPr>
          <w:rFonts w:asciiTheme="minorHAnsi" w:eastAsiaTheme="minorEastAsia" w:hAnsiTheme="minorHAnsi" w:cstheme="minorBidi"/>
          <w:kern w:val="2"/>
          <w:sz w:val="24"/>
          <w:szCs w:val="24"/>
          <w14:ligatures w14:val="standardContextual"/>
        </w:rPr>
      </w:pPr>
      <w:r>
        <w:t>76C.</w:t>
      </w:r>
      <w:r>
        <w:tab/>
        <w:t>Fixed term tenancies continued as periodic tenancies</w:t>
      </w:r>
      <w:r>
        <w:tab/>
      </w:r>
      <w:r>
        <w:fldChar w:fldCharType="begin"/>
      </w:r>
      <w:r>
        <w:instrText xml:space="preserve"> PAGEREF _Toc225329783 \h </w:instrText>
      </w:r>
      <w:r>
        <w:fldChar w:fldCharType="separate"/>
      </w:r>
      <w:r>
        <w:t>136</w:t>
      </w:r>
      <w:r>
        <w:fldChar w:fldCharType="end"/>
      </w:r>
    </w:p>
    <w:p>
      <w:pPr>
        <w:pStyle w:val="TOC8"/>
        <w:rPr>
          <w:rFonts w:asciiTheme="minorHAnsi" w:eastAsiaTheme="minorEastAsia" w:hAnsiTheme="minorHAnsi" w:cstheme="minorBidi"/>
          <w:kern w:val="2"/>
          <w:sz w:val="24"/>
          <w:szCs w:val="24"/>
          <w14:ligatures w14:val="standardContextual"/>
        </w:rPr>
      </w:pPr>
      <w:r>
        <w:t>76</w:t>
      </w:r>
      <w:r>
        <w:rPr>
          <w:snapToGrid w:val="0"/>
        </w:rPr>
        <w:t>.</w:t>
      </w:r>
      <w:r>
        <w:rPr>
          <w:snapToGrid w:val="0"/>
        </w:rPr>
        <w:tab/>
        <w:t>Compensation to lessor for holding over</w:t>
      </w:r>
      <w:r>
        <w:tab/>
      </w:r>
      <w:r>
        <w:fldChar w:fldCharType="begin"/>
      </w:r>
      <w:r>
        <w:instrText xml:space="preserve"> PAGEREF _Toc225329784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77.</w:t>
      </w:r>
      <w:r>
        <w:tab/>
        <w:t>Abandonment of premises</w:t>
      </w:r>
      <w:r>
        <w:tab/>
      </w:r>
      <w:r>
        <w:fldChar w:fldCharType="begin"/>
      </w:r>
      <w:r>
        <w:instrText xml:space="preserve"> PAGEREF _Toc225329785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78A.</w:t>
      </w:r>
      <w:r>
        <w:tab/>
        <w:t>Order about abandonment</w:t>
      </w:r>
      <w:r>
        <w:tab/>
      </w:r>
      <w:r>
        <w:fldChar w:fldCharType="begin"/>
      </w:r>
      <w:r>
        <w:instrText xml:space="preserve"> PAGEREF _Toc225329786 \h </w:instrText>
      </w:r>
      <w:r>
        <w:fldChar w:fldCharType="separate"/>
      </w:r>
      <w:r>
        <w:t>138</w:t>
      </w:r>
      <w:r>
        <w:fldChar w:fldCharType="end"/>
      </w:r>
    </w:p>
    <w:p>
      <w:pPr>
        <w:pStyle w:val="TOC8"/>
        <w:rPr>
          <w:rFonts w:asciiTheme="minorHAnsi" w:eastAsiaTheme="minorEastAsia" w:hAnsiTheme="minorHAnsi" w:cstheme="minorBidi"/>
          <w:kern w:val="2"/>
          <w:sz w:val="24"/>
          <w:szCs w:val="24"/>
          <w14:ligatures w14:val="standardContextual"/>
        </w:rPr>
      </w:pPr>
      <w:r>
        <w:t>78B.</w:t>
      </w:r>
      <w:r>
        <w:tab/>
        <w:t>Review of abandonment order</w:t>
      </w:r>
      <w:r>
        <w:tab/>
      </w:r>
      <w:r>
        <w:fldChar w:fldCharType="begin"/>
      </w:r>
      <w:r>
        <w:instrText xml:space="preserve"> PAGEREF _Toc225329787 \h </w:instrText>
      </w:r>
      <w:r>
        <w:fldChar w:fldCharType="separate"/>
      </w:r>
      <w:r>
        <w:t>138</w:t>
      </w:r>
      <w:r>
        <w:fldChar w:fldCharType="end"/>
      </w:r>
    </w:p>
    <w:p>
      <w:pPr>
        <w:pStyle w:val="TOC8"/>
        <w:rPr>
          <w:rFonts w:asciiTheme="minorHAnsi" w:eastAsiaTheme="minorEastAsia" w:hAnsiTheme="minorHAnsi" w:cstheme="minorBidi"/>
          <w:kern w:val="2"/>
          <w:sz w:val="24"/>
          <w:szCs w:val="24"/>
          <w14:ligatures w14:val="standardContextual"/>
        </w:rPr>
      </w:pPr>
      <w:r>
        <w:t>78</w:t>
      </w:r>
      <w:r>
        <w:rPr>
          <w:snapToGrid w:val="0"/>
        </w:rPr>
        <w:t>.</w:t>
      </w:r>
      <w:r>
        <w:rPr>
          <w:snapToGrid w:val="0"/>
        </w:rPr>
        <w:tab/>
      </w:r>
      <w:r>
        <w:rPr>
          <w:bCs/>
        </w:rPr>
        <w:t>Right of lessor to compensation where tenant abandons premises</w:t>
      </w:r>
      <w:r>
        <w:tab/>
      </w:r>
      <w:r>
        <w:fldChar w:fldCharType="begin"/>
      </w:r>
      <w:r>
        <w:instrText xml:space="preserve"> PAGEREF _Toc225329788 \h </w:instrText>
      </w:r>
      <w:r>
        <w:fldChar w:fldCharType="separate"/>
      </w:r>
      <w:r>
        <w:t>139</w:t>
      </w:r>
      <w:r>
        <w:fldChar w:fldCharType="end"/>
      </w:r>
    </w:p>
    <w:p>
      <w:pPr>
        <w:pStyle w:val="TOC8"/>
        <w:rPr>
          <w:rFonts w:asciiTheme="minorHAnsi" w:eastAsiaTheme="minorEastAsia" w:hAnsiTheme="minorHAnsi" w:cstheme="minorBidi"/>
          <w:kern w:val="2"/>
          <w:sz w:val="24"/>
          <w:szCs w:val="24"/>
          <w14:ligatures w14:val="standardContextual"/>
        </w:rPr>
      </w:pPr>
      <w:r>
        <w:t>79</w:t>
      </w:r>
      <w:r>
        <w:rPr>
          <w:snapToGrid w:val="0"/>
        </w:rPr>
        <w:t>.</w:t>
      </w:r>
      <w:r>
        <w:rPr>
          <w:snapToGrid w:val="0"/>
        </w:rPr>
        <w:tab/>
        <w:t>Abandoned goods</w:t>
      </w:r>
      <w:r>
        <w:tab/>
      </w:r>
      <w:r>
        <w:fldChar w:fldCharType="begin"/>
      </w:r>
      <w:r>
        <w:instrText xml:space="preserve"> PAGEREF _Toc225329789 \h </w:instrText>
      </w:r>
      <w:r>
        <w:fldChar w:fldCharType="separate"/>
      </w:r>
      <w:r>
        <w:t>139</w:t>
      </w:r>
      <w:r>
        <w:fldChar w:fldCharType="end"/>
      </w:r>
    </w:p>
    <w:p>
      <w:pPr>
        <w:pStyle w:val="TOC8"/>
        <w:rPr>
          <w:rFonts w:asciiTheme="minorHAnsi" w:eastAsiaTheme="minorEastAsia" w:hAnsiTheme="minorHAnsi" w:cstheme="minorBidi"/>
          <w:kern w:val="2"/>
          <w:sz w:val="24"/>
          <w:szCs w:val="24"/>
          <w14:ligatures w14:val="standardContextual"/>
        </w:rPr>
      </w:pPr>
      <w:r>
        <w:t>80A.</w:t>
      </w:r>
      <w:r>
        <w:tab/>
        <w:t>Abandoned documents</w:t>
      </w:r>
      <w:r>
        <w:tab/>
      </w:r>
      <w:r>
        <w:fldChar w:fldCharType="begin"/>
      </w:r>
      <w:r>
        <w:instrText xml:space="preserve"> PAGEREF _Toc225329790 \h </w:instrText>
      </w:r>
      <w:r>
        <w:fldChar w:fldCharType="separate"/>
      </w:r>
      <w:r>
        <w:t>143</w:t>
      </w:r>
      <w:r>
        <w:fldChar w:fldCharType="end"/>
      </w:r>
    </w:p>
    <w:p>
      <w:pPr>
        <w:pStyle w:val="TOC8"/>
        <w:rPr>
          <w:rFonts w:asciiTheme="minorHAnsi" w:eastAsiaTheme="minorEastAsia" w:hAnsiTheme="minorHAnsi" w:cstheme="minorBidi"/>
          <w:kern w:val="2"/>
          <w:sz w:val="24"/>
          <w:szCs w:val="24"/>
          <w14:ligatures w14:val="standardContextual"/>
        </w:rPr>
      </w:pPr>
      <w:r>
        <w:t>80</w:t>
      </w:r>
      <w:r>
        <w:rPr>
          <w:snapToGrid w:val="0"/>
        </w:rPr>
        <w:t>.</w:t>
      </w:r>
      <w:r>
        <w:rPr>
          <w:snapToGrid w:val="0"/>
        </w:rPr>
        <w:tab/>
        <w:t>Recovery of possession of premises prohibited except by court order</w:t>
      </w:r>
      <w:r>
        <w:tab/>
      </w:r>
      <w:r>
        <w:fldChar w:fldCharType="begin"/>
      </w:r>
      <w:r>
        <w:instrText xml:space="preserve"> PAGEREF _Toc225329791 \h </w:instrText>
      </w:r>
      <w:r>
        <w:fldChar w:fldCharType="separate"/>
      </w:r>
      <w:r>
        <w:t>145</w:t>
      </w:r>
      <w:r>
        <w:fldChar w:fldCharType="end"/>
      </w:r>
    </w:p>
    <w:p>
      <w:pPr>
        <w:pStyle w:val="TOC8"/>
        <w:rPr>
          <w:rFonts w:asciiTheme="minorHAnsi" w:eastAsiaTheme="minorEastAsia" w:hAnsiTheme="minorHAnsi" w:cstheme="minorBidi"/>
          <w:kern w:val="2"/>
          <w:sz w:val="24"/>
          <w:szCs w:val="24"/>
          <w14:ligatures w14:val="standardContextual"/>
        </w:rPr>
      </w:pPr>
      <w:r>
        <w:t>81A.</w:t>
      </w:r>
      <w:r>
        <w:tab/>
        <w:t>Mortgagee repossessions of rented properties</w:t>
      </w:r>
      <w:r>
        <w:tab/>
      </w:r>
      <w:r>
        <w:fldChar w:fldCharType="begin"/>
      </w:r>
      <w:r>
        <w:instrText xml:space="preserve"> PAGEREF _Toc225329792 \h </w:instrText>
      </w:r>
      <w:r>
        <w:fldChar w:fldCharType="separate"/>
      </w:r>
      <w:r>
        <w:t>145</w:t>
      </w:r>
      <w:r>
        <w:fldChar w:fldCharType="end"/>
      </w:r>
    </w:p>
    <w:p>
      <w:pPr>
        <w:pStyle w:val="TOC8"/>
        <w:rPr>
          <w:rFonts w:asciiTheme="minorHAnsi" w:eastAsiaTheme="minorEastAsia" w:hAnsiTheme="minorHAnsi" w:cstheme="minorBidi"/>
          <w:kern w:val="2"/>
          <w:sz w:val="24"/>
          <w:szCs w:val="24"/>
          <w14:ligatures w14:val="standardContextual"/>
        </w:rPr>
      </w:pPr>
      <w:r>
        <w:t>81B.</w:t>
      </w:r>
      <w:r>
        <w:tab/>
        <w:t>Notice of proposed recovery of premises by person with superior title</w:t>
      </w:r>
      <w:r>
        <w:tab/>
      </w:r>
      <w:r>
        <w:fldChar w:fldCharType="begin"/>
      </w:r>
      <w:r>
        <w:instrText xml:space="preserve"> PAGEREF _Toc225329793 \h </w:instrText>
      </w:r>
      <w:r>
        <w:fldChar w:fldCharType="separate"/>
      </w:r>
      <w:r>
        <w:t>147</w:t>
      </w:r>
      <w:r>
        <w:fldChar w:fldCharType="end"/>
      </w:r>
    </w:p>
    <w:p>
      <w:pPr>
        <w:pStyle w:val="TOC8"/>
        <w:rPr>
          <w:rFonts w:asciiTheme="minorHAnsi" w:eastAsiaTheme="minorEastAsia" w:hAnsiTheme="minorHAnsi" w:cstheme="minorBidi"/>
          <w:kern w:val="2"/>
          <w:sz w:val="24"/>
          <w:szCs w:val="24"/>
          <w14:ligatures w14:val="standardContextual"/>
        </w:rPr>
      </w:pPr>
      <w:r>
        <w:t>81.</w:t>
      </w:r>
      <w:r>
        <w:tab/>
        <w:t>Order for tenancy against person with superior title</w:t>
      </w:r>
      <w:r>
        <w:tab/>
      </w:r>
      <w:r>
        <w:fldChar w:fldCharType="begin"/>
      </w:r>
      <w:r>
        <w:instrText xml:space="preserve"> PAGEREF _Toc225329794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5A — Release of security bond</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for release</w:t>
      </w:r>
    </w:p>
    <w:p>
      <w:pPr>
        <w:pStyle w:val="TOC8"/>
        <w:rPr>
          <w:rFonts w:asciiTheme="minorHAnsi" w:eastAsiaTheme="minorEastAsia" w:hAnsiTheme="minorHAnsi" w:cstheme="minorBidi"/>
          <w:kern w:val="2"/>
          <w:sz w:val="24"/>
          <w:szCs w:val="24"/>
          <w14:ligatures w14:val="standardContextual"/>
        </w:rPr>
      </w:pPr>
      <w:r>
        <w:t>81C.</w:t>
      </w:r>
      <w:r>
        <w:tab/>
        <w:t>Application for release of security bond</w:t>
      </w:r>
      <w:r>
        <w:tab/>
      </w:r>
      <w:r>
        <w:fldChar w:fldCharType="begin"/>
      </w:r>
      <w:r>
        <w:instrText xml:space="preserve"> PAGEREF _Toc225329797 \h </w:instrText>
      </w:r>
      <w:r>
        <w:fldChar w:fldCharType="separate"/>
      </w:r>
      <w:r>
        <w:t>149</w:t>
      </w:r>
      <w:r>
        <w:fldChar w:fldCharType="end"/>
      </w:r>
    </w:p>
    <w:p>
      <w:pPr>
        <w:pStyle w:val="TOC8"/>
        <w:rPr>
          <w:rFonts w:asciiTheme="minorHAnsi" w:eastAsiaTheme="minorEastAsia" w:hAnsiTheme="minorHAnsi" w:cstheme="minorBidi"/>
          <w:kern w:val="2"/>
          <w:sz w:val="24"/>
          <w:szCs w:val="24"/>
          <w14:ligatures w14:val="standardContextual"/>
        </w:rPr>
      </w:pPr>
      <w:r>
        <w:t>81D.</w:t>
      </w:r>
      <w:r>
        <w:tab/>
        <w:t>Application for partial release of security bond</w:t>
      </w:r>
      <w:r>
        <w:tab/>
      </w:r>
      <w:r>
        <w:fldChar w:fldCharType="begin"/>
      </w:r>
      <w:r>
        <w:instrText xml:space="preserve"> PAGEREF _Toc225329798 \h </w:instrText>
      </w:r>
      <w:r>
        <w:fldChar w:fldCharType="separate"/>
      </w:r>
      <w:r>
        <w:t>150</w:t>
      </w:r>
      <w:r>
        <w:fldChar w:fldCharType="end"/>
      </w:r>
    </w:p>
    <w:p>
      <w:pPr>
        <w:pStyle w:val="TOC8"/>
        <w:rPr>
          <w:rFonts w:asciiTheme="minorHAnsi" w:eastAsiaTheme="minorEastAsia" w:hAnsiTheme="minorHAnsi" w:cstheme="minorBidi"/>
          <w:kern w:val="2"/>
          <w:sz w:val="24"/>
          <w:szCs w:val="24"/>
          <w14:ligatures w14:val="standardContextual"/>
        </w:rPr>
      </w:pPr>
      <w:r>
        <w:t>81E.</w:t>
      </w:r>
      <w:r>
        <w:tab/>
        <w:t>Amounts for which lessor is entitled to payment from security bond</w:t>
      </w:r>
      <w:r>
        <w:tab/>
      </w:r>
      <w:r>
        <w:fldChar w:fldCharType="begin"/>
      </w:r>
      <w:r>
        <w:instrText xml:space="preserve"> PAGEREF _Toc225329799 \h </w:instrText>
      </w:r>
      <w:r>
        <w:fldChar w:fldCharType="separate"/>
      </w:r>
      <w:r>
        <w:t>150</w:t>
      </w:r>
      <w:r>
        <w:fldChar w:fldCharType="end"/>
      </w:r>
    </w:p>
    <w:p>
      <w:pPr>
        <w:pStyle w:val="TOC8"/>
        <w:rPr>
          <w:rFonts w:asciiTheme="minorHAnsi" w:eastAsiaTheme="minorEastAsia" w:hAnsiTheme="minorHAnsi" w:cstheme="minorBidi"/>
          <w:kern w:val="2"/>
          <w:sz w:val="24"/>
          <w:szCs w:val="24"/>
          <w14:ligatures w14:val="standardContextual"/>
        </w:rPr>
      </w:pPr>
      <w:r>
        <w:t>81F.</w:t>
      </w:r>
      <w:r>
        <w:tab/>
        <w:t>Notice of security bond release application to other parties</w:t>
      </w:r>
      <w:r>
        <w:tab/>
      </w:r>
      <w:r>
        <w:fldChar w:fldCharType="begin"/>
      </w:r>
      <w:r>
        <w:instrText xml:space="preserve"> PAGEREF _Toc225329800 \h </w:instrText>
      </w:r>
      <w:r>
        <w:fldChar w:fldCharType="separate"/>
      </w:r>
      <w:r>
        <w:t>152</w:t>
      </w:r>
      <w:r>
        <w:fldChar w:fldCharType="end"/>
      </w:r>
    </w:p>
    <w:p>
      <w:pPr>
        <w:pStyle w:val="TOC8"/>
        <w:rPr>
          <w:rFonts w:asciiTheme="minorHAnsi" w:eastAsiaTheme="minorEastAsia" w:hAnsiTheme="minorHAnsi" w:cstheme="minorBidi"/>
          <w:kern w:val="2"/>
          <w:sz w:val="24"/>
          <w:szCs w:val="24"/>
          <w14:ligatures w14:val="standardContextual"/>
        </w:rPr>
      </w:pPr>
      <w:r>
        <w:t>81G.</w:t>
      </w:r>
      <w:r>
        <w:tab/>
        <w:t>Agreeing to security bond release application</w:t>
      </w:r>
      <w:r>
        <w:tab/>
      </w:r>
      <w:r>
        <w:fldChar w:fldCharType="begin"/>
      </w:r>
      <w:r>
        <w:instrText xml:space="preserve"> PAGEREF _Toc225329801 \h </w:instrText>
      </w:r>
      <w:r>
        <w:fldChar w:fldCharType="separate"/>
      </w:r>
      <w:r>
        <w:t>153</w:t>
      </w:r>
      <w:r>
        <w:fldChar w:fldCharType="end"/>
      </w:r>
    </w:p>
    <w:p>
      <w:pPr>
        <w:pStyle w:val="TOC8"/>
        <w:rPr>
          <w:rFonts w:asciiTheme="minorHAnsi" w:eastAsiaTheme="minorEastAsia" w:hAnsiTheme="minorHAnsi" w:cstheme="minorBidi"/>
          <w:kern w:val="2"/>
          <w:sz w:val="24"/>
          <w:szCs w:val="24"/>
          <w14:ligatures w14:val="standardContextual"/>
        </w:rPr>
      </w:pPr>
      <w:r>
        <w:t>81H.</w:t>
      </w:r>
      <w:r>
        <w:tab/>
        <w:t>Disputing security bond release application</w:t>
      </w:r>
      <w:r>
        <w:tab/>
      </w:r>
      <w:r>
        <w:fldChar w:fldCharType="begin"/>
      </w:r>
      <w:r>
        <w:instrText xml:space="preserve"> PAGEREF _Toc225329802 \h </w:instrText>
      </w:r>
      <w:r>
        <w:fldChar w:fldCharType="separate"/>
      </w:r>
      <w:r>
        <w:t>153</w:t>
      </w:r>
      <w:r>
        <w:fldChar w:fldCharType="end"/>
      </w:r>
    </w:p>
    <w:p>
      <w:pPr>
        <w:pStyle w:val="TOC8"/>
        <w:rPr>
          <w:rFonts w:asciiTheme="minorHAnsi" w:eastAsiaTheme="minorEastAsia" w:hAnsiTheme="minorHAnsi" w:cstheme="minorBidi"/>
          <w:kern w:val="2"/>
          <w:sz w:val="24"/>
          <w:szCs w:val="24"/>
          <w14:ligatures w14:val="standardContextual"/>
        </w:rPr>
      </w:pPr>
      <w:r>
        <w:t>81I.</w:t>
      </w:r>
      <w:r>
        <w:tab/>
        <w:t>Referral of security bond release application to Commissioner for decision</w:t>
      </w:r>
      <w:r>
        <w:tab/>
      </w:r>
      <w:r>
        <w:fldChar w:fldCharType="begin"/>
      </w:r>
      <w:r>
        <w:instrText xml:space="preserve"> PAGEREF _Toc225329803 \h </w:instrText>
      </w:r>
      <w:r>
        <w:fldChar w:fldCharType="separate"/>
      </w:r>
      <w:r>
        <w:t>154</w:t>
      </w:r>
      <w:r>
        <w:fldChar w:fldCharType="end"/>
      </w:r>
    </w:p>
    <w:p>
      <w:pPr>
        <w:pStyle w:val="TOC8"/>
        <w:rPr>
          <w:rFonts w:asciiTheme="minorHAnsi" w:eastAsiaTheme="minorEastAsia" w:hAnsiTheme="minorHAnsi" w:cstheme="minorBidi"/>
          <w:kern w:val="2"/>
          <w:sz w:val="24"/>
          <w:szCs w:val="24"/>
          <w14:ligatures w14:val="standardContextual"/>
        </w:rPr>
      </w:pPr>
      <w:r>
        <w:t>81J.</w:t>
      </w:r>
      <w:r>
        <w:tab/>
        <w:t>Withdrawing dispute of application</w:t>
      </w:r>
      <w:r>
        <w:tab/>
      </w:r>
      <w:r>
        <w:fldChar w:fldCharType="begin"/>
      </w:r>
      <w:r>
        <w:instrText xml:space="preserve"> PAGEREF _Toc225329804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Payment of security bond</w:t>
      </w:r>
    </w:p>
    <w:p>
      <w:pPr>
        <w:pStyle w:val="TOC8"/>
        <w:rPr>
          <w:rFonts w:asciiTheme="minorHAnsi" w:eastAsiaTheme="minorEastAsia" w:hAnsiTheme="minorHAnsi" w:cstheme="minorBidi"/>
          <w:kern w:val="2"/>
          <w:sz w:val="24"/>
          <w:szCs w:val="24"/>
          <w14:ligatures w14:val="standardContextual"/>
        </w:rPr>
      </w:pPr>
      <w:r>
        <w:t>81K.</w:t>
      </w:r>
      <w:r>
        <w:tab/>
        <w:t>Payment of security bond with agreement of all parties</w:t>
      </w:r>
      <w:r>
        <w:tab/>
      </w:r>
      <w:r>
        <w:fldChar w:fldCharType="begin"/>
      </w:r>
      <w:r>
        <w:instrText xml:space="preserve"> PAGEREF _Toc225329806 \h </w:instrText>
      </w:r>
      <w:r>
        <w:fldChar w:fldCharType="separate"/>
      </w:r>
      <w:r>
        <w:t>155</w:t>
      </w:r>
      <w:r>
        <w:fldChar w:fldCharType="end"/>
      </w:r>
    </w:p>
    <w:p>
      <w:pPr>
        <w:pStyle w:val="TOC8"/>
        <w:rPr>
          <w:rFonts w:asciiTheme="minorHAnsi" w:eastAsiaTheme="minorEastAsia" w:hAnsiTheme="minorHAnsi" w:cstheme="minorBidi"/>
          <w:kern w:val="2"/>
          <w:sz w:val="24"/>
          <w:szCs w:val="24"/>
          <w14:ligatures w14:val="standardContextual"/>
        </w:rPr>
      </w:pPr>
      <w:r>
        <w:t>81L.</w:t>
      </w:r>
      <w:r>
        <w:tab/>
        <w:t>Payment of security bond following referral of application to Commissioner</w:t>
      </w:r>
      <w:r>
        <w:tab/>
      </w:r>
      <w:r>
        <w:fldChar w:fldCharType="begin"/>
      </w:r>
      <w:r>
        <w:instrText xml:space="preserve"> PAGEREF _Toc225329807 \h </w:instrText>
      </w:r>
      <w:r>
        <w:fldChar w:fldCharType="separate"/>
      </w:r>
      <w:r>
        <w:t>156</w:t>
      </w:r>
      <w:r>
        <w:fldChar w:fldCharType="end"/>
      </w:r>
    </w:p>
    <w:p>
      <w:pPr>
        <w:pStyle w:val="TOC8"/>
        <w:rPr>
          <w:rFonts w:asciiTheme="minorHAnsi" w:eastAsiaTheme="minorEastAsia" w:hAnsiTheme="minorHAnsi" w:cstheme="minorBidi"/>
          <w:kern w:val="2"/>
          <w:sz w:val="24"/>
          <w:szCs w:val="24"/>
          <w14:ligatures w14:val="standardContextual"/>
        </w:rPr>
      </w:pPr>
      <w:r>
        <w:t>81M.</w:t>
      </w:r>
      <w:r>
        <w:tab/>
        <w:t>Paying amount of bond assistance loan to Housing Authority</w:t>
      </w:r>
      <w:r>
        <w:tab/>
      </w:r>
      <w:r>
        <w:fldChar w:fldCharType="begin"/>
      </w:r>
      <w:r>
        <w:instrText xml:space="preserve"> PAGEREF _Toc225329808 \h </w:instrText>
      </w:r>
      <w:r>
        <w:fldChar w:fldCharType="separate"/>
      </w:r>
      <w:r>
        <w:t>156</w:t>
      </w:r>
      <w:r>
        <w:fldChar w:fldCharType="end"/>
      </w:r>
    </w:p>
    <w:p>
      <w:pPr>
        <w:pStyle w:val="TOC8"/>
        <w:rPr>
          <w:rFonts w:asciiTheme="minorHAnsi" w:eastAsiaTheme="minorEastAsia" w:hAnsiTheme="minorHAnsi" w:cstheme="minorBidi"/>
          <w:kern w:val="2"/>
          <w:sz w:val="24"/>
          <w:szCs w:val="24"/>
          <w14:ligatures w14:val="standardContextual"/>
        </w:rPr>
      </w:pPr>
      <w:r>
        <w:t>81N.</w:t>
      </w:r>
      <w:r>
        <w:tab/>
        <w:t>Payment of security bond in accordance with order of competent court</w:t>
      </w:r>
      <w:r>
        <w:tab/>
      </w:r>
      <w:r>
        <w:fldChar w:fldCharType="begin"/>
      </w:r>
      <w:r>
        <w:instrText xml:space="preserve"> PAGEREF _Toc225329809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Security bond release application decided by Commissioner</w:t>
      </w:r>
    </w:p>
    <w:p>
      <w:pPr>
        <w:pStyle w:val="TOC8"/>
        <w:rPr>
          <w:rFonts w:asciiTheme="minorHAnsi" w:eastAsiaTheme="minorEastAsia" w:hAnsiTheme="minorHAnsi" w:cstheme="minorBidi"/>
          <w:kern w:val="2"/>
          <w:sz w:val="24"/>
          <w:szCs w:val="24"/>
          <w14:ligatures w14:val="standardContextual"/>
        </w:rPr>
      </w:pPr>
      <w:r>
        <w:t>81O.</w:t>
      </w:r>
      <w:r>
        <w:tab/>
        <w:t>Application of Division</w:t>
      </w:r>
      <w:r>
        <w:tab/>
      </w:r>
      <w:r>
        <w:fldChar w:fldCharType="begin"/>
      </w:r>
      <w:r>
        <w:instrText xml:space="preserve"> PAGEREF _Toc225329811 \h </w:instrText>
      </w:r>
      <w:r>
        <w:fldChar w:fldCharType="separate"/>
      </w:r>
      <w:r>
        <w:t>158</w:t>
      </w:r>
      <w:r>
        <w:fldChar w:fldCharType="end"/>
      </w:r>
    </w:p>
    <w:p>
      <w:pPr>
        <w:pStyle w:val="TOC8"/>
        <w:rPr>
          <w:rFonts w:asciiTheme="minorHAnsi" w:eastAsiaTheme="minorEastAsia" w:hAnsiTheme="minorHAnsi" w:cstheme="minorBidi"/>
          <w:kern w:val="2"/>
          <w:sz w:val="24"/>
          <w:szCs w:val="24"/>
          <w14:ligatures w14:val="standardContextual"/>
        </w:rPr>
      </w:pPr>
      <w:r>
        <w:t>81P.</w:t>
      </w:r>
      <w:r>
        <w:tab/>
        <w:t>Known party to residential tenancy agreement</w:t>
      </w:r>
      <w:r>
        <w:tab/>
      </w:r>
      <w:r>
        <w:fldChar w:fldCharType="begin"/>
      </w:r>
      <w:r>
        <w:instrText xml:space="preserve"> PAGEREF _Toc225329812 \h </w:instrText>
      </w:r>
      <w:r>
        <w:fldChar w:fldCharType="separate"/>
      </w:r>
      <w:r>
        <w:t>158</w:t>
      </w:r>
      <w:r>
        <w:fldChar w:fldCharType="end"/>
      </w:r>
    </w:p>
    <w:p>
      <w:pPr>
        <w:pStyle w:val="TOC8"/>
        <w:rPr>
          <w:rFonts w:asciiTheme="minorHAnsi" w:eastAsiaTheme="minorEastAsia" w:hAnsiTheme="minorHAnsi" w:cstheme="minorBidi"/>
          <w:kern w:val="2"/>
          <w:sz w:val="24"/>
          <w:szCs w:val="24"/>
          <w14:ligatures w14:val="standardContextual"/>
        </w:rPr>
      </w:pPr>
      <w:r>
        <w:t>81Q.</w:t>
      </w:r>
      <w:r>
        <w:tab/>
        <w:t>Notice of receipt of security bond release application</w:t>
      </w:r>
      <w:r>
        <w:tab/>
      </w:r>
      <w:r>
        <w:fldChar w:fldCharType="begin"/>
      </w:r>
      <w:r>
        <w:instrText xml:space="preserve"> PAGEREF _Toc225329813 \h </w:instrText>
      </w:r>
      <w:r>
        <w:fldChar w:fldCharType="separate"/>
      </w:r>
      <w:r>
        <w:t>158</w:t>
      </w:r>
      <w:r>
        <w:fldChar w:fldCharType="end"/>
      </w:r>
    </w:p>
    <w:p>
      <w:pPr>
        <w:pStyle w:val="TOC8"/>
        <w:rPr>
          <w:rFonts w:asciiTheme="minorHAnsi" w:eastAsiaTheme="minorEastAsia" w:hAnsiTheme="minorHAnsi" w:cstheme="minorBidi"/>
          <w:kern w:val="2"/>
          <w:sz w:val="24"/>
          <w:szCs w:val="24"/>
          <w14:ligatures w14:val="standardContextual"/>
        </w:rPr>
      </w:pPr>
      <w:r>
        <w:t>81R.</w:t>
      </w:r>
      <w:r>
        <w:tab/>
        <w:t>Deciding security bond release application</w:t>
      </w:r>
      <w:r>
        <w:tab/>
      </w:r>
      <w:r>
        <w:fldChar w:fldCharType="begin"/>
      </w:r>
      <w:r>
        <w:instrText xml:space="preserve"> PAGEREF _Toc225329814 \h </w:instrText>
      </w:r>
      <w:r>
        <w:fldChar w:fldCharType="separate"/>
      </w:r>
      <w:r>
        <w:t>159</w:t>
      </w:r>
      <w:r>
        <w:fldChar w:fldCharType="end"/>
      </w:r>
    </w:p>
    <w:p>
      <w:pPr>
        <w:pStyle w:val="TOC8"/>
        <w:rPr>
          <w:rFonts w:asciiTheme="minorHAnsi" w:eastAsiaTheme="minorEastAsia" w:hAnsiTheme="minorHAnsi" w:cstheme="minorBidi"/>
          <w:kern w:val="2"/>
          <w:sz w:val="24"/>
          <w:szCs w:val="24"/>
          <w14:ligatures w14:val="standardContextual"/>
        </w:rPr>
      </w:pPr>
      <w:r>
        <w:t>81S.</w:t>
      </w:r>
      <w:r>
        <w:tab/>
        <w:t>When Commissioner is not required to decide security bond release application</w:t>
      </w:r>
      <w:r>
        <w:tab/>
      </w:r>
      <w:r>
        <w:fldChar w:fldCharType="begin"/>
      </w:r>
      <w:r>
        <w:instrText xml:space="preserve"> PAGEREF _Toc225329815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General</w:t>
      </w:r>
    </w:p>
    <w:p>
      <w:pPr>
        <w:pStyle w:val="TOC8"/>
        <w:rPr>
          <w:rFonts w:asciiTheme="minorHAnsi" w:eastAsiaTheme="minorEastAsia" w:hAnsiTheme="minorHAnsi" w:cstheme="minorBidi"/>
          <w:kern w:val="2"/>
          <w:sz w:val="24"/>
          <w:szCs w:val="24"/>
          <w14:ligatures w14:val="standardContextual"/>
        </w:rPr>
      </w:pPr>
      <w:r>
        <w:t>81T.</w:t>
      </w:r>
      <w:r>
        <w:tab/>
        <w:t>Unclaimed security bonds</w:t>
      </w:r>
      <w:r>
        <w:tab/>
      </w:r>
      <w:r>
        <w:fldChar w:fldCharType="begin"/>
      </w:r>
      <w:r>
        <w:instrText xml:space="preserve"> PAGEREF _Toc225329817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VIA — Residential tenancy databases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82A.</w:t>
      </w:r>
      <w:r>
        <w:tab/>
        <w:t>Terms used</w:t>
      </w:r>
      <w:r>
        <w:tab/>
      </w:r>
      <w:r>
        <w:fldChar w:fldCharType="begin"/>
      </w:r>
      <w:r>
        <w:instrText xml:space="preserve"> PAGEREF _Toc225329820 \h </w:instrText>
      </w:r>
      <w:r>
        <w:fldChar w:fldCharType="separate"/>
      </w:r>
      <w:r>
        <w:t>162</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82B.</w:t>
      </w:r>
      <w:r>
        <w:tab/>
        <w:t>Application of Part</w:t>
      </w:r>
      <w:r>
        <w:tab/>
      </w:r>
      <w:r>
        <w:fldChar w:fldCharType="begin"/>
      </w:r>
      <w:r>
        <w:instrText xml:space="preserve"> PAGEREF _Toc225329821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Tenancy database information</w:t>
      </w:r>
    </w:p>
    <w:p>
      <w:pPr>
        <w:pStyle w:val="TOC8"/>
        <w:rPr>
          <w:rFonts w:asciiTheme="minorHAnsi" w:eastAsiaTheme="minorEastAsia" w:hAnsiTheme="minorHAnsi" w:cstheme="minorBidi"/>
          <w:kern w:val="2"/>
          <w:sz w:val="24"/>
          <w:szCs w:val="24"/>
          <w14:ligatures w14:val="standardContextual"/>
        </w:rPr>
      </w:pPr>
      <w:r>
        <w:t>82C.</w:t>
      </w:r>
      <w:r>
        <w:tab/>
        <w:t>Notice of usual use of database</w:t>
      </w:r>
      <w:r>
        <w:tab/>
      </w:r>
      <w:r>
        <w:fldChar w:fldCharType="begin"/>
      </w:r>
      <w:r>
        <w:instrText xml:space="preserve"> PAGEREF _Toc225329823 \h </w:instrText>
      </w:r>
      <w:r>
        <w:fldChar w:fldCharType="separate"/>
      </w:r>
      <w:r>
        <w:t>164</w:t>
      </w:r>
      <w:r>
        <w:fldChar w:fldCharType="end"/>
      </w:r>
    </w:p>
    <w:p>
      <w:pPr>
        <w:pStyle w:val="TOC8"/>
        <w:rPr>
          <w:rFonts w:asciiTheme="minorHAnsi" w:eastAsiaTheme="minorEastAsia" w:hAnsiTheme="minorHAnsi" w:cstheme="minorBidi"/>
          <w:kern w:val="2"/>
          <w:sz w:val="24"/>
          <w:szCs w:val="24"/>
          <w14:ligatures w14:val="standardContextual"/>
        </w:rPr>
      </w:pPr>
      <w:r>
        <w:t>82D.</w:t>
      </w:r>
      <w:r>
        <w:tab/>
        <w:t>Notice of listing if database used</w:t>
      </w:r>
      <w:r>
        <w:tab/>
      </w:r>
      <w:r>
        <w:fldChar w:fldCharType="begin"/>
      </w:r>
      <w:r>
        <w:instrText xml:space="preserve"> PAGEREF _Toc225329824 \h </w:instrText>
      </w:r>
      <w:r>
        <w:fldChar w:fldCharType="separate"/>
      </w:r>
      <w:r>
        <w:t>165</w:t>
      </w:r>
      <w:r>
        <w:fldChar w:fldCharType="end"/>
      </w:r>
    </w:p>
    <w:p>
      <w:pPr>
        <w:pStyle w:val="TOC8"/>
        <w:rPr>
          <w:rFonts w:asciiTheme="minorHAnsi" w:eastAsiaTheme="minorEastAsia" w:hAnsiTheme="minorHAnsi" w:cstheme="minorBidi"/>
          <w:kern w:val="2"/>
          <w:sz w:val="24"/>
          <w:szCs w:val="24"/>
          <w14:ligatures w14:val="standardContextual"/>
        </w:rPr>
      </w:pPr>
      <w:r>
        <w:t>82E.</w:t>
      </w:r>
      <w:r>
        <w:tab/>
        <w:t>Listing can be made only for particular breaches by particular persons</w:t>
      </w:r>
      <w:r>
        <w:tab/>
      </w:r>
      <w:r>
        <w:fldChar w:fldCharType="begin"/>
      </w:r>
      <w:r>
        <w:instrText xml:space="preserve"> PAGEREF _Toc225329825 \h </w:instrText>
      </w:r>
      <w:r>
        <w:fldChar w:fldCharType="separate"/>
      </w:r>
      <w:r>
        <w:t>166</w:t>
      </w:r>
      <w:r>
        <w:fldChar w:fldCharType="end"/>
      </w:r>
    </w:p>
    <w:p>
      <w:pPr>
        <w:pStyle w:val="TOC8"/>
        <w:rPr>
          <w:rFonts w:asciiTheme="minorHAnsi" w:eastAsiaTheme="minorEastAsia" w:hAnsiTheme="minorHAnsi" w:cstheme="minorBidi"/>
          <w:kern w:val="2"/>
          <w:sz w:val="24"/>
          <w:szCs w:val="24"/>
          <w14:ligatures w14:val="standardContextual"/>
        </w:rPr>
      </w:pPr>
      <w:r>
        <w:t>82F.</w:t>
      </w:r>
      <w:r>
        <w:tab/>
        <w:t>Further restriction on listing</w:t>
      </w:r>
      <w:r>
        <w:tab/>
      </w:r>
      <w:r>
        <w:fldChar w:fldCharType="begin"/>
      </w:r>
      <w:r>
        <w:instrText xml:space="preserve"> PAGEREF _Toc225329826 \h </w:instrText>
      </w:r>
      <w:r>
        <w:fldChar w:fldCharType="separate"/>
      </w:r>
      <w:r>
        <w:t>168</w:t>
      </w:r>
      <w:r>
        <w:fldChar w:fldCharType="end"/>
      </w:r>
    </w:p>
    <w:p>
      <w:pPr>
        <w:pStyle w:val="TOC8"/>
        <w:rPr>
          <w:rFonts w:asciiTheme="minorHAnsi" w:eastAsiaTheme="minorEastAsia" w:hAnsiTheme="minorHAnsi" w:cstheme="minorBidi"/>
          <w:kern w:val="2"/>
          <w:sz w:val="24"/>
          <w:szCs w:val="24"/>
          <w14:ligatures w14:val="standardContextual"/>
        </w:rPr>
      </w:pPr>
      <w:r>
        <w:t>82G.</w:t>
      </w:r>
      <w:r>
        <w:tab/>
        <w:t>Ensuring quality of listing — lessor’s or agent’s obligation</w:t>
      </w:r>
      <w:r>
        <w:tab/>
      </w:r>
      <w:r>
        <w:fldChar w:fldCharType="begin"/>
      </w:r>
      <w:r>
        <w:instrText xml:space="preserve"> PAGEREF _Toc225329827 \h </w:instrText>
      </w:r>
      <w:r>
        <w:fldChar w:fldCharType="separate"/>
      </w:r>
      <w:r>
        <w:t>169</w:t>
      </w:r>
      <w:r>
        <w:fldChar w:fldCharType="end"/>
      </w:r>
    </w:p>
    <w:p>
      <w:pPr>
        <w:pStyle w:val="TOC8"/>
        <w:rPr>
          <w:rFonts w:asciiTheme="minorHAnsi" w:eastAsiaTheme="minorEastAsia" w:hAnsiTheme="minorHAnsi" w:cstheme="minorBidi"/>
          <w:kern w:val="2"/>
          <w:sz w:val="24"/>
          <w:szCs w:val="24"/>
          <w14:ligatures w14:val="standardContextual"/>
        </w:rPr>
      </w:pPr>
      <w:r>
        <w:t>82H.</w:t>
      </w:r>
      <w:r>
        <w:tab/>
        <w:t>Ensuring quality of listing — database operator’s obligation</w:t>
      </w:r>
      <w:r>
        <w:tab/>
      </w:r>
      <w:r>
        <w:fldChar w:fldCharType="begin"/>
      </w:r>
      <w:r>
        <w:instrText xml:space="preserve"> PAGEREF _Toc225329828 \h </w:instrText>
      </w:r>
      <w:r>
        <w:fldChar w:fldCharType="separate"/>
      </w:r>
      <w:r>
        <w:t>169</w:t>
      </w:r>
      <w:r>
        <w:fldChar w:fldCharType="end"/>
      </w:r>
    </w:p>
    <w:p>
      <w:pPr>
        <w:pStyle w:val="TOC8"/>
        <w:rPr>
          <w:rFonts w:asciiTheme="minorHAnsi" w:eastAsiaTheme="minorEastAsia" w:hAnsiTheme="minorHAnsi" w:cstheme="minorBidi"/>
          <w:kern w:val="2"/>
          <w:sz w:val="24"/>
          <w:szCs w:val="24"/>
          <w14:ligatures w14:val="standardContextual"/>
        </w:rPr>
      </w:pPr>
      <w:r>
        <w:t>82I.</w:t>
      </w:r>
      <w:r>
        <w:tab/>
        <w:t>Providing copy of personal information listed</w:t>
      </w:r>
      <w:r>
        <w:tab/>
      </w:r>
      <w:r>
        <w:fldChar w:fldCharType="begin"/>
      </w:r>
      <w:r>
        <w:instrText xml:space="preserve"> PAGEREF _Toc225329829 \h </w:instrText>
      </w:r>
      <w:r>
        <w:fldChar w:fldCharType="separate"/>
      </w:r>
      <w:r>
        <w:t>170</w:t>
      </w:r>
      <w:r>
        <w:fldChar w:fldCharType="end"/>
      </w:r>
    </w:p>
    <w:p>
      <w:pPr>
        <w:pStyle w:val="TOC8"/>
        <w:rPr>
          <w:rFonts w:asciiTheme="minorHAnsi" w:eastAsiaTheme="minorEastAsia" w:hAnsiTheme="minorHAnsi" w:cstheme="minorBidi"/>
          <w:kern w:val="2"/>
          <w:sz w:val="24"/>
          <w:szCs w:val="24"/>
          <w14:ligatures w14:val="standardContextual"/>
        </w:rPr>
      </w:pPr>
      <w:r>
        <w:t>82J.</w:t>
      </w:r>
      <w:r>
        <w:tab/>
        <w:t>Disputes about listings</w:t>
      </w:r>
      <w:r>
        <w:tab/>
      </w:r>
      <w:r>
        <w:fldChar w:fldCharType="begin"/>
      </w:r>
      <w:r>
        <w:instrText xml:space="preserve"> PAGEREF _Toc225329830 \h </w:instrText>
      </w:r>
      <w:r>
        <w:fldChar w:fldCharType="separate"/>
      </w:r>
      <w:r>
        <w:t>171</w:t>
      </w:r>
      <w:r>
        <w:fldChar w:fldCharType="end"/>
      </w:r>
    </w:p>
    <w:p>
      <w:pPr>
        <w:pStyle w:val="TOC8"/>
        <w:rPr>
          <w:rFonts w:asciiTheme="minorHAnsi" w:eastAsiaTheme="minorEastAsia" w:hAnsiTheme="minorHAnsi" w:cstheme="minorBidi"/>
          <w:kern w:val="2"/>
          <w:sz w:val="24"/>
          <w:szCs w:val="24"/>
          <w14:ligatures w14:val="standardContextual"/>
        </w:rPr>
      </w:pPr>
      <w:r>
        <w:t>82K.</w:t>
      </w:r>
      <w:r>
        <w:tab/>
        <w:t>Keeping personal information listed</w:t>
      </w:r>
      <w:r>
        <w:tab/>
      </w:r>
      <w:r>
        <w:fldChar w:fldCharType="begin"/>
      </w:r>
      <w:r>
        <w:instrText xml:space="preserve"> PAGEREF _Toc225329831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VI — Miscellaneous</w:t>
      </w:r>
    </w:p>
    <w:p>
      <w:pPr>
        <w:pStyle w:val="TOC8"/>
        <w:rPr>
          <w:rFonts w:asciiTheme="minorHAnsi" w:eastAsiaTheme="minorEastAsia" w:hAnsiTheme="minorHAnsi" w:cstheme="minorBidi"/>
          <w:kern w:val="2"/>
          <w:sz w:val="24"/>
          <w:szCs w:val="24"/>
          <w14:ligatures w14:val="standardContextual"/>
        </w:rPr>
      </w:pPr>
      <w:r>
        <w:t>82</w:t>
      </w:r>
      <w:r>
        <w:rPr>
          <w:snapToGrid w:val="0"/>
        </w:rPr>
        <w:t>.</w:t>
      </w:r>
      <w:r>
        <w:rPr>
          <w:snapToGrid w:val="0"/>
        </w:rPr>
        <w:tab/>
        <w:t>Contracting out</w:t>
      </w:r>
      <w:r>
        <w:tab/>
      </w:r>
      <w:r>
        <w:fldChar w:fldCharType="begin"/>
      </w:r>
      <w:r>
        <w:instrText xml:space="preserve"> PAGEREF _Toc225329833 \h </w:instrText>
      </w:r>
      <w:r>
        <w:fldChar w:fldCharType="separate"/>
      </w:r>
      <w:r>
        <w:t>174</w:t>
      </w:r>
      <w:r>
        <w:fldChar w:fldCharType="end"/>
      </w:r>
    </w:p>
    <w:p>
      <w:pPr>
        <w:pStyle w:val="TOC8"/>
        <w:rPr>
          <w:rFonts w:asciiTheme="minorHAnsi" w:eastAsiaTheme="minorEastAsia" w:hAnsiTheme="minorHAnsi" w:cstheme="minorBidi"/>
          <w:kern w:val="2"/>
          <w:sz w:val="24"/>
          <w:szCs w:val="24"/>
          <w14:ligatures w14:val="standardContextual"/>
        </w:rPr>
      </w:pPr>
      <w:r>
        <w:t>83</w:t>
      </w:r>
      <w:r>
        <w:rPr>
          <w:snapToGrid w:val="0"/>
        </w:rPr>
        <w:t>.</w:t>
      </w:r>
      <w:r>
        <w:rPr>
          <w:snapToGrid w:val="0"/>
        </w:rPr>
        <w:tab/>
        <w:t>Recovery of amounts paid under mistake of law or fact</w:t>
      </w:r>
      <w:r>
        <w:tab/>
      </w:r>
      <w:r>
        <w:fldChar w:fldCharType="begin"/>
      </w:r>
      <w:r>
        <w:instrText xml:space="preserve"> PAGEREF _Toc225329834 \h </w:instrText>
      </w:r>
      <w:r>
        <w:fldChar w:fldCharType="separate"/>
      </w:r>
      <w:r>
        <w:t>174</w:t>
      </w:r>
      <w:r>
        <w:fldChar w:fldCharType="end"/>
      </w:r>
    </w:p>
    <w:p>
      <w:pPr>
        <w:pStyle w:val="TOC8"/>
        <w:rPr>
          <w:rFonts w:asciiTheme="minorHAnsi" w:eastAsiaTheme="minorEastAsia" w:hAnsiTheme="minorHAnsi" w:cstheme="minorBidi"/>
          <w:kern w:val="2"/>
          <w:sz w:val="24"/>
          <w:szCs w:val="24"/>
          <w14:ligatures w14:val="standardContextual"/>
        </w:rPr>
      </w:pPr>
      <w:r>
        <w:t>84</w:t>
      </w:r>
      <w:r>
        <w:rPr>
          <w:snapToGrid w:val="0"/>
        </w:rPr>
        <w:t>.</w:t>
      </w:r>
      <w:r>
        <w:rPr>
          <w:snapToGrid w:val="0"/>
        </w:rPr>
        <w:tab/>
        <w:t>Exemption of tenancy agreement or premises from provision of Act</w:t>
      </w:r>
      <w:r>
        <w:tab/>
      </w:r>
      <w:r>
        <w:fldChar w:fldCharType="begin"/>
      </w:r>
      <w:r>
        <w:instrText xml:space="preserve"> PAGEREF _Toc225329835 \h </w:instrText>
      </w:r>
      <w:r>
        <w:fldChar w:fldCharType="separate"/>
      </w:r>
      <w:r>
        <w:t>174</w:t>
      </w:r>
      <w:r>
        <w:fldChar w:fldCharType="end"/>
      </w:r>
    </w:p>
    <w:p>
      <w:pPr>
        <w:pStyle w:val="TOC8"/>
        <w:rPr>
          <w:rFonts w:asciiTheme="minorHAnsi" w:eastAsiaTheme="minorEastAsia" w:hAnsiTheme="minorHAnsi" w:cstheme="minorBidi"/>
          <w:kern w:val="2"/>
          <w:sz w:val="24"/>
          <w:szCs w:val="24"/>
          <w14:ligatures w14:val="standardContextual"/>
        </w:rPr>
      </w:pPr>
      <w:r>
        <w:t>85</w:t>
      </w:r>
      <w:r>
        <w:rPr>
          <w:snapToGrid w:val="0"/>
        </w:rPr>
        <w:t>.</w:t>
      </w:r>
      <w:r>
        <w:rPr>
          <w:snapToGrid w:val="0"/>
        </w:rPr>
        <w:tab/>
        <w:t>Service</w:t>
      </w:r>
      <w:r>
        <w:tab/>
      </w:r>
      <w:r>
        <w:fldChar w:fldCharType="begin"/>
      </w:r>
      <w:r>
        <w:instrText xml:space="preserve"> PAGEREF _Toc225329836 \h </w:instrText>
      </w:r>
      <w:r>
        <w:fldChar w:fldCharType="separate"/>
      </w:r>
      <w:r>
        <w:t>175</w:t>
      </w:r>
      <w:r>
        <w:fldChar w:fldCharType="end"/>
      </w:r>
    </w:p>
    <w:p>
      <w:pPr>
        <w:pStyle w:val="TOC8"/>
        <w:rPr>
          <w:rFonts w:asciiTheme="minorHAnsi" w:eastAsiaTheme="minorEastAsia" w:hAnsiTheme="minorHAnsi" w:cstheme="minorBidi"/>
          <w:kern w:val="2"/>
          <w:sz w:val="24"/>
          <w:szCs w:val="24"/>
          <w14:ligatures w14:val="standardContextual"/>
        </w:rPr>
      </w:pPr>
      <w:r>
        <w:t>86.</w:t>
      </w:r>
      <w:r>
        <w:tab/>
        <w:t>Court may refer matter to Commissioner for investigation</w:t>
      </w:r>
      <w:r>
        <w:tab/>
      </w:r>
      <w:r>
        <w:fldChar w:fldCharType="begin"/>
      </w:r>
      <w:r>
        <w:instrText xml:space="preserve"> PAGEREF _Toc225329837 \h </w:instrText>
      </w:r>
      <w:r>
        <w:fldChar w:fldCharType="separate"/>
      </w:r>
      <w:r>
        <w:t>176</w:t>
      </w:r>
      <w:r>
        <w:fldChar w:fldCharType="end"/>
      </w:r>
    </w:p>
    <w:p>
      <w:pPr>
        <w:pStyle w:val="TOC8"/>
        <w:rPr>
          <w:rFonts w:asciiTheme="minorHAnsi" w:eastAsiaTheme="minorEastAsia" w:hAnsiTheme="minorHAnsi" w:cstheme="minorBidi"/>
          <w:kern w:val="2"/>
          <w:sz w:val="24"/>
          <w:szCs w:val="24"/>
          <w14:ligatures w14:val="standardContextual"/>
        </w:rPr>
      </w:pPr>
      <w:r>
        <w:t>86A.</w:t>
      </w:r>
      <w:r>
        <w:tab/>
        <w:t>Provisions imposing obligation to act on lessor or property manager</w:t>
      </w:r>
      <w:r>
        <w:tab/>
      </w:r>
      <w:r>
        <w:fldChar w:fldCharType="begin"/>
      </w:r>
      <w:r>
        <w:instrText xml:space="preserve"> PAGEREF _Toc225329838 \h </w:instrText>
      </w:r>
      <w:r>
        <w:fldChar w:fldCharType="separate"/>
      </w:r>
      <w:r>
        <w:t>177</w:t>
      </w:r>
      <w:r>
        <w:fldChar w:fldCharType="end"/>
      </w:r>
    </w:p>
    <w:p>
      <w:pPr>
        <w:pStyle w:val="TOC8"/>
        <w:rPr>
          <w:rFonts w:asciiTheme="minorHAnsi" w:eastAsiaTheme="minorEastAsia" w:hAnsiTheme="minorHAnsi" w:cstheme="minorBidi"/>
          <w:kern w:val="2"/>
          <w:sz w:val="24"/>
          <w:szCs w:val="24"/>
          <w14:ligatures w14:val="standardContextual"/>
        </w:rPr>
      </w:pPr>
      <w:r>
        <w:t>86B.</w:t>
      </w:r>
      <w:r>
        <w:tab/>
        <w:t>Agency of lessor’s property manager not limited</w:t>
      </w:r>
      <w:r>
        <w:tab/>
      </w:r>
      <w:r>
        <w:fldChar w:fldCharType="begin"/>
      </w:r>
      <w:r>
        <w:instrText xml:space="preserve"> PAGEREF _Toc225329839 \h </w:instrText>
      </w:r>
      <w:r>
        <w:fldChar w:fldCharType="separate"/>
      </w:r>
      <w:r>
        <w:t>177</w:t>
      </w:r>
      <w:r>
        <w:fldChar w:fldCharType="end"/>
      </w:r>
    </w:p>
    <w:p>
      <w:pPr>
        <w:pStyle w:val="TOC8"/>
        <w:rPr>
          <w:rFonts w:asciiTheme="minorHAnsi" w:eastAsiaTheme="minorEastAsia" w:hAnsiTheme="minorHAnsi" w:cstheme="minorBidi"/>
          <w:kern w:val="2"/>
          <w:sz w:val="24"/>
          <w:szCs w:val="24"/>
          <w14:ligatures w14:val="standardContextual"/>
        </w:rPr>
      </w:pPr>
      <w:r>
        <w:t>87A.</w:t>
      </w:r>
      <w:r>
        <w:tab/>
        <w:t>Defence where lessor and property manager are both charged with the same offence</w:t>
      </w:r>
      <w:r>
        <w:tab/>
      </w:r>
      <w:r>
        <w:fldChar w:fldCharType="begin"/>
      </w:r>
      <w:r>
        <w:instrText xml:space="preserve"> PAGEREF _Toc225329840 \h </w:instrText>
      </w:r>
      <w:r>
        <w:fldChar w:fldCharType="separate"/>
      </w:r>
      <w:r>
        <w:t>178</w:t>
      </w:r>
      <w:r>
        <w:fldChar w:fldCharType="end"/>
      </w:r>
    </w:p>
    <w:p>
      <w:pPr>
        <w:pStyle w:val="TOC8"/>
        <w:rPr>
          <w:rFonts w:asciiTheme="minorHAnsi" w:eastAsiaTheme="minorEastAsia" w:hAnsiTheme="minorHAnsi" w:cstheme="minorBidi"/>
          <w:kern w:val="2"/>
          <w:sz w:val="24"/>
          <w:szCs w:val="24"/>
          <w14:ligatures w14:val="standardContextual"/>
        </w:rPr>
      </w:pPr>
      <w:r>
        <w:t>87</w:t>
      </w:r>
      <w:r>
        <w:rPr>
          <w:snapToGrid w:val="0"/>
        </w:rPr>
        <w:t>.</w:t>
      </w:r>
      <w:r>
        <w:rPr>
          <w:snapToGrid w:val="0"/>
        </w:rPr>
        <w:tab/>
        <w:t>Time for bringing proceedings</w:t>
      </w:r>
      <w:r>
        <w:tab/>
      </w:r>
      <w:r>
        <w:fldChar w:fldCharType="begin"/>
      </w:r>
      <w:r>
        <w:instrText xml:space="preserve"> PAGEREF _Toc225329841 \h </w:instrText>
      </w:r>
      <w:r>
        <w:fldChar w:fldCharType="separate"/>
      </w:r>
      <w:r>
        <w:t>178</w:t>
      </w:r>
      <w:r>
        <w:fldChar w:fldCharType="end"/>
      </w:r>
    </w:p>
    <w:p>
      <w:pPr>
        <w:pStyle w:val="TOC8"/>
        <w:rPr>
          <w:rFonts w:asciiTheme="minorHAnsi" w:eastAsiaTheme="minorEastAsia" w:hAnsiTheme="minorHAnsi" w:cstheme="minorBidi"/>
          <w:kern w:val="2"/>
          <w:sz w:val="24"/>
          <w:szCs w:val="24"/>
          <w14:ligatures w14:val="standardContextual"/>
        </w:rPr>
      </w:pPr>
      <w:r>
        <w:t>88A.</w:t>
      </w:r>
      <w:r>
        <w:tab/>
        <w:t>Infringement notices</w:t>
      </w:r>
      <w:r>
        <w:tab/>
      </w:r>
      <w:r>
        <w:fldChar w:fldCharType="begin"/>
      </w:r>
      <w:r>
        <w:instrText xml:space="preserve"> PAGEREF _Toc225329842 \h </w:instrText>
      </w:r>
      <w:r>
        <w:fldChar w:fldCharType="separate"/>
      </w:r>
      <w:r>
        <w:t>178</w:t>
      </w:r>
      <w:r>
        <w:fldChar w:fldCharType="end"/>
      </w:r>
    </w:p>
    <w:p>
      <w:pPr>
        <w:pStyle w:val="TOC8"/>
        <w:rPr>
          <w:rFonts w:asciiTheme="minorHAnsi" w:eastAsiaTheme="minorEastAsia" w:hAnsiTheme="minorHAnsi" w:cstheme="minorBidi"/>
          <w:kern w:val="2"/>
          <w:sz w:val="24"/>
          <w:szCs w:val="24"/>
          <w14:ligatures w14:val="standardContextual"/>
        </w:rPr>
      </w:pPr>
      <w:r>
        <w:t>88B.</w:t>
      </w:r>
      <w:r>
        <w:tab/>
        <w:t>Cross</w:t>
      </w:r>
      <w:r>
        <w:noBreakHyphen/>
        <w:t>examination of persons in proceedings involving family violence</w:t>
      </w:r>
      <w:r>
        <w:tab/>
      </w:r>
      <w:r>
        <w:fldChar w:fldCharType="begin"/>
      </w:r>
      <w:r>
        <w:instrText xml:space="preserve"> PAGEREF _Toc225329843 \h </w:instrText>
      </w:r>
      <w:r>
        <w:fldChar w:fldCharType="separate"/>
      </w:r>
      <w:r>
        <w:t>180</w:t>
      </w:r>
      <w:r>
        <w:fldChar w:fldCharType="end"/>
      </w:r>
    </w:p>
    <w:p>
      <w:pPr>
        <w:pStyle w:val="TOC8"/>
        <w:rPr>
          <w:rFonts w:asciiTheme="minorHAnsi" w:eastAsiaTheme="minorEastAsia" w:hAnsiTheme="minorHAnsi" w:cstheme="minorBidi"/>
          <w:kern w:val="2"/>
          <w:sz w:val="24"/>
          <w:szCs w:val="24"/>
          <w14:ligatures w14:val="standardContextual"/>
        </w:rPr>
      </w:pPr>
      <w:r>
        <w:t>88C.</w:t>
      </w:r>
      <w:r>
        <w:tab/>
        <w:t>Approved forms</w:t>
      </w:r>
      <w:r>
        <w:tab/>
      </w:r>
      <w:r>
        <w:fldChar w:fldCharType="begin"/>
      </w:r>
      <w:r>
        <w:instrText xml:space="preserve"> PAGEREF _Toc225329844 \h </w:instrText>
      </w:r>
      <w:r>
        <w:fldChar w:fldCharType="separate"/>
      </w:r>
      <w:r>
        <w:t>181</w:t>
      </w:r>
      <w:r>
        <w:fldChar w:fldCharType="end"/>
      </w:r>
    </w:p>
    <w:p>
      <w:pPr>
        <w:pStyle w:val="TOC8"/>
        <w:rPr>
          <w:rFonts w:asciiTheme="minorHAnsi" w:eastAsiaTheme="minorEastAsia" w:hAnsiTheme="minorHAnsi" w:cstheme="minorBidi"/>
          <w:kern w:val="2"/>
          <w:sz w:val="24"/>
          <w:szCs w:val="24"/>
          <w14:ligatures w14:val="standardContextual"/>
        </w:rPr>
      </w:pPr>
      <w:r>
        <w:t>88</w:t>
      </w:r>
      <w:r>
        <w:rPr>
          <w:snapToGrid w:val="0"/>
        </w:rPr>
        <w:t>.</w:t>
      </w:r>
      <w:r>
        <w:rPr>
          <w:snapToGrid w:val="0"/>
        </w:rPr>
        <w:tab/>
        <w:t>Regulations</w:t>
      </w:r>
      <w:r>
        <w:tab/>
      </w:r>
      <w:r>
        <w:fldChar w:fldCharType="begin"/>
      </w:r>
      <w:r>
        <w:instrText xml:space="preserve"> PAGEREF _Toc225329845 \h </w:instrText>
      </w:r>
      <w:r>
        <w:fldChar w:fldCharType="separate"/>
      </w:r>
      <w:r>
        <w:t>181</w:t>
      </w:r>
      <w:r>
        <w:fldChar w:fldCharType="end"/>
      </w:r>
    </w:p>
    <w:p>
      <w:pPr>
        <w:pStyle w:val="TOC8"/>
        <w:rPr>
          <w:rFonts w:asciiTheme="minorHAnsi" w:eastAsiaTheme="minorEastAsia" w:hAnsiTheme="minorHAnsi" w:cstheme="minorBidi"/>
          <w:kern w:val="2"/>
          <w:sz w:val="24"/>
          <w:szCs w:val="24"/>
          <w14:ligatures w14:val="standardContextual"/>
        </w:rPr>
      </w:pPr>
      <w:r>
        <w:t>90</w:t>
      </w:r>
      <w:r>
        <w:rPr>
          <w:snapToGrid w:val="0"/>
        </w:rPr>
        <w:t>.</w:t>
      </w:r>
      <w:r>
        <w:rPr>
          <w:snapToGrid w:val="0"/>
        </w:rPr>
        <w:tab/>
        <w:t>Review of Act</w:t>
      </w:r>
      <w:r>
        <w:tab/>
      </w:r>
      <w:r>
        <w:fldChar w:fldCharType="begin"/>
      </w:r>
      <w:r>
        <w:instrText xml:space="preserve"> PAGEREF _Toc225329846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7 — Savings and transitional provisions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Savings and transitional provisions relating to </w:t>
      </w:r>
      <w:r>
        <w:rPr>
          <w:i/>
        </w:rPr>
        <w:t>Residential Tenancies Amendment Act 2011</w:t>
      </w:r>
    </w:p>
    <w:p>
      <w:pPr>
        <w:pStyle w:val="TOC8"/>
        <w:rPr>
          <w:rFonts w:asciiTheme="minorHAnsi" w:eastAsiaTheme="minorEastAsia" w:hAnsiTheme="minorHAnsi" w:cstheme="minorBidi"/>
          <w:kern w:val="2"/>
          <w:sz w:val="24"/>
          <w:szCs w:val="24"/>
          <w14:ligatures w14:val="standardContextual"/>
        </w:rPr>
      </w:pPr>
      <w:r>
        <w:t>91.</w:t>
      </w:r>
      <w:r>
        <w:tab/>
        <w:t>Savings in relation to contracting out of standard terms</w:t>
      </w:r>
      <w:r>
        <w:tab/>
      </w:r>
      <w:r>
        <w:fldChar w:fldCharType="begin"/>
      </w:r>
      <w:r>
        <w:instrText xml:space="preserve"> PAGEREF _Toc225329849 \h </w:instrText>
      </w:r>
      <w:r>
        <w:fldChar w:fldCharType="separate"/>
      </w:r>
      <w:r>
        <w:t>183</w:t>
      </w:r>
      <w:r>
        <w:fldChar w:fldCharType="end"/>
      </w:r>
    </w:p>
    <w:p>
      <w:pPr>
        <w:pStyle w:val="TOC8"/>
        <w:rPr>
          <w:rFonts w:asciiTheme="minorHAnsi" w:eastAsiaTheme="minorEastAsia" w:hAnsiTheme="minorHAnsi" w:cstheme="minorBidi"/>
          <w:kern w:val="2"/>
          <w:sz w:val="24"/>
          <w:szCs w:val="24"/>
          <w14:ligatures w14:val="standardContextual"/>
        </w:rPr>
      </w:pPr>
      <w:r>
        <w:t>92.</w:t>
      </w:r>
      <w:r>
        <w:tab/>
        <w:t>Terms used</w:t>
      </w:r>
      <w:r>
        <w:tab/>
      </w:r>
      <w:r>
        <w:fldChar w:fldCharType="begin"/>
      </w:r>
      <w:r>
        <w:instrText xml:space="preserve"> PAGEREF _Toc225329850 \h </w:instrText>
      </w:r>
      <w:r>
        <w:fldChar w:fldCharType="separate"/>
      </w:r>
      <w:r>
        <w:t>183</w:t>
      </w:r>
      <w:r>
        <w:fldChar w:fldCharType="end"/>
      </w:r>
    </w:p>
    <w:p>
      <w:pPr>
        <w:pStyle w:val="TOC8"/>
        <w:rPr>
          <w:rFonts w:asciiTheme="minorHAnsi" w:eastAsiaTheme="minorEastAsia" w:hAnsiTheme="minorHAnsi" w:cstheme="minorBidi"/>
          <w:kern w:val="2"/>
          <w:sz w:val="24"/>
          <w:szCs w:val="24"/>
          <w14:ligatures w14:val="standardContextual"/>
        </w:rPr>
      </w:pPr>
      <w:r>
        <w:t>93.</w:t>
      </w:r>
      <w:r>
        <w:tab/>
        <w:t>All security bonds to be transferred to bond administrator after renewal of agreement or within 18 months</w:t>
      </w:r>
      <w:r>
        <w:tab/>
      </w:r>
      <w:r>
        <w:fldChar w:fldCharType="begin"/>
      </w:r>
      <w:r>
        <w:instrText xml:space="preserve"> PAGEREF _Toc225329851 \h </w:instrText>
      </w:r>
      <w:r>
        <w:fldChar w:fldCharType="separate"/>
      </w:r>
      <w:r>
        <w:t>184</w:t>
      </w:r>
      <w:r>
        <w:fldChar w:fldCharType="end"/>
      </w:r>
    </w:p>
    <w:p>
      <w:pPr>
        <w:pStyle w:val="TOC8"/>
        <w:rPr>
          <w:rFonts w:asciiTheme="minorHAnsi" w:eastAsiaTheme="minorEastAsia" w:hAnsiTheme="minorHAnsi" w:cstheme="minorBidi"/>
          <w:kern w:val="2"/>
          <w:sz w:val="24"/>
          <w:szCs w:val="24"/>
          <w14:ligatures w14:val="standardContextual"/>
        </w:rPr>
      </w:pPr>
      <w:r>
        <w:t>94.</w:t>
      </w:r>
      <w:r>
        <w:tab/>
        <w:t>Requirements for AFI holding security bonds</w:t>
      </w:r>
      <w:r>
        <w:tab/>
      </w:r>
      <w:r>
        <w:fldChar w:fldCharType="begin"/>
      </w:r>
      <w:r>
        <w:instrText xml:space="preserve"> PAGEREF _Toc225329852 \h </w:instrText>
      </w:r>
      <w:r>
        <w:fldChar w:fldCharType="separate"/>
      </w:r>
      <w:r>
        <w:t>185</w:t>
      </w:r>
      <w:r>
        <w:fldChar w:fldCharType="end"/>
      </w:r>
    </w:p>
    <w:p>
      <w:pPr>
        <w:pStyle w:val="TOC8"/>
        <w:rPr>
          <w:rFonts w:asciiTheme="minorHAnsi" w:eastAsiaTheme="minorEastAsia" w:hAnsiTheme="minorHAnsi" w:cstheme="minorBidi"/>
          <w:kern w:val="2"/>
          <w:sz w:val="24"/>
          <w:szCs w:val="24"/>
          <w14:ligatures w14:val="standardContextual"/>
        </w:rPr>
      </w:pPr>
      <w:r>
        <w:t>95.</w:t>
      </w:r>
      <w:r>
        <w:tab/>
        <w:t>Power of Commissioner to obtain information relating to AFI security bond accounts</w:t>
      </w:r>
      <w:r>
        <w:tab/>
      </w:r>
      <w:r>
        <w:fldChar w:fldCharType="begin"/>
      </w:r>
      <w:r>
        <w:instrText xml:space="preserve"> PAGEREF _Toc225329853 \h </w:instrText>
      </w:r>
      <w:r>
        <w:fldChar w:fldCharType="separate"/>
      </w:r>
      <w:r>
        <w:t>186</w:t>
      </w:r>
      <w:r>
        <w:fldChar w:fldCharType="end"/>
      </w:r>
    </w:p>
    <w:p>
      <w:pPr>
        <w:pStyle w:val="TOC8"/>
        <w:rPr>
          <w:rFonts w:asciiTheme="minorHAnsi" w:eastAsiaTheme="minorEastAsia" w:hAnsiTheme="minorHAnsi" w:cstheme="minorBidi"/>
          <w:kern w:val="2"/>
          <w:sz w:val="24"/>
          <w:szCs w:val="24"/>
          <w14:ligatures w14:val="standardContextual"/>
        </w:rPr>
      </w:pPr>
      <w:r>
        <w:t>96.</w:t>
      </w:r>
      <w:r>
        <w:tab/>
        <w:t>Disposal of security bond held in AFIs</w:t>
      </w:r>
      <w:r>
        <w:tab/>
      </w:r>
      <w:r>
        <w:fldChar w:fldCharType="begin"/>
      </w:r>
      <w:r>
        <w:instrText xml:space="preserve"> PAGEREF _Toc225329854 \h </w:instrText>
      </w:r>
      <w:r>
        <w:fldChar w:fldCharType="separate"/>
      </w:r>
      <w:r>
        <w:t>187</w:t>
      </w:r>
      <w:r>
        <w:fldChar w:fldCharType="end"/>
      </w:r>
    </w:p>
    <w:p>
      <w:pPr>
        <w:pStyle w:val="TOC8"/>
        <w:rPr>
          <w:rFonts w:asciiTheme="minorHAnsi" w:eastAsiaTheme="minorEastAsia" w:hAnsiTheme="minorHAnsi" w:cstheme="minorBidi"/>
          <w:kern w:val="2"/>
          <w:sz w:val="24"/>
          <w:szCs w:val="24"/>
          <w14:ligatures w14:val="standardContextual"/>
        </w:rPr>
      </w:pPr>
      <w:r>
        <w:t>97.</w:t>
      </w:r>
      <w:r>
        <w:tab/>
        <w:t>Application of Part VIA to listings existing before commencement day</w:t>
      </w:r>
      <w:r>
        <w:tab/>
      </w:r>
      <w:r>
        <w:fldChar w:fldCharType="begin"/>
      </w:r>
      <w:r>
        <w:instrText xml:space="preserve"> PAGEREF _Toc225329855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 relating to </w:t>
      </w:r>
      <w:r>
        <w:rPr>
          <w:i/>
        </w:rPr>
        <w:t>Consumer Protection Legislation Amendment Act 2019</w:t>
      </w:r>
    </w:p>
    <w:p>
      <w:pPr>
        <w:pStyle w:val="TOC8"/>
        <w:rPr>
          <w:rFonts w:asciiTheme="minorHAnsi" w:eastAsiaTheme="minorEastAsia" w:hAnsiTheme="minorHAnsi" w:cstheme="minorBidi"/>
          <w:kern w:val="2"/>
          <w:sz w:val="24"/>
          <w:szCs w:val="24"/>
          <w14:ligatures w14:val="standardContextual"/>
        </w:rPr>
      </w:pPr>
      <w:r>
        <w:t>98.</w:t>
      </w:r>
      <w:r>
        <w:tab/>
        <w:t>Application of s. 49A to residential tenancy agreements and utility charges</w:t>
      </w:r>
      <w:r>
        <w:tab/>
      </w:r>
      <w:r>
        <w:fldChar w:fldCharType="begin"/>
      </w:r>
      <w:r>
        <w:instrText xml:space="preserve"> PAGEREF _Toc225329857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Transitional provisions relating to </w:t>
      </w:r>
      <w:r>
        <w:rPr>
          <w:i/>
        </w:rPr>
        <w:t>Residential Tenancies Amendment Act 2024</w:t>
      </w:r>
    </w:p>
    <w:p>
      <w:pPr>
        <w:pStyle w:val="TOC8"/>
        <w:rPr>
          <w:rFonts w:asciiTheme="minorHAnsi" w:eastAsiaTheme="minorEastAsia" w:hAnsiTheme="minorHAnsi" w:cstheme="minorBidi"/>
          <w:kern w:val="2"/>
          <w:sz w:val="24"/>
          <w:szCs w:val="24"/>
          <w14:ligatures w14:val="standardContextual"/>
        </w:rPr>
      </w:pPr>
      <w:r>
        <w:t>99.</w:t>
      </w:r>
      <w:r>
        <w:tab/>
        <w:t>Variation of rent for fixed term residential tenancy agreement entered, renewed or extended before commencement</w:t>
      </w:r>
      <w:r>
        <w:tab/>
      </w:r>
      <w:r>
        <w:fldChar w:fldCharType="begin"/>
      </w:r>
      <w:r>
        <w:instrText xml:space="preserve"> PAGEREF _Toc225329859 \h </w:instrText>
      </w:r>
      <w:r>
        <w:fldChar w:fldCharType="separate"/>
      </w:r>
      <w:r>
        <w:t>190</w:t>
      </w:r>
      <w:r>
        <w:fldChar w:fldCharType="end"/>
      </w:r>
    </w:p>
    <w:p>
      <w:pPr>
        <w:pStyle w:val="TOC8"/>
        <w:rPr>
          <w:rFonts w:asciiTheme="minorHAnsi" w:eastAsiaTheme="minorEastAsia" w:hAnsiTheme="minorHAnsi" w:cstheme="minorBidi"/>
          <w:kern w:val="2"/>
          <w:sz w:val="24"/>
          <w:szCs w:val="24"/>
          <w14:ligatures w14:val="standardContextual"/>
        </w:rPr>
      </w:pPr>
      <w:r>
        <w:t>100.</w:t>
      </w:r>
      <w:r>
        <w:tab/>
        <w:t>Variation of rent for residential tenancy agreement, other than fixed term agreement, entered before commencement</w:t>
      </w:r>
      <w:r>
        <w:tab/>
      </w:r>
      <w:r>
        <w:fldChar w:fldCharType="begin"/>
      </w:r>
      <w:r>
        <w:instrText xml:space="preserve"> PAGEREF _Toc225329860 \h </w:instrText>
      </w:r>
      <w:r>
        <w:fldChar w:fldCharType="separate"/>
      </w:r>
      <w:r>
        <w:t>191</w:t>
      </w:r>
      <w:r>
        <w:fldChar w:fldCharType="end"/>
      </w:r>
    </w:p>
    <w:p>
      <w:pPr>
        <w:pStyle w:val="TOC8"/>
        <w:rPr>
          <w:rFonts w:asciiTheme="minorHAnsi" w:eastAsiaTheme="minorEastAsia" w:hAnsiTheme="minorHAnsi" w:cstheme="minorBidi"/>
          <w:kern w:val="2"/>
          <w:sz w:val="24"/>
          <w:szCs w:val="24"/>
          <w14:ligatures w14:val="standardContextual"/>
        </w:rPr>
      </w:pPr>
      <w:r>
        <w:t>101.</w:t>
      </w:r>
      <w:r>
        <w:tab/>
        <w:t>Application of Pt. 5A in relation to existing residential tenancy agreements</w:t>
      </w:r>
      <w:r>
        <w:tab/>
      </w:r>
      <w:r>
        <w:fldChar w:fldCharType="begin"/>
      </w:r>
      <w:r>
        <w:instrText xml:space="preserve"> PAGEREF _Toc225329861 \h </w:instrText>
      </w:r>
      <w:r>
        <w:fldChar w:fldCharType="separate"/>
      </w:r>
      <w:r>
        <w:t>192</w:t>
      </w:r>
      <w:r>
        <w:fldChar w:fldCharType="end"/>
      </w:r>
    </w:p>
    <w:p>
      <w:pPr>
        <w:pStyle w:val="TOC8"/>
        <w:rPr>
          <w:rFonts w:asciiTheme="minorHAnsi" w:eastAsiaTheme="minorEastAsia" w:hAnsiTheme="minorHAnsi" w:cstheme="minorBidi"/>
          <w:kern w:val="2"/>
          <w:sz w:val="24"/>
          <w:szCs w:val="24"/>
          <w14:ligatures w14:val="standardContextual"/>
        </w:rPr>
      </w:pPr>
      <w:r>
        <w:t>102.</w:t>
      </w:r>
      <w:r>
        <w:tab/>
        <w:t>Existing authorised agents of bond administrator</w:t>
      </w:r>
      <w:r>
        <w:tab/>
      </w:r>
      <w:r>
        <w:fldChar w:fldCharType="begin"/>
      </w:r>
      <w:r>
        <w:instrText xml:space="preserve"> PAGEREF _Toc225329862 \h </w:instrText>
      </w:r>
      <w:r>
        <w:fldChar w:fldCharType="separate"/>
      </w:r>
      <w:r>
        <w:t>193</w:t>
      </w:r>
      <w:r>
        <w:fldChar w:fldCharType="end"/>
      </w:r>
    </w:p>
    <w:p>
      <w:pPr>
        <w:pStyle w:val="TOC8"/>
        <w:rPr>
          <w:rFonts w:asciiTheme="minorHAnsi" w:eastAsiaTheme="minorEastAsia" w:hAnsiTheme="minorHAnsi" w:cstheme="minorBidi"/>
          <w:kern w:val="2"/>
          <w:sz w:val="24"/>
          <w:szCs w:val="24"/>
          <w14:ligatures w14:val="standardContextual"/>
        </w:rPr>
      </w:pPr>
      <w:r>
        <w:t>103.</w:t>
      </w:r>
      <w:r>
        <w:tab/>
        <w:t>Validation of r. 12BA and 12CA</w:t>
      </w:r>
      <w:r>
        <w:tab/>
      </w:r>
      <w:r>
        <w:fldChar w:fldCharType="begin"/>
      </w:r>
      <w:r>
        <w:instrText xml:space="preserve"> PAGEREF _Toc225329863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rPr>
          <w:rFonts w:eastAsia="MS Mincho"/>
        </w:rPr>
        <w:lastRenderedPageBreak/>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pPr>
        <w:pStyle w:val="TOC8"/>
        <w:rPr>
          <w:rFonts w:asciiTheme="minorHAnsi" w:eastAsiaTheme="minorEastAsia" w:hAnsiTheme="minorHAnsi" w:cstheme="minorBidi"/>
          <w:kern w:val="2"/>
          <w:sz w:val="24"/>
          <w:szCs w:val="24"/>
          <w14:ligatures w14:val="standardContextual"/>
        </w:rPr>
      </w:pPr>
      <w:r>
        <w:t>3</w:t>
      </w:r>
      <w:r>
        <w:rPr>
          <w:snapToGrid w:val="0"/>
        </w:rPr>
        <w:t>.</w:t>
      </w:r>
      <w:r>
        <w:rPr>
          <w:snapToGrid w:val="0"/>
        </w:rPr>
        <w:tab/>
        <w:t>Rental Accommodation Account</w:t>
      </w:r>
      <w:r>
        <w:tab/>
      </w:r>
      <w:r>
        <w:fldChar w:fldCharType="begin"/>
      </w:r>
      <w:r>
        <w:instrText xml:space="preserve"> PAGEREF _Toc225329866 \h </w:instrText>
      </w:r>
      <w:r>
        <w:fldChar w:fldCharType="separate"/>
      </w:r>
      <w:r>
        <w:t>195</w:t>
      </w:r>
      <w:r>
        <w:fldChar w:fldCharType="end"/>
      </w:r>
    </w:p>
    <w:p>
      <w:pPr>
        <w:pStyle w:val="TOC8"/>
        <w:rPr>
          <w:rFonts w:asciiTheme="minorHAnsi" w:eastAsiaTheme="minorEastAsia" w:hAnsiTheme="minorHAnsi" w:cstheme="minorBidi"/>
          <w:kern w:val="2"/>
          <w:sz w:val="24"/>
          <w:szCs w:val="24"/>
          <w14:ligatures w14:val="standardContextual"/>
        </w:rPr>
      </w:pPr>
      <w:r>
        <w:t>4</w:t>
      </w:r>
      <w:r>
        <w:rPr>
          <w:snapToGrid w:val="0"/>
        </w:rPr>
        <w:t>.</w:t>
      </w:r>
      <w:r>
        <w:rPr>
          <w:snapToGrid w:val="0"/>
        </w:rPr>
        <w:tab/>
        <w:t>Duties of bond administrator</w:t>
      </w:r>
      <w:r>
        <w:tab/>
      </w:r>
      <w:r>
        <w:fldChar w:fldCharType="begin"/>
      </w:r>
      <w:r>
        <w:instrText xml:space="preserve"> PAGEREF _Toc225329867 \h </w:instrText>
      </w:r>
      <w:r>
        <w:fldChar w:fldCharType="separate"/>
      </w:r>
      <w:r>
        <w:t>197</w:t>
      </w:r>
      <w:r>
        <w:fldChar w:fldCharType="end"/>
      </w:r>
    </w:p>
    <w:p>
      <w:pPr>
        <w:pStyle w:val="TOC8"/>
        <w:rPr>
          <w:rFonts w:asciiTheme="minorHAnsi" w:eastAsiaTheme="minorEastAsia" w:hAnsiTheme="minorHAnsi" w:cstheme="minorBidi"/>
          <w:kern w:val="2"/>
          <w:sz w:val="24"/>
          <w:szCs w:val="24"/>
          <w14:ligatures w14:val="standardContextual"/>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_Toc225329868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Tenant compensation bonds</w:t>
      </w:r>
    </w:p>
    <w:p>
      <w:pPr>
        <w:pStyle w:val="TOC8"/>
        <w:rPr>
          <w:rFonts w:asciiTheme="minorHAnsi" w:eastAsiaTheme="minorEastAsia" w:hAnsiTheme="minorHAnsi" w:cstheme="minorBidi"/>
          <w:kern w:val="2"/>
          <w:sz w:val="24"/>
          <w:szCs w:val="24"/>
          <w14:ligatures w14:val="standardContextual"/>
        </w:rPr>
      </w:pPr>
      <w:r>
        <w:t>9.</w:t>
      </w:r>
      <w:r>
        <w:tab/>
        <w:t>Application of Division</w:t>
      </w:r>
      <w:r>
        <w:tab/>
      </w:r>
      <w:r>
        <w:fldChar w:fldCharType="begin"/>
      </w:r>
      <w:r>
        <w:instrText xml:space="preserve"> PAGEREF _Toc225329870 \h </w:instrText>
      </w:r>
      <w:r>
        <w:fldChar w:fldCharType="separate"/>
      </w:r>
      <w:r>
        <w:t>200</w:t>
      </w:r>
      <w:r>
        <w:fldChar w:fldCharType="end"/>
      </w:r>
    </w:p>
    <w:p>
      <w:pPr>
        <w:pStyle w:val="TOC8"/>
        <w:rPr>
          <w:rFonts w:asciiTheme="minorHAnsi" w:eastAsiaTheme="minorEastAsia" w:hAnsiTheme="minorHAnsi" w:cstheme="minorBidi"/>
          <w:kern w:val="2"/>
          <w:sz w:val="24"/>
          <w:szCs w:val="24"/>
          <w14:ligatures w14:val="standardContextual"/>
        </w:rPr>
      </w:pPr>
      <w:r>
        <w:t>10.</w:t>
      </w:r>
      <w:r>
        <w:tab/>
        <w:t>Disposal of tenant compensation bond to tenant by bond administrator</w:t>
      </w:r>
      <w:r>
        <w:tab/>
      </w:r>
      <w:r>
        <w:fldChar w:fldCharType="begin"/>
      </w:r>
      <w:r>
        <w:instrText xml:space="preserve"> PAGEREF _Toc225329871 \h </w:instrText>
      </w:r>
      <w:r>
        <w:fldChar w:fldCharType="separate"/>
      </w:r>
      <w:r>
        <w:t>200</w:t>
      </w:r>
      <w:r>
        <w:fldChar w:fldCharType="end"/>
      </w:r>
    </w:p>
    <w:p>
      <w:pPr>
        <w:pStyle w:val="TOC8"/>
        <w:rPr>
          <w:rFonts w:asciiTheme="minorHAnsi" w:eastAsiaTheme="minorEastAsia" w:hAnsiTheme="minorHAnsi" w:cstheme="minorBidi"/>
          <w:kern w:val="2"/>
          <w:sz w:val="24"/>
          <w:szCs w:val="24"/>
          <w14:ligatures w14:val="standardContextual"/>
        </w:rPr>
      </w:pPr>
      <w:r>
        <w:t>11.</w:t>
      </w:r>
      <w:r>
        <w:tab/>
        <w:t>Disposal of tenant compensation bond to lessor by bond administrator</w:t>
      </w:r>
      <w:r>
        <w:tab/>
      </w:r>
      <w:r>
        <w:fldChar w:fldCharType="begin"/>
      </w:r>
      <w:r>
        <w:instrText xml:space="preserve"> PAGEREF _Toc225329872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_Toc225329874 \h </w:instrText>
      </w:r>
      <w:r>
        <w:fldChar w:fldCharType="separate"/>
      </w:r>
      <w:r>
        <w:t>202</w:t>
      </w:r>
      <w:r>
        <w:fldChar w:fldCharType="end"/>
      </w:r>
    </w:p>
    <w:p>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_Toc225329875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2" w:name="_Toc225165934"/>
      <w:bookmarkStart w:id="3" w:name="_Toc225170691"/>
      <w:bookmarkStart w:id="4" w:name="_Toc225171306"/>
      <w:bookmarkStart w:id="5" w:name="_Toc225171618"/>
      <w:bookmarkStart w:id="6" w:name="_Toc225235263"/>
      <w:bookmarkStart w:id="7" w:name="_Toc225328752"/>
      <w:bookmarkStart w:id="8" w:name="_Toc22532959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225329592"/>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10" w:name="_Toc225329593"/>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1" w:name="_Toc225329594"/>
      <w:r>
        <w:rPr>
          <w:rStyle w:val="CharSectno"/>
        </w:rPr>
        <w:t>3</w:t>
      </w:r>
      <w:r>
        <w:rPr>
          <w:snapToGrid w:val="0"/>
        </w:rPr>
        <w:t>.</w:t>
      </w:r>
      <w:r>
        <w:rPr>
          <w:snapToGrid w:val="0"/>
        </w:rPr>
        <w:tab/>
        <w:t>Terms used</w:t>
      </w:r>
      <w:bookmarkEnd w:id="1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approved form</w:t>
      </w:r>
      <w:r>
        <w:t xml:space="preserve"> means a form approved under section 88C;</w:t>
      </w:r>
    </w:p>
    <w:p>
      <w:pPr>
        <w:pStyle w:val="Defstart"/>
      </w:pPr>
      <w:r>
        <w:tab/>
      </w:r>
      <w:r>
        <w:rPr>
          <w:rStyle w:val="CharDefText"/>
        </w:rPr>
        <w:t>assistance animal</w:t>
      </w:r>
      <w:r>
        <w:t xml:space="preserve"> means — </w:t>
      </w:r>
    </w:p>
    <w:p>
      <w:pPr>
        <w:pStyle w:val="Defpara"/>
      </w:pPr>
      <w:r>
        <w:tab/>
        <w:t>(a)</w:t>
      </w:r>
      <w:r>
        <w:tab/>
        <w:t xml:space="preserve">an assistance dog as defined in the </w:t>
      </w:r>
      <w:r>
        <w:rPr>
          <w:i/>
        </w:rPr>
        <w:t>Dog Act 1976</w:t>
      </w:r>
      <w:r>
        <w:t xml:space="preserve"> section 8(1); or</w:t>
      </w:r>
    </w:p>
    <w:p>
      <w:pPr>
        <w:pStyle w:val="Defpara"/>
      </w:pPr>
      <w:r>
        <w:tab/>
        <w:t>(b)</w:t>
      </w:r>
      <w:r>
        <w:tab/>
        <w:t>an animal accredited, under a law of a State or Territory or by an animal training organisation, to assist a person with disability in relation to the person’s disability; or</w:t>
      </w:r>
    </w:p>
    <w:p>
      <w:pPr>
        <w:pStyle w:val="Defpara"/>
      </w:pPr>
      <w:r>
        <w:tab/>
        <w:t>(c)</w:t>
      </w:r>
      <w:r>
        <w:tab/>
        <w:t xml:space="preserve">an animal trained — </w:t>
      </w:r>
    </w:p>
    <w:p>
      <w:pPr>
        <w:pStyle w:val="Defsubpara"/>
      </w:pPr>
      <w:r>
        <w:tab/>
        <w:t>(i)</w:t>
      </w:r>
      <w:r>
        <w:tab/>
        <w:t>to assist a person with disability in relation to the person’s disability; and</w:t>
      </w:r>
    </w:p>
    <w:p>
      <w:pPr>
        <w:pStyle w:val="Defsubpara"/>
      </w:pPr>
      <w:r>
        <w:tab/>
        <w:t>(ii)</w:t>
      </w:r>
      <w:r>
        <w:tab/>
        <w:t>to meet standards of hygiene and behaviour that are appropriate for an animal in a public place;</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lastRenderedPageBreak/>
        <w:tab/>
        <w:t>(b)</w:t>
      </w:r>
      <w:r>
        <w:tab/>
        <w:t xml:space="preserve">includes common property (as defined in the </w:t>
      </w:r>
      <w:r>
        <w:rPr>
          <w:i/>
        </w:rPr>
        <w:t>Strata Titles Act 1985</w:t>
      </w:r>
      <w:r>
        <w:t xml:space="preserve"> section 3) of a strata scheme or survey strata scheme;</w:t>
      </w:r>
    </w:p>
    <w:p>
      <w:pPr>
        <w:pStyle w:val="Defstart"/>
      </w:pPr>
      <w:r>
        <w:tab/>
      </w:r>
      <w:r>
        <w:rPr>
          <w:rStyle w:val="CharDefText"/>
        </w:rPr>
        <w:t>community titles scheme</w:t>
      </w:r>
      <w:r>
        <w:t xml:space="preserve"> has the meaning given in the </w:t>
      </w:r>
      <w:r>
        <w:rPr>
          <w:i/>
        </w:rPr>
        <w:t>Community Titles Act 2018</w:t>
      </w:r>
      <w:r>
        <w:t> section 3(1);</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Defstart"/>
      </w:pPr>
      <w:r>
        <w:tab/>
      </w:r>
      <w:r>
        <w:rPr>
          <w:rStyle w:val="CharDefText"/>
        </w:rPr>
        <w:t>disputed tenancy matter</w:t>
      </w:r>
      <w:r>
        <w:t xml:space="preserve"> has the meaning given in section 11E(1);</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furniture safety modification</w:t>
      </w:r>
      <w:r>
        <w:rPr>
          <w:bCs/>
          <w:iCs/>
        </w:rPr>
        <w:t xml:space="preserve"> </w:t>
      </w:r>
      <w:r>
        <w:t>has the meaning given in section 50J(2);</w:t>
      </w:r>
    </w:p>
    <w:p>
      <w:pPr>
        <w:pStyle w:val="Defstart"/>
      </w:pPr>
      <w:r>
        <w:tab/>
      </w:r>
      <w:r>
        <w:rPr>
          <w:rStyle w:val="CharDefText"/>
        </w:rPr>
        <w:t>Housing Authority</w:t>
      </w:r>
      <w:r>
        <w:t xml:space="preserve"> has the meaning given in section 71A;</w:t>
      </w:r>
    </w:p>
    <w:p>
      <w:pPr>
        <w:pStyle w:val="Defstart"/>
      </w:pPr>
      <w:r>
        <w:lastRenderedPageBreak/>
        <w:tab/>
      </w:r>
      <w:r>
        <w:rPr>
          <w:rStyle w:val="CharDefText"/>
        </w:rPr>
        <w:t>known party</w:t>
      </w:r>
      <w:r>
        <w:t>, for Part 5A Division 3, has the meaning given in section 81P;</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tab/>
      </w:r>
      <w:r>
        <w:rPr>
          <w:rStyle w:val="CharDefText"/>
        </w:rPr>
        <w:t>major modification</w:t>
      </w:r>
      <w:r>
        <w:t>, in relation to premises, has the meaning given in section 50W(1);</w:t>
      </w:r>
    </w:p>
    <w:p>
      <w:pPr>
        <w:pStyle w:val="Defstart"/>
      </w:pPr>
      <w:r>
        <w:tab/>
      </w:r>
      <w:r>
        <w:rPr>
          <w:rStyle w:val="CharDefText"/>
        </w:rPr>
        <w:t>minor modification</w:t>
      </w:r>
      <w:r>
        <w:t>, in relation to premises, means a modification to the premises of a minor nature prescribed for this definition;</w:t>
      </w:r>
    </w:p>
    <w:p>
      <w:pPr>
        <w:pStyle w:val="Defstart"/>
      </w:pPr>
      <w:r>
        <w:tab/>
      </w:r>
      <w:r>
        <w:rPr>
          <w:rStyle w:val="CharDefText"/>
        </w:rPr>
        <w:t>modification</w:t>
      </w:r>
      <w:r>
        <w:t xml:space="preserve">, in relation to residential premises, includes — </w:t>
      </w:r>
    </w:p>
    <w:p>
      <w:pPr>
        <w:pStyle w:val="Defpara"/>
      </w:pPr>
      <w:r>
        <w:tab/>
        <w:t>(a)</w:t>
      </w:r>
      <w:r>
        <w:tab/>
        <w:t>an alteration or renovation of, or addition to, the premises; and</w:t>
      </w:r>
    </w:p>
    <w:p>
      <w:pPr>
        <w:pStyle w:val="Defpara"/>
      </w:pPr>
      <w:r>
        <w:tab/>
        <w:t>(b)</w:t>
      </w:r>
      <w:r>
        <w:tab/>
        <w:t>attaching a thing to the premises;</w:t>
      </w:r>
    </w:p>
    <w:p>
      <w:pPr>
        <w:pStyle w:val="Defstart"/>
      </w:pPr>
      <w:r>
        <w:tab/>
      </w:r>
      <w:r>
        <w:rPr>
          <w:rStyle w:val="CharDefText"/>
        </w:rPr>
        <w:t>notice of dispute</w:t>
      </w:r>
      <w:r>
        <w:t>, of a security bond release application, has the meaning given in section 81H(2);</w:t>
      </w:r>
    </w:p>
    <w:p>
      <w:pPr>
        <w:pStyle w:val="Defstart"/>
      </w:pPr>
      <w:r>
        <w:tab/>
      </w:r>
      <w:r>
        <w:rPr>
          <w:rStyle w:val="CharDefText"/>
        </w:rPr>
        <w:t>notice period</w:t>
      </w:r>
      <w:r>
        <w:t>, in relation to a security bond release application, has the meaning given in section 81F(4);</w:t>
      </w:r>
    </w:p>
    <w:p>
      <w:pPr>
        <w:pStyle w:val="Defstart"/>
      </w:pPr>
      <w:r>
        <w:tab/>
      </w:r>
      <w:r>
        <w:rPr>
          <w:rStyle w:val="CharDefText"/>
        </w:rPr>
        <w:t>original condition</w:t>
      </w:r>
      <w:r>
        <w:t xml:space="preserve"> means — </w:t>
      </w:r>
    </w:p>
    <w:p>
      <w:pPr>
        <w:pStyle w:val="Defpara"/>
      </w:pPr>
      <w:r>
        <w:tab/>
        <w:t>(a)</w:t>
      </w:r>
      <w:r>
        <w:tab/>
        <w:t>in relation to residential premises that have been modified — the condition of the premises before the modification was made, fair wear and tear excepted; or</w:t>
      </w:r>
    </w:p>
    <w:p>
      <w:pPr>
        <w:pStyle w:val="Defpara"/>
      </w:pPr>
      <w:r>
        <w:tab/>
        <w:t>(b)</w:t>
      </w:r>
      <w:r>
        <w:tab/>
        <w:t>in relation to residential premises that have been damaged — the condition of the premises before the damage occurred, fair wear and tear excepted;</w:t>
      </w:r>
    </w:p>
    <w:p>
      <w:pPr>
        <w:pStyle w:val="Defstart"/>
        <w:keepNext/>
      </w:pPr>
      <w:r>
        <w:lastRenderedPageBreak/>
        <w:tab/>
      </w:r>
      <w:r>
        <w:rPr>
          <w:rStyle w:val="CharDefText"/>
        </w:rPr>
        <w:t>party</w:t>
      </w:r>
      <w:r>
        <w:t xml:space="preserve"> — </w:t>
      </w:r>
    </w:p>
    <w:p>
      <w:pPr>
        <w:pStyle w:val="Defpara"/>
      </w:pPr>
      <w:r>
        <w:tab/>
        <w:t>(a)</w:t>
      </w:r>
      <w:r>
        <w:tab/>
        <w:t xml:space="preserve">in relation to a residential tenancy agreement — means each of the following — </w:t>
      </w:r>
    </w:p>
    <w:p>
      <w:pPr>
        <w:pStyle w:val="Defsubpara"/>
      </w:pPr>
      <w:r>
        <w:tab/>
        <w:t>(i)</w:t>
      </w:r>
      <w:r>
        <w:tab/>
        <w:t>the lessor under the agreement;</w:t>
      </w:r>
    </w:p>
    <w:p>
      <w:pPr>
        <w:pStyle w:val="Defsubpara"/>
      </w:pPr>
      <w:r>
        <w:tab/>
        <w:t>(ii)</w:t>
      </w:r>
      <w:r>
        <w:tab/>
        <w:t>if there is 1 tenant under the agreement — the tenant under the agreement;</w:t>
      </w:r>
    </w:p>
    <w:p>
      <w:pPr>
        <w:pStyle w:val="Defsubpara"/>
      </w:pPr>
      <w:r>
        <w:tab/>
        <w:t>(iii)</w:t>
      </w:r>
      <w:r>
        <w:tab/>
        <w:t>if there are 2 or more co</w:t>
      </w:r>
      <w:r>
        <w:noBreakHyphen/>
        <w:t>tenants under the agreement — each co</w:t>
      </w:r>
      <w:r>
        <w:noBreakHyphen/>
        <w:t>tenant under the agreement;</w:t>
      </w:r>
    </w:p>
    <w:p>
      <w:pPr>
        <w:pStyle w:val="Defpara"/>
      </w:pPr>
      <w:r>
        <w:tab/>
      </w:r>
      <w:r>
        <w:tab/>
        <w:t>or</w:t>
      </w:r>
    </w:p>
    <w:p>
      <w:pPr>
        <w:pStyle w:val="Defpara"/>
      </w:pPr>
      <w:r>
        <w:tab/>
        <w:t>(b)</w:t>
      </w:r>
      <w:r>
        <w:tab/>
        <w:t>in relation to an application to which Part III Division 1 applies — has the meaning given in section 11D;</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pet</w:t>
      </w:r>
      <w:r>
        <w:t xml:space="preserve"> means an animal other than an assistance animal;</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or registered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keepNext/>
      </w:pPr>
      <w:r>
        <w:tab/>
      </w:r>
      <w:r>
        <w:rPr>
          <w:rStyle w:val="CharDefText"/>
        </w:rPr>
        <w:t>reasonable grounds</w:t>
      </w:r>
      <w:r>
        <w:t xml:space="preserve">, for suspecting that a tenant has abandoned residential premises, means that the tenant has failed to pay rent </w:t>
      </w:r>
      <w:r>
        <w:lastRenderedPageBreak/>
        <w:t>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tab/>
      </w:r>
      <w:r>
        <w:rPr>
          <w:rStyle w:val="CharDefText"/>
        </w:rPr>
        <w:t>retaliatory action</w:t>
      </w:r>
      <w:r>
        <w:t xml:space="preserve"> has the meaning given in section 26A;</w:t>
      </w:r>
    </w:p>
    <w:p>
      <w:pPr>
        <w:pStyle w:val="Defstart"/>
      </w:pPr>
      <w:r>
        <w:tab/>
      </w:r>
      <w:r>
        <w:rPr>
          <w:rStyle w:val="CharDefText"/>
        </w:rPr>
        <w:t>scheme by</w:t>
      </w:r>
      <w:r>
        <w:rPr>
          <w:rStyle w:val="CharDefText"/>
        </w:rPr>
        <w:noBreakHyphen/>
        <w:t>laws</w:t>
      </w:r>
      <w:r>
        <w:t xml:space="preserve"> — </w:t>
      </w:r>
    </w:p>
    <w:p>
      <w:pPr>
        <w:pStyle w:val="Defpara"/>
      </w:pPr>
      <w:r>
        <w:tab/>
        <w:t>(a)</w:t>
      </w:r>
      <w:r>
        <w:tab/>
        <w:t xml:space="preserve">in the case of a community titles scheme — has the meaning given in the </w:t>
      </w:r>
      <w:r>
        <w:rPr>
          <w:i/>
        </w:rPr>
        <w:t>Community Titles Act 2018</w:t>
      </w:r>
      <w:r>
        <w:t> section 3(1); or</w:t>
      </w:r>
    </w:p>
    <w:p>
      <w:pPr>
        <w:pStyle w:val="Defpara"/>
      </w:pPr>
      <w:r>
        <w:tab/>
        <w:t>(b)</w:t>
      </w:r>
      <w:r>
        <w:tab/>
        <w:t xml:space="preserve">in the case of a strata titles scheme — has the meaning given in the </w:t>
      </w:r>
      <w:r>
        <w:rPr>
          <w:i/>
        </w:rPr>
        <w:t>Strata Titles Act </w:t>
      </w:r>
      <w:r>
        <w:rPr>
          <w:i/>
          <w:iCs/>
        </w:rPr>
        <w:t>1985</w:t>
      </w:r>
      <w:r>
        <w:t> section 3(1);</w:t>
      </w:r>
    </w:p>
    <w:p>
      <w:pPr>
        <w:pStyle w:val="Defstart"/>
      </w:pPr>
      <w:r>
        <w:rPr>
          <w:b/>
        </w:rPr>
        <w:tab/>
      </w:r>
      <w:r>
        <w:rPr>
          <w:rStyle w:val="CharDefText"/>
        </w:rPr>
        <w:t>security bond</w:t>
      </w:r>
      <w:r>
        <w:t xml:space="preserve"> means an amount paid or payable by a tenant as security for the performance of the tenant’s obligations under a </w:t>
      </w:r>
      <w:r>
        <w:lastRenderedPageBreak/>
        <w:t>residential tenancy agreement, including an amount referred to in section 29(1)(b)(ii);</w:t>
      </w:r>
    </w:p>
    <w:p>
      <w:pPr>
        <w:pStyle w:val="Defstart"/>
      </w:pPr>
      <w:r>
        <w:tab/>
      </w:r>
      <w:r>
        <w:rPr>
          <w:rStyle w:val="CharDefText"/>
        </w:rPr>
        <w:t>security bond release application</w:t>
      </w:r>
      <w:r>
        <w:t xml:space="preserve"> has the meaning given in section 81C(1);</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tab/>
      </w:r>
      <w:r>
        <w:rPr>
          <w:rStyle w:val="CharDefText"/>
        </w:rPr>
        <w:t>State Register of Heritage Places</w:t>
      </w:r>
      <w:r>
        <w:t xml:space="preserve"> means the register established and maintained under the </w:t>
      </w:r>
      <w:r>
        <w:rPr>
          <w:i/>
        </w:rPr>
        <w:t>Heritage Act 2018</w:t>
      </w:r>
      <w:r>
        <w:t xml:space="preserve"> section 35;</w:t>
      </w:r>
    </w:p>
    <w:p>
      <w:pPr>
        <w:pStyle w:val="Defstart"/>
      </w:pPr>
      <w:r>
        <w:tab/>
      </w:r>
      <w:r>
        <w:rPr>
          <w:rStyle w:val="CharDefText"/>
        </w:rPr>
        <w:t>strata company</w:t>
      </w:r>
      <w:r>
        <w:t xml:space="preserve"> has the meaning given in the </w:t>
      </w:r>
      <w:r>
        <w:rPr>
          <w:i/>
        </w:rPr>
        <w:t>Strata Titles Act </w:t>
      </w:r>
      <w:r>
        <w:rPr>
          <w:i/>
          <w:iCs/>
        </w:rPr>
        <w:t>1985</w:t>
      </w:r>
      <w:r>
        <w:t xml:space="preserve"> section 3(1);</w:t>
      </w:r>
    </w:p>
    <w:p>
      <w:pPr>
        <w:pStyle w:val="Defstart"/>
      </w:pPr>
      <w:r>
        <w:tab/>
      </w:r>
      <w:r>
        <w:rPr>
          <w:rStyle w:val="CharDefText"/>
        </w:rPr>
        <w:t>strata titles scheme</w:t>
      </w:r>
      <w:r>
        <w:t xml:space="preserve"> has the meaning given in the </w:t>
      </w:r>
      <w:r>
        <w:rPr>
          <w:i/>
        </w:rPr>
        <w:t>Strata Titles Act </w:t>
      </w:r>
      <w:r>
        <w:rPr>
          <w:i/>
          <w:iCs/>
        </w:rPr>
        <w:t>1985</w:t>
      </w:r>
      <w:r>
        <w:t xml:space="preserve"> section 3(1);</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No. 11 of 2024 s. 4.] </w:t>
      </w:r>
    </w:p>
    <w:p>
      <w:pPr>
        <w:pStyle w:val="Heading5"/>
      </w:pPr>
      <w:bookmarkStart w:id="12" w:name="_Toc225329595"/>
      <w:r>
        <w:rPr>
          <w:rStyle w:val="CharSectno"/>
        </w:rPr>
        <w:lastRenderedPageBreak/>
        <w:t>3A</w:t>
      </w:r>
      <w:r>
        <w:t>.</w:t>
      </w:r>
      <w:r>
        <w:tab/>
        <w:t>References to residential premises or premises</w:t>
      </w:r>
      <w:bookmarkEnd w:id="12"/>
    </w:p>
    <w:p>
      <w:pPr>
        <w:pStyle w:val="Subsection"/>
      </w:pPr>
      <w:r>
        <w:tab/>
        <w:t>(1)</w:t>
      </w:r>
      <w:r>
        <w:tab/>
        <w:t>In a provision of this Act that relates to a residential tenancy agreement, a reference to the residential premises, or the premises, is taken to be a reference to the residential premises for which a right to occupy is granted under the agreement.</w:t>
      </w:r>
    </w:p>
    <w:p>
      <w:pPr>
        <w:pStyle w:val="Subsection"/>
      </w:pPr>
      <w:r>
        <w:tab/>
        <w:t>(2)</w:t>
      </w:r>
      <w:r>
        <w:tab/>
        <w:t>For the purposes of subsection (1), a provision of this Act that refers to a lessor or a tenant is taken to be a provision that relates to the residential tenancy agreement to which the lessor or the tenant is a party.</w:t>
      </w:r>
    </w:p>
    <w:p>
      <w:pPr>
        <w:pStyle w:val="Footnotesection"/>
      </w:pPr>
      <w:r>
        <w:tab/>
        <w:t xml:space="preserve">[Section 3A inserted: No. 11 of 2024 s. 5.] </w:t>
      </w:r>
    </w:p>
    <w:p>
      <w:pPr>
        <w:pStyle w:val="Heading5"/>
        <w:rPr>
          <w:snapToGrid w:val="0"/>
        </w:rPr>
      </w:pPr>
      <w:bookmarkStart w:id="13" w:name="_Toc225329596"/>
      <w:r>
        <w:rPr>
          <w:rStyle w:val="CharSectno"/>
        </w:rPr>
        <w:t>4</w:t>
      </w:r>
      <w:r>
        <w:rPr>
          <w:snapToGrid w:val="0"/>
        </w:rPr>
        <w:t>.</w:t>
      </w:r>
      <w:r>
        <w:rPr>
          <w:snapToGrid w:val="0"/>
        </w:rPr>
        <w:tab/>
        <w:t>Position of Crown</w:t>
      </w:r>
      <w:bookmarkEnd w:id="13"/>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4" w:name="_Toc225329597"/>
      <w:r>
        <w:rPr>
          <w:rStyle w:val="CharSectno"/>
        </w:rPr>
        <w:t>5</w:t>
      </w:r>
      <w:r>
        <w:rPr>
          <w:snapToGrid w:val="0"/>
        </w:rPr>
        <w:t>.</w:t>
      </w:r>
      <w:r>
        <w:rPr>
          <w:snapToGrid w:val="0"/>
        </w:rPr>
        <w:tab/>
        <w:t>Application of Act</w:t>
      </w:r>
      <w:bookmarkEnd w:id="14"/>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pPr>
      <w:r>
        <w:tab/>
        <w:t>(1A)</w:t>
      </w:r>
      <w:r>
        <w:tab/>
        <w:t xml:space="preserve">This Act does not apply to a residential tenancy agreement that is a strata lease, within the meaning of the </w:t>
      </w:r>
      <w:r>
        <w:rPr>
          <w:i/>
          <w:snapToGrid w:val="0"/>
        </w:rPr>
        <w:t>Strata Titles Act 1985</w:t>
      </w:r>
      <w:r>
        <w:t>.</w:t>
      </w:r>
    </w:p>
    <w:p>
      <w:pPr>
        <w:pStyle w:val="PermNoteHeading"/>
      </w:pPr>
      <w:r>
        <w:tab/>
        <w:t>Note for this subsection:</w:t>
      </w:r>
    </w:p>
    <w:p>
      <w:pPr>
        <w:pStyle w:val="PermNoteText"/>
      </w:pPr>
      <w:r>
        <w:tab/>
      </w:r>
      <w:r>
        <w:tab/>
        <w:t>This subsection does not affect the application of this Act to a residential tenancy agreement that is a sublease of a strata lease.</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lastRenderedPageBreak/>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lastRenderedPageBreak/>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 No. 30 of 2018 s. 182.]</w:t>
      </w:r>
    </w:p>
    <w:p>
      <w:pPr>
        <w:pStyle w:val="Heading5"/>
        <w:rPr>
          <w:snapToGrid w:val="0"/>
        </w:rPr>
      </w:pPr>
      <w:bookmarkStart w:id="15" w:name="_Toc225329598"/>
      <w:r>
        <w:rPr>
          <w:rStyle w:val="CharSectno"/>
        </w:rPr>
        <w:t>6</w:t>
      </w:r>
      <w:r>
        <w:rPr>
          <w:snapToGrid w:val="0"/>
        </w:rPr>
        <w:t>.</w:t>
      </w:r>
      <w:r>
        <w:rPr>
          <w:snapToGrid w:val="0"/>
        </w:rPr>
        <w:tab/>
        <w:t>Modification of application of Act by regulation</w:t>
      </w:r>
      <w:bookmarkEnd w:id="15"/>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lastRenderedPageBreak/>
        <w:tab/>
        <w:t>(c)</w:t>
      </w:r>
      <w:r>
        <w:rPr>
          <w:snapToGrid w:val="0"/>
        </w:rPr>
        <w:tab/>
        <w:t>any prescribed person or agency being a person or agency that is acting on behalf of the Crown.</w:t>
      </w:r>
    </w:p>
    <w:p>
      <w:pPr>
        <w:pStyle w:val="Heading5"/>
        <w:rPr>
          <w:snapToGrid w:val="0"/>
        </w:rPr>
      </w:pPr>
      <w:bookmarkStart w:id="16" w:name="_Toc225329599"/>
      <w:r>
        <w:rPr>
          <w:rStyle w:val="CharSectno"/>
        </w:rPr>
        <w:t>7</w:t>
      </w:r>
      <w:r>
        <w:rPr>
          <w:snapToGrid w:val="0"/>
        </w:rPr>
        <w:t>.</w:t>
      </w:r>
      <w:r>
        <w:rPr>
          <w:snapToGrid w:val="0"/>
        </w:rPr>
        <w:tab/>
      </w:r>
      <w:r>
        <w:rPr>
          <w:bCs/>
        </w:rPr>
        <w:t>Transitional provisions relating to commencement of this Act</w:t>
      </w:r>
      <w:bookmarkEnd w:id="1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lastRenderedPageBreak/>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17" w:name="_Toc225165943"/>
      <w:bookmarkStart w:id="18" w:name="_Toc225170700"/>
      <w:bookmarkStart w:id="19" w:name="_Toc225171315"/>
      <w:bookmarkStart w:id="20" w:name="_Toc225171627"/>
      <w:bookmarkStart w:id="21" w:name="_Toc225235272"/>
      <w:bookmarkStart w:id="22" w:name="_Toc225328761"/>
      <w:bookmarkStart w:id="23" w:name="_Toc225329600"/>
      <w:r>
        <w:rPr>
          <w:rStyle w:val="CharPartNo"/>
        </w:rPr>
        <w:lastRenderedPageBreak/>
        <w:t>Part II</w:t>
      </w:r>
      <w:r>
        <w:rPr>
          <w:rStyle w:val="CharDivNo"/>
        </w:rPr>
        <w:t> </w:t>
      </w:r>
      <w:r>
        <w:t>—</w:t>
      </w:r>
      <w:r>
        <w:rPr>
          <w:rStyle w:val="CharDivText"/>
        </w:rPr>
        <w:t> </w:t>
      </w:r>
      <w:r>
        <w:rPr>
          <w:rStyle w:val="CharPartText"/>
        </w:rPr>
        <w:t>Administration</w:t>
      </w:r>
      <w:bookmarkEnd w:id="17"/>
      <w:bookmarkEnd w:id="18"/>
      <w:bookmarkEnd w:id="19"/>
      <w:bookmarkEnd w:id="20"/>
      <w:bookmarkEnd w:id="21"/>
      <w:bookmarkEnd w:id="22"/>
      <w:bookmarkEnd w:id="23"/>
    </w:p>
    <w:p>
      <w:pPr>
        <w:pStyle w:val="Heading5"/>
      </w:pPr>
      <w:bookmarkStart w:id="24" w:name="_Toc225329601"/>
      <w:r>
        <w:rPr>
          <w:rStyle w:val="CharSectno"/>
        </w:rPr>
        <w:t>7A</w:t>
      </w:r>
      <w:r>
        <w:t>.</w:t>
      </w:r>
      <w:r>
        <w:tab/>
        <w:t>Commissioner</w:t>
      </w:r>
      <w:bookmarkEnd w:id="2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25" w:name="_Toc225329602"/>
      <w:r>
        <w:rPr>
          <w:rStyle w:val="CharSectno"/>
        </w:rPr>
        <w:t>8</w:t>
      </w:r>
      <w:r>
        <w:rPr>
          <w:snapToGrid w:val="0"/>
        </w:rPr>
        <w:t>.</w:t>
      </w:r>
      <w:r>
        <w:rPr>
          <w:snapToGrid w:val="0"/>
        </w:rPr>
        <w:tab/>
        <w:t>Functions of Commissioner</w:t>
      </w:r>
      <w:bookmarkEnd w:id="25"/>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 xml:space="preserve">the publication of reports </w:t>
      </w:r>
      <w:r>
        <w:t>and guidelines</w:t>
      </w:r>
      <w:r>
        <w:rPr>
          <w:snapToGrid w:val="0"/>
        </w:rPr>
        <w:t xml:space="preserve">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keepNext/>
        <w:spacing w:before="60"/>
        <w:rPr>
          <w:snapToGrid w:val="0"/>
        </w:rPr>
      </w:pPr>
      <w:r>
        <w:rPr>
          <w:snapToGrid w:val="0"/>
        </w:rPr>
        <w:tab/>
        <w:t>(d)</w:t>
      </w:r>
      <w:r>
        <w:rPr>
          <w:snapToGrid w:val="0"/>
        </w:rPr>
        <w:tab/>
        <w:t xml:space="preserve">the investigation, upon the complaint of a party to a residential tenancy agreement or otherwise, of an offence against this Act or of an infringement of a party’s rights arising out of any residential tenancy </w:t>
      </w:r>
      <w:r>
        <w:rPr>
          <w:snapToGrid w:val="0"/>
        </w:rPr>
        <w:lastRenderedPageBreak/>
        <w:t>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w:t>
      </w:r>
      <w:r>
        <w:t>not;</w:t>
      </w:r>
    </w:p>
    <w:p>
      <w:pPr>
        <w:pStyle w:val="Indenta"/>
      </w:pPr>
      <w:r>
        <w:tab/>
        <w:t>(f)</w:t>
      </w:r>
      <w:r>
        <w:tab/>
        <w:t>another function conferred or imposed on the Commissioner by this Act;</w:t>
      </w:r>
    </w:p>
    <w:p>
      <w:pPr>
        <w:pStyle w:val="Indenta"/>
      </w:pPr>
      <w:r>
        <w:tab/>
        <w:t>(g)</w:t>
      </w:r>
      <w:r>
        <w:tab/>
        <w:t>another function prescribed for the Commissioner.</w:t>
      </w:r>
    </w:p>
    <w:p>
      <w:pPr>
        <w:pStyle w:val="Ednotesubsection"/>
      </w:pPr>
      <w:r>
        <w:tab/>
        <w:t>[(2)</w:t>
      </w:r>
      <w:r>
        <w:tab/>
        <w:t>deleted]</w:t>
      </w:r>
    </w:p>
    <w:p>
      <w:pPr>
        <w:pStyle w:val="Footnotesection"/>
      </w:pPr>
      <w:r>
        <w:tab/>
        <w:t>[Section 8 amended: No. 28 of 2006 s. 135; No. 11 of 2024 s. 6.]</w:t>
      </w:r>
    </w:p>
    <w:p>
      <w:pPr>
        <w:pStyle w:val="Heading5"/>
        <w:rPr>
          <w:snapToGrid w:val="0"/>
        </w:rPr>
      </w:pPr>
      <w:bookmarkStart w:id="26" w:name="_Toc225329603"/>
      <w:r>
        <w:rPr>
          <w:rStyle w:val="CharSectno"/>
        </w:rPr>
        <w:t>9</w:t>
      </w:r>
      <w:r>
        <w:rPr>
          <w:snapToGrid w:val="0"/>
        </w:rPr>
        <w:t>.</w:t>
      </w:r>
      <w:r>
        <w:rPr>
          <w:snapToGrid w:val="0"/>
        </w:rPr>
        <w:tab/>
        <w:t>Commissioner may institute or defend proceedings for party</w:t>
      </w:r>
      <w:bookmarkEnd w:id="26"/>
      <w:r>
        <w:rPr>
          <w:snapToGrid w:val="0"/>
        </w:rPr>
        <w:t xml:space="preserve"> </w:t>
      </w:r>
    </w:p>
    <w:p>
      <w:pPr>
        <w:pStyle w:val="Ednotesubsection"/>
      </w:pPr>
      <w:r>
        <w:tab/>
        <w:t>[(1A)</w:t>
      </w:r>
      <w:r>
        <w:tab/>
        <w:t>deleted]</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keepNext/>
        <w:rPr>
          <w:snapToGrid w:val="0"/>
        </w:rPr>
      </w:pPr>
      <w:r>
        <w:rPr>
          <w:snapToGrid w:val="0"/>
        </w:rPr>
        <w:lastRenderedPageBreak/>
        <w:tab/>
        <w:t>(3)</w:t>
      </w:r>
      <w:r>
        <w:rPr>
          <w:snapToGrid w:val="0"/>
        </w:rPr>
        <w:tab/>
        <w:t>The Commissioner shall not institute, defend or assume the conduct of, any proceedings under subsection (1) or (2) on behalf of a party — </w:t>
      </w:r>
    </w:p>
    <w:p>
      <w:pPr>
        <w:pStyle w:val="Indenta"/>
        <w:keepNext/>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 xml:space="preserve">in the case of proceedings already commenced by or against the party, the court hearing the proceedings shall, on the application of the Commissioner, order that the Commissioner be substituted for the party as a party to the proceedings, and may make such other orders or give </w:t>
      </w:r>
      <w:r>
        <w:rPr>
          <w:snapToGrid w:val="0"/>
        </w:rPr>
        <w:lastRenderedPageBreak/>
        <w:t>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w:t>
      </w:r>
      <w:r>
        <w:rPr>
          <w:snapToGrid w:val="0"/>
        </w:rPr>
        <w:lastRenderedPageBreak/>
        <w:t>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No. 11 of 2024 s. 7.] </w:t>
      </w:r>
    </w:p>
    <w:p>
      <w:pPr>
        <w:pStyle w:val="Heading5"/>
      </w:pPr>
      <w:bookmarkStart w:id="27" w:name="_Toc225329604"/>
      <w:r>
        <w:rPr>
          <w:rStyle w:val="CharSectno"/>
        </w:rPr>
        <w:t>10</w:t>
      </w:r>
      <w:r>
        <w:t>.</w:t>
      </w:r>
      <w:r>
        <w:tab/>
        <w:t>Delegation</w:t>
      </w:r>
      <w:bookmarkEnd w:id="27"/>
    </w:p>
    <w:p>
      <w:pPr>
        <w:pStyle w:val="Subsection"/>
      </w:pPr>
      <w:r>
        <w:tab/>
        <w:t>(1)</w:t>
      </w:r>
      <w:r>
        <w:tab/>
        <w:t>The Commissioner may delegate any power or duty of the Commissioner under another provision of this Act to another employee of the Department.</w:t>
      </w:r>
    </w:p>
    <w:p>
      <w:pPr>
        <w:pStyle w:val="Subsection"/>
      </w:pPr>
      <w:r>
        <w:tab/>
        <w:t>(2)</w:t>
      </w:r>
      <w:r>
        <w:tab/>
        <w:t>The bond administrator may delegate any power or duty of the bond administrator under another provision of this Act to another employee of the Department.</w:t>
      </w:r>
    </w:p>
    <w:p>
      <w:pPr>
        <w:pStyle w:val="Subsection"/>
      </w:pPr>
      <w:r>
        <w:tab/>
        <w:t>(3)</w:t>
      </w:r>
      <w:r>
        <w:tab/>
        <w:t>The delegation must be in writing signed by the Commissioner or bond administrator, as the case requires.</w:t>
      </w:r>
    </w:p>
    <w:p>
      <w:pPr>
        <w:pStyle w:val="Subsection"/>
      </w:pPr>
      <w:r>
        <w:lastRenderedPageBreak/>
        <w:tab/>
        <w:t>(4)</w:t>
      </w:r>
      <w:r>
        <w:tab/>
        <w:t>A person to whom a power or duty has been delegated under this section cannot delegate that power or duty.</w:t>
      </w:r>
    </w:p>
    <w:p>
      <w:pPr>
        <w:pStyle w:val="Subsection"/>
      </w:pPr>
      <w:r>
        <w:tab/>
        <w:t>(5)</w:t>
      </w:r>
      <w:r>
        <w:tab/>
        <w:t>A person exercising a power or performing a duty that has been delegated to the person under this section is taken to do so in accordance with the terms of the delegation unless the contrary is shown.</w:t>
      </w:r>
    </w:p>
    <w:p>
      <w:pPr>
        <w:pStyle w:val="Subsection"/>
      </w:pPr>
      <w:r>
        <w:tab/>
        <w:t>(6)</w:t>
      </w:r>
      <w:r>
        <w:tab/>
        <w:t>Nothing in this section limits the ability of the Commissioner or the bond administrator to perform a power or duty through an officer or agent.</w:t>
      </w:r>
    </w:p>
    <w:p>
      <w:pPr>
        <w:pStyle w:val="Footnotesection"/>
      </w:pPr>
      <w:r>
        <w:tab/>
        <w:t xml:space="preserve">[Section 10 inserted: No. 11 of 2024 s. 8.] </w:t>
      </w:r>
    </w:p>
    <w:p>
      <w:pPr>
        <w:pStyle w:val="Heading5"/>
      </w:pPr>
      <w:bookmarkStart w:id="28" w:name="_Toc225329605"/>
      <w:r>
        <w:rPr>
          <w:rStyle w:val="CharSectno"/>
        </w:rPr>
        <w:t>11</w:t>
      </w:r>
      <w:r>
        <w:t>.</w:t>
      </w:r>
      <w:r>
        <w:tab/>
        <w:t>Protection from liability</w:t>
      </w:r>
      <w:bookmarkEnd w:id="28"/>
    </w:p>
    <w:p>
      <w:pPr>
        <w:pStyle w:val="Subsection"/>
      </w:pPr>
      <w:r>
        <w:tab/>
        <w:t>(1)</w:t>
      </w:r>
      <w:r>
        <w:tab/>
        <w:t>A person is not liable for anything that the person has done, in good faith, in the performance or purported performance of a function under this Act.</w:t>
      </w:r>
    </w:p>
    <w:p>
      <w:pPr>
        <w:pStyle w:val="Subsection"/>
      </w:pPr>
      <w:r>
        <w:tab/>
        <w:t>(2)</w:t>
      </w:r>
      <w:r>
        <w:tab/>
        <w:t>The State is also relieved of any liability that it might have had for another person having done anything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doing a thing includes a reference to omitting to do the thing.</w:t>
      </w:r>
    </w:p>
    <w:p>
      <w:pPr>
        <w:pStyle w:val="Footnotesection"/>
      </w:pPr>
      <w:r>
        <w:tab/>
        <w:t xml:space="preserve">[Section 11 inserted: No. 11 of 2024 s. 8.] </w:t>
      </w:r>
    </w:p>
    <w:p>
      <w:pPr>
        <w:pStyle w:val="Heading5"/>
      </w:pPr>
      <w:bookmarkStart w:id="29" w:name="_Toc225329606"/>
      <w:r>
        <w:rPr>
          <w:rStyle w:val="CharSectno"/>
        </w:rPr>
        <w:t>11AA</w:t>
      </w:r>
      <w:r>
        <w:t>.</w:t>
      </w:r>
      <w:r>
        <w:tab/>
        <w:t>Disclosure of bond information</w:t>
      </w:r>
      <w:bookmarkEnd w:id="29"/>
    </w:p>
    <w:p>
      <w:pPr>
        <w:pStyle w:val="Subsection"/>
      </w:pPr>
      <w:r>
        <w:tab/>
        <w:t>(1)</w:t>
      </w:r>
      <w:r>
        <w:tab/>
        <w:t xml:space="preserve">In this section — </w:t>
      </w:r>
    </w:p>
    <w:p>
      <w:pPr>
        <w:pStyle w:val="Defstart"/>
      </w:pPr>
      <w:r>
        <w:tab/>
      </w:r>
      <w:r>
        <w:rPr>
          <w:rStyle w:val="CharDefText"/>
        </w:rPr>
        <w:t>bond information</w:t>
      </w:r>
      <w:r>
        <w:t xml:space="preserve"> means information held by, or on behalf of, the bond administrator relating to, or arising from, the payment to the bond administrator of — </w:t>
      </w:r>
    </w:p>
    <w:p>
      <w:pPr>
        <w:pStyle w:val="Defpara"/>
      </w:pPr>
      <w:r>
        <w:tab/>
        <w:t>(a)</w:t>
      </w:r>
      <w:r>
        <w:tab/>
        <w:t xml:space="preserve">the security bond for a residential tenancy agreement; or </w:t>
      </w:r>
    </w:p>
    <w:p>
      <w:pPr>
        <w:pStyle w:val="Defpara"/>
      </w:pPr>
      <w:r>
        <w:lastRenderedPageBreak/>
        <w:tab/>
        <w:t>(b)</w:t>
      </w:r>
      <w:r>
        <w:tab/>
        <w:t>a tenant compensation bond payable under a tenant compensation order;</w:t>
      </w:r>
    </w:p>
    <w:p>
      <w:pPr>
        <w:pStyle w:val="Defstart"/>
      </w:pPr>
      <w:r>
        <w:tab/>
      </w:r>
      <w:r>
        <w:rPr>
          <w:rStyle w:val="CharDefText"/>
        </w:rPr>
        <w:t>relevant entity</w:t>
      </w:r>
      <w:r>
        <w:t xml:space="preserve"> means each of the following — </w:t>
      </w:r>
    </w:p>
    <w:p>
      <w:pPr>
        <w:pStyle w:val="Defpara"/>
      </w:pPr>
      <w:r>
        <w:tab/>
        <w:t>(a)</w:t>
      </w:r>
      <w:r>
        <w:tab/>
        <w:t>the chief executive officer of the Department;</w:t>
      </w:r>
    </w:p>
    <w:p>
      <w:pPr>
        <w:pStyle w:val="Defpara"/>
      </w:pPr>
      <w:r>
        <w:tab/>
        <w:t>(b)</w:t>
      </w:r>
      <w:r>
        <w:tab/>
        <w:t>the Commissioner;</w:t>
      </w:r>
    </w:p>
    <w:p>
      <w:pPr>
        <w:pStyle w:val="Defpara"/>
      </w:pPr>
      <w:r>
        <w:tab/>
        <w:t>(c)</w:t>
      </w:r>
      <w:r>
        <w:tab/>
        <w:t>the Housing Authority;</w:t>
      </w:r>
    </w:p>
    <w:p>
      <w:pPr>
        <w:pStyle w:val="Defpara"/>
      </w:pPr>
      <w:r>
        <w:tab/>
        <w:t>(d)</w:t>
      </w:r>
      <w:r>
        <w:tab/>
        <w:t>the Magistrates Court.</w:t>
      </w:r>
    </w:p>
    <w:p>
      <w:pPr>
        <w:pStyle w:val="Subsection"/>
      </w:pPr>
      <w:r>
        <w:tab/>
        <w:t>(2)</w:t>
      </w:r>
      <w:r>
        <w:tab/>
        <w:t>The bond administrator may disclose bond information, including personal information, to a relevant entity to the extent the information is required by the relevant entity in the course of the entity’s duties or functions.</w:t>
      </w:r>
    </w:p>
    <w:p>
      <w:pPr>
        <w:pStyle w:val="Subsection"/>
      </w:pPr>
      <w:r>
        <w:tab/>
        <w:t>(3)</w:t>
      </w:r>
      <w:r>
        <w:tab/>
        <w:t>The bond administrator may enter into an arrangement with a relevant entity for the purposes of facilitating the disclosure of information under subsection (2).</w:t>
      </w:r>
    </w:p>
    <w:p>
      <w:pPr>
        <w:pStyle w:val="Footnotesection"/>
      </w:pPr>
      <w:r>
        <w:tab/>
        <w:t>[Section 11AA inserted: No. 11 of 2024 s. 9.]</w:t>
      </w:r>
    </w:p>
    <w:p>
      <w:pPr>
        <w:pStyle w:val="Heading5"/>
      </w:pPr>
      <w:bookmarkStart w:id="30" w:name="_Toc225329607"/>
      <w:r>
        <w:rPr>
          <w:rStyle w:val="CharSectno"/>
        </w:rPr>
        <w:t>11A</w:t>
      </w:r>
      <w:r>
        <w:t>.</w:t>
      </w:r>
      <w:r>
        <w:tab/>
        <w:t>Information officially obtained to be confidential</w:t>
      </w:r>
      <w:bookmarkEnd w:id="3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as required or allowed under this Act or another written law; or</w:t>
      </w:r>
    </w:p>
    <w:p>
      <w:pPr>
        <w:pStyle w:val="Indenta"/>
      </w:pPr>
      <w:r>
        <w:tab/>
        <w:t>(c)</w:t>
      </w:r>
      <w:r>
        <w:tab/>
        <w:t>for the purposes of the investigation of any suspected offence or the conduct of proceedings against any person for an offence; or</w:t>
      </w:r>
    </w:p>
    <w:p>
      <w:pPr>
        <w:pStyle w:val="Indenta"/>
      </w:pPr>
      <w:r>
        <w:lastRenderedPageBreak/>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 No. 11 of 2024 s. 10.]</w:t>
      </w:r>
    </w:p>
    <w:p>
      <w:pPr>
        <w:pStyle w:val="Heading5"/>
      </w:pPr>
      <w:bookmarkStart w:id="31" w:name="_Toc225329608"/>
      <w:r>
        <w:rPr>
          <w:rStyle w:val="CharSectno"/>
        </w:rPr>
        <w:t>11B</w:t>
      </w:r>
      <w:r>
        <w:t>.</w:t>
      </w:r>
      <w:r>
        <w:tab/>
        <w:t>Powers of investigation</w:t>
      </w:r>
      <w:bookmarkEnd w:id="31"/>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32" w:name="_Toc225165952"/>
      <w:bookmarkStart w:id="33" w:name="_Toc225170709"/>
      <w:bookmarkStart w:id="34" w:name="_Toc225171324"/>
      <w:bookmarkStart w:id="35" w:name="_Toc225171636"/>
      <w:bookmarkStart w:id="36" w:name="_Toc225235281"/>
      <w:bookmarkStart w:id="37" w:name="_Toc225328770"/>
      <w:bookmarkStart w:id="38" w:name="_Toc225329609"/>
      <w:r>
        <w:rPr>
          <w:rStyle w:val="CharPartNo"/>
        </w:rPr>
        <w:lastRenderedPageBreak/>
        <w:t>Part III </w:t>
      </w:r>
      <w:r>
        <w:t>—</w:t>
      </w:r>
      <w:r>
        <w:rPr>
          <w:rStyle w:val="CharPartText"/>
        </w:rPr>
        <w:t> Determination of disputes</w:t>
      </w:r>
      <w:bookmarkEnd w:id="32"/>
      <w:bookmarkEnd w:id="33"/>
      <w:bookmarkEnd w:id="34"/>
      <w:bookmarkEnd w:id="35"/>
      <w:bookmarkEnd w:id="36"/>
      <w:bookmarkEnd w:id="37"/>
      <w:bookmarkEnd w:id="38"/>
    </w:p>
    <w:p>
      <w:pPr>
        <w:pStyle w:val="Heading3"/>
      </w:pPr>
      <w:bookmarkStart w:id="39" w:name="_Toc225165953"/>
      <w:bookmarkStart w:id="40" w:name="_Toc225170710"/>
      <w:bookmarkStart w:id="41" w:name="_Toc225171325"/>
      <w:bookmarkStart w:id="42" w:name="_Toc225171637"/>
      <w:bookmarkStart w:id="43" w:name="_Toc225235282"/>
      <w:bookmarkStart w:id="44" w:name="_Toc225328771"/>
      <w:bookmarkStart w:id="45" w:name="_Toc225329610"/>
      <w:r>
        <w:rPr>
          <w:rStyle w:val="CharDivNo"/>
          <w:sz w:val="24"/>
        </w:rPr>
        <w:t>Division 1</w:t>
      </w:r>
      <w:r>
        <w:t> — </w:t>
      </w:r>
      <w:r>
        <w:rPr>
          <w:rStyle w:val="CharDivText"/>
          <w:sz w:val="24"/>
        </w:rPr>
        <w:t>Provisions relating to applications made or referred to Commissioner</w:t>
      </w:r>
      <w:bookmarkEnd w:id="39"/>
      <w:bookmarkEnd w:id="40"/>
      <w:bookmarkEnd w:id="41"/>
      <w:bookmarkEnd w:id="42"/>
      <w:bookmarkEnd w:id="43"/>
      <w:bookmarkEnd w:id="44"/>
      <w:bookmarkEnd w:id="45"/>
    </w:p>
    <w:p>
      <w:pPr>
        <w:pStyle w:val="Footnoteheading"/>
      </w:pPr>
      <w:r>
        <w:tab/>
        <w:t>[Heading inserted: No. 11 of 2024 s. 11.]</w:t>
      </w:r>
    </w:p>
    <w:p>
      <w:pPr>
        <w:pStyle w:val="Heading5"/>
      </w:pPr>
      <w:bookmarkStart w:id="46" w:name="_Toc225329611"/>
      <w:r>
        <w:rPr>
          <w:rStyle w:val="CharSectno"/>
        </w:rPr>
        <w:t>11C</w:t>
      </w:r>
      <w:r>
        <w:t>.</w:t>
      </w:r>
      <w:r>
        <w:tab/>
        <w:t>Application of Division</w:t>
      </w:r>
      <w:bookmarkEnd w:id="46"/>
    </w:p>
    <w:p>
      <w:pPr>
        <w:pStyle w:val="Subsection"/>
      </w:pPr>
      <w:r>
        <w:tab/>
      </w:r>
      <w:r>
        <w:tab/>
        <w:t xml:space="preserve">This Division applies in relation to — </w:t>
      </w:r>
    </w:p>
    <w:p>
      <w:pPr>
        <w:pStyle w:val="Indenta"/>
      </w:pPr>
      <w:r>
        <w:tab/>
        <w:t>(a)</w:t>
      </w:r>
      <w:r>
        <w:tab/>
        <w:t xml:space="preserve">any of the following applications made or referred to the Commissioner — </w:t>
      </w:r>
    </w:p>
    <w:p>
      <w:pPr>
        <w:pStyle w:val="Indenti"/>
      </w:pPr>
      <w:r>
        <w:tab/>
        <w:t>(i)</w:t>
      </w:r>
      <w:r>
        <w:tab/>
        <w:t>a lessor’s application under section 50E, 50F, 50S or 50T;</w:t>
      </w:r>
    </w:p>
    <w:p>
      <w:pPr>
        <w:pStyle w:val="Indenti"/>
      </w:pPr>
      <w:r>
        <w:tab/>
        <w:t>(ii)</w:t>
      </w:r>
      <w:r>
        <w:tab/>
        <w:t>a tenant’s application under section 50G, 50H, 50U or 50V;</w:t>
      </w:r>
    </w:p>
    <w:p>
      <w:pPr>
        <w:pStyle w:val="Indenti"/>
      </w:pPr>
      <w:r>
        <w:tab/>
        <w:t>(iii)</w:t>
      </w:r>
      <w:r>
        <w:tab/>
        <w:t>a security bond release application referred by the bond administrator under section 81I;</w:t>
      </w:r>
    </w:p>
    <w:p>
      <w:pPr>
        <w:pStyle w:val="Indenta"/>
      </w:pPr>
      <w:r>
        <w:tab/>
      </w:r>
      <w:r>
        <w:tab/>
        <w:t>or</w:t>
      </w:r>
    </w:p>
    <w:p>
      <w:pPr>
        <w:pStyle w:val="Indenta"/>
      </w:pPr>
      <w:r>
        <w:tab/>
        <w:t>(b)</w:t>
      </w:r>
      <w:r>
        <w:tab/>
        <w:t>an application made to the Commissioner in relation to a disputed tenancy matter.</w:t>
      </w:r>
    </w:p>
    <w:p>
      <w:pPr>
        <w:pStyle w:val="Footnotesection"/>
      </w:pPr>
      <w:r>
        <w:tab/>
        <w:t>[Section 11C inserted: No. 11 of 2024 s. 11.]</w:t>
      </w:r>
    </w:p>
    <w:p>
      <w:pPr>
        <w:pStyle w:val="Heading5"/>
      </w:pPr>
      <w:bookmarkStart w:id="47" w:name="_Toc225329612"/>
      <w:r>
        <w:rPr>
          <w:rStyle w:val="CharSectno"/>
        </w:rPr>
        <w:t>11D</w:t>
      </w:r>
      <w:r>
        <w:t>.</w:t>
      </w:r>
      <w:r>
        <w:tab/>
        <w:t>Parties to application</w:t>
      </w:r>
      <w:bookmarkEnd w:id="47"/>
    </w:p>
    <w:p>
      <w:pPr>
        <w:pStyle w:val="Subsection"/>
      </w:pPr>
      <w:r>
        <w:tab/>
      </w:r>
      <w:r>
        <w:tab/>
        <w:t xml:space="preserve">In this Division, a </w:t>
      </w:r>
      <w:r>
        <w:rPr>
          <w:rStyle w:val="CharDefText"/>
        </w:rPr>
        <w:t>party</w:t>
      </w:r>
      <w:r>
        <w:t xml:space="preserve"> to an application made in relation to a residential tenancy agreement is — </w:t>
      </w:r>
    </w:p>
    <w:p>
      <w:pPr>
        <w:pStyle w:val="Indenta"/>
      </w:pPr>
      <w:r>
        <w:tab/>
        <w:t>(a)</w:t>
      </w:r>
      <w:r>
        <w:tab/>
        <w:t>each party to the agreement who made the application; and</w:t>
      </w:r>
    </w:p>
    <w:p>
      <w:pPr>
        <w:pStyle w:val="Indenta"/>
      </w:pPr>
      <w:r>
        <w:tab/>
        <w:t>(b)</w:t>
      </w:r>
      <w:r>
        <w:tab/>
        <w:t xml:space="preserve">each other person who is — </w:t>
      </w:r>
    </w:p>
    <w:p>
      <w:pPr>
        <w:pStyle w:val="Indenti"/>
      </w:pPr>
      <w:r>
        <w:tab/>
        <w:t>(i)</w:t>
      </w:r>
      <w:r>
        <w:tab/>
        <w:t>for a security bond release application — given notice of the application by the bond administrator under section 81F(2); or</w:t>
      </w:r>
    </w:p>
    <w:p>
      <w:pPr>
        <w:pStyle w:val="Indenti"/>
      </w:pPr>
      <w:r>
        <w:lastRenderedPageBreak/>
        <w:tab/>
        <w:t>(ii)</w:t>
      </w:r>
      <w:r>
        <w:tab/>
        <w:t>otherwise — known to the Commissioner as a lessor, tenant or co</w:t>
      </w:r>
      <w:r>
        <w:noBreakHyphen/>
        <w:t>tenant under the residential tenancy agreement.</w:t>
      </w:r>
    </w:p>
    <w:p>
      <w:pPr>
        <w:pStyle w:val="Footnotesection"/>
      </w:pPr>
      <w:r>
        <w:tab/>
        <w:t>[Section 11D inserted: No. 11 of 2024 s. 11.]</w:t>
      </w:r>
    </w:p>
    <w:p>
      <w:pPr>
        <w:pStyle w:val="Heading5"/>
      </w:pPr>
      <w:bookmarkStart w:id="48" w:name="_Toc225329613"/>
      <w:r>
        <w:rPr>
          <w:rStyle w:val="CharSectno"/>
        </w:rPr>
        <w:t>11E</w:t>
      </w:r>
      <w:r>
        <w:t>.</w:t>
      </w:r>
      <w:r>
        <w:tab/>
        <w:t>Disputed tenancy matters</w:t>
      </w:r>
      <w:bookmarkEnd w:id="48"/>
    </w:p>
    <w:p>
      <w:pPr>
        <w:pStyle w:val="Subsection"/>
      </w:pPr>
      <w:r>
        <w:tab/>
        <w:t>(1)</w:t>
      </w:r>
      <w:r>
        <w:tab/>
        <w:t xml:space="preserve">A regulation may prescribe a matter (a </w:t>
      </w:r>
      <w:r>
        <w:rPr>
          <w:rStyle w:val="CharDefText"/>
        </w:rPr>
        <w:t>disputed tenancy matter</w:t>
      </w:r>
      <w:r>
        <w:t>) relating to the rights and obligations of the parties to a residential tenancy agreement as a matter about which the Commissioner may make decisions if the parties to a residential tenancy agreement are in dispute about the matter.</w:t>
      </w:r>
    </w:p>
    <w:p>
      <w:pPr>
        <w:pStyle w:val="Subsection"/>
      </w:pPr>
      <w:r>
        <w:tab/>
        <w:t>(2)</w:t>
      </w:r>
      <w:r>
        <w:tab/>
        <w:t>A party to a residential tenancy agreement may apply to the Commissioner to make an order stated in the application in relation to a disputed tenancy matter.</w:t>
      </w:r>
    </w:p>
    <w:p>
      <w:pPr>
        <w:pStyle w:val="Footnotesection"/>
      </w:pPr>
      <w:r>
        <w:tab/>
        <w:t>[Section 11E inserted: No. 11 of 2024 s. 11.]</w:t>
      </w:r>
    </w:p>
    <w:p>
      <w:pPr>
        <w:pStyle w:val="Heading5"/>
      </w:pPr>
      <w:bookmarkStart w:id="49" w:name="_Toc225329614"/>
      <w:r>
        <w:rPr>
          <w:rStyle w:val="CharSectno"/>
        </w:rPr>
        <w:t>11F</w:t>
      </w:r>
      <w:r>
        <w:t>.</w:t>
      </w:r>
      <w:r>
        <w:tab/>
        <w:t>Notice of application and invitation to make submissions</w:t>
      </w:r>
      <w:bookmarkEnd w:id="49"/>
      <w:r>
        <w:t xml:space="preserve"> </w:t>
      </w:r>
    </w:p>
    <w:p>
      <w:pPr>
        <w:pStyle w:val="Subsection"/>
      </w:pPr>
      <w:r>
        <w:tab/>
        <w:t>(1)</w:t>
      </w:r>
      <w:r>
        <w:tab/>
        <w:t>This section applies to an application other than a security bond release application.</w:t>
      </w:r>
    </w:p>
    <w:p>
      <w:pPr>
        <w:pStyle w:val="PermNoteHeading"/>
      </w:pPr>
      <w:r>
        <w:tab/>
        <w:t>Note for this subsection:</w:t>
      </w:r>
    </w:p>
    <w:p>
      <w:pPr>
        <w:pStyle w:val="PermNoteText"/>
      </w:pPr>
      <w:r>
        <w:tab/>
      </w:r>
      <w:r>
        <w:tab/>
        <w:t>See section 81Q in relation to the Commissioner giving notice of receipt of a security bond release application and inviting submissions.</w:t>
      </w:r>
    </w:p>
    <w:p>
      <w:pPr>
        <w:pStyle w:val="Subsection"/>
      </w:pPr>
      <w:r>
        <w:tab/>
        <w:t>(2)</w:t>
      </w:r>
      <w:r>
        <w:tab/>
        <w:t>The Commissioner must give written notice of the receipt of the application to each party to the application.</w:t>
      </w:r>
    </w:p>
    <w:p>
      <w:pPr>
        <w:pStyle w:val="Subsection"/>
      </w:pPr>
      <w:r>
        <w:tab/>
        <w:t>(3)</w:t>
      </w:r>
      <w:r>
        <w:tab/>
        <w:t xml:space="preserve">The notice must state that — </w:t>
      </w:r>
    </w:p>
    <w:p>
      <w:pPr>
        <w:pStyle w:val="Indenta"/>
      </w:pPr>
      <w:r>
        <w:tab/>
        <w:t>(a)</w:t>
      </w:r>
      <w:r>
        <w:tab/>
        <w:t>the party may make a submission to the Commissioner about the application; and</w:t>
      </w:r>
    </w:p>
    <w:p>
      <w:pPr>
        <w:pStyle w:val="Indenta"/>
      </w:pPr>
      <w:r>
        <w:tab/>
        <w:t>(b)</w:t>
      </w:r>
      <w:r>
        <w:tab/>
        <w:t>if the party makes a submission to the Commissioner by the day stated in the notice, the Commissioner will consider the party’s submission in deciding the application.</w:t>
      </w:r>
    </w:p>
    <w:p>
      <w:pPr>
        <w:pStyle w:val="Footnotesection"/>
      </w:pPr>
      <w:r>
        <w:tab/>
        <w:t>[Section 11F inserted: No. 11 of 2024 s. 11.]</w:t>
      </w:r>
    </w:p>
    <w:p>
      <w:pPr>
        <w:pStyle w:val="Heading5"/>
      </w:pPr>
      <w:bookmarkStart w:id="50" w:name="_Toc225329615"/>
      <w:r>
        <w:rPr>
          <w:rStyle w:val="CharSectno"/>
        </w:rPr>
        <w:lastRenderedPageBreak/>
        <w:t>11G</w:t>
      </w:r>
      <w:r>
        <w:t>.</w:t>
      </w:r>
      <w:r>
        <w:tab/>
        <w:t>Commissioner may require further information</w:t>
      </w:r>
      <w:bookmarkEnd w:id="50"/>
      <w:r>
        <w:t xml:space="preserve"> </w:t>
      </w:r>
    </w:p>
    <w:p>
      <w:pPr>
        <w:pStyle w:val="Subsection"/>
      </w:pPr>
      <w:r>
        <w:tab/>
        <w:t>(1)</w:t>
      </w:r>
      <w:r>
        <w:tab/>
        <w:t xml:space="preserve">The Commissioner may give a party to an application a notice requiring the party to give the Commissioner the information stated in the notice. </w:t>
      </w:r>
    </w:p>
    <w:p>
      <w:pPr>
        <w:pStyle w:val="Subsection"/>
      </w:pPr>
      <w:r>
        <w:tab/>
        <w:t>(2)</w:t>
      </w:r>
      <w:r>
        <w:tab/>
        <w:t xml:space="preserve">The Commissioner may, in the notice, require the person to do either or both of the following by the day stated in the notice — </w:t>
      </w:r>
    </w:p>
    <w:p>
      <w:pPr>
        <w:pStyle w:val="Indenta"/>
      </w:pPr>
      <w:r>
        <w:tab/>
        <w:t>(a)</w:t>
      </w:r>
      <w:r>
        <w:tab/>
        <w:t>provide evidence to support a claim made by the person; or</w:t>
      </w:r>
    </w:p>
    <w:p>
      <w:pPr>
        <w:pStyle w:val="Indenta"/>
      </w:pPr>
      <w:r>
        <w:tab/>
        <w:t>(b)</w:t>
      </w:r>
      <w:r>
        <w:tab/>
        <w:t>verify the information or evidence the person gives to the Commissioner by statutory declaration or in another way.</w:t>
      </w:r>
    </w:p>
    <w:p>
      <w:pPr>
        <w:pStyle w:val="Subsection"/>
      </w:pPr>
      <w:r>
        <w:tab/>
        <w:t>(3)</w:t>
      </w:r>
      <w:r>
        <w:tab/>
        <w:t>If the party does not comply with the requirement by the stated day, the Commissioner may decide the application without the person’s information and the notice given to the party under subsection (2) must state that fact.</w:t>
      </w:r>
    </w:p>
    <w:p>
      <w:pPr>
        <w:pStyle w:val="Subsection"/>
      </w:pPr>
      <w:r>
        <w:tab/>
        <w:t>(4)</w:t>
      </w:r>
      <w:r>
        <w:tab/>
        <w:t>The Commissioner may, in writing, extend the period stated in the notice.</w:t>
      </w:r>
    </w:p>
    <w:p>
      <w:pPr>
        <w:pStyle w:val="Footnotesection"/>
      </w:pPr>
      <w:r>
        <w:tab/>
        <w:t>[Section 11G inserted: No. 11 of 2024 s. 11.]</w:t>
      </w:r>
    </w:p>
    <w:p>
      <w:pPr>
        <w:pStyle w:val="Heading5"/>
      </w:pPr>
      <w:bookmarkStart w:id="51" w:name="_Toc225329616"/>
      <w:r>
        <w:rPr>
          <w:rStyle w:val="CharSectno"/>
        </w:rPr>
        <w:t>11H</w:t>
      </w:r>
      <w:r>
        <w:t>.</w:t>
      </w:r>
      <w:r>
        <w:tab/>
        <w:t>False or misleading information</w:t>
      </w:r>
      <w:bookmarkEnd w:id="51"/>
    </w:p>
    <w:p>
      <w:pPr>
        <w:pStyle w:val="Subsection"/>
      </w:pPr>
      <w:r>
        <w:tab/>
        <w:t>(1)</w:t>
      </w:r>
      <w:r>
        <w:tab/>
        <w:t>A person must not give the Commissioner information in relation to the application that the person knows, or ought reasonably to know, is false or misleading in a material particular.</w:t>
      </w:r>
    </w:p>
    <w:p>
      <w:pPr>
        <w:pStyle w:val="Penstart"/>
      </w:pPr>
      <w:r>
        <w:tab/>
        <w:t>Penalty for this subsection: a fine of $10 000.</w:t>
      </w:r>
    </w:p>
    <w:p>
      <w:pPr>
        <w:pStyle w:val="Subsection"/>
      </w:pPr>
      <w:r>
        <w:tab/>
        <w:t>(2)</w:t>
      </w:r>
      <w:r>
        <w:tab/>
        <w:t>For subsection (1), it is immaterial whether the information was given in response to a requirement under section 11G or for another reason.</w:t>
      </w:r>
    </w:p>
    <w:p>
      <w:pPr>
        <w:pStyle w:val="Footnotesection"/>
      </w:pPr>
      <w:r>
        <w:tab/>
        <w:t>[Section 11H inserted: No. 11 of 2024 s. 11.]</w:t>
      </w:r>
    </w:p>
    <w:p>
      <w:pPr>
        <w:pStyle w:val="Heading5"/>
      </w:pPr>
      <w:bookmarkStart w:id="52" w:name="_Toc225329617"/>
      <w:r>
        <w:rPr>
          <w:rStyle w:val="CharSectno"/>
        </w:rPr>
        <w:lastRenderedPageBreak/>
        <w:t>11I</w:t>
      </w:r>
      <w:r>
        <w:t>.</w:t>
      </w:r>
      <w:r>
        <w:tab/>
        <w:t>Deciding application</w:t>
      </w:r>
      <w:bookmarkEnd w:id="52"/>
    </w:p>
    <w:p>
      <w:pPr>
        <w:pStyle w:val="Subsection"/>
      </w:pPr>
      <w:r>
        <w:tab/>
        <w:t>(1)</w:t>
      </w:r>
      <w:r>
        <w:tab/>
        <w:t>The Commissioner must decide an application on the information available to the Commissioner.</w:t>
      </w:r>
    </w:p>
    <w:p>
      <w:pPr>
        <w:pStyle w:val="Subsection"/>
      </w:pPr>
      <w:r>
        <w:tab/>
        <w:t>(2)</w:t>
      </w:r>
      <w:r>
        <w:tab/>
        <w:t>Subsection (1) does not limit another provision of this Act that provides for matters the Commissioner must consider or be satisfied of in deciding the application.</w:t>
      </w:r>
    </w:p>
    <w:p>
      <w:pPr>
        <w:pStyle w:val="Subsection"/>
      </w:pPr>
      <w:r>
        <w:tab/>
        <w:t>(3)</w:t>
      </w:r>
      <w:r>
        <w:tab/>
        <w:t xml:space="preserve">The Commissioner cannot decide the application before the later of the following days — </w:t>
      </w:r>
    </w:p>
    <w:p>
      <w:pPr>
        <w:pStyle w:val="Indenta"/>
      </w:pPr>
      <w:r>
        <w:tab/>
        <w:t>(a)</w:t>
      </w:r>
      <w:r>
        <w:tab/>
        <w:t>the day stated in a notice given to any party to the application under section 11F or 81Q as the day by which a submission must be given to the Commissioner to be considered in deciding the application;</w:t>
      </w:r>
    </w:p>
    <w:p>
      <w:pPr>
        <w:pStyle w:val="Indenta"/>
      </w:pPr>
      <w:r>
        <w:tab/>
        <w:t>(b)</w:t>
      </w:r>
      <w:r>
        <w:tab/>
        <w:t>the day stated in a notice given to any party to the application under section 11G as the day by which the requirement under the notice must be complied with.</w:t>
      </w:r>
    </w:p>
    <w:p>
      <w:pPr>
        <w:pStyle w:val="Subsection"/>
      </w:pPr>
      <w:r>
        <w:tab/>
        <w:t>(4)</w:t>
      </w:r>
      <w:r>
        <w:tab/>
        <w:t>The powers of the Commissioner under section 11B do not apply for the purposes of deciding the application.</w:t>
      </w:r>
    </w:p>
    <w:p>
      <w:pPr>
        <w:pStyle w:val="Subsection"/>
      </w:pPr>
      <w:r>
        <w:tab/>
        <w:t>(5)</w:t>
      </w:r>
      <w:r>
        <w:tab/>
        <w:t>This section does not apply if the Commissioner declines to decide the application under section 11L.</w:t>
      </w:r>
    </w:p>
    <w:p>
      <w:pPr>
        <w:pStyle w:val="Footnotesection"/>
      </w:pPr>
      <w:r>
        <w:tab/>
        <w:t>[Section 11I inserted: No. 11 of 2024 s. 11.]</w:t>
      </w:r>
    </w:p>
    <w:p>
      <w:pPr>
        <w:pStyle w:val="Heading5"/>
      </w:pPr>
      <w:bookmarkStart w:id="53" w:name="_Toc225329618"/>
      <w:r>
        <w:rPr>
          <w:rStyle w:val="CharSectno"/>
        </w:rPr>
        <w:t>11J</w:t>
      </w:r>
      <w:r>
        <w:t>.</w:t>
      </w:r>
      <w:r>
        <w:tab/>
        <w:t>Notice of Commissioner’s decision</w:t>
      </w:r>
      <w:bookmarkEnd w:id="53"/>
    </w:p>
    <w:p>
      <w:pPr>
        <w:pStyle w:val="Subsection"/>
      </w:pPr>
      <w:r>
        <w:tab/>
        <w:t>(1)</w:t>
      </w:r>
      <w:r>
        <w:tab/>
        <w:t>The Commissioner must give notice of the Commissioner’s decision on an application to each party to the application.</w:t>
      </w:r>
    </w:p>
    <w:p>
      <w:pPr>
        <w:pStyle w:val="Subsection"/>
      </w:pPr>
      <w:r>
        <w:tab/>
        <w:t>(2)</w:t>
      </w:r>
      <w:r>
        <w:tab/>
        <w:t xml:space="preserve">The notice must state — </w:t>
      </w:r>
    </w:p>
    <w:p>
      <w:pPr>
        <w:pStyle w:val="Indenta"/>
      </w:pPr>
      <w:r>
        <w:tab/>
        <w:t>(a)</w:t>
      </w:r>
      <w:r>
        <w:tab/>
        <w:t xml:space="preserve">the decision; and </w:t>
      </w:r>
    </w:p>
    <w:p>
      <w:pPr>
        <w:pStyle w:val="Indenta"/>
      </w:pPr>
      <w:r>
        <w:tab/>
        <w:t>(b)</w:t>
      </w:r>
      <w:r>
        <w:tab/>
        <w:t>the Commissioner’s reasons for the decision; and</w:t>
      </w:r>
    </w:p>
    <w:p>
      <w:pPr>
        <w:pStyle w:val="Indenta"/>
      </w:pPr>
      <w:r>
        <w:tab/>
        <w:t>(c)</w:t>
      </w:r>
      <w:r>
        <w:tab/>
        <w:t>that, if the party is dissatisfied with the decision, the party may appeal the decision to the Magistrates Court within 7 days after the day on which the notice is given and how the party may start an appeal.</w:t>
      </w:r>
    </w:p>
    <w:p>
      <w:pPr>
        <w:pStyle w:val="Subsection"/>
      </w:pPr>
      <w:r>
        <w:lastRenderedPageBreak/>
        <w:tab/>
        <w:t>(3)</w:t>
      </w:r>
      <w:r>
        <w:tab/>
        <w:t>If the application is a security bond release application, the Commissioner must give a copy of the notice to the bond administrator.</w:t>
      </w:r>
    </w:p>
    <w:p>
      <w:pPr>
        <w:pStyle w:val="Footnotesection"/>
      </w:pPr>
      <w:r>
        <w:tab/>
        <w:t>[Section 11J inserted: No. 11 of 2024 s. 11.]</w:t>
      </w:r>
    </w:p>
    <w:p>
      <w:pPr>
        <w:pStyle w:val="Heading5"/>
      </w:pPr>
      <w:bookmarkStart w:id="54" w:name="_Toc225329619"/>
      <w:r>
        <w:rPr>
          <w:rStyle w:val="CharSectno"/>
        </w:rPr>
        <w:t>11K</w:t>
      </w:r>
      <w:r>
        <w:t>.</w:t>
      </w:r>
      <w:r>
        <w:tab/>
        <w:t>Commissioner may publish decision and reasons</w:t>
      </w:r>
      <w:bookmarkEnd w:id="54"/>
    </w:p>
    <w:p>
      <w:pPr>
        <w:pStyle w:val="Subsection"/>
      </w:pPr>
      <w:r>
        <w:tab/>
        <w:t>(1)</w:t>
      </w:r>
      <w:r>
        <w:tab/>
        <w:t xml:space="preserve">The Commissioner may publish — </w:t>
      </w:r>
    </w:p>
    <w:p>
      <w:pPr>
        <w:pStyle w:val="Indenta"/>
      </w:pPr>
      <w:r>
        <w:tab/>
        <w:t>(a)</w:t>
      </w:r>
      <w:r>
        <w:tab/>
        <w:t>the Commissioner’s decision on an application; and</w:t>
      </w:r>
    </w:p>
    <w:p>
      <w:pPr>
        <w:pStyle w:val="Indenta"/>
      </w:pPr>
      <w:r>
        <w:tab/>
        <w:t>(b)</w:t>
      </w:r>
      <w:r>
        <w:tab/>
        <w:t>the Commissioner’s reasons for the decision.</w:t>
      </w:r>
    </w:p>
    <w:p>
      <w:pPr>
        <w:pStyle w:val="Subsection"/>
      </w:pPr>
      <w:r>
        <w:tab/>
        <w:t>(2)</w:t>
      </w:r>
      <w:r>
        <w:tab/>
        <w:t xml:space="preserve">However, a decision or reasons published under subsection (1) must not include information that could identify or lead to the identification of — </w:t>
      </w:r>
    </w:p>
    <w:p>
      <w:pPr>
        <w:pStyle w:val="Indenta"/>
      </w:pPr>
      <w:r>
        <w:tab/>
        <w:t>(a)</w:t>
      </w:r>
      <w:r>
        <w:tab/>
        <w:t>a party to the application; or</w:t>
      </w:r>
    </w:p>
    <w:p>
      <w:pPr>
        <w:pStyle w:val="Indenta"/>
      </w:pPr>
      <w:r>
        <w:tab/>
        <w:t>(b)</w:t>
      </w:r>
      <w:r>
        <w:tab/>
        <w:t>another individual; or</w:t>
      </w:r>
    </w:p>
    <w:p>
      <w:pPr>
        <w:pStyle w:val="Indenta"/>
      </w:pPr>
      <w:r>
        <w:tab/>
        <w:t>(c)</w:t>
      </w:r>
      <w:r>
        <w:tab/>
        <w:t>the residential premises the subject of the application.</w:t>
      </w:r>
    </w:p>
    <w:p>
      <w:pPr>
        <w:pStyle w:val="Footnotesection"/>
      </w:pPr>
      <w:r>
        <w:tab/>
        <w:t>[Section 11K inserted: No. 11 of 2024 s. 11.]</w:t>
      </w:r>
    </w:p>
    <w:p>
      <w:pPr>
        <w:pStyle w:val="Heading5"/>
      </w:pPr>
      <w:bookmarkStart w:id="55" w:name="_Toc225329620"/>
      <w:r>
        <w:rPr>
          <w:rStyle w:val="CharSectno"/>
        </w:rPr>
        <w:t>11L</w:t>
      </w:r>
      <w:r>
        <w:t>.</w:t>
      </w:r>
      <w:r>
        <w:tab/>
        <w:t>Commissioner may decline to decide application and refer parties to Magistrates Court</w:t>
      </w:r>
      <w:bookmarkEnd w:id="55"/>
    </w:p>
    <w:p>
      <w:pPr>
        <w:pStyle w:val="Subsection"/>
      </w:pPr>
      <w:r>
        <w:tab/>
        <w:t>(1)</w:t>
      </w:r>
      <w:r>
        <w:tab/>
        <w:t xml:space="preserve">The Commissioner may decline to decide an application if the Commissioner — </w:t>
      </w:r>
    </w:p>
    <w:p>
      <w:pPr>
        <w:pStyle w:val="Indenta"/>
      </w:pPr>
      <w:r>
        <w:tab/>
        <w:t>(a)</w:t>
      </w:r>
      <w:r>
        <w:tab/>
        <w:t xml:space="preserve">considers the application cannot be decided on the information available to the Commissioner; or </w:t>
      </w:r>
    </w:p>
    <w:p>
      <w:pPr>
        <w:pStyle w:val="Indenta"/>
      </w:pPr>
      <w:r>
        <w:tab/>
        <w:t>(b)</w:t>
      </w:r>
      <w:r>
        <w:tab/>
        <w:t>is aware that another dispute relating to the residential tenancy agreement is before the Magistrates Court; or</w:t>
      </w:r>
    </w:p>
    <w:p>
      <w:pPr>
        <w:pStyle w:val="Indenta"/>
      </w:pPr>
      <w:r>
        <w:tab/>
        <w:t>(c)</w:t>
      </w:r>
      <w:r>
        <w:tab/>
        <w:t xml:space="preserve">for a security bond release application — </w:t>
      </w:r>
    </w:p>
    <w:p>
      <w:pPr>
        <w:pStyle w:val="Indenti"/>
      </w:pPr>
      <w:r>
        <w:tab/>
        <w:t>(i)</w:t>
      </w:r>
      <w:r>
        <w:tab/>
        <w:t>does not have current contact details for 1 or more of the parties to the application; or</w:t>
      </w:r>
    </w:p>
    <w:p>
      <w:pPr>
        <w:pStyle w:val="Indenti"/>
      </w:pPr>
      <w:r>
        <w:tab/>
        <w:t>(ii)</w:t>
      </w:r>
      <w:r>
        <w:tab/>
        <w:t>considers the amount in dispute is more than the amount of the security bond;</w:t>
      </w:r>
    </w:p>
    <w:p>
      <w:pPr>
        <w:pStyle w:val="Indenta"/>
      </w:pPr>
      <w:r>
        <w:tab/>
      </w:r>
      <w:r>
        <w:tab/>
        <w:t>or</w:t>
      </w:r>
    </w:p>
    <w:p>
      <w:pPr>
        <w:pStyle w:val="Indenta"/>
      </w:pPr>
      <w:r>
        <w:lastRenderedPageBreak/>
        <w:tab/>
        <w:t>(d)</w:t>
      </w:r>
      <w:r>
        <w:tab/>
        <w:t>otherwise considers it is appropriate in all of the circumstances to refer the application to the Magistrates Court.</w:t>
      </w:r>
    </w:p>
    <w:p>
      <w:pPr>
        <w:pStyle w:val="Subsection"/>
      </w:pPr>
      <w:r>
        <w:tab/>
        <w:t>(2)</w:t>
      </w:r>
      <w:r>
        <w:tab/>
        <w:t xml:space="preserve">If the Commissioner declines to decide an application, the Commissioner must give each party to the application a notice that states — </w:t>
      </w:r>
    </w:p>
    <w:p>
      <w:pPr>
        <w:pStyle w:val="Indenta"/>
      </w:pPr>
      <w:r>
        <w:tab/>
        <w:t>(a)</w:t>
      </w:r>
      <w:r>
        <w:tab/>
        <w:t>the Commissioner declines to decide the application; and</w:t>
      </w:r>
    </w:p>
    <w:p>
      <w:pPr>
        <w:pStyle w:val="Indenta"/>
      </w:pPr>
      <w:r>
        <w:tab/>
        <w:t>(b)</w:t>
      </w:r>
      <w:r>
        <w:tab/>
        <w:t>the Commissioner’s reasons for declining; and</w:t>
      </w:r>
    </w:p>
    <w:p>
      <w:pPr>
        <w:pStyle w:val="Indenta"/>
      </w:pPr>
      <w:r>
        <w:tab/>
        <w:t>(c)</w:t>
      </w:r>
      <w:r>
        <w:tab/>
        <w:t>that the party may apply to the Magistrates Court under section 15(1A) for relief in relation to the matter the subject of the application.</w:t>
      </w:r>
    </w:p>
    <w:p>
      <w:pPr>
        <w:pStyle w:val="PermNoteHeading"/>
      </w:pPr>
      <w:r>
        <w:tab/>
        <w:t>Note for this section:</w:t>
      </w:r>
    </w:p>
    <w:p>
      <w:pPr>
        <w:pStyle w:val="PermNoteText"/>
      </w:pPr>
      <w:r>
        <w:tab/>
      </w:r>
      <w:r>
        <w:tab/>
        <w:t>See section 12A in relation to the jurisdiction of the Magistrates Court to hear and determine the application.</w:t>
      </w:r>
    </w:p>
    <w:p>
      <w:pPr>
        <w:pStyle w:val="Footnotesection"/>
      </w:pPr>
      <w:r>
        <w:tab/>
        <w:t>[Section 11L inserted: No. 11 of 2024 s. 11.]</w:t>
      </w:r>
    </w:p>
    <w:p>
      <w:pPr>
        <w:pStyle w:val="Heading3"/>
        <w:rPr>
          <w:sz w:val="24"/>
        </w:rPr>
      </w:pPr>
      <w:bookmarkStart w:id="56" w:name="_Toc225165964"/>
      <w:bookmarkStart w:id="57" w:name="_Toc225170721"/>
      <w:bookmarkStart w:id="58" w:name="_Toc225171336"/>
      <w:bookmarkStart w:id="59" w:name="_Toc225171648"/>
      <w:bookmarkStart w:id="60" w:name="_Toc225235293"/>
      <w:bookmarkStart w:id="61" w:name="_Toc225328782"/>
      <w:bookmarkStart w:id="62" w:name="_Toc225329621"/>
      <w:r>
        <w:rPr>
          <w:rStyle w:val="CharDivNo"/>
          <w:bCs/>
        </w:rPr>
        <w:t>Division 2</w:t>
      </w:r>
      <w:r>
        <w:t> — </w:t>
      </w:r>
      <w:r>
        <w:rPr>
          <w:rStyle w:val="CharDivText"/>
          <w:bCs/>
        </w:rPr>
        <w:t>Disputes determined by the Magistrates Court</w:t>
      </w:r>
      <w:bookmarkEnd w:id="56"/>
      <w:bookmarkEnd w:id="57"/>
      <w:bookmarkEnd w:id="58"/>
      <w:bookmarkEnd w:id="59"/>
      <w:bookmarkEnd w:id="60"/>
      <w:bookmarkEnd w:id="61"/>
      <w:bookmarkEnd w:id="62"/>
    </w:p>
    <w:p>
      <w:pPr>
        <w:pStyle w:val="Footnoteheading"/>
      </w:pPr>
      <w:r>
        <w:tab/>
        <w:t>[Heading inserted: No. 11 of 2024 s. 12.]</w:t>
      </w:r>
    </w:p>
    <w:p>
      <w:pPr>
        <w:pStyle w:val="Heading5"/>
      </w:pPr>
      <w:bookmarkStart w:id="63" w:name="_Toc225329622"/>
      <w:r>
        <w:rPr>
          <w:rStyle w:val="CharSectno"/>
        </w:rPr>
        <w:t>12</w:t>
      </w:r>
      <w:r>
        <w:t>.</w:t>
      </w:r>
      <w:r>
        <w:tab/>
        <w:t>Terms used</w:t>
      </w:r>
      <w:bookmarkEnd w:id="63"/>
    </w:p>
    <w:p>
      <w:pPr>
        <w:pStyle w:val="Subsection"/>
        <w:spacing w:before="120"/>
      </w:pPr>
      <w:r>
        <w:tab/>
      </w:r>
      <w:r>
        <w:tab/>
        <w:t xml:space="preserve">In this Division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 </w:t>
      </w:r>
    </w:p>
    <w:p>
      <w:pPr>
        <w:pStyle w:val="Defpara"/>
      </w:pPr>
      <w:r>
        <w:tab/>
        <w:t>(a)</w:t>
      </w:r>
      <w:r>
        <w:tab/>
        <w:t>means any matter that may be the subject of an application to the Magistrates Court under this Act; and</w:t>
      </w:r>
    </w:p>
    <w:p>
      <w:pPr>
        <w:pStyle w:val="Defpara"/>
      </w:pPr>
      <w:r>
        <w:tab/>
        <w:t>(b)</w:t>
      </w:r>
      <w:r>
        <w:tab/>
        <w:t xml:space="preserve">includes — </w:t>
      </w:r>
    </w:p>
    <w:p>
      <w:pPr>
        <w:pStyle w:val="Defsubpara"/>
      </w:pPr>
      <w:r>
        <w:tab/>
        <w:t>(i)</w:t>
      </w:r>
      <w:r>
        <w:tab/>
        <w:t>an application to the Magistrates Court under section 15(1A) in relation to a security bond release application, regardless of the amount of the security bond the subject of the application; and</w:t>
      </w:r>
    </w:p>
    <w:p>
      <w:pPr>
        <w:pStyle w:val="Defsubpara"/>
      </w:pPr>
      <w:r>
        <w:lastRenderedPageBreak/>
        <w:tab/>
        <w:t>(ii)</w:t>
      </w:r>
      <w:r>
        <w:tab/>
        <w:t>another application to the Magistrates Court under section 15(1A);</w:t>
      </w:r>
    </w:p>
    <w:p>
      <w:pPr>
        <w:pStyle w:val="Defpara"/>
      </w:pPr>
      <w:r>
        <w:tab/>
      </w:r>
      <w:r>
        <w:tab/>
        <w:t>but</w:t>
      </w:r>
    </w:p>
    <w:p>
      <w:pPr>
        <w:pStyle w:val="Defpara"/>
      </w:pPr>
      <w:r>
        <w:tab/>
        <w:t>(c)</w:t>
      </w:r>
      <w:r>
        <w:tab/>
        <w:t>subject to paragraph (b)(i), does not include an application mentioned in paragraph (a) or (b)(ii) that is, or includes, a claim for an amount over the prescribed amount.</w:t>
      </w:r>
    </w:p>
    <w:p>
      <w:pPr>
        <w:pStyle w:val="Footnotesection"/>
      </w:pPr>
      <w:r>
        <w:tab/>
        <w:t xml:space="preserve">[Section 12 inserted: No. 59 of 2004 s. 119; amended: No. 11 of 2024 s. 13.] </w:t>
      </w:r>
    </w:p>
    <w:p>
      <w:pPr>
        <w:pStyle w:val="Heading5"/>
      </w:pPr>
      <w:bookmarkStart w:id="64" w:name="_Toc225329623"/>
      <w:r>
        <w:rPr>
          <w:rStyle w:val="CharSectno"/>
        </w:rPr>
        <w:t>12A</w:t>
      </w:r>
      <w:r>
        <w:t>.</w:t>
      </w:r>
      <w:r>
        <w:tab/>
      </w:r>
      <w:r>
        <w:rPr>
          <w:snapToGrid w:val="0"/>
        </w:rPr>
        <w:t>Jurisdiction</w:t>
      </w:r>
      <w:r>
        <w:t xml:space="preserve"> over </w:t>
      </w:r>
      <w:r>
        <w:rPr>
          <w:snapToGrid w:val="0"/>
        </w:rPr>
        <w:t>prescribed</w:t>
      </w:r>
      <w:r>
        <w:t xml:space="preserve"> disputes</w:t>
      </w:r>
      <w:bookmarkEnd w:id="64"/>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65" w:name="_Toc225329624"/>
      <w:r>
        <w:rPr>
          <w:rStyle w:val="CharSectno"/>
        </w:rPr>
        <w:t>13</w:t>
      </w:r>
      <w:r>
        <w:t>.</w:t>
      </w:r>
      <w:r>
        <w:tab/>
        <w:t>Jurisdiction over other disputes</w:t>
      </w:r>
      <w:bookmarkEnd w:id="65"/>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w:t>
      </w:r>
      <w:r>
        <w:lastRenderedPageBreak/>
        <w:t xml:space="preserve">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66" w:name="_Toc225329625"/>
      <w:r>
        <w:rPr>
          <w:rStyle w:val="CharSectno"/>
        </w:rPr>
        <w:t>13A</w:t>
      </w:r>
      <w:r>
        <w:t>.</w:t>
      </w:r>
      <w:r>
        <w:tab/>
      </w:r>
      <w:r>
        <w:rPr>
          <w:snapToGrid w:val="0"/>
        </w:rPr>
        <w:t>Magistrates</w:t>
      </w:r>
      <w:r>
        <w:t xml:space="preserve"> Court’s jurisdiction</w:t>
      </w:r>
      <w:bookmarkEnd w:id="66"/>
      <w:r>
        <w:t xml:space="preserve"> </w:t>
      </w:r>
    </w:p>
    <w:p>
      <w:pPr>
        <w:pStyle w:val="Subsection"/>
      </w:pPr>
      <w:r>
        <w:tab/>
        <w:t>(1)</w:t>
      </w:r>
      <w:r>
        <w:tab/>
        <w:t>For the purpose of exercising the jurisdiction conferred by section 12A and 13, the Magistrates Court is to be constituted by a magistrate.</w:t>
      </w:r>
    </w:p>
    <w:p>
      <w:pPr>
        <w:pStyle w:val="Subsection"/>
        <w:keepNext/>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lastRenderedPageBreak/>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67" w:name="_Toc225329626"/>
      <w:r>
        <w:rPr>
          <w:rStyle w:val="CharSectno"/>
        </w:rPr>
        <w:t>13B</w:t>
      </w:r>
      <w:r>
        <w:t>.</w:t>
      </w:r>
      <w:r>
        <w:tab/>
        <w:t>Appeals from decisions of registrar</w:t>
      </w:r>
      <w:bookmarkEnd w:id="67"/>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pPr>
      <w:bookmarkStart w:id="68" w:name="_Toc225329627"/>
      <w:r>
        <w:rPr>
          <w:rStyle w:val="CharSectno"/>
        </w:rPr>
        <w:t>13C</w:t>
      </w:r>
      <w:r>
        <w:t>.</w:t>
      </w:r>
      <w:r>
        <w:tab/>
        <w:t>Appeals from decisions of Commissioner</w:t>
      </w:r>
      <w:bookmarkEnd w:id="68"/>
    </w:p>
    <w:p>
      <w:pPr>
        <w:pStyle w:val="Subsection"/>
      </w:pPr>
      <w:r>
        <w:tab/>
        <w:t>(1)</w:t>
      </w:r>
      <w:r>
        <w:tab/>
        <w:t>A person who is dissatisfied with the Commissioner’s decision on an application under section 11I may appeal the decision to the Magistrates Court.</w:t>
      </w:r>
    </w:p>
    <w:p>
      <w:pPr>
        <w:pStyle w:val="Subsection"/>
      </w:pPr>
      <w:r>
        <w:tab/>
        <w:t>(2)</w:t>
      </w:r>
      <w:r>
        <w:tab/>
        <w:t>A person may appeal against a decision of the Commissioner on a security bond release application even if the security bond the subject of the application has been paid to 1 or more of the parties to the application under Part 5A Division 2.</w:t>
      </w:r>
    </w:p>
    <w:p>
      <w:pPr>
        <w:pStyle w:val="Subsection"/>
      </w:pPr>
      <w:r>
        <w:tab/>
        <w:t>(3)</w:t>
      </w:r>
      <w:r>
        <w:tab/>
        <w:t>The appeal must be started within 7 days after the day on which notice of the Commissioner’s decision was given to the parties to the application.</w:t>
      </w:r>
    </w:p>
    <w:p>
      <w:pPr>
        <w:pStyle w:val="Subsection"/>
      </w:pPr>
      <w:r>
        <w:tab/>
        <w:t>(4)</w:t>
      </w:r>
      <w:r>
        <w:tab/>
        <w:t>A magistrate may extend the period mentioned in subsection (3) and may do so even if the time has elapsed.</w:t>
      </w:r>
    </w:p>
    <w:p>
      <w:pPr>
        <w:pStyle w:val="Subsection"/>
      </w:pPr>
      <w:r>
        <w:lastRenderedPageBreak/>
        <w:tab/>
        <w:t>(5)</w:t>
      </w:r>
      <w:r>
        <w:tab/>
        <w:t>The appeal is to be by way of rehearing of the matter the subject of the Commissioner’s decision.</w:t>
      </w:r>
    </w:p>
    <w:p>
      <w:pPr>
        <w:pStyle w:val="Subsection"/>
      </w:pPr>
      <w:r>
        <w:tab/>
        <w:t>(6)</w:t>
      </w:r>
      <w:r>
        <w:tab/>
        <w:t xml:space="preserve">The rules of the Magistrates Court apply to the appeal as if the appeal were an appeal of a decision of a registrar under the </w:t>
      </w:r>
      <w:r>
        <w:rPr>
          <w:i/>
        </w:rPr>
        <w:t>Magistrates Court Act 2004</w:t>
      </w:r>
      <w:r>
        <w:t xml:space="preserve"> section 29.</w:t>
      </w:r>
    </w:p>
    <w:p>
      <w:pPr>
        <w:pStyle w:val="Footnotesection"/>
      </w:pPr>
      <w:r>
        <w:tab/>
        <w:t>[Section 13C inserted: No. 11 of 2024 s. 14.]</w:t>
      </w:r>
    </w:p>
    <w:p>
      <w:pPr>
        <w:pStyle w:val="Heading5"/>
        <w:rPr>
          <w:snapToGrid w:val="0"/>
        </w:rPr>
      </w:pPr>
      <w:bookmarkStart w:id="69" w:name="_Toc225329628"/>
      <w:r>
        <w:rPr>
          <w:rStyle w:val="CharSectno"/>
        </w:rPr>
        <w:t>14</w:t>
      </w:r>
      <w:r>
        <w:rPr>
          <w:snapToGrid w:val="0"/>
        </w:rPr>
        <w:t>.</w:t>
      </w:r>
      <w:r>
        <w:rPr>
          <w:snapToGrid w:val="0"/>
        </w:rPr>
        <w:tab/>
        <w:t>Time for determination of proceedings</w:t>
      </w:r>
      <w:bookmarkEnd w:id="69"/>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70" w:name="_Toc225329629"/>
      <w:r>
        <w:rPr>
          <w:rStyle w:val="CharSectno"/>
        </w:rPr>
        <w:t>15</w:t>
      </w:r>
      <w:r>
        <w:rPr>
          <w:snapToGrid w:val="0"/>
        </w:rPr>
        <w:t>.</w:t>
      </w:r>
      <w:r>
        <w:rPr>
          <w:snapToGrid w:val="0"/>
        </w:rPr>
        <w:tab/>
        <w:t>Applications for relief and orders that may be made</w:t>
      </w:r>
      <w:bookmarkEnd w:id="70"/>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pPr>
      <w:r>
        <w:tab/>
        <w:t>(1A)</w:t>
      </w:r>
      <w:r>
        <w:tab/>
        <w:t>A lessor or tenant under a residential tenancy agreement who is given a notice under section 11L may apply to the Magistrates Court for relief in relation to the matter the subject of the application to the Commissioner referred to in the notice.</w:t>
      </w:r>
    </w:p>
    <w:p>
      <w:pPr>
        <w:pStyle w:val="PermNoteHeading"/>
      </w:pPr>
      <w:r>
        <w:tab/>
        <w:t>Note for this subsection:</w:t>
      </w:r>
    </w:p>
    <w:p>
      <w:pPr>
        <w:pStyle w:val="PermNoteText"/>
      </w:pPr>
      <w:r>
        <w:tab/>
      </w:r>
      <w:r>
        <w:tab/>
        <w:t>The Commissioner may decline to decide an application made to the Commissioner under Part III Division 1 and advise the parties that they may apply to the Magistrates Court for relief. See section 11L.</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pPr>
      <w:r>
        <w:tab/>
        <w:t>(ba)</w:t>
      </w:r>
      <w:r>
        <w:tab/>
        <w:t xml:space="preserve">if the application relates to the release of all or part of the security bond for the agreement — </w:t>
      </w:r>
    </w:p>
    <w:p>
      <w:pPr>
        <w:pStyle w:val="Indenti"/>
      </w:pPr>
      <w:r>
        <w:tab/>
        <w:t>(i)</w:t>
      </w:r>
      <w:r>
        <w:tab/>
        <w:t>order the payment to the lessor of an amount of the security bond to which the lessor is entitled under section 81E; and</w:t>
      </w:r>
    </w:p>
    <w:p>
      <w:pPr>
        <w:pStyle w:val="Indenti"/>
      </w:pPr>
      <w:r>
        <w:tab/>
        <w:t>(ii)</w:t>
      </w:r>
      <w:r>
        <w:tab/>
        <w:t>order that the balance of the security bond (if any) is payable to the tenant, or if there are co</w:t>
      </w:r>
      <w:r>
        <w:noBreakHyphen/>
        <w:t>tenants, 1 or more of the co</w:t>
      </w:r>
      <w:r>
        <w:noBreakHyphen/>
        <w:t>tenants in stated amounts, or another person;</w:t>
      </w:r>
    </w:p>
    <w:p>
      <w:pPr>
        <w:pStyle w:val="Indenta"/>
      </w:pPr>
      <w:r>
        <w:tab/>
      </w:r>
      <w:r>
        <w:tab/>
        <w:t>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lastRenderedPageBreak/>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[Section 15 amended: No. 50 of 1988 s. 8 and 18; No. 59 of 2004 s. 120 and 121; No. 60 of 2011 s. 13 and 89; No. 17 of 2014 s. 5; No. 11 of 2024 s. 15.]</w:t>
      </w:r>
    </w:p>
    <w:p>
      <w:pPr>
        <w:pStyle w:val="Heading5"/>
        <w:rPr>
          <w:snapToGrid w:val="0"/>
        </w:rPr>
      </w:pPr>
      <w:bookmarkStart w:id="71" w:name="_Toc225329630"/>
      <w:r>
        <w:rPr>
          <w:rStyle w:val="CharSectno"/>
        </w:rPr>
        <w:t>16</w:t>
      </w:r>
      <w:r>
        <w:rPr>
          <w:snapToGrid w:val="0"/>
        </w:rPr>
        <w:t>.</w:t>
      </w:r>
      <w:r>
        <w:rPr>
          <w:snapToGrid w:val="0"/>
        </w:rPr>
        <w:tab/>
        <w:t>Enforcement</w:t>
      </w:r>
      <w:bookmarkEnd w:id="71"/>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72" w:name="_Toc225329631"/>
      <w:r>
        <w:rPr>
          <w:rStyle w:val="CharSectno"/>
        </w:rPr>
        <w:t>17A</w:t>
      </w:r>
      <w:r>
        <w:t>.</w:t>
      </w:r>
      <w:r>
        <w:tab/>
        <w:t>Disputes between tenants</w:t>
      </w:r>
      <w:bookmarkEnd w:id="72"/>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lastRenderedPageBreak/>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73" w:name="_Toc225329632"/>
      <w:r>
        <w:rPr>
          <w:rStyle w:val="CharSectno"/>
        </w:rPr>
        <w:t>17B</w:t>
      </w:r>
      <w:r>
        <w:t>.</w:t>
      </w:r>
      <w:r>
        <w:tab/>
        <w:t>Determination of rights and liabilities after termination of tenant’s interest on grounds of family violence</w:t>
      </w:r>
      <w:bookmarkEnd w:id="73"/>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keepNext/>
      </w:pPr>
      <w:r>
        <w:lastRenderedPageBreak/>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74" w:name="_Toc225329633"/>
      <w:r>
        <w:rPr>
          <w:rStyle w:val="CharSectno"/>
        </w:rPr>
        <w:t>17</w:t>
      </w:r>
      <w:r>
        <w:rPr>
          <w:snapToGrid w:val="0"/>
        </w:rPr>
        <w:t>.</w:t>
      </w:r>
      <w:r>
        <w:rPr>
          <w:snapToGrid w:val="0"/>
        </w:rPr>
        <w:tab/>
        <w:t>Application to vary or set aside order</w:t>
      </w:r>
      <w:bookmarkEnd w:id="74"/>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keepNext/>
        <w:rPr>
          <w:snapToGrid w:val="0"/>
        </w:rPr>
      </w:pPr>
      <w:r>
        <w:rPr>
          <w:snapToGrid w:val="0"/>
        </w:rPr>
        <w:lastRenderedPageBreak/>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75" w:name="_Toc225329634"/>
      <w:r>
        <w:rPr>
          <w:rStyle w:val="CharSectno"/>
        </w:rPr>
        <w:t>18</w:t>
      </w:r>
      <w:r>
        <w:rPr>
          <w:snapToGrid w:val="0"/>
        </w:rPr>
        <w:t>.</w:t>
      </w:r>
      <w:r>
        <w:rPr>
          <w:snapToGrid w:val="0"/>
        </w:rPr>
        <w:tab/>
        <w:t>Form of applications and notice of hearing</w:t>
      </w:r>
      <w:bookmarkEnd w:id="75"/>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keepNext/>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pPr>
      <w:bookmarkStart w:id="76" w:name="_Toc164778268"/>
      <w:bookmarkStart w:id="77" w:name="_Toc225329635"/>
      <w:r>
        <w:rPr>
          <w:rStyle w:val="CharSectno"/>
        </w:rPr>
        <w:t>18A</w:t>
      </w:r>
      <w:r>
        <w:t>.</w:t>
      </w:r>
      <w:r>
        <w:tab/>
        <w:t>Notice of intention to dispute application for release of security bond</w:t>
      </w:r>
      <w:bookmarkEnd w:id="76"/>
      <w:bookmarkEnd w:id="77"/>
    </w:p>
    <w:p>
      <w:pPr>
        <w:pStyle w:val="Subsection"/>
      </w:pPr>
      <w:r>
        <w:tab/>
        <w:t>(1)</w:t>
      </w:r>
      <w:r>
        <w:tab/>
        <w:t>This section applies if an application to the Magistrates Court under section 15 relates only to the release of all or part of the security bond for a residential tenancy agreement.</w:t>
      </w:r>
    </w:p>
    <w:p>
      <w:pPr>
        <w:pStyle w:val="Subsection"/>
      </w:pPr>
      <w:r>
        <w:tab/>
        <w:t>(2)</w:t>
      </w:r>
      <w:r>
        <w:tab/>
        <w:t>Before giving notice to the parties under section 18(2), the court must give each party to the application (other than the applicant) a written notice inviting the party to indicate to the court whether the party intends to dispute the application.</w:t>
      </w:r>
    </w:p>
    <w:p>
      <w:pPr>
        <w:pStyle w:val="Subsection"/>
      </w:pPr>
      <w:r>
        <w:lastRenderedPageBreak/>
        <w:tab/>
        <w:t>(3)</w:t>
      </w:r>
      <w:r>
        <w:tab/>
        <w:t>The party gives the court an indication under subsection (2) by filing a written notice, in the form approved by the Minister, in the court within 7 days after the party is served the court’s notice under subsection (2).</w:t>
      </w:r>
    </w:p>
    <w:p>
      <w:pPr>
        <w:pStyle w:val="Subsection"/>
      </w:pPr>
      <w:r>
        <w:tab/>
        <w:t>(4)</w:t>
      </w:r>
      <w:r>
        <w:tab/>
        <w:t xml:space="preserve">If a party given a notice under subsection (2) does not file a notice indicating that the party intends to dispute the application within the period referred to in subsection (3) (or a longer period allowed by the court) — </w:t>
      </w:r>
    </w:p>
    <w:p>
      <w:pPr>
        <w:pStyle w:val="Indenta"/>
      </w:pPr>
      <w:r>
        <w:tab/>
        <w:t>(a)</w:t>
      </w:r>
      <w:r>
        <w:tab/>
        <w:t>the court may, without conducting a hearing, order that the security bond be paid to the persons and in the amounts stated in the application; and</w:t>
      </w:r>
    </w:p>
    <w:p>
      <w:pPr>
        <w:pStyle w:val="Indenta"/>
      </w:pPr>
      <w:r>
        <w:tab/>
        <w:t>(b)</w:t>
      </w:r>
      <w:r>
        <w:tab/>
        <w:t>section 18(2) does not apply to the application.</w:t>
      </w:r>
    </w:p>
    <w:p>
      <w:pPr>
        <w:pStyle w:val="Footnotesection"/>
      </w:pPr>
      <w:r>
        <w:tab/>
        <w:t>[Section 18A inserted: No. 11 of 2024 s. 16.]</w:t>
      </w:r>
    </w:p>
    <w:p>
      <w:pPr>
        <w:pStyle w:val="Heading5"/>
        <w:rPr>
          <w:snapToGrid w:val="0"/>
        </w:rPr>
      </w:pPr>
      <w:bookmarkStart w:id="78" w:name="_Toc225329636"/>
      <w:r>
        <w:rPr>
          <w:rStyle w:val="CharSectno"/>
        </w:rPr>
        <w:t>19</w:t>
      </w:r>
      <w:r>
        <w:rPr>
          <w:snapToGrid w:val="0"/>
        </w:rPr>
        <w:t>.</w:t>
      </w:r>
      <w:r>
        <w:rPr>
          <w:snapToGrid w:val="0"/>
        </w:rPr>
        <w:tab/>
        <w:t>Witnesses and inspection of documents</w:t>
      </w:r>
      <w:bookmarkEnd w:id="78"/>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lastRenderedPageBreak/>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keepNext/>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79" w:name="_Toc225329637"/>
      <w:r>
        <w:rPr>
          <w:rStyle w:val="CharSectno"/>
        </w:rPr>
        <w:t>20</w:t>
      </w:r>
      <w:r>
        <w:rPr>
          <w:snapToGrid w:val="0"/>
        </w:rPr>
        <w:t>.</w:t>
      </w:r>
      <w:r>
        <w:rPr>
          <w:snapToGrid w:val="0"/>
        </w:rPr>
        <w:tab/>
        <w:t>General powers in proceedings</w:t>
      </w:r>
      <w:bookmarkEnd w:id="79"/>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lastRenderedPageBreak/>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80" w:name="_Toc225329638"/>
      <w:r>
        <w:rPr>
          <w:rStyle w:val="CharSectno"/>
        </w:rPr>
        <w:t>21</w:t>
      </w:r>
      <w:r>
        <w:t>.</w:t>
      </w:r>
      <w:r>
        <w:tab/>
        <w:t>Evidence</w:t>
      </w:r>
      <w:bookmarkEnd w:id="80"/>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81" w:name="_Toc225329639"/>
      <w:r>
        <w:rPr>
          <w:rStyle w:val="CharSectno"/>
        </w:rPr>
        <w:t>22</w:t>
      </w:r>
      <w:r>
        <w:rPr>
          <w:snapToGrid w:val="0"/>
        </w:rPr>
        <w:t>.</w:t>
      </w:r>
      <w:r>
        <w:rPr>
          <w:snapToGrid w:val="0"/>
        </w:rPr>
        <w:tab/>
        <w:t>Presentation of cases</w:t>
      </w:r>
      <w:bookmarkEnd w:id="81"/>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w:t>
      </w:r>
      <w:r>
        <w:rPr>
          <w:snapToGrid w:val="0"/>
        </w:rPr>
        <w:lastRenderedPageBreak/>
        <w:t xml:space="preserve">assisted in the presentation of </w:t>
      </w:r>
      <w:r>
        <w:t>the party’s</w:t>
      </w:r>
      <w:r>
        <w:rPr>
          <w:snapToGrid w:val="0"/>
        </w:rPr>
        <w:t xml:space="preserve"> case by another person.</w:t>
      </w:r>
    </w:p>
    <w:p>
      <w:pPr>
        <w:pStyle w:val="Subsection"/>
        <w:keepNext/>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keepNext/>
        <w:rPr>
          <w:snapToGrid w:val="0"/>
        </w:rPr>
      </w:pPr>
      <w:r>
        <w:rPr>
          <w:snapToGrid w:val="0"/>
        </w:rPr>
        <w:lastRenderedPageBreak/>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keepNext/>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lastRenderedPageBreak/>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pPr>
      <w:r>
        <w:tab/>
      </w:r>
      <w:r>
        <w:rPr>
          <w:rStyle w:val="CharDefText"/>
        </w:rPr>
        <w:t>legally qualified person</w:t>
      </w:r>
      <w:r>
        <w:t xml:space="preserve"> means a lawyer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No. 9 of 2022 s. 424.] </w:t>
      </w:r>
    </w:p>
    <w:p>
      <w:pPr>
        <w:pStyle w:val="Heading5"/>
        <w:rPr>
          <w:snapToGrid w:val="0"/>
        </w:rPr>
      </w:pPr>
      <w:bookmarkStart w:id="82" w:name="_Toc225329640"/>
      <w:r>
        <w:rPr>
          <w:rStyle w:val="CharSectno"/>
        </w:rPr>
        <w:t>23</w:t>
      </w:r>
      <w:r>
        <w:rPr>
          <w:snapToGrid w:val="0"/>
        </w:rPr>
        <w:t>.</w:t>
      </w:r>
      <w:r>
        <w:rPr>
          <w:snapToGrid w:val="0"/>
        </w:rPr>
        <w:tab/>
        <w:t>Settlement by conciliation</w:t>
      </w:r>
      <w:bookmarkEnd w:id="82"/>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lastRenderedPageBreak/>
        <w:tab/>
        <w:t xml:space="preserve">[Section 23 amended: No. 50 of 1988 s. 18; No. 59 of 2004 s. 120(2) and (3) and 121; No. 60 of 2011 s. 20.] </w:t>
      </w:r>
    </w:p>
    <w:p>
      <w:pPr>
        <w:pStyle w:val="Heading5"/>
        <w:rPr>
          <w:snapToGrid w:val="0"/>
        </w:rPr>
      </w:pPr>
      <w:bookmarkStart w:id="83" w:name="_Toc225329641"/>
      <w:r>
        <w:rPr>
          <w:rStyle w:val="CharSectno"/>
        </w:rPr>
        <w:t>24</w:t>
      </w:r>
      <w:r>
        <w:rPr>
          <w:snapToGrid w:val="0"/>
        </w:rPr>
        <w:t>.</w:t>
      </w:r>
      <w:r>
        <w:rPr>
          <w:snapToGrid w:val="0"/>
        </w:rPr>
        <w:tab/>
        <w:t>Costs</w:t>
      </w:r>
      <w:bookmarkEnd w:id="83"/>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 xml:space="preserve">all parties to the proceedings were represented by </w:t>
      </w:r>
      <w:r>
        <w:t>legal practitioners</w:t>
      </w:r>
      <w:r>
        <w:rPr>
          <w:snapToGrid w:val="0"/>
        </w:rPr>
        <w:t>;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No. 9 of 2022 s. 424.] </w:t>
      </w:r>
    </w:p>
    <w:p>
      <w:pPr>
        <w:pStyle w:val="Heading5"/>
        <w:rPr>
          <w:snapToGrid w:val="0"/>
        </w:rPr>
      </w:pPr>
      <w:bookmarkStart w:id="84" w:name="_Toc225329642"/>
      <w:r>
        <w:rPr>
          <w:rStyle w:val="CharSectno"/>
        </w:rPr>
        <w:t>25</w:t>
      </w:r>
      <w:r>
        <w:rPr>
          <w:snapToGrid w:val="0"/>
        </w:rPr>
        <w:t>.</w:t>
      </w:r>
      <w:r>
        <w:rPr>
          <w:snapToGrid w:val="0"/>
        </w:rPr>
        <w:tab/>
        <w:t>Reservation of question of law</w:t>
      </w:r>
      <w:bookmarkEnd w:id="8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keepLines/>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85" w:name="_Toc225329643"/>
      <w:r>
        <w:rPr>
          <w:rStyle w:val="CharSectno"/>
        </w:rPr>
        <w:lastRenderedPageBreak/>
        <w:t>26</w:t>
      </w:r>
      <w:r>
        <w:rPr>
          <w:snapToGrid w:val="0"/>
        </w:rPr>
        <w:t>.</w:t>
      </w:r>
      <w:r>
        <w:rPr>
          <w:snapToGrid w:val="0"/>
        </w:rPr>
        <w:tab/>
        <w:t>Finality of proceedings</w:t>
      </w:r>
      <w:bookmarkEnd w:id="85"/>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3"/>
      </w:pPr>
      <w:bookmarkStart w:id="86" w:name="_Toc225165986"/>
      <w:bookmarkStart w:id="87" w:name="_Toc225170744"/>
      <w:bookmarkStart w:id="88" w:name="_Toc225171359"/>
      <w:bookmarkStart w:id="89" w:name="_Toc225171671"/>
      <w:bookmarkStart w:id="90" w:name="_Toc225235316"/>
      <w:bookmarkStart w:id="91" w:name="_Toc225328805"/>
      <w:bookmarkStart w:id="92" w:name="_Toc225329644"/>
      <w:r>
        <w:rPr>
          <w:rStyle w:val="CharDivNo"/>
        </w:rPr>
        <w:t>Division 3</w:t>
      </w:r>
      <w:r>
        <w:t> — </w:t>
      </w:r>
      <w:r>
        <w:rPr>
          <w:rStyle w:val="CharDivText"/>
        </w:rPr>
        <w:t>Retaliatory action taken by lessor</w:t>
      </w:r>
      <w:bookmarkEnd w:id="86"/>
      <w:bookmarkEnd w:id="87"/>
      <w:bookmarkEnd w:id="88"/>
      <w:bookmarkEnd w:id="89"/>
      <w:bookmarkEnd w:id="90"/>
      <w:bookmarkEnd w:id="91"/>
      <w:bookmarkEnd w:id="92"/>
    </w:p>
    <w:p>
      <w:pPr>
        <w:pStyle w:val="Footnoteheading"/>
        <w:keepNext/>
      </w:pPr>
      <w:r>
        <w:tab/>
        <w:t>[Heading inserted: No. 11 of 2024 s. 17.]</w:t>
      </w:r>
    </w:p>
    <w:p>
      <w:pPr>
        <w:pStyle w:val="Heading5"/>
      </w:pPr>
      <w:bookmarkStart w:id="93" w:name="_Toc225329645"/>
      <w:r>
        <w:rPr>
          <w:rStyle w:val="CharSectno"/>
        </w:rPr>
        <w:t>26A</w:t>
      </w:r>
      <w:r>
        <w:t>.</w:t>
      </w:r>
      <w:r>
        <w:tab/>
        <w:t>Retaliatory action</w:t>
      </w:r>
      <w:bookmarkEnd w:id="93"/>
    </w:p>
    <w:p>
      <w:pPr>
        <w:pStyle w:val="Subsection"/>
        <w:keepNext/>
      </w:pPr>
      <w:r>
        <w:tab/>
      </w:r>
      <w:r>
        <w:tab/>
        <w:t xml:space="preserve">A lessor takes </w:t>
      </w:r>
      <w:r>
        <w:rPr>
          <w:rStyle w:val="CharDefText"/>
        </w:rPr>
        <w:t>retaliatory action</w:t>
      </w:r>
      <w:r>
        <w:t xml:space="preserve"> against a tenant in relation to a matter referred to in section 26B(2)(a), (b) or (c) if the lessor — </w:t>
      </w:r>
    </w:p>
    <w:p>
      <w:pPr>
        <w:pStyle w:val="Indenta"/>
        <w:keepNext/>
      </w:pPr>
      <w:r>
        <w:tab/>
        <w:t>(a)</w:t>
      </w:r>
      <w:r>
        <w:tab/>
        <w:t xml:space="preserve">takes any of the following action — </w:t>
      </w:r>
    </w:p>
    <w:p>
      <w:pPr>
        <w:pStyle w:val="Indenti"/>
      </w:pPr>
      <w:r>
        <w:tab/>
        <w:t>(i)</w:t>
      </w:r>
      <w:r>
        <w:tab/>
        <w:t>gives the tenant a notice claiming the tenant has breached the residential tenancy agreement, other than by failing to pay rent, and requiring the tenant to remedy the breach;</w:t>
      </w:r>
    </w:p>
    <w:p>
      <w:pPr>
        <w:pStyle w:val="Indenti"/>
      </w:pPr>
      <w:r>
        <w:tab/>
        <w:t>(ii)</w:t>
      </w:r>
      <w:r>
        <w:tab/>
        <w:t>increases the rent payable under the residential tenancy agreement;</w:t>
      </w:r>
    </w:p>
    <w:p>
      <w:pPr>
        <w:pStyle w:val="Indenti"/>
      </w:pPr>
      <w:r>
        <w:lastRenderedPageBreak/>
        <w:tab/>
        <w:t>(iii)</w:t>
      </w:r>
      <w:r>
        <w:tab/>
        <w:t>takes action to terminate the residential tenancy agreement;</w:t>
      </w:r>
    </w:p>
    <w:p>
      <w:pPr>
        <w:pStyle w:val="Indenti"/>
      </w:pPr>
      <w:r>
        <w:tab/>
        <w:t>(iv)</w:t>
      </w:r>
      <w:r>
        <w:tab/>
        <w:t>at the end of the current residential tenancy agreement, refuses to enter into a further residential tenancy agreement with the tenant;</w:t>
      </w:r>
    </w:p>
    <w:p>
      <w:pPr>
        <w:pStyle w:val="Indenta"/>
      </w:pPr>
      <w:r>
        <w:tab/>
      </w:r>
      <w:r>
        <w:tab/>
        <w:t>and</w:t>
      </w:r>
    </w:p>
    <w:p>
      <w:pPr>
        <w:pStyle w:val="Indenta"/>
      </w:pPr>
      <w:r>
        <w:tab/>
        <w:t>(b)</w:t>
      </w:r>
      <w:r>
        <w:tab/>
        <w:t>is motivated to take the action, wholly or partly, by the matter arising.</w:t>
      </w:r>
    </w:p>
    <w:p>
      <w:pPr>
        <w:pStyle w:val="Footnotesection"/>
      </w:pPr>
      <w:r>
        <w:tab/>
        <w:t xml:space="preserve">[Section 26A inserted: No. 11 of 2024 s. 17.] </w:t>
      </w:r>
    </w:p>
    <w:p>
      <w:pPr>
        <w:pStyle w:val="Heading5"/>
      </w:pPr>
      <w:bookmarkStart w:id="94" w:name="_Toc225329646"/>
      <w:r>
        <w:rPr>
          <w:rStyle w:val="CharSectno"/>
        </w:rPr>
        <w:t>26B</w:t>
      </w:r>
      <w:r>
        <w:t>.</w:t>
      </w:r>
      <w:r>
        <w:tab/>
        <w:t>Retaliatory action taken by lessor</w:t>
      </w:r>
      <w:bookmarkEnd w:id="94"/>
    </w:p>
    <w:p>
      <w:pPr>
        <w:pStyle w:val="Subsection"/>
      </w:pPr>
      <w:r>
        <w:tab/>
        <w:t>(1)</w:t>
      </w:r>
      <w:r>
        <w:tab/>
        <w:t xml:space="preserve">In this section — </w:t>
      </w:r>
    </w:p>
    <w:p>
      <w:pPr>
        <w:pStyle w:val="Defstart"/>
      </w:pPr>
      <w:r>
        <w:tab/>
      </w:r>
      <w:r>
        <w:rPr>
          <w:rStyle w:val="CharDefText"/>
        </w:rPr>
        <w:t>representative entity</w:t>
      </w:r>
      <w:r>
        <w:t xml:space="preserve"> means an entity that has a purpose of providing advice or support to tenants.</w:t>
      </w:r>
    </w:p>
    <w:p>
      <w:pPr>
        <w:pStyle w:val="Subsection"/>
        <w:keepNext/>
      </w:pPr>
      <w:r>
        <w:tab/>
        <w:t>(2)</w:t>
      </w:r>
      <w:r>
        <w:tab/>
        <w:t xml:space="preserve">This section applies if a tenant reasonably believes the lessor took retaliatory action against the tenant after any of the following matters arose — </w:t>
      </w:r>
    </w:p>
    <w:p>
      <w:pPr>
        <w:pStyle w:val="Indenta"/>
        <w:keepNext/>
      </w:pPr>
      <w:r>
        <w:tab/>
        <w:t>(a)</w:t>
      </w:r>
      <w:r>
        <w:tab/>
        <w:t xml:space="preserve">the tenant, or a representative entity, takes action to enforce the tenant’s rights, including, for example, by — </w:t>
      </w:r>
    </w:p>
    <w:p>
      <w:pPr>
        <w:pStyle w:val="Indenti"/>
      </w:pPr>
      <w:r>
        <w:tab/>
        <w:t>(i)</w:t>
      </w:r>
      <w:r>
        <w:tab/>
        <w:t>asking for repairs or maintenance to the premises; or</w:t>
      </w:r>
    </w:p>
    <w:p>
      <w:pPr>
        <w:pStyle w:val="Indenti"/>
      </w:pPr>
      <w:r>
        <w:tab/>
        <w:t>(ii)</w:t>
      </w:r>
      <w:r>
        <w:tab/>
        <w:t>giving the lessor a notice claiming the lessor has breached the residential tenancy agreement and requiring the lessor to remedy the breach; or</w:t>
      </w:r>
    </w:p>
    <w:p>
      <w:pPr>
        <w:pStyle w:val="Indenti"/>
      </w:pPr>
      <w:r>
        <w:tab/>
        <w:t>(iii)</w:t>
      </w:r>
      <w:r>
        <w:tab/>
        <w:t>requiring the lessor to reimburse the tenant for a reasonable expense properly incurred by the tenant for urgent repairs; or</w:t>
      </w:r>
    </w:p>
    <w:p>
      <w:pPr>
        <w:pStyle w:val="Indenti"/>
      </w:pPr>
      <w:r>
        <w:tab/>
        <w:t>(iv)</w:t>
      </w:r>
      <w:r>
        <w:tab/>
        <w:t>applying to a competent court for an order under this Act;</w:t>
      </w:r>
    </w:p>
    <w:p>
      <w:pPr>
        <w:pStyle w:val="Indenta"/>
      </w:pPr>
      <w:r>
        <w:tab/>
        <w:t>(b)</w:t>
      </w:r>
      <w:r>
        <w:tab/>
        <w:t xml:space="preserve">the lessor or lessor’s agent knows that the tenant or a representative entity has complained to the Commissioner or another government entity about an act </w:t>
      </w:r>
      <w:r>
        <w:lastRenderedPageBreak/>
        <w:t>or omission of the lessor that adversely affected the tenant;</w:t>
      </w:r>
    </w:p>
    <w:p>
      <w:pPr>
        <w:pStyle w:val="Indenta"/>
      </w:pPr>
      <w:r>
        <w:tab/>
        <w:t>(c)</w:t>
      </w:r>
      <w:r>
        <w:tab/>
        <w:t>an order of a competent court is in force in relation to the lessor and tenant.</w:t>
      </w:r>
    </w:p>
    <w:p>
      <w:pPr>
        <w:pStyle w:val="Subsection"/>
      </w:pPr>
      <w:r>
        <w:tab/>
        <w:t>(3)</w:t>
      </w:r>
      <w:r>
        <w:tab/>
        <w:t>The tenant may apply to a competent court for relief in relation to the lessor’s action alleged by the tenant to be retaliatory action.</w:t>
      </w:r>
    </w:p>
    <w:p>
      <w:pPr>
        <w:pStyle w:val="Subsection"/>
      </w:pPr>
      <w:r>
        <w:tab/>
        <w:t>(4)</w:t>
      </w:r>
      <w:r>
        <w:tab/>
        <w:t xml:space="preserve">The court hearing the application may, if the court is satisfied the lessor’s action was likely to have been retaliatory action for a matter mentioned in subsection (2)(a), (b) or (c), make any order the court considers appropriate, including, for example — </w:t>
      </w:r>
    </w:p>
    <w:p>
      <w:pPr>
        <w:pStyle w:val="Indenta"/>
      </w:pPr>
      <w:r>
        <w:tab/>
        <w:t>(a)</w:t>
      </w:r>
      <w:r>
        <w:tab/>
        <w:t>an order setting aside the lessor’s action; and</w:t>
      </w:r>
    </w:p>
    <w:p>
      <w:pPr>
        <w:pStyle w:val="Indenta"/>
        <w:keepNext/>
      </w:pPr>
      <w:r>
        <w:tab/>
        <w:t>(b)</w:t>
      </w:r>
      <w:r>
        <w:tab/>
        <w:t>an order that the lessor pay compensation to the tenant for loss or injury, other than personal injury, caused by the lessor’s action.</w:t>
      </w:r>
    </w:p>
    <w:p>
      <w:pPr>
        <w:pStyle w:val="Footnotesection"/>
      </w:pPr>
      <w:r>
        <w:tab/>
        <w:t xml:space="preserve">[Section 26B inserted: No. 11 of 2024 s. 17.] </w:t>
      </w:r>
    </w:p>
    <w:p>
      <w:pPr>
        <w:pStyle w:val="Heading2"/>
      </w:pPr>
      <w:bookmarkStart w:id="95" w:name="_Toc225165989"/>
      <w:bookmarkStart w:id="96" w:name="_Toc225170747"/>
      <w:bookmarkStart w:id="97" w:name="_Toc225171362"/>
      <w:bookmarkStart w:id="98" w:name="_Toc225171674"/>
      <w:bookmarkStart w:id="99" w:name="_Toc225235319"/>
      <w:bookmarkStart w:id="100" w:name="_Toc225328808"/>
      <w:bookmarkStart w:id="101" w:name="_Toc225329647"/>
      <w:r>
        <w:rPr>
          <w:rStyle w:val="CharPartNo"/>
        </w:rPr>
        <w:lastRenderedPageBreak/>
        <w:t>Part IV</w:t>
      </w:r>
      <w:r>
        <w:t> — </w:t>
      </w:r>
      <w:r>
        <w:rPr>
          <w:rStyle w:val="CharPartText"/>
        </w:rPr>
        <w:t>Residential tenancy agreements</w:t>
      </w:r>
      <w:bookmarkEnd w:id="95"/>
      <w:bookmarkEnd w:id="96"/>
      <w:bookmarkEnd w:id="97"/>
      <w:bookmarkEnd w:id="98"/>
      <w:bookmarkEnd w:id="99"/>
      <w:bookmarkEnd w:id="100"/>
      <w:bookmarkEnd w:id="101"/>
    </w:p>
    <w:p>
      <w:pPr>
        <w:pStyle w:val="Footnoteheading"/>
      </w:pPr>
      <w:r>
        <w:tab/>
        <w:t>[Heading inserted: No. 60 of 2011 s. 21.]</w:t>
      </w:r>
    </w:p>
    <w:p>
      <w:pPr>
        <w:pStyle w:val="Heading3"/>
      </w:pPr>
      <w:bookmarkStart w:id="102" w:name="_Toc225165990"/>
      <w:bookmarkStart w:id="103" w:name="_Toc225170748"/>
      <w:bookmarkStart w:id="104" w:name="_Toc225171363"/>
      <w:bookmarkStart w:id="105" w:name="_Toc225171675"/>
      <w:bookmarkStart w:id="106" w:name="_Toc225235320"/>
      <w:bookmarkStart w:id="107" w:name="_Toc225328809"/>
      <w:bookmarkStart w:id="108" w:name="_Toc225329648"/>
      <w:r>
        <w:rPr>
          <w:rStyle w:val="CharDivNo"/>
        </w:rPr>
        <w:t>Division 1A</w:t>
      </w:r>
      <w:r>
        <w:t> — </w:t>
      </w:r>
      <w:r>
        <w:rPr>
          <w:rStyle w:val="CharDivText"/>
        </w:rPr>
        <w:t>Form of residential tenancy agreement and associated documents</w:t>
      </w:r>
      <w:bookmarkEnd w:id="102"/>
      <w:bookmarkEnd w:id="103"/>
      <w:bookmarkEnd w:id="104"/>
      <w:bookmarkEnd w:id="105"/>
      <w:bookmarkEnd w:id="106"/>
      <w:bookmarkEnd w:id="107"/>
      <w:bookmarkEnd w:id="108"/>
    </w:p>
    <w:p>
      <w:pPr>
        <w:pStyle w:val="Footnoteheading"/>
      </w:pPr>
      <w:r>
        <w:tab/>
        <w:t>[Heading inserted: No. 60 of 2011 s. 22.]</w:t>
      </w:r>
    </w:p>
    <w:p>
      <w:pPr>
        <w:pStyle w:val="Heading5"/>
      </w:pPr>
      <w:bookmarkStart w:id="109" w:name="_Toc225329649"/>
      <w:r>
        <w:rPr>
          <w:rStyle w:val="CharSectno"/>
        </w:rPr>
        <w:t>27A</w:t>
      </w:r>
      <w:r>
        <w:t>.</w:t>
      </w:r>
      <w:r>
        <w:tab/>
        <w:t>Written residential tenancy agreement to be in approved form</w:t>
      </w:r>
      <w:bookmarkEnd w:id="109"/>
    </w:p>
    <w:p>
      <w:pPr>
        <w:pStyle w:val="Subsection"/>
      </w:pPr>
      <w:r>
        <w:tab/>
      </w:r>
      <w:r>
        <w:tab/>
        <w:t>A lessor or property manager must ensure a written residential tenancy agreement entered into by the lessor is in the approved form.</w:t>
      </w:r>
    </w:p>
    <w:p>
      <w:pPr>
        <w:pStyle w:val="Penstart"/>
      </w:pPr>
      <w:r>
        <w:tab/>
        <w:t>Penalty: a fine of $5 000.</w:t>
      </w:r>
    </w:p>
    <w:p>
      <w:pPr>
        <w:pStyle w:val="Footnotesection"/>
      </w:pPr>
      <w:r>
        <w:tab/>
        <w:t>[Section 27A inserted: No. 11 of 2024 s. 18.]</w:t>
      </w:r>
    </w:p>
    <w:p>
      <w:pPr>
        <w:pStyle w:val="Heading5"/>
      </w:pPr>
      <w:bookmarkStart w:id="110" w:name="_Toc225329650"/>
      <w:r>
        <w:rPr>
          <w:rStyle w:val="CharSectno"/>
        </w:rPr>
        <w:t>27B</w:t>
      </w:r>
      <w:r>
        <w:t>.</w:t>
      </w:r>
      <w:r>
        <w:tab/>
        <w:t>Information to be given to tenant by lessor</w:t>
      </w:r>
      <w:bookmarkEnd w:id="110"/>
    </w:p>
    <w:p>
      <w:pPr>
        <w:pStyle w:val="Subsection"/>
      </w:pPr>
      <w:r>
        <w:tab/>
      </w:r>
      <w:r>
        <w:tab/>
        <w:t>A lessor or property manager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amended: No. 11 of 2024 s. 19.] </w:t>
      </w:r>
    </w:p>
    <w:p>
      <w:pPr>
        <w:pStyle w:val="Heading5"/>
      </w:pPr>
      <w:bookmarkStart w:id="111" w:name="_Toc225329651"/>
      <w:r>
        <w:rPr>
          <w:rStyle w:val="CharSectno"/>
        </w:rPr>
        <w:lastRenderedPageBreak/>
        <w:t>27C</w:t>
      </w:r>
      <w:r>
        <w:t>.</w:t>
      </w:r>
      <w:r>
        <w:tab/>
      </w:r>
      <w:r>
        <w:rPr>
          <w:snapToGrid w:val="0"/>
        </w:rPr>
        <w:t>Property condition report at start and end of tenancy</w:t>
      </w:r>
      <w:bookmarkEnd w:id="111"/>
    </w:p>
    <w:p>
      <w:pPr>
        <w:pStyle w:val="Subsection"/>
        <w:keepNext/>
      </w:pPr>
      <w:r>
        <w:tab/>
        <w:t>(1)</w:t>
      </w:r>
      <w:r>
        <w:tab/>
      </w:r>
      <w:r>
        <w:rPr>
          <w:snapToGrid w:val="0"/>
        </w:rPr>
        <w:t xml:space="preserve">A lessor </w:t>
      </w:r>
      <w:r>
        <w:t>or property manager</w:t>
      </w:r>
      <w:r>
        <w:rPr>
          <w:snapToGrid w:val="0"/>
        </w:rPr>
        <w:t xml:space="preserve">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 or property manager, as the case requires.</w:t>
      </w:r>
    </w:p>
    <w:p>
      <w:pPr>
        <w:pStyle w:val="Subsection"/>
      </w:pPr>
      <w:r>
        <w:tab/>
        <w:t>(3)</w:t>
      </w:r>
      <w:r>
        <w:tab/>
        <w:t>If the tenant does not give a copy of the report back to the lessor or property manager under subsection (2), the tenant is to be taken to accept the report as a true and accurate description of the condition of the residential premises.</w:t>
      </w:r>
    </w:p>
    <w:p>
      <w:pPr>
        <w:pStyle w:val="Subsection"/>
      </w:pPr>
      <w:r>
        <w:tab/>
        <w:t>(4)</w:t>
      </w:r>
      <w:r>
        <w:tab/>
      </w:r>
      <w:r>
        <w:rPr>
          <w:snapToGrid w:val="0"/>
        </w:rPr>
        <w:t xml:space="preserve">A lessor </w:t>
      </w:r>
      <w:r>
        <w:t>or property manager</w:t>
      </w:r>
      <w:r>
        <w:rPr>
          <w:snapToGrid w:val="0"/>
        </w:rPr>
        <w:t xml:space="preserve">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or property manager is taken to comply with subsection (4) if, before the termination of a tenant’s interest, the lessor or property manager — </w:t>
      </w:r>
    </w:p>
    <w:p>
      <w:pPr>
        <w:pStyle w:val="Indenta"/>
      </w:pPr>
      <w:r>
        <w:tab/>
        <w:t>(a)</w:t>
      </w:r>
      <w:r>
        <w:tab/>
        <w:t>enters residential premises under section 46(6B); and</w:t>
      </w:r>
    </w:p>
    <w:p>
      <w:pPr>
        <w:pStyle w:val="Indenta"/>
      </w:pPr>
      <w:r>
        <w:lastRenderedPageBreak/>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No. 11 of 2024 s. 20.] </w:t>
      </w:r>
    </w:p>
    <w:p>
      <w:pPr>
        <w:pStyle w:val="Heading3"/>
        <w:rPr>
          <w:snapToGrid w:val="0"/>
        </w:rPr>
      </w:pPr>
      <w:bookmarkStart w:id="112" w:name="_Toc225165994"/>
      <w:bookmarkStart w:id="113" w:name="_Toc225170752"/>
      <w:bookmarkStart w:id="114" w:name="_Toc225171367"/>
      <w:bookmarkStart w:id="115" w:name="_Toc225171679"/>
      <w:bookmarkStart w:id="116" w:name="_Toc225235324"/>
      <w:bookmarkStart w:id="117" w:name="_Toc225328813"/>
      <w:bookmarkStart w:id="118" w:name="_Toc225329652"/>
      <w:r>
        <w:rPr>
          <w:rStyle w:val="CharDivNo"/>
        </w:rPr>
        <w:t>Division 1</w:t>
      </w:r>
      <w:r>
        <w:rPr>
          <w:snapToGrid w:val="0"/>
        </w:rPr>
        <w:t> — </w:t>
      </w:r>
      <w:r>
        <w:rPr>
          <w:rStyle w:val="CharDivText"/>
        </w:rPr>
        <w:t>Rent and security bonds</w:t>
      </w:r>
      <w:bookmarkEnd w:id="112"/>
      <w:bookmarkEnd w:id="113"/>
      <w:bookmarkEnd w:id="114"/>
      <w:bookmarkEnd w:id="115"/>
      <w:bookmarkEnd w:id="116"/>
      <w:bookmarkEnd w:id="117"/>
      <w:bookmarkEnd w:id="118"/>
    </w:p>
    <w:p>
      <w:pPr>
        <w:pStyle w:val="Heading5"/>
        <w:spacing w:before="160"/>
        <w:rPr>
          <w:snapToGrid w:val="0"/>
        </w:rPr>
      </w:pPr>
      <w:bookmarkStart w:id="119" w:name="_Toc225329653"/>
      <w:r>
        <w:rPr>
          <w:rStyle w:val="CharSectno"/>
        </w:rPr>
        <w:t>27</w:t>
      </w:r>
      <w:r>
        <w:rPr>
          <w:snapToGrid w:val="0"/>
        </w:rPr>
        <w:t>.</w:t>
      </w:r>
      <w:r>
        <w:rPr>
          <w:snapToGrid w:val="0"/>
        </w:rPr>
        <w:tab/>
        <w:t>Restriction on consideration for tenancy agreement</w:t>
      </w:r>
      <w:bookmarkEnd w:id="119"/>
      <w:r>
        <w:rPr>
          <w:snapToGrid w:val="0"/>
        </w:rPr>
        <w:t xml:space="preserve"> </w:t>
      </w:r>
    </w:p>
    <w:p>
      <w:pPr>
        <w:pStyle w:val="Subsection"/>
        <w:rPr>
          <w:snapToGrid w:val="0"/>
        </w:rPr>
      </w:pPr>
      <w:r>
        <w:rPr>
          <w:snapToGrid w:val="0"/>
        </w:rPr>
        <w:tab/>
        <w:t>(1)</w:t>
      </w:r>
      <w:r>
        <w:rPr>
          <w:snapToGrid w:val="0"/>
        </w:rPr>
        <w:tab/>
      </w:r>
      <w:r>
        <w:t>A person must</w:t>
      </w:r>
      <w:r>
        <w:rPr>
          <w:snapToGrid w:val="0"/>
        </w:rPr>
        <w:t xml:space="preserve">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lastRenderedPageBreak/>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No. 11 of 2024 s. 21.] </w:t>
      </w:r>
    </w:p>
    <w:p>
      <w:pPr>
        <w:pStyle w:val="Heading5"/>
      </w:pPr>
      <w:bookmarkStart w:id="120" w:name="_Toc225329654"/>
      <w:r>
        <w:rPr>
          <w:rStyle w:val="CharSectno"/>
        </w:rPr>
        <w:t>27AA</w:t>
      </w:r>
      <w:r>
        <w:t>.</w:t>
      </w:r>
      <w:r>
        <w:tab/>
        <w:t>Residential tenancy must be offered for rent at fixed amount</w:t>
      </w:r>
      <w:bookmarkEnd w:id="120"/>
    </w:p>
    <w:p>
      <w:pPr>
        <w:pStyle w:val="Subsection"/>
      </w:pPr>
      <w:r>
        <w:tab/>
        <w:t>(1)</w:t>
      </w:r>
      <w:r>
        <w:tab/>
        <w:t xml:space="preserve">A person must not advertise or otherwise offer a tenancy for residential premises unless — </w:t>
      </w:r>
    </w:p>
    <w:p>
      <w:pPr>
        <w:pStyle w:val="Indenta"/>
      </w:pPr>
      <w:r>
        <w:tab/>
        <w:t>(a)</w:t>
      </w:r>
      <w:r>
        <w:tab/>
        <w:t>the amount of rent stated in the advertisement or offer is a fixed amount; or</w:t>
      </w:r>
    </w:p>
    <w:p>
      <w:pPr>
        <w:pStyle w:val="Indenta"/>
      </w:pPr>
      <w:r>
        <w:tab/>
        <w:t>(b)</w:t>
      </w:r>
      <w:r>
        <w:tab/>
        <w:t>the advertisement or offer states that the amount of rent is calculated by reference to the tenant’s income.</w:t>
      </w:r>
    </w:p>
    <w:p>
      <w:pPr>
        <w:pStyle w:val="Penstart"/>
      </w:pPr>
      <w:r>
        <w:tab/>
        <w:t>Penalty for this subsection: a fine of $10 000.</w:t>
      </w:r>
    </w:p>
    <w:p>
      <w:pPr>
        <w:pStyle w:val="Subsection"/>
      </w:pPr>
      <w:r>
        <w:tab/>
        <w:t>(2)</w:t>
      </w:r>
      <w:r>
        <w:tab/>
        <w:t>A person does not commit an offence against subsection (1) if the person places a sign advertising or offering residential premises for rent at or near the premises and the sign does not state an amount of rent for the premises.</w:t>
      </w:r>
    </w:p>
    <w:p>
      <w:pPr>
        <w:pStyle w:val="Subsection"/>
      </w:pPr>
      <w:r>
        <w:tab/>
        <w:t>(3)</w:t>
      </w:r>
      <w:r>
        <w:tab/>
        <w:t>A person must not solicit or otherwise invite a person to make an offer to become a tenant of residential premises at a rent higher than the amount advertised as the rent for the premises.</w:t>
      </w:r>
    </w:p>
    <w:p>
      <w:pPr>
        <w:pStyle w:val="Penstart"/>
      </w:pPr>
      <w:r>
        <w:tab/>
        <w:t>Penalty for this subsection: a fine of $10 000.</w:t>
      </w:r>
    </w:p>
    <w:p>
      <w:pPr>
        <w:pStyle w:val="Footnotesection"/>
      </w:pPr>
      <w:r>
        <w:tab/>
        <w:t>[Section 27AA inserted: No. 11 of 2024 s. 22.]</w:t>
      </w:r>
    </w:p>
    <w:p>
      <w:pPr>
        <w:pStyle w:val="Heading5"/>
        <w:rPr>
          <w:snapToGrid w:val="0"/>
        </w:rPr>
      </w:pPr>
      <w:bookmarkStart w:id="121" w:name="_Toc225329655"/>
      <w:r>
        <w:rPr>
          <w:rStyle w:val="CharSectno"/>
        </w:rPr>
        <w:t>28</w:t>
      </w:r>
      <w:r>
        <w:rPr>
          <w:snapToGrid w:val="0"/>
        </w:rPr>
        <w:t>.</w:t>
      </w:r>
      <w:r>
        <w:rPr>
          <w:snapToGrid w:val="0"/>
        </w:rPr>
        <w:tab/>
        <w:t>Rent in advance</w:t>
      </w:r>
      <w:bookmarkEnd w:id="121"/>
      <w:r>
        <w:rPr>
          <w:snapToGrid w:val="0"/>
        </w:rPr>
        <w:t xml:space="preserve"> </w:t>
      </w:r>
    </w:p>
    <w:p>
      <w:pPr>
        <w:pStyle w:val="Subsection"/>
        <w:rPr>
          <w:snapToGrid w:val="0"/>
        </w:rPr>
      </w:pPr>
      <w:r>
        <w:rPr>
          <w:snapToGrid w:val="0"/>
        </w:rPr>
        <w:tab/>
        <w:t>(1)</w:t>
      </w:r>
      <w:r>
        <w:rPr>
          <w:snapToGrid w:val="0"/>
        </w:rPr>
        <w:tab/>
        <w:t xml:space="preserve">A person </w:t>
      </w:r>
      <w:r>
        <w:t>must</w:t>
      </w:r>
      <w:r>
        <w:rPr>
          <w:snapToGrid w:val="0"/>
        </w:rPr>
        <w:t xml:space="preserve">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lastRenderedPageBreak/>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No. 11 of 2024 s. 23.] </w:t>
      </w:r>
    </w:p>
    <w:p>
      <w:pPr>
        <w:pStyle w:val="Heading5"/>
        <w:rPr>
          <w:snapToGrid w:val="0"/>
        </w:rPr>
      </w:pPr>
      <w:bookmarkStart w:id="122" w:name="_Toc225329656"/>
      <w:r>
        <w:rPr>
          <w:rStyle w:val="CharSectno"/>
        </w:rPr>
        <w:t>29</w:t>
      </w:r>
      <w:r>
        <w:rPr>
          <w:snapToGrid w:val="0"/>
        </w:rPr>
        <w:t>.</w:t>
      </w:r>
      <w:r>
        <w:rPr>
          <w:snapToGrid w:val="0"/>
        </w:rPr>
        <w:tab/>
        <w:t>Security bonds</w:t>
      </w:r>
      <w:bookmarkEnd w:id="122"/>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 xml:space="preserve">A person </w:t>
      </w:r>
      <w:r>
        <w:t>must</w:t>
      </w:r>
      <w:r>
        <w:rPr>
          <w:snapToGrid w:val="0"/>
        </w:rPr>
        <w:t xml:space="preserve">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a pet at the premises — a prescribed amount to meet the cost of any damage caused by the pet or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lastRenderedPageBreak/>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pPr>
      <w:r>
        <w:tab/>
        <w:t>(a)</w:t>
      </w:r>
      <w:r>
        <w:tab/>
        <w:t xml:space="preserve">must, as soon as practicable, give the person who paid the bond a receipt stating the following matters — </w:t>
      </w:r>
    </w:p>
    <w:p>
      <w:pPr>
        <w:pStyle w:val="Indenti"/>
      </w:pPr>
      <w:r>
        <w:tab/>
        <w:t>(i)</w:t>
      </w:r>
      <w:r>
        <w:tab/>
        <w:t>the date on which the bond was received;</w:t>
      </w:r>
    </w:p>
    <w:p>
      <w:pPr>
        <w:pStyle w:val="Indenti"/>
      </w:pPr>
      <w:r>
        <w:tab/>
        <w:t>(ii)</w:t>
      </w:r>
      <w:r>
        <w:tab/>
        <w:t>the name of the person who paid the bond;</w:t>
      </w:r>
    </w:p>
    <w:p>
      <w:pPr>
        <w:pStyle w:val="Indenti"/>
      </w:pPr>
      <w:r>
        <w:tab/>
        <w:t>(iii)</w:t>
      </w:r>
      <w:r>
        <w:tab/>
        <w:t>the amount of bond paid;</w:t>
      </w:r>
    </w:p>
    <w:p>
      <w:pPr>
        <w:pStyle w:val="Indenti"/>
      </w:pPr>
      <w:r>
        <w:tab/>
        <w:t>(iv)</w:t>
      </w:r>
      <w:r>
        <w:tab/>
        <w:t>the premises to which the bond relates;</w:t>
      </w:r>
    </w:p>
    <w:p>
      <w:pPr>
        <w:pStyle w:val="Indenta"/>
      </w:pPr>
      <w:r>
        <w:tab/>
      </w:r>
      <w:r>
        <w:tab/>
        <w:t>and</w:t>
      </w:r>
    </w:p>
    <w:p>
      <w:pPr>
        <w:pStyle w:val="Indenta"/>
      </w:pPr>
      <w:r>
        <w:tab/>
        <w:t>(b)</w:t>
      </w:r>
      <w:r>
        <w:tab/>
        <w:t>must pay the bond to the bond administrator as soon as practicable, and in any event within 14 days, after the day on which the person received the bond; and</w:t>
      </w:r>
    </w:p>
    <w:p>
      <w:pPr>
        <w:pStyle w:val="Indenta"/>
      </w:pPr>
      <w:r>
        <w:tab/>
        <w:t>(c)</w:t>
      </w:r>
      <w:r>
        <w:tab/>
        <w:t>must, when paying the bond under paragraph (b), lodge a record of the payment, in the approved form, with the bond administrator.</w:t>
      </w:r>
    </w:p>
    <w:p>
      <w:pPr>
        <w:pStyle w:val="Ednotepara"/>
      </w:pPr>
      <w:r>
        <w:tab/>
        <w:t>[(d)</w:t>
      </w:r>
      <w:r>
        <w:tab/>
        <w:t>deleted]</w:t>
      </w:r>
    </w:p>
    <w:p>
      <w:pPr>
        <w:pStyle w:val="Penstart"/>
      </w:pPr>
      <w:r>
        <w:tab/>
        <w:t>Penalty for this subsection: a fine of $20 000.</w:t>
      </w:r>
    </w:p>
    <w:p>
      <w:pPr>
        <w:pStyle w:val="Subsection"/>
      </w:pPr>
      <w:r>
        <w:tab/>
        <w:t>(5)</w:t>
      </w:r>
      <w:r>
        <w:tab/>
        <w:t>A security bond must be paid to the bond administrator under subsection (4)(b) in a prescribed way.</w:t>
      </w:r>
    </w:p>
    <w:p>
      <w:pPr>
        <w:pStyle w:val="Subsection"/>
        <w:keepNext/>
        <w:keepLines/>
        <w:spacing w:before="200"/>
        <w:rPr>
          <w:snapToGrid w:val="0"/>
        </w:rPr>
      </w:pPr>
      <w:r>
        <w:rPr>
          <w:snapToGrid w:val="0"/>
        </w:rPr>
        <w:lastRenderedPageBreak/>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Ednotesubsection"/>
      </w:pPr>
      <w:r>
        <w:tab/>
        <w:t>[(7), (8)</w:t>
      </w:r>
      <w:r>
        <w:tab/>
        <w:t>deleted]</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No. 11 of 2024 s. 24.] </w:t>
      </w:r>
    </w:p>
    <w:p>
      <w:pPr>
        <w:pStyle w:val="Ednotesection"/>
      </w:pPr>
      <w:r>
        <w:t>[</w:t>
      </w:r>
      <w:r>
        <w:rPr>
          <w:b/>
        </w:rPr>
        <w:t>29A.</w:t>
      </w:r>
      <w:r>
        <w:tab/>
        <w:t>Deleted: No. 60 of 2011 s. 26.]</w:t>
      </w:r>
    </w:p>
    <w:p>
      <w:pPr>
        <w:pStyle w:val="Heading5"/>
        <w:rPr>
          <w:snapToGrid w:val="0"/>
        </w:rPr>
      </w:pPr>
      <w:bookmarkStart w:id="123" w:name="_Toc225329657"/>
      <w:r>
        <w:rPr>
          <w:rStyle w:val="CharSectno"/>
        </w:rPr>
        <w:t>30</w:t>
      </w:r>
      <w:r>
        <w:rPr>
          <w:snapToGrid w:val="0"/>
        </w:rPr>
        <w:t>.</w:t>
      </w:r>
      <w:r>
        <w:rPr>
          <w:snapToGrid w:val="0"/>
        </w:rPr>
        <w:tab/>
        <w:t>Variation of rent (except where calculated by reference to tenant’s income)</w:t>
      </w:r>
      <w:bookmarkEnd w:id="123"/>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the approved form,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 xml:space="preserve">not less than </w:t>
      </w:r>
      <w:r>
        <w:t>12 months</w:t>
      </w:r>
      <w:r>
        <w:rPr>
          <w:snapToGrid w:val="0"/>
        </w:rPr>
        <w:t xml:space="preserve">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keepNext/>
        <w:rPr>
          <w:snapToGrid w:val="0"/>
        </w:rPr>
      </w:pPr>
      <w:r>
        <w:rPr>
          <w:snapToGrid w:val="0"/>
        </w:rPr>
        <w:lastRenderedPageBreak/>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No. 11 of 2024 s. 25.] </w:t>
      </w:r>
    </w:p>
    <w:p>
      <w:pPr>
        <w:pStyle w:val="Heading5"/>
      </w:pPr>
      <w:bookmarkStart w:id="124" w:name="_Toc225329658"/>
      <w:r>
        <w:rPr>
          <w:rStyle w:val="CharSectno"/>
        </w:rPr>
        <w:t>31A</w:t>
      </w:r>
      <w:r>
        <w:t>.</w:t>
      </w:r>
      <w:r>
        <w:tab/>
        <w:t>Variation of rent where calculated by reference to tenant’s income</w:t>
      </w:r>
      <w:bookmarkEnd w:id="124"/>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the approved form,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 xml:space="preserve">not less than 12 months after the day on which the tenancy commenced, or, if the means of </w:t>
      </w:r>
      <w:r>
        <w:lastRenderedPageBreak/>
        <w:t>calculating rent has been changed under this section, the day on which it was last so changed.</w:t>
      </w:r>
    </w:p>
    <w:p>
      <w:pPr>
        <w:pStyle w:val="Footnotesection"/>
      </w:pPr>
      <w:r>
        <w:tab/>
        <w:t>[Section 31A inserted: No. 60 of 2011 s. 28; amended: No. 11 of 2024 s. 26.]</w:t>
      </w:r>
    </w:p>
    <w:p>
      <w:pPr>
        <w:pStyle w:val="Heading5"/>
      </w:pPr>
      <w:bookmarkStart w:id="125" w:name="_Toc225329659"/>
      <w:r>
        <w:rPr>
          <w:rStyle w:val="CharSectno"/>
        </w:rPr>
        <w:t>31B</w:t>
      </w:r>
      <w:r>
        <w:t>.</w:t>
      </w:r>
      <w:r>
        <w:tab/>
        <w:t>When residential tenancy agreement is continuation of existing residential tenancy agreement</w:t>
      </w:r>
      <w:bookmarkEnd w:id="125"/>
    </w:p>
    <w:p>
      <w:pPr>
        <w:pStyle w:val="Subsection"/>
      </w:pPr>
      <w:r>
        <w:tab/>
        <w:t>(1)</w:t>
      </w:r>
      <w:r>
        <w:tab/>
        <w:t xml:space="preserve">This section applies for the purposes of working out — </w:t>
      </w:r>
    </w:p>
    <w:p>
      <w:pPr>
        <w:pStyle w:val="Indenta"/>
      </w:pPr>
      <w:r>
        <w:tab/>
        <w:t>(a)</w:t>
      </w:r>
      <w:r>
        <w:tab/>
        <w:t>when the rent payable under a residential tenancy agreement was last increased under section 30; or</w:t>
      </w:r>
    </w:p>
    <w:p>
      <w:pPr>
        <w:pStyle w:val="Indenta"/>
      </w:pPr>
      <w:r>
        <w:tab/>
        <w:t>(b)</w:t>
      </w:r>
      <w:r>
        <w:tab/>
        <w:t>when the means of calculating rent under a residential tenancy agreement was last changed under section 31A.</w:t>
      </w:r>
    </w:p>
    <w:p>
      <w:pPr>
        <w:pStyle w:val="Subsection"/>
      </w:pPr>
      <w:r>
        <w:tab/>
        <w:t>(2)</w:t>
      </w:r>
      <w:r>
        <w:tab/>
        <w:t xml:space="preserve">A residential tenancy agreement (the </w:t>
      </w:r>
      <w:r>
        <w:rPr>
          <w:rStyle w:val="CharDefText"/>
        </w:rPr>
        <w:t>continuing agreement</w:t>
      </w:r>
      <w:r>
        <w:t xml:space="preserve">) is taken to be a continuation of another residential tenancy agreement (the </w:t>
      </w:r>
      <w:r>
        <w:rPr>
          <w:rStyle w:val="CharDefText"/>
        </w:rPr>
        <w:t>existing agreement</w:t>
      </w:r>
      <w:r>
        <w:t xml:space="preserve">) if the continuing agreement — </w:t>
      </w:r>
    </w:p>
    <w:p>
      <w:pPr>
        <w:pStyle w:val="Indenta"/>
      </w:pPr>
      <w:r>
        <w:tab/>
        <w:t>(a)</w:t>
      </w:r>
      <w:r>
        <w:tab/>
        <w:t>is between the same parties as the existing agreement; and</w:t>
      </w:r>
    </w:p>
    <w:p>
      <w:pPr>
        <w:pStyle w:val="Indenta"/>
      </w:pPr>
      <w:r>
        <w:tab/>
        <w:t>(b)</w:t>
      </w:r>
      <w:r>
        <w:tab/>
        <w:t>is for the same residential premises as the existing agreement; and</w:t>
      </w:r>
    </w:p>
    <w:p>
      <w:pPr>
        <w:pStyle w:val="Indenta"/>
      </w:pPr>
      <w:r>
        <w:tab/>
        <w:t>(c)</w:t>
      </w:r>
      <w:r>
        <w:tab/>
        <w:t>starts immediately after the end of the term of the existing agreement.</w:t>
      </w:r>
    </w:p>
    <w:p>
      <w:pPr>
        <w:pStyle w:val="PermNoteHeading"/>
      </w:pPr>
      <w:r>
        <w:tab/>
        <w:t>Note for this subsection:</w:t>
      </w:r>
    </w:p>
    <w:p>
      <w:pPr>
        <w:pStyle w:val="PermNoteText"/>
      </w:pPr>
      <w:r>
        <w:tab/>
      </w:r>
      <w:r>
        <w:tab/>
        <w:t>See also section 76C for the circumstances in which a residential tenancy agreement that creates a tenancy for a fixed term continues as a periodic tenancy.</w:t>
      </w:r>
    </w:p>
    <w:p>
      <w:pPr>
        <w:pStyle w:val="Subsection"/>
      </w:pPr>
      <w:r>
        <w:tab/>
        <w:t>(3)</w:t>
      </w:r>
      <w:r>
        <w:tab/>
        <w:t xml:space="preserve">For subsection (2)(a), the existing agreement and the continuing agreement are between the same parties if — </w:t>
      </w:r>
    </w:p>
    <w:p>
      <w:pPr>
        <w:pStyle w:val="Indenta"/>
      </w:pPr>
      <w:r>
        <w:tab/>
        <w:t>(a)</w:t>
      </w:r>
      <w:r>
        <w:tab/>
        <w:t>the lessor is the same under both agreements; and</w:t>
      </w:r>
    </w:p>
    <w:p>
      <w:pPr>
        <w:pStyle w:val="Indenta"/>
      </w:pPr>
      <w:r>
        <w:tab/>
        <w:t>(b)</w:t>
      </w:r>
      <w:r>
        <w:tab/>
        <w:t>the tenant, or at least 1 co</w:t>
      </w:r>
      <w:r>
        <w:noBreakHyphen/>
        <w:t>tenant, is the same under both agreements.</w:t>
      </w:r>
    </w:p>
    <w:p>
      <w:pPr>
        <w:pStyle w:val="Footnotesection"/>
      </w:pPr>
      <w:r>
        <w:tab/>
        <w:t>[Section 31B inserted: No. 11 of 2024 s. 27.]</w:t>
      </w:r>
    </w:p>
    <w:p>
      <w:pPr>
        <w:pStyle w:val="Heading5"/>
        <w:rPr>
          <w:snapToGrid w:val="0"/>
        </w:rPr>
      </w:pPr>
      <w:bookmarkStart w:id="126" w:name="_Toc225329660"/>
      <w:r>
        <w:rPr>
          <w:rStyle w:val="CharSectno"/>
        </w:rPr>
        <w:lastRenderedPageBreak/>
        <w:t>31</w:t>
      </w:r>
      <w:r>
        <w:rPr>
          <w:snapToGrid w:val="0"/>
        </w:rPr>
        <w:t>.</w:t>
      </w:r>
      <w:r>
        <w:rPr>
          <w:snapToGrid w:val="0"/>
        </w:rPr>
        <w:tab/>
        <w:t>Increase in security bond</w:t>
      </w:r>
      <w:bookmarkEnd w:id="126"/>
      <w:r>
        <w:rPr>
          <w:snapToGrid w:val="0"/>
        </w:rPr>
        <w:t xml:space="preserve"> </w:t>
      </w:r>
    </w:p>
    <w:p>
      <w:pPr>
        <w:pStyle w:val="Subsection"/>
      </w:pPr>
      <w:r>
        <w:tab/>
        <w:t>(1)</w:t>
      </w:r>
      <w:r>
        <w:tab/>
        <w:t>The amount of the security bond for a residential tenancy agreement can only be increased in accordance with this section.</w:t>
      </w:r>
    </w:p>
    <w:p>
      <w:pPr>
        <w:pStyle w:val="Subsection"/>
      </w:pPr>
      <w:r>
        <w:tab/>
        <w:t>(1A)</w:t>
      </w:r>
      <w:r>
        <w:tab/>
        <w:t xml:space="preserve">If a notice of increase in rent is given under section 30 or 31A in relation to a residential tenancy agreement, the lessor may increase the amount of the security bond for the agreement by giving the tenant a written notice that states — </w:t>
      </w:r>
    </w:p>
    <w:p>
      <w:pPr>
        <w:pStyle w:val="Indenta"/>
      </w:pPr>
      <w:r>
        <w:tab/>
        <w:t>(a)</w:t>
      </w:r>
      <w:r>
        <w:tab/>
        <w:t xml:space="preserve">the amount by which the security bond is increased (the </w:t>
      </w:r>
      <w:r>
        <w:rPr>
          <w:rStyle w:val="CharDefText"/>
        </w:rPr>
        <w:t>additional amount</w:t>
      </w:r>
      <w:r>
        <w:t>); and</w:t>
      </w:r>
    </w:p>
    <w:p>
      <w:pPr>
        <w:pStyle w:val="Indenta"/>
      </w:pPr>
      <w:r>
        <w:tab/>
        <w:t>(b)</w:t>
      </w:r>
      <w:r>
        <w:tab/>
        <w:t>the day on which the additional amount is payable.</w:t>
      </w:r>
    </w:p>
    <w:p>
      <w:pPr>
        <w:pStyle w:val="Subsection"/>
      </w:pPr>
      <w:r>
        <w:tab/>
        <w:t>(1B)</w:t>
      </w:r>
      <w:r>
        <w:tab/>
        <w:t xml:space="preserve">For the purposes of subsection (1A)(b), the day on which the additional amount is payable cannot be a day — </w:t>
      </w:r>
    </w:p>
    <w:p>
      <w:pPr>
        <w:pStyle w:val="Indenta"/>
      </w:pPr>
      <w:r>
        <w:tab/>
        <w:t>(a)</w:t>
      </w:r>
      <w:r>
        <w:tab/>
        <w:t>earlier than 60 days after the day on which the notice under subsection (1A) is given; or</w:t>
      </w:r>
    </w:p>
    <w:p>
      <w:pPr>
        <w:pStyle w:val="Indenta"/>
      </w:pPr>
      <w:r>
        <w:tab/>
        <w:t>(b)</w:t>
      </w:r>
      <w:r>
        <w:tab/>
        <w:t>before the rent increase the subject of the notice given under section 30 or 31A takes effect.</w:t>
      </w:r>
    </w:p>
    <w:p>
      <w:pPr>
        <w:pStyle w:val="Subsection"/>
      </w:pPr>
      <w:r>
        <w:tab/>
        <w:t>(1C)</w:t>
      </w:r>
      <w:r>
        <w:tab/>
        <w:t xml:space="preserve">Despite section 29(1)(b), a person may receive, but may not require, the payment of the additional amount before the day on which the additional amount is payable. </w:t>
      </w:r>
    </w:p>
    <w:p>
      <w:pPr>
        <w:pStyle w:val="Subsection"/>
        <w:keepNext/>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lastRenderedPageBreak/>
        <w:tab/>
        <w:t>(4)</w:t>
      </w:r>
      <w:r>
        <w:rPr>
          <w:snapToGrid w:val="0"/>
        </w:rPr>
        <w:tab/>
        <w:t xml:space="preserve">Section 29(4) </w:t>
      </w:r>
      <w:r>
        <w:t>and (5) apply</w:t>
      </w:r>
      <w:r>
        <w:rPr>
          <w:snapToGrid w:val="0"/>
        </w:rPr>
        <w:t xml:space="preserve"> to an amount paid under this section.</w:t>
      </w:r>
    </w:p>
    <w:p>
      <w:pPr>
        <w:pStyle w:val="Footnotesection"/>
      </w:pPr>
      <w:r>
        <w:tab/>
        <w:t xml:space="preserve">[Section 31 amended: No. 60 of 2011 s. 29 and 89; No. 23 of 2014 s. 89; No. 11 of 2024 s. 28.] </w:t>
      </w:r>
    </w:p>
    <w:p>
      <w:pPr>
        <w:pStyle w:val="Heading5"/>
        <w:rPr>
          <w:snapToGrid w:val="0"/>
        </w:rPr>
      </w:pPr>
      <w:bookmarkStart w:id="127" w:name="_Toc225329661"/>
      <w:r>
        <w:rPr>
          <w:rStyle w:val="CharSectno"/>
        </w:rPr>
        <w:t>32</w:t>
      </w:r>
      <w:r>
        <w:rPr>
          <w:snapToGrid w:val="0"/>
        </w:rPr>
        <w:t>.</w:t>
      </w:r>
      <w:r>
        <w:rPr>
          <w:snapToGrid w:val="0"/>
        </w:rPr>
        <w:tab/>
        <w:t>Limitation of excessive rents in certain circumstances</w:t>
      </w:r>
      <w:bookmarkEnd w:id="127"/>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lastRenderedPageBreak/>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128" w:name="_Toc225329662"/>
      <w:r>
        <w:rPr>
          <w:rStyle w:val="CharSectno"/>
        </w:rPr>
        <w:lastRenderedPageBreak/>
        <w:t>33</w:t>
      </w:r>
      <w:r>
        <w:rPr>
          <w:snapToGrid w:val="0"/>
        </w:rPr>
        <w:t>.</w:t>
      </w:r>
      <w:r>
        <w:rPr>
          <w:snapToGrid w:val="0"/>
        </w:rPr>
        <w:tab/>
        <w:t>Duty to give receipt for rent</w:t>
      </w:r>
      <w:bookmarkEnd w:id="128"/>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129" w:name="_Toc225329663"/>
      <w:r>
        <w:rPr>
          <w:rStyle w:val="CharSectno"/>
        </w:rPr>
        <w:t>34A</w:t>
      </w:r>
      <w:r>
        <w:t>.</w:t>
      </w:r>
      <w:r>
        <w:tab/>
        <w:t>Manner of payment of rent</w:t>
      </w:r>
      <w:bookmarkEnd w:id="129"/>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130" w:name="_Toc225329664"/>
      <w:r>
        <w:rPr>
          <w:rStyle w:val="CharSectno"/>
        </w:rPr>
        <w:t>34</w:t>
      </w:r>
      <w:r>
        <w:rPr>
          <w:snapToGrid w:val="0"/>
        </w:rPr>
        <w:t>.</w:t>
      </w:r>
      <w:r>
        <w:rPr>
          <w:snapToGrid w:val="0"/>
        </w:rPr>
        <w:tab/>
        <w:t>Proper records of rent to be kept</w:t>
      </w:r>
      <w:bookmarkEnd w:id="130"/>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lastRenderedPageBreak/>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131" w:name="_Toc225329665"/>
      <w:r>
        <w:rPr>
          <w:rStyle w:val="CharSectno"/>
        </w:rPr>
        <w:t>35</w:t>
      </w:r>
      <w:r>
        <w:rPr>
          <w:snapToGrid w:val="0"/>
        </w:rPr>
        <w:t>.</w:t>
      </w:r>
      <w:r>
        <w:rPr>
          <w:snapToGrid w:val="0"/>
        </w:rPr>
        <w:tab/>
        <w:t>Payment of rent by post</w:t>
      </w:r>
      <w:r>
        <w:rPr>
          <w:snapToGrid w:val="0"/>
        </w:rPr>
        <w:noBreakHyphen/>
        <w:t>dated cheques etc. prohibited</w:t>
      </w:r>
      <w:bookmarkEnd w:id="131"/>
    </w:p>
    <w:p>
      <w:pPr>
        <w:pStyle w:val="Subsection"/>
        <w:keepNext/>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keepNext/>
      </w:pPr>
      <w:r>
        <w:tab/>
        <w:t>Penalty: a fine of $5 000.</w:t>
      </w:r>
    </w:p>
    <w:p>
      <w:pPr>
        <w:pStyle w:val="Footnotesection"/>
      </w:pPr>
      <w:r>
        <w:tab/>
        <w:t xml:space="preserve">[Section 35 amended: No. 59 of 1995 s. 55; No. 60 of 2011 s. 34.] </w:t>
      </w:r>
    </w:p>
    <w:p>
      <w:pPr>
        <w:pStyle w:val="Heading5"/>
        <w:rPr>
          <w:snapToGrid w:val="0"/>
        </w:rPr>
      </w:pPr>
      <w:bookmarkStart w:id="132" w:name="_Toc225329666"/>
      <w:r>
        <w:rPr>
          <w:rStyle w:val="CharSectno"/>
        </w:rPr>
        <w:t>36</w:t>
      </w:r>
      <w:r>
        <w:rPr>
          <w:snapToGrid w:val="0"/>
        </w:rPr>
        <w:t>.</w:t>
      </w:r>
      <w:r>
        <w:rPr>
          <w:snapToGrid w:val="0"/>
        </w:rPr>
        <w:tab/>
        <w:t>Apportionment of rent</w:t>
      </w:r>
      <w:bookmarkEnd w:id="132"/>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33" w:name="_Toc225166009"/>
      <w:bookmarkStart w:id="134" w:name="_Toc225170767"/>
      <w:bookmarkStart w:id="135" w:name="_Toc225171382"/>
      <w:bookmarkStart w:id="136" w:name="_Toc225171694"/>
      <w:bookmarkStart w:id="137" w:name="_Toc225235339"/>
      <w:bookmarkStart w:id="138" w:name="_Toc225328828"/>
      <w:bookmarkStart w:id="139" w:name="_Toc225329667"/>
      <w:r>
        <w:rPr>
          <w:rStyle w:val="CharDivNo"/>
        </w:rPr>
        <w:lastRenderedPageBreak/>
        <w:t>Division 2</w:t>
      </w:r>
      <w:r>
        <w:rPr>
          <w:snapToGrid w:val="0"/>
        </w:rPr>
        <w:t> — </w:t>
      </w:r>
      <w:r>
        <w:rPr>
          <w:rStyle w:val="CharDivText"/>
        </w:rPr>
        <w:t>General standard terms</w:t>
      </w:r>
      <w:bookmarkEnd w:id="133"/>
      <w:bookmarkEnd w:id="134"/>
      <w:bookmarkEnd w:id="135"/>
      <w:bookmarkEnd w:id="136"/>
      <w:bookmarkEnd w:id="137"/>
      <w:bookmarkEnd w:id="138"/>
      <w:bookmarkEnd w:id="139"/>
    </w:p>
    <w:p>
      <w:pPr>
        <w:pStyle w:val="Footnoteheading"/>
        <w:keepNext/>
      </w:pPr>
      <w:r>
        <w:tab/>
        <w:t>[Heading amended: No. 60 of 2011 s. 35; No. 11 of 2024 s. 29.]</w:t>
      </w:r>
    </w:p>
    <w:p>
      <w:pPr>
        <w:pStyle w:val="Ednotesection"/>
        <w:keepNext/>
      </w:pPr>
      <w:r>
        <w:t>[</w:t>
      </w:r>
      <w:r>
        <w:rPr>
          <w:b/>
        </w:rPr>
        <w:t>37.</w:t>
      </w:r>
      <w:r>
        <w:tab/>
        <w:t>Deleted: No. 60 of 2011 s. 36.]</w:t>
      </w:r>
    </w:p>
    <w:p>
      <w:pPr>
        <w:pStyle w:val="Heading5"/>
        <w:rPr>
          <w:snapToGrid w:val="0"/>
        </w:rPr>
      </w:pPr>
      <w:bookmarkStart w:id="140" w:name="_Toc225329668"/>
      <w:r>
        <w:rPr>
          <w:rStyle w:val="CharSectno"/>
        </w:rPr>
        <w:t>38</w:t>
      </w:r>
      <w:r>
        <w:rPr>
          <w:snapToGrid w:val="0"/>
        </w:rPr>
        <w:t>.</w:t>
      </w:r>
      <w:r>
        <w:rPr>
          <w:snapToGrid w:val="0"/>
        </w:rPr>
        <w:tab/>
        <w:t>Tenant’s responsibility for cleanliness and damage</w:t>
      </w:r>
      <w:bookmarkEnd w:id="140"/>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141" w:name="_Toc225329669"/>
      <w:r>
        <w:rPr>
          <w:rStyle w:val="CharSectno"/>
        </w:rPr>
        <w:t>39</w:t>
      </w:r>
      <w:r>
        <w:rPr>
          <w:snapToGrid w:val="0"/>
        </w:rPr>
        <w:t>.</w:t>
      </w:r>
      <w:r>
        <w:rPr>
          <w:snapToGrid w:val="0"/>
        </w:rPr>
        <w:tab/>
        <w:t>Tenant’s conduct on premises</w:t>
      </w:r>
      <w:bookmarkEnd w:id="141"/>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142" w:name="_Toc225329670"/>
      <w:r>
        <w:rPr>
          <w:rStyle w:val="CharSectno"/>
        </w:rPr>
        <w:lastRenderedPageBreak/>
        <w:t>40</w:t>
      </w:r>
      <w:r>
        <w:t>.</w:t>
      </w:r>
      <w:r>
        <w:tab/>
        <w:t>Vacant possession</w:t>
      </w:r>
      <w:bookmarkEnd w:id="142"/>
      <w:r>
        <w:t xml:space="preserve"> </w:t>
      </w:r>
    </w:p>
    <w:p>
      <w:pPr>
        <w:pStyle w:val="Subsection"/>
        <w:keepNext/>
      </w:pPr>
      <w:r>
        <w:tab/>
        <w:t>(1)</w:t>
      </w:r>
      <w:r>
        <w:tab/>
        <w:t>In this section —</w:t>
      </w:r>
    </w:p>
    <w:p>
      <w:pPr>
        <w:pStyle w:val="Defstart"/>
        <w:keepNex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143" w:name="_Toc225329671"/>
      <w:r>
        <w:rPr>
          <w:rStyle w:val="CharSectno"/>
        </w:rPr>
        <w:t>41</w:t>
      </w:r>
      <w:r>
        <w:rPr>
          <w:snapToGrid w:val="0"/>
        </w:rPr>
        <w:t>.</w:t>
      </w:r>
      <w:r>
        <w:rPr>
          <w:snapToGrid w:val="0"/>
        </w:rPr>
        <w:tab/>
        <w:t>Legal impediments to occupation as residence</w:t>
      </w:r>
      <w:bookmarkEnd w:id="143"/>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144" w:name="_Toc225329672"/>
      <w:r>
        <w:rPr>
          <w:rStyle w:val="CharSectno"/>
        </w:rPr>
        <w:t>42</w:t>
      </w:r>
      <w:r>
        <w:t>.</w:t>
      </w:r>
      <w:r>
        <w:tab/>
        <w:t>Lessor’s responsibility for cleanliness and repairs</w:t>
      </w:r>
      <w:bookmarkEnd w:id="144"/>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lastRenderedPageBreak/>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145" w:name="_Toc225329673"/>
      <w:r>
        <w:rPr>
          <w:rStyle w:val="CharSectno"/>
        </w:rPr>
        <w:t>43</w:t>
      </w:r>
      <w:r>
        <w:t>.</w:t>
      </w:r>
      <w:r>
        <w:tab/>
        <w:t>Urgent repairs</w:t>
      </w:r>
      <w:bookmarkEnd w:id="145"/>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keepNext/>
      </w:pPr>
      <w:r>
        <w:lastRenderedPageBreak/>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146" w:name="_Toc225329674"/>
      <w:r>
        <w:rPr>
          <w:rStyle w:val="CharSectno"/>
        </w:rPr>
        <w:lastRenderedPageBreak/>
        <w:t>44</w:t>
      </w:r>
      <w:r>
        <w:t>.</w:t>
      </w:r>
      <w:r>
        <w:tab/>
        <w:t>Quiet enjoyment</w:t>
      </w:r>
      <w:bookmarkEnd w:id="146"/>
      <w:r>
        <w:t xml:space="preserve"> </w:t>
      </w:r>
    </w:p>
    <w:p>
      <w:pPr>
        <w:pStyle w:val="Subsection"/>
        <w:keepNext/>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147" w:name="_Toc225329675"/>
      <w:r>
        <w:rPr>
          <w:rStyle w:val="CharSectno"/>
        </w:rPr>
        <w:t>45</w:t>
      </w:r>
      <w:r>
        <w:t>.</w:t>
      </w:r>
      <w:r>
        <w:tab/>
        <w:t>Securing premises</w:t>
      </w:r>
      <w:bookmarkEnd w:id="147"/>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 xml:space="preserve">that any lock or other means of securing the residential premises must not be altered, removed or added by a lessor or tenant without the consent of the other given at, </w:t>
      </w:r>
      <w:r>
        <w:lastRenderedPageBreak/>
        <w:t>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lastRenderedPageBreak/>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148" w:name="_Toc225329676"/>
      <w:r>
        <w:rPr>
          <w:rStyle w:val="CharSectno"/>
        </w:rPr>
        <w:t>46</w:t>
      </w:r>
      <w:r>
        <w:t>.</w:t>
      </w:r>
      <w:r>
        <w:tab/>
        <w:t>Lessor’s right of entry</w:t>
      </w:r>
      <w:bookmarkEnd w:id="148"/>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the approved form;</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lastRenderedPageBreak/>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 xml:space="preserve">It is a term of every residential tenancy agreement that if it would unduly inconvenience the tenant for the lessor to enter the premises as specified in a notice given under subsection (2), </w:t>
      </w:r>
      <w:r>
        <w:lastRenderedPageBreak/>
        <w:t>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lastRenderedPageBreak/>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 No. 11 of 2024 s. 30.]</w:t>
      </w:r>
    </w:p>
    <w:p>
      <w:pPr>
        <w:pStyle w:val="Ednotesection"/>
      </w:pPr>
      <w:r>
        <w:t>[</w:t>
      </w:r>
      <w:r>
        <w:rPr>
          <w:b/>
        </w:rPr>
        <w:t>47.</w:t>
      </w:r>
      <w:r>
        <w:tab/>
        <w:t>Deleted: No. 11 of 2024 s. 31.]</w:t>
      </w:r>
    </w:p>
    <w:p>
      <w:pPr>
        <w:pStyle w:val="Heading5"/>
        <w:rPr>
          <w:snapToGrid w:val="0"/>
        </w:rPr>
      </w:pPr>
      <w:bookmarkStart w:id="149" w:name="_Toc225329677"/>
      <w:r>
        <w:rPr>
          <w:rStyle w:val="CharSectno"/>
        </w:rPr>
        <w:t>48</w:t>
      </w:r>
      <w:r>
        <w:rPr>
          <w:snapToGrid w:val="0"/>
        </w:rPr>
        <w:t>.</w:t>
      </w:r>
      <w:r>
        <w:rPr>
          <w:snapToGrid w:val="0"/>
        </w:rPr>
        <w:tab/>
        <w:t>Lessor to bear outgoings in respect of premises</w:t>
      </w:r>
      <w:bookmarkEnd w:id="149"/>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Footnotesection"/>
      </w:pPr>
      <w:r>
        <w:tab/>
        <w:t xml:space="preserve">[Section 48 amended: No. 73 of 1995 s. 188; No. 14 of 1996 s. 4; No. 45 of 2002 s. 21; No. 60 of 2011 s. 43 and 89; No. 32 of 2018 s. 237.] </w:t>
      </w:r>
    </w:p>
    <w:p>
      <w:pPr>
        <w:pStyle w:val="Heading5"/>
      </w:pPr>
      <w:bookmarkStart w:id="150" w:name="_Toc225329678"/>
      <w:r>
        <w:rPr>
          <w:rStyle w:val="CharSectno"/>
        </w:rPr>
        <w:t>49A</w:t>
      </w:r>
      <w:r>
        <w:t>.</w:t>
      </w:r>
      <w:r>
        <w:tab/>
        <w:t>Lessor’s and tenant’s responsibilities in respect of public utility services</w:t>
      </w:r>
      <w:bookmarkEnd w:id="150"/>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lastRenderedPageBreak/>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keepNext/>
      </w:pPr>
      <w:r>
        <w:lastRenderedPageBreak/>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No. 11 of 2024 s. 32.] </w:t>
      </w:r>
    </w:p>
    <w:p>
      <w:pPr>
        <w:pStyle w:val="Heading5"/>
        <w:rPr>
          <w:snapToGrid w:val="0"/>
        </w:rPr>
      </w:pPr>
      <w:bookmarkStart w:id="151" w:name="_Toc225329679"/>
      <w:r>
        <w:rPr>
          <w:rStyle w:val="CharSectno"/>
        </w:rPr>
        <w:t>49</w:t>
      </w:r>
      <w:r>
        <w:rPr>
          <w:snapToGrid w:val="0"/>
        </w:rPr>
        <w:t>.</w:t>
      </w:r>
      <w:r>
        <w:rPr>
          <w:snapToGrid w:val="0"/>
        </w:rPr>
        <w:tab/>
        <w:t>Right of tenant to assign or sub</w:t>
      </w:r>
      <w:r>
        <w:rPr>
          <w:snapToGrid w:val="0"/>
        </w:rPr>
        <w:noBreakHyphen/>
        <w:t>let</w:t>
      </w:r>
      <w:bookmarkEnd w:id="151"/>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keepNext/>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lastRenderedPageBreak/>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152" w:name="_Toc225329680"/>
      <w:r>
        <w:rPr>
          <w:rStyle w:val="CharSectno"/>
        </w:rPr>
        <w:t>50</w:t>
      </w:r>
      <w:r>
        <w:rPr>
          <w:snapToGrid w:val="0"/>
        </w:rPr>
        <w:t>.</w:t>
      </w:r>
      <w:r>
        <w:rPr>
          <w:snapToGrid w:val="0"/>
        </w:rPr>
        <w:tab/>
        <w:t>Vicarious responsibility of tenant for breach by other person lawfully on premises</w:t>
      </w:r>
      <w:bookmarkEnd w:id="152"/>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153" w:name="_Toc225166023"/>
      <w:bookmarkStart w:id="154" w:name="_Toc225170781"/>
      <w:bookmarkStart w:id="155" w:name="_Toc225171396"/>
      <w:bookmarkStart w:id="156" w:name="_Toc225171708"/>
      <w:bookmarkStart w:id="157" w:name="_Toc225235353"/>
      <w:bookmarkStart w:id="158" w:name="_Toc225328842"/>
      <w:bookmarkStart w:id="159" w:name="_Toc225329681"/>
      <w:r>
        <w:rPr>
          <w:rStyle w:val="CharDivNo"/>
        </w:rPr>
        <w:t>Division 2A</w:t>
      </w:r>
      <w:r>
        <w:t> — </w:t>
      </w:r>
      <w:r>
        <w:rPr>
          <w:rStyle w:val="CharDivText"/>
        </w:rPr>
        <w:t>Standard terms related to keeping pets</w:t>
      </w:r>
      <w:bookmarkEnd w:id="153"/>
      <w:bookmarkEnd w:id="154"/>
      <w:bookmarkEnd w:id="155"/>
      <w:bookmarkEnd w:id="156"/>
      <w:bookmarkEnd w:id="157"/>
      <w:bookmarkEnd w:id="158"/>
      <w:bookmarkEnd w:id="159"/>
    </w:p>
    <w:p>
      <w:pPr>
        <w:pStyle w:val="Footnoteheading"/>
      </w:pPr>
      <w:r>
        <w:tab/>
        <w:t>[Heading inserted: No. 11 of 2024 s. 29.]</w:t>
      </w:r>
    </w:p>
    <w:p>
      <w:pPr>
        <w:pStyle w:val="Heading5"/>
      </w:pPr>
      <w:bookmarkStart w:id="160" w:name="_Toc225329682"/>
      <w:r>
        <w:rPr>
          <w:rStyle w:val="CharSectno"/>
        </w:rPr>
        <w:t>50A</w:t>
      </w:r>
      <w:r>
        <w:t>.</w:t>
      </w:r>
      <w:r>
        <w:tab/>
        <w:t>Keeping pet at residential premises</w:t>
      </w:r>
      <w:bookmarkEnd w:id="160"/>
    </w:p>
    <w:p>
      <w:pPr>
        <w:pStyle w:val="Subsection"/>
      </w:pPr>
      <w:r>
        <w:tab/>
        <w:t>(1)</w:t>
      </w:r>
      <w:r>
        <w:tab/>
        <w:t xml:space="preserve">In this section — </w:t>
      </w:r>
    </w:p>
    <w:p>
      <w:pPr>
        <w:pStyle w:val="Defstart"/>
      </w:pPr>
      <w:r>
        <w:tab/>
      </w:r>
      <w:r>
        <w:rPr>
          <w:rStyle w:val="CharDefText"/>
        </w:rPr>
        <w:t>community corporation</w:t>
      </w:r>
      <w:r>
        <w:t xml:space="preserve"> has the meaning given in the </w:t>
      </w:r>
      <w:r>
        <w:rPr>
          <w:i/>
        </w:rPr>
        <w:t>Community Titles Act 2018</w:t>
      </w:r>
      <w:r>
        <w:t xml:space="preserve"> section 3(1).</w:t>
      </w:r>
    </w:p>
    <w:p>
      <w:pPr>
        <w:pStyle w:val="Subsection"/>
      </w:pPr>
      <w:r>
        <w:lastRenderedPageBreak/>
        <w:tab/>
        <w:t>(2)</w:t>
      </w:r>
      <w:r>
        <w:tab/>
        <w:t>It is a term of every residential tenancy agreement that the tenant may keep a pet at the premises, but only with the consent of the lessor.</w:t>
      </w:r>
    </w:p>
    <w:p>
      <w:pPr>
        <w:pStyle w:val="PermNoteHeading"/>
      </w:pPr>
      <w:r>
        <w:tab/>
        <w:t>Note for this subsection:</w:t>
      </w:r>
    </w:p>
    <w:p>
      <w:pPr>
        <w:pStyle w:val="PermNoteText"/>
      </w:pPr>
      <w:r>
        <w:tab/>
      </w:r>
      <w:r>
        <w:tab/>
        <w:t>See section 50D for the only grounds on which a lessor may refuse a tenant’s request for consent to keep a pet at the premises.</w:t>
      </w:r>
    </w:p>
    <w:p>
      <w:pPr>
        <w:pStyle w:val="Subsection"/>
      </w:pPr>
      <w:r>
        <w:tab/>
        <w:t>(3)</w:t>
      </w:r>
      <w:r>
        <w:tab/>
        <w:t>However, the tenant may keep an assistance animal at the premises without the lessor’s consent.</w:t>
      </w:r>
    </w:p>
    <w:p>
      <w:pPr>
        <w:pStyle w:val="Subsection"/>
      </w:pPr>
      <w:r>
        <w:tab/>
        <w:t>(4)</w:t>
      </w:r>
      <w:r>
        <w:tab/>
        <w:t xml:space="preserve">It is a term of every residential tenancy agreement that the keeping of a pet or assistance animal at the premises is subject to — </w:t>
      </w:r>
    </w:p>
    <w:p>
      <w:pPr>
        <w:pStyle w:val="Indenta"/>
      </w:pPr>
      <w:r>
        <w:tab/>
        <w:t>(a)</w:t>
      </w:r>
      <w:r>
        <w:tab/>
        <w:t xml:space="preserve">any conditions of the lessor’s consent for the tenant to keep a pet at the premises — </w:t>
      </w:r>
    </w:p>
    <w:p>
      <w:pPr>
        <w:pStyle w:val="Indenti"/>
      </w:pPr>
      <w:r>
        <w:tab/>
        <w:t>(i)</w:t>
      </w:r>
      <w:r>
        <w:tab/>
        <w:t>permitted under section 50C; or</w:t>
      </w:r>
    </w:p>
    <w:p>
      <w:pPr>
        <w:pStyle w:val="Indenti"/>
      </w:pPr>
      <w:r>
        <w:tab/>
        <w:t>(ii)</w:t>
      </w:r>
      <w:r>
        <w:tab/>
        <w:t>imposed by order of the Commissioner under section 50E(4) or 50F(4);</w:t>
      </w:r>
    </w:p>
    <w:p>
      <w:pPr>
        <w:pStyle w:val="Indenta"/>
      </w:pPr>
      <w:r>
        <w:tab/>
      </w:r>
      <w:r>
        <w:tab/>
        <w:t>and</w:t>
      </w:r>
    </w:p>
    <w:p>
      <w:pPr>
        <w:pStyle w:val="Indenta"/>
      </w:pPr>
      <w:r>
        <w:tab/>
        <w:t>(b)</w:t>
      </w:r>
      <w:r>
        <w:tab/>
        <w:t>a written law or local law relating to keeping animals at the premises; and</w:t>
      </w:r>
    </w:p>
    <w:p>
      <w:pPr>
        <w:pStyle w:val="Indenta"/>
      </w:pPr>
      <w:r>
        <w:tab/>
        <w:t>(c)</w:t>
      </w:r>
      <w:r>
        <w:tab/>
        <w:t xml:space="preserve">if the premises are a lot in a community titles scheme or strata titles scheme — </w:t>
      </w:r>
    </w:p>
    <w:p>
      <w:pPr>
        <w:pStyle w:val="Indenti"/>
      </w:pPr>
      <w:r>
        <w:tab/>
        <w:t>(i)</w:t>
      </w:r>
      <w:r>
        <w:tab/>
        <w:t>the scheme by</w:t>
      </w:r>
      <w:r>
        <w:noBreakHyphen/>
        <w:t>laws; and</w:t>
      </w:r>
    </w:p>
    <w:p>
      <w:pPr>
        <w:pStyle w:val="Indenti"/>
      </w:pPr>
      <w:r>
        <w:tab/>
        <w:t>(ii)</w:t>
      </w:r>
      <w:r>
        <w:tab/>
        <w:t>if, under the scheme by</w:t>
      </w:r>
      <w:r>
        <w:noBreakHyphen/>
        <w:t>laws, the consent of the community corporation or strata company is required to keep a pet at the premises — any conditions of the consent.</w:t>
      </w:r>
    </w:p>
    <w:p>
      <w:pPr>
        <w:pStyle w:val="PermNoteHeading"/>
      </w:pPr>
      <w:r>
        <w:tab/>
        <w:t>Examples for this subsection:</w:t>
      </w:r>
    </w:p>
    <w:p>
      <w:pPr>
        <w:pStyle w:val="PermNoteText"/>
      </w:pPr>
      <w:r>
        <w:tab/>
        <w:t>1.</w:t>
      </w:r>
      <w:r>
        <w:tab/>
        <w:t>The premises may be subject to a local law that limits the number or type of animals that may be kept at the premises.</w:t>
      </w:r>
    </w:p>
    <w:p>
      <w:pPr>
        <w:pStyle w:val="PermNoteText"/>
      </w:pPr>
      <w:r>
        <w:tab/>
        <w:t>2.</w:t>
      </w:r>
      <w:r>
        <w:tab/>
        <w:t>The premises may be subject to a scheme by</w:t>
      </w:r>
      <w:r>
        <w:noBreakHyphen/>
        <w:t>law that requires approval of the strata company to keep a pet at the premises.</w:t>
      </w:r>
    </w:p>
    <w:p>
      <w:pPr>
        <w:pStyle w:val="Footnotesection"/>
      </w:pPr>
      <w:r>
        <w:tab/>
        <w:t>[Section 50A inserted: No. 11 of 2024 s. 33.]</w:t>
      </w:r>
    </w:p>
    <w:p>
      <w:pPr>
        <w:pStyle w:val="Heading5"/>
      </w:pPr>
      <w:bookmarkStart w:id="161" w:name="_Toc225329683"/>
      <w:r>
        <w:rPr>
          <w:rStyle w:val="CharSectno"/>
        </w:rPr>
        <w:lastRenderedPageBreak/>
        <w:t>50B</w:t>
      </w:r>
      <w:r>
        <w:t>.</w:t>
      </w:r>
      <w:r>
        <w:tab/>
        <w:t>Request for consent to keep pet at premises</w:t>
      </w:r>
      <w:bookmarkEnd w:id="161"/>
    </w:p>
    <w:p>
      <w:pPr>
        <w:pStyle w:val="Subsection"/>
      </w:pPr>
      <w:r>
        <w:tab/>
        <w:t>(1)</w:t>
      </w:r>
      <w:r>
        <w:tab/>
        <w:t>The tenant may ask the lessor for consent to keep a pet at the premises.</w:t>
      </w:r>
    </w:p>
    <w:p>
      <w:pPr>
        <w:pStyle w:val="Subsection"/>
      </w:pPr>
      <w:r>
        <w:tab/>
        <w:t>(2)</w:t>
      </w:r>
      <w:r>
        <w:tab/>
        <w:t>The request must be in the approved form.</w:t>
      </w:r>
    </w:p>
    <w:p>
      <w:pPr>
        <w:pStyle w:val="Subsection"/>
      </w:pPr>
      <w:r>
        <w:tab/>
        <w:t>(3)</w:t>
      </w:r>
      <w:r>
        <w:tab/>
        <w:t>The lessor must respond to the tenant’s request within 14 days after the day on which the lessor receives the request.</w:t>
      </w:r>
    </w:p>
    <w:p>
      <w:pPr>
        <w:pStyle w:val="Subsection"/>
      </w:pPr>
      <w:r>
        <w:tab/>
        <w:t>(4)</w:t>
      </w:r>
      <w:r>
        <w:tab/>
        <w:t xml:space="preserve">The lessor’s response must be in writing and state — </w:t>
      </w:r>
    </w:p>
    <w:p>
      <w:pPr>
        <w:pStyle w:val="Indenta"/>
      </w:pPr>
      <w:r>
        <w:tab/>
        <w:t>(a)</w:t>
      </w:r>
      <w:r>
        <w:tab/>
        <w:t>whether the lessor approves or refuses the tenant’s request or intends to apply to the Commissioner for approval to refuse the tenant’s request under section 50E; and</w:t>
      </w:r>
    </w:p>
    <w:p>
      <w:pPr>
        <w:pStyle w:val="Indenta"/>
      </w:pPr>
      <w:r>
        <w:tab/>
        <w:t>(b)</w:t>
      </w:r>
      <w:r>
        <w:tab/>
        <w:t>if the lessor approves the tenant’s request subject to conditions — the conditions of the consent as permitted under section 50C; and</w:t>
      </w:r>
    </w:p>
    <w:p>
      <w:pPr>
        <w:pStyle w:val="Indenta"/>
      </w:pPr>
      <w:r>
        <w:tab/>
        <w:t>(c)</w:t>
      </w:r>
      <w:r>
        <w:tab/>
        <w:t>if the lessor intends to apply to the Commissioner under section 50F for approval to impose conditions — that fact and the conditions for which the lessor intends to apply for approval; and</w:t>
      </w:r>
    </w:p>
    <w:p>
      <w:pPr>
        <w:pStyle w:val="Indenta"/>
      </w:pPr>
      <w:r>
        <w:tab/>
        <w:t>(d)</w:t>
      </w:r>
      <w:r>
        <w:tab/>
        <w:t xml:space="preserve">if the lessor refuses the tenant’s request on grounds permitted under section 50D(a) or (c) — </w:t>
      </w:r>
    </w:p>
    <w:p>
      <w:pPr>
        <w:pStyle w:val="Indenti"/>
      </w:pPr>
      <w:r>
        <w:tab/>
        <w:t>(i)</w:t>
      </w:r>
      <w:r>
        <w:tab/>
        <w:t>the grounds for the refusal; and</w:t>
      </w:r>
    </w:p>
    <w:p>
      <w:pPr>
        <w:pStyle w:val="Indenti"/>
      </w:pPr>
      <w:r>
        <w:tab/>
        <w:t>(ii)</w:t>
      </w:r>
      <w:r>
        <w:tab/>
        <w:t>the reasons the lessor believes the grounds for the refusal apply to the request.</w:t>
      </w:r>
    </w:p>
    <w:p>
      <w:pPr>
        <w:pStyle w:val="Subsection"/>
      </w:pPr>
      <w:r>
        <w:tab/>
        <w:t>(5)</w:t>
      </w:r>
      <w:r>
        <w:tab/>
        <w:t xml:space="preserve">The lessor is taken to approve the tenant’s request if the lessor — </w:t>
      </w:r>
    </w:p>
    <w:p>
      <w:pPr>
        <w:pStyle w:val="Indenta"/>
      </w:pPr>
      <w:r>
        <w:tab/>
        <w:t>(a)</w:t>
      </w:r>
      <w:r>
        <w:tab/>
        <w:t>does not comply with subsection (3); or</w:t>
      </w:r>
    </w:p>
    <w:p>
      <w:pPr>
        <w:pStyle w:val="Indenta"/>
      </w:pPr>
      <w:r>
        <w:tab/>
        <w:t>(b)</w:t>
      </w:r>
      <w:r>
        <w:tab/>
        <w:t>does not apply to the Commissioner for approval to refuse the tenant’s request within 14 days after the day on which the lessor receives the request.</w:t>
      </w:r>
    </w:p>
    <w:p>
      <w:pPr>
        <w:pStyle w:val="Footnotesection"/>
      </w:pPr>
      <w:r>
        <w:tab/>
        <w:t>[Section 50B inserted: No. 11 of 2024 s. 33.]</w:t>
      </w:r>
    </w:p>
    <w:p>
      <w:pPr>
        <w:pStyle w:val="Heading5"/>
      </w:pPr>
      <w:bookmarkStart w:id="162" w:name="_Toc225329684"/>
      <w:r>
        <w:rPr>
          <w:rStyle w:val="CharSectno"/>
        </w:rPr>
        <w:lastRenderedPageBreak/>
        <w:t>50C</w:t>
      </w:r>
      <w:r>
        <w:t>.</w:t>
      </w:r>
      <w:r>
        <w:tab/>
        <w:t>Conditions for approval to keep pet at premises</w:t>
      </w:r>
      <w:bookmarkEnd w:id="162"/>
    </w:p>
    <w:p>
      <w:pPr>
        <w:pStyle w:val="Subsection"/>
      </w:pPr>
      <w:r>
        <w:tab/>
      </w:r>
      <w:r>
        <w:tab/>
        <w:t xml:space="preserve">The lessor’s consent for a tenant to keep a pet at the premises may be subject to — </w:t>
      </w:r>
    </w:p>
    <w:p>
      <w:pPr>
        <w:pStyle w:val="Indenta"/>
      </w:pPr>
      <w:r>
        <w:tab/>
        <w:t>(a)</w:t>
      </w:r>
      <w:r>
        <w:tab/>
        <w:t xml:space="preserve">a reasonable condition about — </w:t>
      </w:r>
    </w:p>
    <w:p>
      <w:pPr>
        <w:pStyle w:val="Indenti"/>
      </w:pPr>
      <w:r>
        <w:tab/>
        <w:t>(i)</w:t>
      </w:r>
      <w:r>
        <w:tab/>
        <w:t>the number of animals that may be kept at the premises; or</w:t>
      </w:r>
    </w:p>
    <w:p>
      <w:pPr>
        <w:pStyle w:val="Indenti"/>
      </w:pPr>
      <w:r>
        <w:tab/>
        <w:t>(ii)</w:t>
      </w:r>
      <w:r>
        <w:tab/>
        <w:t>the cleaning, maintenance or fumigation of the premises in relation to the keeping of the pet; or</w:t>
      </w:r>
    </w:p>
    <w:p>
      <w:pPr>
        <w:pStyle w:val="Indenti"/>
      </w:pPr>
      <w:r>
        <w:tab/>
        <w:t>(iii)</w:t>
      </w:r>
      <w:r>
        <w:tab/>
        <w:t>a prescribed matter;</w:t>
      </w:r>
    </w:p>
    <w:p>
      <w:pPr>
        <w:pStyle w:val="Indenta"/>
      </w:pPr>
      <w:r>
        <w:tab/>
      </w:r>
      <w:r>
        <w:tab/>
        <w:t>or</w:t>
      </w:r>
    </w:p>
    <w:p>
      <w:pPr>
        <w:pStyle w:val="Indenta"/>
      </w:pPr>
      <w:r>
        <w:tab/>
        <w:t>(b)</w:t>
      </w:r>
      <w:r>
        <w:tab/>
        <w:t>a condition approved by the Commissioner on the application of the lessor under section 50F.</w:t>
      </w:r>
    </w:p>
    <w:p>
      <w:pPr>
        <w:pStyle w:val="Footnotesection"/>
      </w:pPr>
      <w:r>
        <w:tab/>
        <w:t>[Section 50C inserted: No. 11 of 2024 s. 33.]</w:t>
      </w:r>
    </w:p>
    <w:p>
      <w:pPr>
        <w:pStyle w:val="Heading5"/>
      </w:pPr>
      <w:bookmarkStart w:id="163" w:name="_Toc225329685"/>
      <w:r>
        <w:rPr>
          <w:rStyle w:val="CharSectno"/>
        </w:rPr>
        <w:t>50D</w:t>
      </w:r>
      <w:r>
        <w:t>.</w:t>
      </w:r>
      <w:r>
        <w:tab/>
        <w:t>Grounds for refusing pet being kept at premises</w:t>
      </w:r>
      <w:bookmarkEnd w:id="163"/>
    </w:p>
    <w:p>
      <w:pPr>
        <w:pStyle w:val="Subsection"/>
      </w:pPr>
      <w:r>
        <w:tab/>
      </w:r>
      <w:r>
        <w:tab/>
        <w:t xml:space="preserve">The following are the only grounds on which a lessor may refuse a tenant’s request for consent to keep a pet at the premises — </w:t>
      </w:r>
    </w:p>
    <w:p>
      <w:pPr>
        <w:pStyle w:val="Indenta"/>
      </w:pPr>
      <w:r>
        <w:tab/>
        <w:t>(a)</w:t>
      </w:r>
      <w:r>
        <w:tab/>
        <w:t>keeping the pet would contravene a written law, local law or scheme by</w:t>
      </w:r>
      <w:r>
        <w:noBreakHyphen/>
        <w:t>laws applying to the premises;</w:t>
      </w:r>
    </w:p>
    <w:p>
      <w:pPr>
        <w:pStyle w:val="Indenta"/>
      </w:pPr>
      <w:r>
        <w:tab/>
        <w:t>(b)</w:t>
      </w:r>
      <w:r>
        <w:tab/>
        <w:t>with the approval of the Commissioner;</w:t>
      </w:r>
    </w:p>
    <w:p>
      <w:pPr>
        <w:pStyle w:val="Indenta"/>
      </w:pPr>
      <w:r>
        <w:tab/>
        <w:t>(c)</w:t>
      </w:r>
      <w:r>
        <w:tab/>
        <w:t xml:space="preserve">a prescribed ground. </w:t>
      </w:r>
    </w:p>
    <w:p>
      <w:pPr>
        <w:pStyle w:val="Footnotesection"/>
      </w:pPr>
      <w:r>
        <w:tab/>
        <w:t>[Section 50D inserted: No. 11 of 2024 s. 33.]</w:t>
      </w:r>
    </w:p>
    <w:p>
      <w:pPr>
        <w:pStyle w:val="Heading5"/>
      </w:pPr>
      <w:bookmarkStart w:id="164" w:name="_Toc225329686"/>
      <w:r>
        <w:rPr>
          <w:rStyle w:val="CharSectno"/>
        </w:rPr>
        <w:t>50E</w:t>
      </w:r>
      <w:r>
        <w:t>.</w:t>
      </w:r>
      <w:r>
        <w:tab/>
        <w:t>Lessor’s application for approval to refuse consent to keep pet at premises</w:t>
      </w:r>
      <w:bookmarkEnd w:id="164"/>
      <w:r>
        <w:t xml:space="preserve"> </w:t>
      </w:r>
    </w:p>
    <w:p>
      <w:pPr>
        <w:pStyle w:val="Subsection"/>
      </w:pPr>
      <w:r>
        <w:tab/>
        <w:t>(1)</w:t>
      </w:r>
      <w:r>
        <w:tab/>
        <w:t>A lessor may apply to the Commissioner for an order approving the lessor’s refusal of a tenant’s request for consent to keep a pet at the premises.</w:t>
      </w:r>
    </w:p>
    <w:p>
      <w:pPr>
        <w:pStyle w:val="Subsection"/>
      </w:pPr>
      <w:r>
        <w:tab/>
        <w:t>(2)</w:t>
      </w:r>
      <w:r>
        <w:tab/>
        <w:t xml:space="preserve">The Commissioner must — </w:t>
      </w:r>
    </w:p>
    <w:p>
      <w:pPr>
        <w:pStyle w:val="Indenta"/>
      </w:pPr>
      <w:r>
        <w:tab/>
        <w:t>(a)</w:t>
      </w:r>
      <w:r>
        <w:tab/>
        <w:t>approve the lessor’s application; or</w:t>
      </w:r>
    </w:p>
    <w:p>
      <w:pPr>
        <w:pStyle w:val="Indenta"/>
      </w:pPr>
      <w:r>
        <w:lastRenderedPageBreak/>
        <w:tab/>
        <w:t>(b)</w:t>
      </w:r>
      <w:r>
        <w:tab/>
        <w:t>order the lessor to consent to the tenant’s request.</w:t>
      </w:r>
    </w:p>
    <w:p>
      <w:pPr>
        <w:pStyle w:val="Subsection"/>
      </w:pPr>
      <w:r>
        <w:tab/>
        <w:t>(3)</w:t>
      </w:r>
      <w:r>
        <w:tab/>
        <w:t xml:space="preserve">The Commissioner may make an order under subsection (2)(a) if satisfied that any of the following apply — </w:t>
      </w:r>
    </w:p>
    <w:p>
      <w:pPr>
        <w:pStyle w:val="Indenta"/>
      </w:pPr>
      <w:r>
        <w:tab/>
        <w:t>(a)</w:t>
      </w:r>
      <w:r>
        <w:tab/>
        <w:t>the premises are unsuitable for keeping the pet;</w:t>
      </w:r>
    </w:p>
    <w:p>
      <w:pPr>
        <w:pStyle w:val="Indenta"/>
      </w:pPr>
      <w:r>
        <w:tab/>
        <w:t>(b)</w:t>
      </w:r>
      <w:r>
        <w:tab/>
        <w:t>keeping the pet at the premises would exceed a reasonable number of pets being kept at the premises;</w:t>
      </w:r>
    </w:p>
    <w:p>
      <w:pPr>
        <w:pStyle w:val="Indenta"/>
      </w:pPr>
      <w:r>
        <w:tab/>
        <w:t>(c)</w:t>
      </w:r>
      <w:r>
        <w:tab/>
        <w:t>keeping the pet at the premises is likely to cause damage to the premises that could not be repaired for less than the amount of the security bond for the premises;</w:t>
      </w:r>
    </w:p>
    <w:p>
      <w:pPr>
        <w:pStyle w:val="Indenta"/>
      </w:pPr>
      <w:r>
        <w:tab/>
        <w:t>(d)</w:t>
      </w:r>
      <w:r>
        <w:tab/>
        <w:t>keeping the pet at the premises would pose an unacceptable risk to the health and safety of a person;</w:t>
      </w:r>
    </w:p>
    <w:p>
      <w:pPr>
        <w:pStyle w:val="Indenta"/>
      </w:pPr>
      <w:r>
        <w:tab/>
        <w:t>(e)</w:t>
      </w:r>
      <w:r>
        <w:tab/>
        <w:t>keeping the pet at the premises is likely to cause the lessor undue hardship;</w:t>
      </w:r>
    </w:p>
    <w:p>
      <w:pPr>
        <w:pStyle w:val="Indenta"/>
      </w:pPr>
      <w:r>
        <w:tab/>
        <w:t>(f)</w:t>
      </w:r>
      <w:r>
        <w:tab/>
        <w:t>a prescribed ground.</w:t>
      </w:r>
    </w:p>
    <w:p>
      <w:pPr>
        <w:pStyle w:val="PermNoteHeading"/>
      </w:pPr>
      <w:r>
        <w:tab/>
        <w:t>Examples for this subsection:</w:t>
      </w:r>
    </w:p>
    <w:p>
      <w:pPr>
        <w:pStyle w:val="PermNoteText"/>
      </w:pPr>
      <w:r>
        <w:tab/>
        <w:t>1.</w:t>
      </w:r>
      <w:r>
        <w:tab/>
        <w:t>For the purposes of paragraph (a), premises may be unsuitable for keeping a pet because of a lack of fencing, open space or another thing necessary to humanely accommodate the pet.</w:t>
      </w:r>
    </w:p>
    <w:p>
      <w:pPr>
        <w:pStyle w:val="PermNoteText"/>
      </w:pPr>
      <w:r>
        <w:tab/>
        <w:t>2.</w:t>
      </w:r>
      <w:r>
        <w:tab/>
        <w:t>For the purposes of paragraph (d), a pet may pose an unacceptable risk to the health and safety of a person if the lessor has an allergy that is affected by the pet or the pet is venomous.</w:t>
      </w:r>
    </w:p>
    <w:p>
      <w:pPr>
        <w:pStyle w:val="Subsection"/>
      </w:pPr>
      <w:r>
        <w:tab/>
        <w:t>(4)</w:t>
      </w:r>
      <w:r>
        <w:tab/>
        <w:t>The Commissioner may also order that the lessor’s consent to the tenant keeping a pet at the premises is subject to stated conditions, whether or not the lessor also makes an application under section 50F in relation to the tenant’s request.</w:t>
      </w:r>
    </w:p>
    <w:p>
      <w:pPr>
        <w:pStyle w:val="Footnotesection"/>
      </w:pPr>
      <w:r>
        <w:tab/>
        <w:t>[Section 50E inserted: No. 11 of 2024 s. 33.]</w:t>
      </w:r>
    </w:p>
    <w:p>
      <w:pPr>
        <w:pStyle w:val="Heading5"/>
      </w:pPr>
      <w:bookmarkStart w:id="165" w:name="_Toc225329687"/>
      <w:r>
        <w:rPr>
          <w:rStyle w:val="CharSectno"/>
        </w:rPr>
        <w:t>50F</w:t>
      </w:r>
      <w:r>
        <w:t>.</w:t>
      </w:r>
      <w:r>
        <w:tab/>
        <w:t>Lessor’s application for approval to impose conditions on consent to keep pet at premises</w:t>
      </w:r>
      <w:bookmarkEnd w:id="165"/>
    </w:p>
    <w:p>
      <w:pPr>
        <w:pStyle w:val="Subsection"/>
      </w:pPr>
      <w:r>
        <w:tab/>
        <w:t>(1)</w:t>
      </w:r>
      <w:r>
        <w:tab/>
        <w:t>This section applies if a lessor proposes to impose a condition, other than a condition mentioned in section 50C(a), on the lessor’s consent for a tenant to keep a pet at the premises.</w:t>
      </w:r>
    </w:p>
    <w:p>
      <w:pPr>
        <w:pStyle w:val="Subsection"/>
      </w:pPr>
      <w:r>
        <w:lastRenderedPageBreak/>
        <w:tab/>
        <w:t>(2)</w:t>
      </w:r>
      <w:r>
        <w:tab/>
        <w:t>The lessor may apply to the Commissioner for an order approving the imposition of the condition on the lessor’s consent.</w:t>
      </w:r>
    </w:p>
    <w:p>
      <w:pPr>
        <w:pStyle w:val="Subsection"/>
      </w:pPr>
      <w:r>
        <w:tab/>
        <w:t>(3)</w:t>
      </w:r>
      <w:r>
        <w:tab/>
        <w:t>The Commissioner must approve or refuse the lessor’s application.</w:t>
      </w:r>
    </w:p>
    <w:p>
      <w:pPr>
        <w:pStyle w:val="Subsection"/>
      </w:pPr>
      <w:r>
        <w:tab/>
        <w:t>(4)</w:t>
      </w:r>
      <w:r>
        <w:tab/>
        <w:t>The Commissioner may also order that the lessor’s consent to keep a pet at the premises is subject to stated conditions, in addition to any conditions stated in the lessor’s application.</w:t>
      </w:r>
    </w:p>
    <w:p>
      <w:pPr>
        <w:pStyle w:val="Footnotesection"/>
      </w:pPr>
      <w:r>
        <w:tab/>
        <w:t>[Section 50F inserted: No. 11 of 2024 s. 33.]</w:t>
      </w:r>
    </w:p>
    <w:p>
      <w:pPr>
        <w:pStyle w:val="Heading5"/>
      </w:pPr>
      <w:bookmarkStart w:id="166" w:name="_Toc225329688"/>
      <w:r>
        <w:rPr>
          <w:rStyle w:val="CharSectno"/>
        </w:rPr>
        <w:t>50G</w:t>
      </w:r>
      <w:r>
        <w:t>.</w:t>
      </w:r>
      <w:r>
        <w:tab/>
        <w:t>Tenant’s application for order that refusal not permitted</w:t>
      </w:r>
      <w:bookmarkEnd w:id="166"/>
    </w:p>
    <w:p>
      <w:pPr>
        <w:pStyle w:val="Subsection"/>
      </w:pPr>
      <w:r>
        <w:tab/>
        <w:t>(1)</w:t>
      </w:r>
      <w:r>
        <w:tab/>
        <w:t>A tenant may apply to the Commissioner for an order that the lessor’s refusal of the tenant’s request for consent to keep a pet at the premises is not permitted.</w:t>
      </w:r>
    </w:p>
    <w:p>
      <w:pPr>
        <w:pStyle w:val="Subsection"/>
      </w:pPr>
      <w:r>
        <w:tab/>
        <w:t>(2)</w:t>
      </w:r>
      <w:r>
        <w:tab/>
        <w:t xml:space="preserve">The Commissioner must — </w:t>
      </w:r>
    </w:p>
    <w:p>
      <w:pPr>
        <w:pStyle w:val="Indenta"/>
      </w:pPr>
      <w:r>
        <w:tab/>
        <w:t>(a)</w:t>
      </w:r>
      <w:r>
        <w:tab/>
        <w:t>if satisfied the lessor’s refusal is not permitted under section 50D(a) or (c) — order the lessor to consent to the tenant’s request; or</w:t>
      </w:r>
    </w:p>
    <w:p>
      <w:pPr>
        <w:pStyle w:val="Indenta"/>
      </w:pPr>
      <w:r>
        <w:tab/>
        <w:t>(b)</w:t>
      </w:r>
      <w:r>
        <w:tab/>
        <w:t>if satisfied any of the grounds referred to in section 50E(3) apply — approve the lessor’s refusal of the tenant’s request; or</w:t>
      </w:r>
    </w:p>
    <w:p>
      <w:pPr>
        <w:pStyle w:val="Indenta"/>
      </w:pPr>
      <w:r>
        <w:tab/>
        <w:t>(c)</w:t>
      </w:r>
      <w:r>
        <w:tab/>
        <w:t>otherwise — refuse the tenant’s application.</w:t>
      </w:r>
    </w:p>
    <w:p>
      <w:pPr>
        <w:pStyle w:val="Subsection"/>
      </w:pPr>
      <w:r>
        <w:tab/>
        <w:t>(3)</w:t>
      </w:r>
      <w:r>
        <w:tab/>
        <w:t>If the Commissioner makes an order under subsection (2)(a), the Commissioner may also order that the lessor’s consent is subject to stated conditions.</w:t>
      </w:r>
    </w:p>
    <w:p>
      <w:pPr>
        <w:pStyle w:val="Footnotesection"/>
      </w:pPr>
      <w:r>
        <w:tab/>
        <w:t>[Section 50G inserted: No. 11 of 2024 s. 33.]</w:t>
      </w:r>
    </w:p>
    <w:p>
      <w:pPr>
        <w:pStyle w:val="Heading5"/>
      </w:pPr>
      <w:bookmarkStart w:id="167" w:name="_Toc225329689"/>
      <w:r>
        <w:rPr>
          <w:rStyle w:val="CharSectno"/>
        </w:rPr>
        <w:t>50H</w:t>
      </w:r>
      <w:r>
        <w:t>.</w:t>
      </w:r>
      <w:r>
        <w:tab/>
        <w:t>Tenant’s application for order that conditions imposed on consent are unreasonable</w:t>
      </w:r>
      <w:bookmarkEnd w:id="167"/>
    </w:p>
    <w:p>
      <w:pPr>
        <w:pStyle w:val="Subsection"/>
      </w:pPr>
      <w:r>
        <w:tab/>
        <w:t>(1)</w:t>
      </w:r>
      <w:r>
        <w:tab/>
        <w:t xml:space="preserve">A tenant may apply to the Commissioner for an order that a condition imposed by the lessor on the lessor’s consent to keep a pet at the premises is unreasonable. </w:t>
      </w:r>
    </w:p>
    <w:p>
      <w:pPr>
        <w:pStyle w:val="Subsection"/>
      </w:pPr>
      <w:r>
        <w:lastRenderedPageBreak/>
        <w:tab/>
        <w:t>(2)</w:t>
      </w:r>
      <w:r>
        <w:tab/>
        <w:t xml:space="preserve">The Commissioner must — </w:t>
      </w:r>
    </w:p>
    <w:p>
      <w:pPr>
        <w:pStyle w:val="Indenta"/>
      </w:pPr>
      <w:r>
        <w:tab/>
        <w:t>(a)</w:t>
      </w:r>
      <w:r>
        <w:tab/>
        <w:t>if satisfied the condition is unreasonable — approve the tenant’s application and order that the condition is unreasonable; or</w:t>
      </w:r>
    </w:p>
    <w:p>
      <w:pPr>
        <w:pStyle w:val="Indenta"/>
      </w:pPr>
      <w:r>
        <w:tab/>
        <w:t>(b)</w:t>
      </w:r>
      <w:r>
        <w:tab/>
        <w:t>if satisfied the condition is reasonable — refuse the tenant’s application and order that the condition is reasonable; or</w:t>
      </w:r>
    </w:p>
    <w:p>
      <w:pPr>
        <w:pStyle w:val="Indenta"/>
      </w:pPr>
      <w:r>
        <w:tab/>
        <w:t>(c)</w:t>
      </w:r>
      <w:r>
        <w:tab/>
        <w:t>order that the condition imposed by the lessor be modified in a stated way.</w:t>
      </w:r>
    </w:p>
    <w:p>
      <w:pPr>
        <w:pStyle w:val="Subsection"/>
      </w:pPr>
      <w:r>
        <w:tab/>
        <w:t>(3)</w:t>
      </w:r>
      <w:r>
        <w:tab/>
        <w:t>If the Commissioner orders that the condition is unreasonable, the lessor’s consent to keep a pet at the premises is no longer subject to the condition.</w:t>
      </w:r>
    </w:p>
    <w:p>
      <w:pPr>
        <w:pStyle w:val="Footnotesection"/>
      </w:pPr>
      <w:r>
        <w:tab/>
        <w:t>[Section 50H inserted: No. 11 of 2024 s. 33.]</w:t>
      </w:r>
    </w:p>
    <w:p>
      <w:pPr>
        <w:pStyle w:val="Heading5"/>
      </w:pPr>
      <w:bookmarkStart w:id="168" w:name="_Toc225329690"/>
      <w:r>
        <w:rPr>
          <w:rStyle w:val="CharSectno"/>
        </w:rPr>
        <w:t>50I</w:t>
      </w:r>
      <w:r>
        <w:t>.</w:t>
      </w:r>
      <w:r>
        <w:tab/>
        <w:t>Tenant responsible for pet</w:t>
      </w:r>
      <w:bookmarkEnd w:id="168"/>
    </w:p>
    <w:p>
      <w:pPr>
        <w:pStyle w:val="Subsection"/>
      </w:pPr>
      <w:r>
        <w:tab/>
      </w:r>
      <w:r>
        <w:tab/>
        <w:t xml:space="preserve">The following are terms of every residential tenancy agreement — </w:t>
      </w:r>
    </w:p>
    <w:p>
      <w:pPr>
        <w:pStyle w:val="Indenta"/>
      </w:pPr>
      <w:r>
        <w:tab/>
        <w:t>(a)</w:t>
      </w:r>
      <w:r>
        <w:tab/>
        <w:t>the tenant is responsible for all nuisance caused by a pet kept at the premises, including, for example, noise caused by the pet;</w:t>
      </w:r>
    </w:p>
    <w:p>
      <w:pPr>
        <w:pStyle w:val="Indenta"/>
      </w:pPr>
      <w:r>
        <w:tab/>
        <w:t>(b)</w:t>
      </w:r>
      <w:r>
        <w:tab/>
        <w:t>the tenant is responsible for repairing any damage to the premises caused by the pet;</w:t>
      </w:r>
    </w:p>
    <w:p>
      <w:pPr>
        <w:pStyle w:val="Indenta"/>
      </w:pPr>
      <w:r>
        <w:tab/>
        <w:t>(c)</w:t>
      </w:r>
      <w:r>
        <w:tab/>
        <w:t>damage to the premises caused by the pet is not fair wear and tear.</w:t>
      </w:r>
    </w:p>
    <w:p>
      <w:pPr>
        <w:pStyle w:val="Footnotesection"/>
      </w:pPr>
      <w:r>
        <w:tab/>
        <w:t>[Section 50I inserted: No. 11 of 2024 s. 33.]</w:t>
      </w:r>
    </w:p>
    <w:p>
      <w:pPr>
        <w:pStyle w:val="Heading3"/>
      </w:pPr>
      <w:bookmarkStart w:id="169" w:name="_Toc225166033"/>
      <w:bookmarkStart w:id="170" w:name="_Toc225170791"/>
      <w:bookmarkStart w:id="171" w:name="_Toc225171406"/>
      <w:bookmarkStart w:id="172" w:name="_Toc225171718"/>
      <w:bookmarkStart w:id="173" w:name="_Toc225235363"/>
      <w:bookmarkStart w:id="174" w:name="_Toc225328852"/>
      <w:bookmarkStart w:id="175" w:name="_Toc225329691"/>
      <w:r>
        <w:rPr>
          <w:rStyle w:val="CharDivNo"/>
        </w:rPr>
        <w:lastRenderedPageBreak/>
        <w:t>Division 2B</w:t>
      </w:r>
      <w:r>
        <w:t> — </w:t>
      </w:r>
      <w:r>
        <w:rPr>
          <w:rStyle w:val="CharDivText"/>
        </w:rPr>
        <w:t>Standard terms related to modifications to premises</w:t>
      </w:r>
      <w:bookmarkEnd w:id="169"/>
      <w:bookmarkEnd w:id="170"/>
      <w:bookmarkEnd w:id="171"/>
      <w:bookmarkEnd w:id="172"/>
      <w:bookmarkEnd w:id="173"/>
      <w:bookmarkEnd w:id="174"/>
      <w:bookmarkEnd w:id="175"/>
    </w:p>
    <w:p>
      <w:pPr>
        <w:pStyle w:val="Footnoteheading"/>
        <w:keepNext/>
      </w:pPr>
      <w:r>
        <w:tab/>
        <w:t>[Heading inserted: No. 11 of 2024 s. 33.]</w:t>
      </w:r>
    </w:p>
    <w:p>
      <w:pPr>
        <w:pStyle w:val="Heading4"/>
      </w:pPr>
      <w:bookmarkStart w:id="176" w:name="_Toc225166034"/>
      <w:bookmarkStart w:id="177" w:name="_Toc225170792"/>
      <w:bookmarkStart w:id="178" w:name="_Toc225171407"/>
      <w:bookmarkStart w:id="179" w:name="_Toc225171719"/>
      <w:bookmarkStart w:id="180" w:name="_Toc225235364"/>
      <w:bookmarkStart w:id="181" w:name="_Toc225328853"/>
      <w:bookmarkStart w:id="182" w:name="_Toc225329692"/>
      <w:r>
        <w:t>Subdivision 1 — Modifications by tenant to prevent furniture from falling</w:t>
      </w:r>
      <w:bookmarkEnd w:id="176"/>
      <w:bookmarkEnd w:id="177"/>
      <w:bookmarkEnd w:id="178"/>
      <w:bookmarkEnd w:id="179"/>
      <w:bookmarkEnd w:id="180"/>
      <w:bookmarkEnd w:id="181"/>
      <w:bookmarkEnd w:id="182"/>
    </w:p>
    <w:p>
      <w:pPr>
        <w:pStyle w:val="Footnoteheading"/>
        <w:keepNext/>
      </w:pPr>
      <w:r>
        <w:tab/>
        <w:t>[Heading inserted: No. 11 of 2024 s. 33.]</w:t>
      </w:r>
    </w:p>
    <w:p>
      <w:pPr>
        <w:pStyle w:val="Heading5"/>
      </w:pPr>
      <w:bookmarkStart w:id="183" w:name="_Toc225329693"/>
      <w:r>
        <w:rPr>
          <w:rStyle w:val="CharSectno"/>
        </w:rPr>
        <w:t>50J</w:t>
      </w:r>
      <w:r>
        <w:t>.</w:t>
      </w:r>
      <w:r>
        <w:tab/>
        <w:t>Tenant may attach furniture to wall for safety of child or person with disability</w:t>
      </w:r>
      <w:bookmarkEnd w:id="183"/>
    </w:p>
    <w:p>
      <w:pPr>
        <w:pStyle w:val="Subsection"/>
      </w:pPr>
      <w:r>
        <w:tab/>
        <w:t>(1)</w:t>
      </w:r>
      <w:r>
        <w:tab/>
        <w:t>It is a term of every residential tenancy agreement that a tenant may attach furniture, or a thing to attach furniture, to a wall of the premises for the purpose of ensuring the safety of a child or person with disability, but only with the consent of the lessor.</w:t>
      </w:r>
    </w:p>
    <w:p>
      <w:pPr>
        <w:pStyle w:val="Subsection"/>
      </w:pPr>
      <w:r>
        <w:tab/>
        <w:t>(2)</w:t>
      </w:r>
      <w:r>
        <w:tab/>
        <w:t xml:space="preserve">A modification under subsection (1) is a </w:t>
      </w:r>
      <w:r>
        <w:rPr>
          <w:rStyle w:val="CharDefText"/>
        </w:rPr>
        <w:t>furniture safety modification</w:t>
      </w:r>
      <w:r>
        <w:t>.</w:t>
      </w:r>
    </w:p>
    <w:p>
      <w:pPr>
        <w:pStyle w:val="PermNoteHeading"/>
      </w:pPr>
      <w:r>
        <w:tab/>
        <w:t>Note for this section:</w:t>
      </w:r>
    </w:p>
    <w:p>
      <w:pPr>
        <w:pStyle w:val="PermNoteText"/>
      </w:pPr>
      <w:r>
        <w:tab/>
      </w:r>
      <w:r>
        <w:tab/>
        <w:t>See Subdivision 5 for the responsibilities of a tenant who makes a modification to premises.</w:t>
      </w:r>
    </w:p>
    <w:p>
      <w:pPr>
        <w:pStyle w:val="Footnotesection"/>
      </w:pPr>
      <w:r>
        <w:tab/>
        <w:t>[Section 50J inserted: No. 11 of 2024 s. 33.]</w:t>
      </w:r>
    </w:p>
    <w:p>
      <w:pPr>
        <w:pStyle w:val="Heading5"/>
      </w:pPr>
      <w:bookmarkStart w:id="184" w:name="_Toc225329694"/>
      <w:r>
        <w:rPr>
          <w:rStyle w:val="CharSectno"/>
        </w:rPr>
        <w:t>50K</w:t>
      </w:r>
      <w:r>
        <w:t>.</w:t>
      </w:r>
      <w:r>
        <w:tab/>
        <w:t>Request for consent to make furniture safety modification</w:t>
      </w:r>
      <w:bookmarkEnd w:id="184"/>
    </w:p>
    <w:p>
      <w:pPr>
        <w:pStyle w:val="Subsection"/>
      </w:pPr>
      <w:r>
        <w:tab/>
        <w:t>(1)</w:t>
      </w:r>
      <w:r>
        <w:tab/>
        <w:t>The tenant may ask the lessor for consent to make a furniture safety modification.</w:t>
      </w:r>
    </w:p>
    <w:p>
      <w:pPr>
        <w:pStyle w:val="Subsection"/>
      </w:pPr>
      <w:r>
        <w:tab/>
        <w:t>(2)</w:t>
      </w:r>
      <w:r>
        <w:tab/>
        <w:t xml:space="preserve">The request must — </w:t>
      </w:r>
    </w:p>
    <w:p>
      <w:pPr>
        <w:pStyle w:val="Indenta"/>
      </w:pPr>
      <w:r>
        <w:tab/>
        <w:t>(a)</w:t>
      </w:r>
      <w:r>
        <w:tab/>
        <w:t>be in the approved form; and</w:t>
      </w:r>
    </w:p>
    <w:p>
      <w:pPr>
        <w:pStyle w:val="Indenta"/>
      </w:pPr>
      <w:r>
        <w:tab/>
        <w:t>(b)</w:t>
      </w:r>
      <w:r>
        <w:tab/>
        <w:t>describe the furniture safety modification the tenant proposes to make.</w:t>
      </w:r>
    </w:p>
    <w:p>
      <w:pPr>
        <w:pStyle w:val="Subsection"/>
      </w:pPr>
      <w:r>
        <w:tab/>
        <w:t>(3)</w:t>
      </w:r>
      <w:r>
        <w:tab/>
        <w:t>The lessor must respond to the tenant’s request within 14 days after the day on which the lessor receives the request.</w:t>
      </w:r>
    </w:p>
    <w:p>
      <w:pPr>
        <w:pStyle w:val="Subsection"/>
        <w:keepNext/>
      </w:pPr>
      <w:r>
        <w:lastRenderedPageBreak/>
        <w:tab/>
        <w:t>(4)</w:t>
      </w:r>
      <w:r>
        <w:tab/>
        <w:t xml:space="preserve">The lessor’s response must be in writing and state — </w:t>
      </w:r>
    </w:p>
    <w:p>
      <w:pPr>
        <w:pStyle w:val="Indenta"/>
      </w:pPr>
      <w:r>
        <w:tab/>
        <w:t>(a)</w:t>
      </w:r>
      <w:r>
        <w:tab/>
        <w:t>whether the lessor approves or refuses the tenant’s request; and</w:t>
      </w:r>
    </w:p>
    <w:p>
      <w:pPr>
        <w:pStyle w:val="Indenta"/>
      </w:pPr>
      <w:r>
        <w:tab/>
        <w:t>(b)</w:t>
      </w:r>
      <w:r>
        <w:tab/>
        <w:t>if the lessor refuses the tenant’s request on grounds permitted under section 50L — the grounds for the refusal.</w:t>
      </w:r>
    </w:p>
    <w:p>
      <w:pPr>
        <w:pStyle w:val="PermNoteHeading"/>
      </w:pPr>
      <w:r>
        <w:tab/>
        <w:t>Note for this subsection:</w:t>
      </w:r>
    </w:p>
    <w:p>
      <w:pPr>
        <w:pStyle w:val="PermNoteText"/>
      </w:pPr>
      <w:r>
        <w:tab/>
      </w:r>
      <w:r>
        <w:tab/>
        <w:t>For the purposes of paragraph (b), see section 50L(2) which prohibits the lessor from refusing consent to make a furniture safety modification in circumstances related to enabling a person with disability to access and use the premises.</w:t>
      </w:r>
    </w:p>
    <w:p>
      <w:pPr>
        <w:pStyle w:val="Subsection"/>
      </w:pPr>
      <w:r>
        <w:tab/>
        <w:t>(5)</w:t>
      </w:r>
      <w:r>
        <w:tab/>
        <w:t>The lessor is taken to approve the tenant’s request if the lessor does not comply with subsection (3).</w:t>
      </w:r>
    </w:p>
    <w:p>
      <w:pPr>
        <w:pStyle w:val="Footnotesection"/>
      </w:pPr>
      <w:r>
        <w:tab/>
        <w:t>[Section 50K inserted: No. 11 of 2024 s. 33.]</w:t>
      </w:r>
    </w:p>
    <w:p>
      <w:pPr>
        <w:pStyle w:val="Heading5"/>
      </w:pPr>
      <w:bookmarkStart w:id="185" w:name="_Toc225329695"/>
      <w:r>
        <w:rPr>
          <w:rStyle w:val="CharSectno"/>
        </w:rPr>
        <w:t>50L</w:t>
      </w:r>
      <w:r>
        <w:t>.</w:t>
      </w:r>
      <w:r>
        <w:tab/>
        <w:t>Grounds for refusing tenant’s request to make furniture safety modification</w:t>
      </w:r>
      <w:bookmarkEnd w:id="185"/>
    </w:p>
    <w:p>
      <w:pPr>
        <w:pStyle w:val="Subsection"/>
      </w:pPr>
      <w:r>
        <w:tab/>
        <w:t>(1)</w:t>
      </w:r>
      <w:r>
        <w:tab/>
        <w:t xml:space="preserve">The following are the only grounds on which a lessor may refuse a tenant’s request to make a furniture safety modification to premises — </w:t>
      </w:r>
    </w:p>
    <w:p>
      <w:pPr>
        <w:pStyle w:val="Indenta"/>
      </w:pPr>
      <w:r>
        <w:tab/>
        <w:t>(a)</w:t>
      </w:r>
      <w:r>
        <w:tab/>
        <w:t>the modification would disturb material containing asbestos;</w:t>
      </w:r>
    </w:p>
    <w:p>
      <w:pPr>
        <w:pStyle w:val="Indenta"/>
      </w:pPr>
      <w:r>
        <w:tab/>
        <w:t>(b)</w:t>
      </w:r>
      <w:r>
        <w:tab/>
        <w:t>the premises are entered in the State Register of Heritage Places;</w:t>
      </w:r>
    </w:p>
    <w:p>
      <w:pPr>
        <w:pStyle w:val="Indenta"/>
      </w:pPr>
      <w:r>
        <w:tab/>
        <w:t>(c)</w:t>
      </w:r>
      <w:r>
        <w:tab/>
        <w:t>if the premises is a lot in a community titles scheme or strata titles scheme — the scheme by</w:t>
      </w:r>
      <w:r>
        <w:noBreakHyphen/>
        <w:t>laws prohibit making the modification;</w:t>
      </w:r>
    </w:p>
    <w:p>
      <w:pPr>
        <w:pStyle w:val="Indenta"/>
      </w:pPr>
      <w:r>
        <w:tab/>
        <w:t>(d)</w:t>
      </w:r>
      <w:r>
        <w:tab/>
        <w:t xml:space="preserve">a prescribed ground. </w:t>
      </w:r>
    </w:p>
    <w:p>
      <w:pPr>
        <w:pStyle w:val="Subsection"/>
      </w:pPr>
      <w:r>
        <w:tab/>
        <w:t>(2)</w:t>
      </w:r>
      <w:r>
        <w:tab/>
        <w:t xml:space="preserve">The lessor must not refuse a tenant’s request to make a furniture safety modification to premises that is reasonably required to enable a person with disability to access and use the premises if refusing consent would be unlawful under — </w:t>
      </w:r>
    </w:p>
    <w:p>
      <w:pPr>
        <w:pStyle w:val="Indenta"/>
      </w:pPr>
      <w:r>
        <w:tab/>
        <w:t>(a)</w:t>
      </w:r>
      <w:r>
        <w:tab/>
        <w:t xml:space="preserve">the </w:t>
      </w:r>
      <w:r>
        <w:rPr>
          <w:i/>
        </w:rPr>
        <w:t>Equal Opportunity Act 1984</w:t>
      </w:r>
      <w:r>
        <w:t xml:space="preserve"> section 66L(2)(d); or </w:t>
      </w:r>
    </w:p>
    <w:p>
      <w:pPr>
        <w:pStyle w:val="Indenta"/>
      </w:pPr>
      <w:r>
        <w:lastRenderedPageBreak/>
        <w:tab/>
        <w:t>(b)</w:t>
      </w:r>
      <w:r>
        <w:tab/>
        <w:t xml:space="preserve">the </w:t>
      </w:r>
      <w:r>
        <w:rPr>
          <w:i/>
        </w:rPr>
        <w:t>Disability Discrimination Act 1992</w:t>
      </w:r>
      <w:r>
        <w:t xml:space="preserve"> (Commonwealth) section 25(2)(d).</w:t>
      </w:r>
    </w:p>
    <w:p>
      <w:pPr>
        <w:pStyle w:val="Footnotesection"/>
      </w:pPr>
      <w:r>
        <w:tab/>
        <w:t>[Section 50L inserted: No. 11 of 2024 s. 33.]</w:t>
      </w:r>
    </w:p>
    <w:p>
      <w:pPr>
        <w:pStyle w:val="Heading4"/>
      </w:pPr>
      <w:bookmarkStart w:id="186" w:name="_Toc225166038"/>
      <w:bookmarkStart w:id="187" w:name="_Toc225170796"/>
      <w:bookmarkStart w:id="188" w:name="_Toc225171411"/>
      <w:bookmarkStart w:id="189" w:name="_Toc225171723"/>
      <w:bookmarkStart w:id="190" w:name="_Toc225235368"/>
      <w:bookmarkStart w:id="191" w:name="_Toc225328857"/>
      <w:bookmarkStart w:id="192" w:name="_Toc225329696"/>
      <w:r>
        <w:t>Subdivision 2 — Modifications by tenant to prevent entry to premises in circumstances of family violence</w:t>
      </w:r>
      <w:bookmarkEnd w:id="186"/>
      <w:bookmarkEnd w:id="187"/>
      <w:bookmarkEnd w:id="188"/>
      <w:bookmarkEnd w:id="189"/>
      <w:bookmarkEnd w:id="190"/>
      <w:bookmarkEnd w:id="191"/>
      <w:bookmarkEnd w:id="192"/>
    </w:p>
    <w:p>
      <w:pPr>
        <w:pStyle w:val="Footnoteheading"/>
      </w:pPr>
      <w:r>
        <w:tab/>
        <w:t>[Heading inserted: No. 11 of 2024 s. 33.]</w:t>
      </w:r>
    </w:p>
    <w:p>
      <w:pPr>
        <w:pStyle w:val="Heading5"/>
      </w:pPr>
      <w:bookmarkStart w:id="193" w:name="_Toc225329697"/>
      <w:r>
        <w:rPr>
          <w:rStyle w:val="CharSectno"/>
        </w:rPr>
        <w:t>50M</w:t>
      </w:r>
      <w:r>
        <w:t>.</w:t>
      </w:r>
      <w:r>
        <w:tab/>
        <w:t>Tenant may make prescribed modification to prevent entry in circumstances of family violence</w:t>
      </w:r>
      <w:bookmarkEnd w:id="193"/>
    </w:p>
    <w:p>
      <w:pPr>
        <w:pStyle w:val="Subsection"/>
      </w:pPr>
      <w:r>
        <w:tab/>
        <w:t>(1)</w:t>
      </w:r>
      <w:r>
        <w:tab/>
        <w:t>The matters stated in subsections (2) to (6) are terms of every residential tenancy agreement.</w:t>
      </w:r>
    </w:p>
    <w:p>
      <w:pPr>
        <w:pStyle w:val="Subsection"/>
      </w:pPr>
      <w:r>
        <w:tab/>
        <w:t>(2)</w:t>
      </w:r>
      <w:r>
        <w:tab/>
        <w:t xml:space="preserve">A tenant may, without the lessor’s consent, make a prescribed modification necessary to prevent a person from entering the residential premises — </w:t>
      </w:r>
    </w:p>
    <w:p>
      <w:pPr>
        <w:pStyle w:val="Indenta"/>
      </w:pPr>
      <w:r>
        <w:tab/>
        <w:t>(a)</w:t>
      </w:r>
      <w:r>
        <w:tab/>
        <w:t>after the person’s interest in the residential tenancy agreement is terminated under section 60(1)(bc); or</w:t>
      </w:r>
    </w:p>
    <w:p>
      <w:pPr>
        <w:pStyle w:val="Indenta"/>
      </w:pPr>
      <w:r>
        <w:tab/>
        <w:t>(b)</w:t>
      </w:r>
      <w:r>
        <w:tab/>
        <w:t>if the tenant suspects, on reasonable grounds, that the person is likely to commit family violence against the tenant or a dependant of the tenant — to prevent the person from committing the family violence.</w:t>
      </w:r>
    </w:p>
    <w:p>
      <w:pPr>
        <w:pStyle w:val="PermNoteHeading"/>
      </w:pPr>
      <w:r>
        <w:tab/>
        <w:t>Note for this subsection:</w:t>
      </w:r>
    </w:p>
    <w:p>
      <w:pPr>
        <w:pStyle w:val="PermNoteText"/>
      </w:pPr>
      <w:r>
        <w:tab/>
      </w:r>
      <w:r>
        <w:tab/>
        <w:t>See Subdivision 5 for the responsibilities of a tenant who makes a modification to premises.</w:t>
      </w:r>
    </w:p>
    <w:p>
      <w:pPr>
        <w:pStyle w:val="Subsection"/>
      </w:pPr>
      <w:r>
        <w:tab/>
        <w:t>(3)</w:t>
      </w:r>
      <w:r>
        <w:tab/>
        <w:t>The tenant must give the lessor written notice of the tenant’s intention to make the prescribed modification.</w:t>
      </w:r>
    </w:p>
    <w:p>
      <w:pPr>
        <w:pStyle w:val="Subsection"/>
      </w:pPr>
      <w:r>
        <w:tab/>
        <w:t>(4)</w:t>
      </w:r>
      <w:r>
        <w:tab/>
        <w:t>The notice must describe the prescribed modification the tenant intends to make.</w:t>
      </w:r>
    </w:p>
    <w:p>
      <w:pPr>
        <w:pStyle w:val="Subsection"/>
      </w:pPr>
      <w:r>
        <w:tab/>
        <w:t>(5)</w:t>
      </w:r>
      <w:r>
        <w:tab/>
        <w:t>The prescribed modification must be carried out by a suitable tradesperson.</w:t>
      </w:r>
    </w:p>
    <w:p>
      <w:pPr>
        <w:pStyle w:val="Subsection"/>
      </w:pPr>
      <w:r>
        <w:lastRenderedPageBreak/>
        <w:tab/>
        <w:t>(6)</w:t>
      </w:r>
      <w:r>
        <w:tab/>
        <w:t>The tenant must give the lessor a copy of the invoice of the tradesperson who carried out the prescribed modification within 14 days after the day on which the modification is completed.</w:t>
      </w:r>
    </w:p>
    <w:p>
      <w:pPr>
        <w:pStyle w:val="Subsection"/>
      </w:pPr>
      <w:r>
        <w:tab/>
        <w:t>(7)</w:t>
      </w:r>
      <w:r>
        <w:tab/>
        <w:t>This section does not apply in relation to premises entered in the State Register of Heritage Places.</w:t>
      </w:r>
    </w:p>
    <w:p>
      <w:pPr>
        <w:pStyle w:val="Footnotesection"/>
      </w:pPr>
      <w:r>
        <w:tab/>
        <w:t>[Section 50M inserted: No. 11 of 2024 s. 33.]</w:t>
      </w:r>
    </w:p>
    <w:p>
      <w:pPr>
        <w:pStyle w:val="Heading4"/>
      </w:pPr>
      <w:bookmarkStart w:id="194" w:name="_Toc225166040"/>
      <w:bookmarkStart w:id="195" w:name="_Toc225170798"/>
      <w:bookmarkStart w:id="196" w:name="_Toc225171413"/>
      <w:bookmarkStart w:id="197" w:name="_Toc225171725"/>
      <w:bookmarkStart w:id="198" w:name="_Toc225235370"/>
      <w:bookmarkStart w:id="199" w:name="_Toc225328859"/>
      <w:bookmarkStart w:id="200" w:name="_Toc225329698"/>
      <w:r>
        <w:t>Subdivision 3 — Minor modifications made by tenant</w:t>
      </w:r>
      <w:bookmarkEnd w:id="194"/>
      <w:bookmarkEnd w:id="195"/>
      <w:bookmarkEnd w:id="196"/>
      <w:bookmarkEnd w:id="197"/>
      <w:bookmarkEnd w:id="198"/>
      <w:bookmarkEnd w:id="199"/>
      <w:bookmarkEnd w:id="200"/>
    </w:p>
    <w:p>
      <w:pPr>
        <w:pStyle w:val="Footnoteheading"/>
      </w:pPr>
      <w:r>
        <w:tab/>
        <w:t>[Heading inserted: No. 11 of 2024 s. 33.]</w:t>
      </w:r>
    </w:p>
    <w:p>
      <w:pPr>
        <w:pStyle w:val="Heading5"/>
      </w:pPr>
      <w:bookmarkStart w:id="201" w:name="_Toc225329699"/>
      <w:r>
        <w:rPr>
          <w:rStyle w:val="CharSectno"/>
        </w:rPr>
        <w:t>50N</w:t>
      </w:r>
      <w:r>
        <w:t>.</w:t>
      </w:r>
      <w:r>
        <w:tab/>
        <w:t>Tenant may make minor modification to premises</w:t>
      </w:r>
      <w:bookmarkEnd w:id="201"/>
    </w:p>
    <w:p>
      <w:pPr>
        <w:pStyle w:val="Subsection"/>
      </w:pPr>
      <w:r>
        <w:tab/>
        <w:t>(1)</w:t>
      </w:r>
      <w:r>
        <w:tab/>
        <w:t>It is a term of every residential tenancy agreement that a tenant may make a minor modification to the premises, but only with the consent of the lessor.</w:t>
      </w:r>
    </w:p>
    <w:p>
      <w:pPr>
        <w:pStyle w:val="PermNoteHeading"/>
      </w:pPr>
      <w:r>
        <w:tab/>
        <w:t>Notes for this subsection:</w:t>
      </w:r>
    </w:p>
    <w:p>
      <w:pPr>
        <w:pStyle w:val="PermNoteText"/>
      </w:pPr>
      <w:r>
        <w:tab/>
        <w:t>1.</w:t>
      </w:r>
      <w:r>
        <w:tab/>
        <w:t>See section 50Q for the only grounds on which a lessor may refuse a tenant’s request to make a minor modification to the premises.</w:t>
      </w:r>
    </w:p>
    <w:p>
      <w:pPr>
        <w:pStyle w:val="PermNoteText"/>
      </w:pPr>
      <w:r>
        <w:tab/>
        <w:t>2.</w:t>
      </w:r>
      <w:r>
        <w:tab/>
        <w:t>See Subdivision 5 for the responsibilities of a tenant who makes a modification to premises.</w:t>
      </w:r>
    </w:p>
    <w:p>
      <w:pPr>
        <w:pStyle w:val="Subsection"/>
      </w:pPr>
      <w:r>
        <w:tab/>
        <w:t>(2)</w:t>
      </w:r>
      <w:r>
        <w:tab/>
        <w:t xml:space="preserve">It is also a term of every residential tenancy agreement that the making of a minor modification to the premises is subject to any conditions of the lessor’s consent to make the modification — </w:t>
      </w:r>
    </w:p>
    <w:p>
      <w:pPr>
        <w:pStyle w:val="Indenta"/>
      </w:pPr>
      <w:r>
        <w:tab/>
        <w:t>(a)</w:t>
      </w:r>
      <w:r>
        <w:tab/>
        <w:t>permitted under section 50P; or</w:t>
      </w:r>
    </w:p>
    <w:p>
      <w:pPr>
        <w:pStyle w:val="Indenta"/>
      </w:pPr>
      <w:r>
        <w:tab/>
        <w:t>(b)</w:t>
      </w:r>
      <w:r>
        <w:tab/>
        <w:t>imposed by order of the Commissioner under section 50S(4) or 50T(4).</w:t>
      </w:r>
    </w:p>
    <w:p>
      <w:pPr>
        <w:pStyle w:val="Footnotesection"/>
      </w:pPr>
      <w:r>
        <w:tab/>
        <w:t>[Section 50N inserted: No. 11 of 2024 s. 33.]</w:t>
      </w:r>
    </w:p>
    <w:p>
      <w:pPr>
        <w:pStyle w:val="Heading5"/>
      </w:pPr>
      <w:bookmarkStart w:id="202" w:name="_Toc225329700"/>
      <w:r>
        <w:rPr>
          <w:rStyle w:val="CharSectno"/>
        </w:rPr>
        <w:t>50O</w:t>
      </w:r>
      <w:r>
        <w:t>.</w:t>
      </w:r>
      <w:r>
        <w:tab/>
        <w:t>Request for approval to make minor modification</w:t>
      </w:r>
      <w:bookmarkEnd w:id="202"/>
    </w:p>
    <w:p>
      <w:pPr>
        <w:pStyle w:val="Subsection"/>
      </w:pPr>
      <w:r>
        <w:tab/>
        <w:t>(1)</w:t>
      </w:r>
      <w:r>
        <w:tab/>
        <w:t>A tenant may ask the lessor for consent to make a minor modification to premises.</w:t>
      </w:r>
    </w:p>
    <w:p>
      <w:pPr>
        <w:pStyle w:val="Subsection"/>
      </w:pPr>
      <w:r>
        <w:tab/>
        <w:t>(2)</w:t>
      </w:r>
      <w:r>
        <w:tab/>
        <w:t xml:space="preserve">The request must — </w:t>
      </w:r>
    </w:p>
    <w:p>
      <w:pPr>
        <w:pStyle w:val="Indenta"/>
      </w:pPr>
      <w:r>
        <w:tab/>
        <w:t>(a)</w:t>
      </w:r>
      <w:r>
        <w:tab/>
        <w:t>be in the approved form; and</w:t>
      </w:r>
    </w:p>
    <w:p>
      <w:pPr>
        <w:pStyle w:val="Indenta"/>
      </w:pPr>
      <w:r>
        <w:lastRenderedPageBreak/>
        <w:tab/>
        <w:t>(b)</w:t>
      </w:r>
      <w:r>
        <w:tab/>
        <w:t>describe the minor modification the tenant proposes to make.</w:t>
      </w:r>
    </w:p>
    <w:p>
      <w:pPr>
        <w:pStyle w:val="Subsection"/>
      </w:pPr>
      <w:r>
        <w:tab/>
        <w:t>(3)</w:t>
      </w:r>
      <w:r>
        <w:tab/>
        <w:t>The lessor must respond to the tenant’s request within 14 days after the day on which the lessor receives the request.</w:t>
      </w:r>
    </w:p>
    <w:p>
      <w:pPr>
        <w:pStyle w:val="Subsection"/>
      </w:pPr>
      <w:r>
        <w:tab/>
        <w:t>(4)</w:t>
      </w:r>
      <w:r>
        <w:tab/>
        <w:t xml:space="preserve">The lessor’s response must be in writing and state — </w:t>
      </w:r>
    </w:p>
    <w:p>
      <w:pPr>
        <w:pStyle w:val="Indenta"/>
      </w:pPr>
      <w:r>
        <w:tab/>
        <w:t>(a)</w:t>
      </w:r>
      <w:r>
        <w:tab/>
        <w:t>whether the lessor approves or refuses the tenant’s request or intends to apply to the Commissioner for approval to refuse the tenant’s request under section 50S; and</w:t>
      </w:r>
    </w:p>
    <w:p>
      <w:pPr>
        <w:pStyle w:val="Indenta"/>
      </w:pPr>
      <w:r>
        <w:tab/>
        <w:t>(b)</w:t>
      </w:r>
      <w:r>
        <w:tab/>
        <w:t>if the lessor approves the tenant’s request subject to conditions — the conditions of the approval as permitted under section 50P; and</w:t>
      </w:r>
    </w:p>
    <w:p>
      <w:pPr>
        <w:pStyle w:val="Indenta"/>
      </w:pPr>
      <w:r>
        <w:tab/>
        <w:t>(c)</w:t>
      </w:r>
      <w:r>
        <w:tab/>
        <w:t>if the lessor intends to apply to the Commissioner under section 50T for approval to impose conditions — that fact and the conditions for which the lessor intends to apply for approval; and</w:t>
      </w:r>
    </w:p>
    <w:p>
      <w:pPr>
        <w:pStyle w:val="Indenta"/>
      </w:pPr>
      <w:r>
        <w:tab/>
        <w:t>(d)</w:t>
      </w:r>
      <w:r>
        <w:tab/>
        <w:t xml:space="preserve">if the lessor refuses the tenant’s request on grounds permitted under section 50Q(a), (b), (c), (d) or (f) — </w:t>
      </w:r>
    </w:p>
    <w:p>
      <w:pPr>
        <w:pStyle w:val="Indenti"/>
      </w:pPr>
      <w:r>
        <w:tab/>
        <w:t>(i)</w:t>
      </w:r>
      <w:r>
        <w:tab/>
        <w:t>the grounds for the refusal; and</w:t>
      </w:r>
    </w:p>
    <w:p>
      <w:pPr>
        <w:pStyle w:val="Indenti"/>
      </w:pPr>
      <w:r>
        <w:tab/>
        <w:t>(ii)</w:t>
      </w:r>
      <w:r>
        <w:tab/>
        <w:t>the reasons the lessor believes the grounds for the refusal apply to the request.</w:t>
      </w:r>
    </w:p>
    <w:p>
      <w:pPr>
        <w:pStyle w:val="PermNoteHeading"/>
      </w:pPr>
      <w:r>
        <w:tab/>
        <w:t>Note for this subsection:</w:t>
      </w:r>
    </w:p>
    <w:p>
      <w:pPr>
        <w:pStyle w:val="PermNoteText"/>
      </w:pPr>
      <w:r>
        <w:tab/>
      </w:r>
      <w:r>
        <w:tab/>
        <w:t>For the purposes of paragraph (d)(i), see also section 50R which prohibits the lessor from refusing consent to make a minor modification in circumstances related to enabling a person with disability to access and use the premises.</w:t>
      </w:r>
    </w:p>
    <w:p>
      <w:pPr>
        <w:pStyle w:val="Subsection"/>
      </w:pPr>
      <w:r>
        <w:tab/>
        <w:t>(5)</w:t>
      </w:r>
      <w:r>
        <w:tab/>
        <w:t xml:space="preserve">The lessor is taken to approve the tenant’s request if the lessor — </w:t>
      </w:r>
    </w:p>
    <w:p>
      <w:pPr>
        <w:pStyle w:val="Indenta"/>
      </w:pPr>
      <w:r>
        <w:tab/>
        <w:t>(a)</w:t>
      </w:r>
      <w:r>
        <w:tab/>
        <w:t>does not comply with subsection (3); and</w:t>
      </w:r>
    </w:p>
    <w:p>
      <w:pPr>
        <w:pStyle w:val="Indenta"/>
      </w:pPr>
      <w:r>
        <w:tab/>
        <w:t>(b)</w:t>
      </w:r>
      <w:r>
        <w:tab/>
        <w:t>does not apply to the Commissioner for approval to refuse the tenant’s request within 14 days after the day on which the lessor receives the request.</w:t>
      </w:r>
    </w:p>
    <w:p>
      <w:pPr>
        <w:pStyle w:val="Footnotesection"/>
      </w:pPr>
      <w:r>
        <w:tab/>
        <w:t>[Section 50O inserted: No. 11 of 2024 s. 33.]</w:t>
      </w:r>
    </w:p>
    <w:p>
      <w:pPr>
        <w:pStyle w:val="Heading5"/>
      </w:pPr>
      <w:bookmarkStart w:id="203" w:name="_Toc225329701"/>
      <w:r>
        <w:rPr>
          <w:rStyle w:val="CharSectno"/>
        </w:rPr>
        <w:lastRenderedPageBreak/>
        <w:t>50P</w:t>
      </w:r>
      <w:r>
        <w:t>.</w:t>
      </w:r>
      <w:r>
        <w:tab/>
        <w:t>Conditions for consent to make minor modification</w:t>
      </w:r>
      <w:bookmarkEnd w:id="203"/>
    </w:p>
    <w:p>
      <w:pPr>
        <w:pStyle w:val="Subsection"/>
      </w:pPr>
      <w:r>
        <w:tab/>
      </w:r>
      <w:r>
        <w:tab/>
        <w:t xml:space="preserve">The lessor’s consent for the tenant to make a minor modification to the premises may be subject to — </w:t>
      </w:r>
    </w:p>
    <w:p>
      <w:pPr>
        <w:pStyle w:val="Indenta"/>
      </w:pPr>
      <w:r>
        <w:tab/>
        <w:t>(a)</w:t>
      </w:r>
      <w:r>
        <w:tab/>
        <w:t>if the modification is of a type prescribed for this section — a condition that the work to make the modification be carried out by a person who is appropriately qualified to carry out that type of work; or</w:t>
      </w:r>
    </w:p>
    <w:p>
      <w:pPr>
        <w:pStyle w:val="Indenta"/>
      </w:pPr>
      <w:r>
        <w:tab/>
        <w:t>(b)</w:t>
      </w:r>
      <w:r>
        <w:tab/>
        <w:t>a reasonable condition about a matter prescribed for this section; or</w:t>
      </w:r>
    </w:p>
    <w:p>
      <w:pPr>
        <w:pStyle w:val="Indenta"/>
      </w:pPr>
      <w:r>
        <w:tab/>
        <w:t>(c)</w:t>
      </w:r>
      <w:r>
        <w:tab/>
        <w:t>a condition approved by the Commissioner on the application of the lessor under section 50T.</w:t>
      </w:r>
    </w:p>
    <w:p>
      <w:pPr>
        <w:pStyle w:val="Footnotesection"/>
      </w:pPr>
      <w:r>
        <w:tab/>
        <w:t>[Section 50P inserted: No. 11 of 2024 s. 33.]</w:t>
      </w:r>
    </w:p>
    <w:p>
      <w:pPr>
        <w:pStyle w:val="Heading5"/>
      </w:pPr>
      <w:bookmarkStart w:id="204" w:name="_Toc225329702"/>
      <w:r>
        <w:t>5</w:t>
      </w:r>
      <w:r>
        <w:rPr>
          <w:rStyle w:val="CharSectno"/>
        </w:rPr>
        <w:t>0Q</w:t>
      </w:r>
      <w:r>
        <w:t>.</w:t>
      </w:r>
      <w:r>
        <w:tab/>
        <w:t>Grounds for refusing tenant’s request to make minor modification</w:t>
      </w:r>
      <w:bookmarkEnd w:id="204"/>
    </w:p>
    <w:p>
      <w:pPr>
        <w:pStyle w:val="Subsection"/>
      </w:pPr>
      <w:r>
        <w:tab/>
      </w:r>
      <w:r>
        <w:tab/>
        <w:t xml:space="preserve">The following are the only grounds on which a lessor may refuse a tenant’s request for consent to make a minor modification to the premises — </w:t>
      </w:r>
    </w:p>
    <w:p>
      <w:pPr>
        <w:pStyle w:val="Indenta"/>
      </w:pPr>
      <w:r>
        <w:tab/>
        <w:t>(a)</w:t>
      </w:r>
      <w:r>
        <w:tab/>
        <w:t>making the modification would disturb material containing asbestos;</w:t>
      </w:r>
    </w:p>
    <w:p>
      <w:pPr>
        <w:pStyle w:val="Indenta"/>
      </w:pPr>
      <w:r>
        <w:tab/>
        <w:t>(b)</w:t>
      </w:r>
      <w:r>
        <w:tab/>
        <w:t>the premises are entered in the State Register of Heritage Places;</w:t>
      </w:r>
    </w:p>
    <w:p>
      <w:pPr>
        <w:pStyle w:val="Indenta"/>
      </w:pPr>
      <w:r>
        <w:tab/>
        <w:t>(c)</w:t>
      </w:r>
      <w:r>
        <w:tab/>
        <w:t>if the premises is a lot in a community titles scheme or strata titles scheme — the scheme by</w:t>
      </w:r>
      <w:r>
        <w:noBreakHyphen/>
        <w:t>laws prohibit making the modification;</w:t>
      </w:r>
    </w:p>
    <w:p>
      <w:pPr>
        <w:pStyle w:val="Indenta"/>
      </w:pPr>
      <w:r>
        <w:tab/>
        <w:t>(d)</w:t>
      </w:r>
      <w:r>
        <w:tab/>
        <w:t>making the modification would be contrary to a written law;</w:t>
      </w:r>
    </w:p>
    <w:p>
      <w:pPr>
        <w:pStyle w:val="Indenta"/>
      </w:pPr>
      <w:r>
        <w:tab/>
        <w:t>(e)</w:t>
      </w:r>
      <w:r>
        <w:tab/>
        <w:t>the lessor’s refusal is approved by the Commissioner;</w:t>
      </w:r>
    </w:p>
    <w:p>
      <w:pPr>
        <w:pStyle w:val="Indenta"/>
      </w:pPr>
      <w:r>
        <w:tab/>
        <w:t>(f)</w:t>
      </w:r>
      <w:r>
        <w:tab/>
        <w:t xml:space="preserve">a prescribed ground. </w:t>
      </w:r>
    </w:p>
    <w:p>
      <w:pPr>
        <w:pStyle w:val="Footnotesection"/>
      </w:pPr>
      <w:r>
        <w:tab/>
        <w:t>[Section 50Q inserted: No. 11 of 2024 s. 33.]</w:t>
      </w:r>
    </w:p>
    <w:p>
      <w:pPr>
        <w:pStyle w:val="Heading5"/>
      </w:pPr>
      <w:bookmarkStart w:id="205" w:name="_Toc225329703"/>
      <w:r>
        <w:rPr>
          <w:rStyle w:val="CharSectno"/>
        </w:rPr>
        <w:lastRenderedPageBreak/>
        <w:t>50R</w:t>
      </w:r>
      <w:r>
        <w:t>.</w:t>
      </w:r>
      <w:r>
        <w:tab/>
        <w:t>Refusal of consent to make modification needed for disability access prohibited</w:t>
      </w:r>
      <w:bookmarkEnd w:id="205"/>
    </w:p>
    <w:p>
      <w:pPr>
        <w:pStyle w:val="Subsection"/>
      </w:pPr>
      <w:r>
        <w:tab/>
      </w:r>
      <w:r>
        <w:tab/>
        <w:t xml:space="preserve">The lessor must not refuse a tenant’s request for consent to make a minor modification to premises that is reasonably required to enable a person with disability to access and use the premises if refusing consent would be unlawful under — </w:t>
      </w:r>
    </w:p>
    <w:p>
      <w:pPr>
        <w:pStyle w:val="Indenta"/>
      </w:pPr>
      <w:r>
        <w:tab/>
        <w:t>(a)</w:t>
      </w:r>
      <w:r>
        <w:tab/>
        <w:t xml:space="preserve">the </w:t>
      </w:r>
      <w:r>
        <w:rPr>
          <w:i/>
        </w:rPr>
        <w:t>Equal Opportunity Act 1984</w:t>
      </w:r>
      <w:r>
        <w:t xml:space="preserve"> section 66L(2)(d); or </w:t>
      </w:r>
    </w:p>
    <w:p>
      <w:pPr>
        <w:pStyle w:val="Indenta"/>
      </w:pPr>
      <w:r>
        <w:tab/>
        <w:t>(b)</w:t>
      </w:r>
      <w:r>
        <w:tab/>
        <w:t xml:space="preserve">the </w:t>
      </w:r>
      <w:r>
        <w:rPr>
          <w:i/>
        </w:rPr>
        <w:t>Disability Discrimination Act 1992</w:t>
      </w:r>
      <w:r>
        <w:t xml:space="preserve"> (Commonwealth) section 25(2)(d).</w:t>
      </w:r>
    </w:p>
    <w:p>
      <w:pPr>
        <w:pStyle w:val="Footnotesection"/>
      </w:pPr>
      <w:r>
        <w:tab/>
        <w:t>[Section 50R inserted: No. 11 of 2024 s. 33.]</w:t>
      </w:r>
    </w:p>
    <w:p>
      <w:pPr>
        <w:pStyle w:val="Heading5"/>
      </w:pPr>
      <w:bookmarkStart w:id="206" w:name="_Toc225329704"/>
      <w:r>
        <w:rPr>
          <w:rStyle w:val="CharSectno"/>
        </w:rPr>
        <w:t>50S</w:t>
      </w:r>
      <w:r>
        <w:t>.</w:t>
      </w:r>
      <w:r>
        <w:tab/>
        <w:t>Lessor’s application for approval to refuse consent for minor modification</w:t>
      </w:r>
      <w:bookmarkEnd w:id="206"/>
    </w:p>
    <w:p>
      <w:pPr>
        <w:pStyle w:val="Subsection"/>
      </w:pPr>
      <w:r>
        <w:tab/>
        <w:t>(1)</w:t>
      </w:r>
      <w:r>
        <w:tab/>
        <w:t xml:space="preserve">A lessor may apply to the Commissioner for an order approving the lessor’s refusal of a tenant’s request for consent to make a minor modification to the premises. </w:t>
      </w:r>
    </w:p>
    <w:p>
      <w:pPr>
        <w:pStyle w:val="Subsection"/>
      </w:pPr>
      <w:r>
        <w:tab/>
        <w:t>(2)</w:t>
      </w:r>
      <w:r>
        <w:tab/>
        <w:t xml:space="preserve">The Commissioner must — </w:t>
      </w:r>
    </w:p>
    <w:p>
      <w:pPr>
        <w:pStyle w:val="Indenta"/>
      </w:pPr>
      <w:r>
        <w:tab/>
        <w:t>(a)</w:t>
      </w:r>
      <w:r>
        <w:tab/>
        <w:t>approve the lessor’s application; or</w:t>
      </w:r>
    </w:p>
    <w:p>
      <w:pPr>
        <w:pStyle w:val="Indenta"/>
      </w:pPr>
      <w:r>
        <w:tab/>
        <w:t>(b)</w:t>
      </w:r>
      <w:r>
        <w:tab/>
        <w:t>order that the lessor consent to the tenant’s request.</w:t>
      </w:r>
    </w:p>
    <w:p>
      <w:pPr>
        <w:pStyle w:val="Subsection"/>
      </w:pPr>
      <w:r>
        <w:tab/>
        <w:t>(3)</w:t>
      </w:r>
      <w:r>
        <w:tab/>
        <w:t xml:space="preserve">The Commissioner may make an order under subsection (2)(a) if satisfied of any of the following matters — </w:t>
      </w:r>
    </w:p>
    <w:p>
      <w:pPr>
        <w:pStyle w:val="Indenta"/>
      </w:pPr>
      <w:r>
        <w:tab/>
        <w:t>(a)</w:t>
      </w:r>
      <w:r>
        <w:tab/>
        <w:t>the lessor would suffer undue hardship if the modification were made;</w:t>
      </w:r>
    </w:p>
    <w:p>
      <w:pPr>
        <w:pStyle w:val="Indenta"/>
      </w:pPr>
      <w:r>
        <w:tab/>
        <w:t>(b)</w:t>
      </w:r>
      <w:r>
        <w:tab/>
        <w:t>the modification would be unsafe or would make the premises unsafe;</w:t>
      </w:r>
    </w:p>
    <w:p>
      <w:pPr>
        <w:pStyle w:val="Indenta"/>
      </w:pPr>
      <w:r>
        <w:tab/>
        <w:t>(c)</w:t>
      </w:r>
      <w:r>
        <w:tab/>
        <w:t>if the premises is a lot in a community titles scheme or strata titles scheme — the modification is likely to require modification to other residential premises or common property of the scheme;</w:t>
      </w:r>
    </w:p>
    <w:p>
      <w:pPr>
        <w:pStyle w:val="Indenta"/>
      </w:pPr>
      <w:r>
        <w:tab/>
        <w:t>(d)</w:t>
      </w:r>
      <w:r>
        <w:tab/>
        <w:t>the modification would result in additional maintenance costs for the lessor;</w:t>
      </w:r>
    </w:p>
    <w:p>
      <w:pPr>
        <w:pStyle w:val="Indenta"/>
      </w:pPr>
      <w:r>
        <w:lastRenderedPageBreak/>
        <w:tab/>
        <w:t>(e)</w:t>
      </w:r>
      <w:r>
        <w:tab/>
        <w:t xml:space="preserve">removing the modification, or restoring the premises to their original condition, when the residential tenancy agreement ends — </w:t>
      </w:r>
    </w:p>
    <w:p>
      <w:pPr>
        <w:pStyle w:val="Indenti"/>
      </w:pPr>
      <w:r>
        <w:tab/>
        <w:t>(i)</w:t>
      </w:r>
      <w:r>
        <w:tab/>
        <w:t>would not be reasonably practicable; or</w:t>
      </w:r>
    </w:p>
    <w:p>
      <w:pPr>
        <w:pStyle w:val="Indenti"/>
      </w:pPr>
      <w:r>
        <w:tab/>
        <w:t>(ii)</w:t>
      </w:r>
      <w:r>
        <w:tab/>
        <w:t>is likely to cost more than the amount of the security bond for the agreement;</w:t>
      </w:r>
    </w:p>
    <w:p>
      <w:pPr>
        <w:pStyle w:val="Indenta"/>
      </w:pPr>
      <w:r>
        <w:tab/>
        <w:t>(f)</w:t>
      </w:r>
      <w:r>
        <w:tab/>
        <w:t>the tenant has been given a valid notice of termination of the residential tenancy agreement;</w:t>
      </w:r>
    </w:p>
    <w:p>
      <w:pPr>
        <w:pStyle w:val="Indenta"/>
      </w:pPr>
      <w:r>
        <w:tab/>
        <w:t>(g)</w:t>
      </w:r>
      <w:r>
        <w:tab/>
        <w:t>a prescribed matter;</w:t>
      </w:r>
    </w:p>
    <w:p>
      <w:pPr>
        <w:pStyle w:val="Indenta"/>
      </w:pPr>
      <w:r>
        <w:tab/>
        <w:t>(h)</w:t>
      </w:r>
      <w:r>
        <w:tab/>
        <w:t>making the modification is otherwise unreasonable in the circumstances.</w:t>
      </w:r>
    </w:p>
    <w:p>
      <w:pPr>
        <w:pStyle w:val="Subsection"/>
      </w:pPr>
      <w:r>
        <w:tab/>
        <w:t>(4)</w:t>
      </w:r>
      <w:r>
        <w:tab/>
        <w:t>The Commissioner may also order that the lessor’s consent to the tenant’s request is subject to stated conditions, whether or not the lessor also makes an application under section 50T in relation to the tenant’s request.</w:t>
      </w:r>
    </w:p>
    <w:p>
      <w:pPr>
        <w:pStyle w:val="PermNoteHeading"/>
      </w:pPr>
      <w:r>
        <w:tab/>
        <w:t>Example for this subsection:</w:t>
      </w:r>
    </w:p>
    <w:p>
      <w:pPr>
        <w:pStyle w:val="PermNoteText"/>
      </w:pPr>
      <w:r>
        <w:tab/>
      </w:r>
      <w:r>
        <w:tab/>
        <w:t>A condition may require the modification to be carried out using stated materials.</w:t>
      </w:r>
    </w:p>
    <w:p>
      <w:pPr>
        <w:pStyle w:val="Footnotesection"/>
      </w:pPr>
      <w:r>
        <w:tab/>
        <w:t>[Section 50S inserted: No. 11 of 2024 s. 33.]</w:t>
      </w:r>
    </w:p>
    <w:p>
      <w:pPr>
        <w:pStyle w:val="Heading5"/>
      </w:pPr>
      <w:bookmarkStart w:id="207" w:name="_Toc225329705"/>
      <w:r>
        <w:rPr>
          <w:rStyle w:val="CharSectno"/>
        </w:rPr>
        <w:t>50T</w:t>
      </w:r>
      <w:r>
        <w:t>.</w:t>
      </w:r>
      <w:r>
        <w:tab/>
        <w:t>Lessor’s application for approval to impose conditions on consent for minor modification</w:t>
      </w:r>
      <w:bookmarkEnd w:id="207"/>
    </w:p>
    <w:p>
      <w:pPr>
        <w:pStyle w:val="Subsection"/>
      </w:pPr>
      <w:r>
        <w:tab/>
        <w:t>(1)</w:t>
      </w:r>
      <w:r>
        <w:tab/>
        <w:t>This section applies if a lessor proposes to impose a condition, other than a condition mentioned in section 50P(a) or (b), on the lessor’s consent for a tenant to make a minor modification to premises.</w:t>
      </w:r>
    </w:p>
    <w:p>
      <w:pPr>
        <w:pStyle w:val="Subsection"/>
      </w:pPr>
      <w:r>
        <w:tab/>
        <w:t>(2)</w:t>
      </w:r>
      <w:r>
        <w:tab/>
        <w:t xml:space="preserve">The lessor may apply to the Commissioner for an order approving the imposition of the condition on the lessor’s consent. </w:t>
      </w:r>
    </w:p>
    <w:p>
      <w:pPr>
        <w:pStyle w:val="Subsection"/>
      </w:pPr>
      <w:r>
        <w:tab/>
        <w:t>(3)</w:t>
      </w:r>
      <w:r>
        <w:tab/>
        <w:t>The Commissioner must approve or refuse the lessor’s application.</w:t>
      </w:r>
    </w:p>
    <w:p>
      <w:pPr>
        <w:pStyle w:val="Subsection"/>
      </w:pPr>
      <w:r>
        <w:lastRenderedPageBreak/>
        <w:tab/>
        <w:t>(4)</w:t>
      </w:r>
      <w:r>
        <w:tab/>
        <w:t>The Commissioner may also order that the lessor’s consent to the tenant’s request is subject to stated conditions, in addition to any conditions stated in the lessor’s application.</w:t>
      </w:r>
    </w:p>
    <w:p>
      <w:pPr>
        <w:pStyle w:val="PermNoteHeading"/>
      </w:pPr>
      <w:r>
        <w:tab/>
        <w:t>Example for this subsection:</w:t>
      </w:r>
    </w:p>
    <w:p>
      <w:pPr>
        <w:pStyle w:val="PermNoteText"/>
      </w:pPr>
      <w:r>
        <w:tab/>
      </w:r>
      <w:r>
        <w:tab/>
        <w:t>A condition may require the modification to be carried out using stated materials.</w:t>
      </w:r>
    </w:p>
    <w:p>
      <w:pPr>
        <w:pStyle w:val="Footnotesection"/>
      </w:pPr>
      <w:r>
        <w:tab/>
        <w:t>[Section 50T inserted: No. 11 of 2024 s. 33.]</w:t>
      </w:r>
    </w:p>
    <w:p>
      <w:pPr>
        <w:pStyle w:val="Heading5"/>
      </w:pPr>
      <w:bookmarkStart w:id="208" w:name="_Toc225329706"/>
      <w:r>
        <w:rPr>
          <w:rStyle w:val="CharSectno"/>
        </w:rPr>
        <w:t>50U</w:t>
      </w:r>
      <w:r>
        <w:t>.</w:t>
      </w:r>
      <w:r>
        <w:tab/>
        <w:t>Tenant’s application for order that refusal not permitted</w:t>
      </w:r>
      <w:bookmarkEnd w:id="208"/>
    </w:p>
    <w:p>
      <w:pPr>
        <w:pStyle w:val="Subsection"/>
      </w:pPr>
      <w:r>
        <w:tab/>
        <w:t>(1)</w:t>
      </w:r>
      <w:r>
        <w:tab/>
        <w:t>A tenant may apply to the Commissioner for an order that the lessor’s refusal of the tenant’s request for consent to make a minor modification to the premises is not permitted.</w:t>
      </w:r>
    </w:p>
    <w:p>
      <w:pPr>
        <w:pStyle w:val="Subsection"/>
      </w:pPr>
      <w:r>
        <w:tab/>
        <w:t>(2)</w:t>
      </w:r>
      <w:r>
        <w:tab/>
        <w:t xml:space="preserve">The Commissioner must — </w:t>
      </w:r>
    </w:p>
    <w:p>
      <w:pPr>
        <w:pStyle w:val="Indenta"/>
      </w:pPr>
      <w:r>
        <w:tab/>
        <w:t>(a)</w:t>
      </w:r>
      <w:r>
        <w:tab/>
        <w:t>if satisfied the lessor’s refusal is not permitted under section 50Q or 50R — order the lessor to consent to the tenant’s request; or</w:t>
      </w:r>
    </w:p>
    <w:p>
      <w:pPr>
        <w:pStyle w:val="Indenta"/>
      </w:pPr>
      <w:r>
        <w:tab/>
        <w:t>(b)</w:t>
      </w:r>
      <w:r>
        <w:tab/>
        <w:t>if satisfied any of the grounds referred to in section 50S(3) apply — approve the lessor’s refusal of the tenant’s request; or</w:t>
      </w:r>
    </w:p>
    <w:p>
      <w:pPr>
        <w:pStyle w:val="Indenta"/>
      </w:pPr>
      <w:r>
        <w:tab/>
        <w:t>(c)</w:t>
      </w:r>
      <w:r>
        <w:tab/>
        <w:t>otherwise — refuse the tenant’s application.</w:t>
      </w:r>
    </w:p>
    <w:p>
      <w:pPr>
        <w:pStyle w:val="Subsection"/>
      </w:pPr>
      <w:r>
        <w:tab/>
        <w:t>(3)</w:t>
      </w:r>
      <w:r>
        <w:tab/>
        <w:t>If the Commissioner makes an order under subsection (2)(a), the Commissioner may also order that the lessor’s consent is subject to stated conditions.</w:t>
      </w:r>
    </w:p>
    <w:p>
      <w:pPr>
        <w:pStyle w:val="Footnotesection"/>
      </w:pPr>
      <w:r>
        <w:tab/>
        <w:t>[Section 50U inserted: No. 11 of 2024 s. 33.]</w:t>
      </w:r>
    </w:p>
    <w:p>
      <w:pPr>
        <w:pStyle w:val="Heading5"/>
      </w:pPr>
      <w:bookmarkStart w:id="209" w:name="_Toc225329707"/>
      <w:r>
        <w:rPr>
          <w:rStyle w:val="CharSectno"/>
        </w:rPr>
        <w:t>50V</w:t>
      </w:r>
      <w:r>
        <w:t>.</w:t>
      </w:r>
      <w:r>
        <w:tab/>
        <w:t>Tenant’s application for order that conditions imposed on consent are unreasonable</w:t>
      </w:r>
      <w:bookmarkEnd w:id="209"/>
    </w:p>
    <w:p>
      <w:pPr>
        <w:pStyle w:val="Subsection"/>
      </w:pPr>
      <w:r>
        <w:tab/>
        <w:t>(1)</w:t>
      </w:r>
      <w:r>
        <w:tab/>
        <w:t xml:space="preserve">A tenant may apply to the Commissioner for an order that a condition imposed by the lessor on the lessor’s consent for the tenant to make a minor modification is unreasonable. </w:t>
      </w:r>
    </w:p>
    <w:p>
      <w:pPr>
        <w:pStyle w:val="Subsection"/>
        <w:keepNext/>
      </w:pPr>
      <w:r>
        <w:lastRenderedPageBreak/>
        <w:tab/>
        <w:t>(2)</w:t>
      </w:r>
      <w:r>
        <w:tab/>
        <w:t xml:space="preserve">The Commissioner must — </w:t>
      </w:r>
    </w:p>
    <w:p>
      <w:pPr>
        <w:pStyle w:val="Indenta"/>
      </w:pPr>
      <w:r>
        <w:tab/>
        <w:t>(a)</w:t>
      </w:r>
      <w:r>
        <w:tab/>
        <w:t>if satisfied the condition is unreasonable — approve the tenant’s application and order that the condition is unreasonable; or</w:t>
      </w:r>
    </w:p>
    <w:p>
      <w:pPr>
        <w:pStyle w:val="Indenta"/>
      </w:pPr>
      <w:r>
        <w:tab/>
        <w:t>(b)</w:t>
      </w:r>
      <w:r>
        <w:tab/>
        <w:t>if satisfied the condition is reasonable — refuse the tenant’s application and order that the condition is reasonable; or</w:t>
      </w:r>
    </w:p>
    <w:p>
      <w:pPr>
        <w:pStyle w:val="Indenta"/>
      </w:pPr>
      <w:r>
        <w:tab/>
        <w:t>(c)</w:t>
      </w:r>
      <w:r>
        <w:tab/>
        <w:t>order that the condition imposed by the lessor be modified in a stated way.</w:t>
      </w:r>
    </w:p>
    <w:p>
      <w:pPr>
        <w:pStyle w:val="Subsection"/>
      </w:pPr>
      <w:r>
        <w:tab/>
        <w:t>(3)</w:t>
      </w:r>
      <w:r>
        <w:tab/>
        <w:t>If the Commissioner orders that the condition is unreasonable, the lessor’s consent to make the minor modification is no longer subject to the condition.</w:t>
      </w:r>
    </w:p>
    <w:p>
      <w:pPr>
        <w:pStyle w:val="Footnotesection"/>
      </w:pPr>
      <w:r>
        <w:tab/>
        <w:t>[Section 50V inserted: No. 11 of 2024 s. 33.]</w:t>
      </w:r>
    </w:p>
    <w:p>
      <w:pPr>
        <w:pStyle w:val="Heading4"/>
      </w:pPr>
      <w:bookmarkStart w:id="210" w:name="_Toc225166050"/>
      <w:bookmarkStart w:id="211" w:name="_Toc225170808"/>
      <w:bookmarkStart w:id="212" w:name="_Toc225171423"/>
      <w:bookmarkStart w:id="213" w:name="_Toc225171735"/>
      <w:bookmarkStart w:id="214" w:name="_Toc225235380"/>
      <w:bookmarkStart w:id="215" w:name="_Toc225328869"/>
      <w:bookmarkStart w:id="216" w:name="_Toc225329708"/>
      <w:r>
        <w:t>Subdivision 4 — Other modifications</w:t>
      </w:r>
      <w:bookmarkEnd w:id="210"/>
      <w:bookmarkEnd w:id="211"/>
      <w:bookmarkEnd w:id="212"/>
      <w:bookmarkEnd w:id="213"/>
      <w:bookmarkEnd w:id="214"/>
      <w:bookmarkEnd w:id="215"/>
      <w:bookmarkEnd w:id="216"/>
    </w:p>
    <w:p>
      <w:pPr>
        <w:pStyle w:val="Footnoteheading"/>
      </w:pPr>
      <w:r>
        <w:tab/>
        <w:t>[Heading inserted: No. 11 of 2024 s. 33.]</w:t>
      </w:r>
    </w:p>
    <w:p>
      <w:pPr>
        <w:pStyle w:val="Heading5"/>
      </w:pPr>
      <w:bookmarkStart w:id="217" w:name="_Toc225329709"/>
      <w:r>
        <w:rPr>
          <w:rStyle w:val="CharSectno"/>
        </w:rPr>
        <w:t>50W</w:t>
      </w:r>
      <w:r>
        <w:t>.</w:t>
      </w:r>
      <w:r>
        <w:tab/>
        <w:t>When tenant may make other modifications to premises</w:t>
      </w:r>
      <w:bookmarkEnd w:id="217"/>
    </w:p>
    <w:p>
      <w:pPr>
        <w:pStyle w:val="Subsection"/>
      </w:pPr>
      <w:r>
        <w:tab/>
        <w:t>(1)</w:t>
      </w:r>
      <w:r>
        <w:tab/>
        <w:t xml:space="preserve">In this section — </w:t>
      </w:r>
    </w:p>
    <w:p>
      <w:pPr>
        <w:pStyle w:val="Defstart"/>
      </w:pPr>
      <w:r>
        <w:tab/>
      </w:r>
      <w:r>
        <w:rPr>
          <w:rStyle w:val="CharDefText"/>
        </w:rPr>
        <w:t>major modification</w:t>
      </w:r>
      <w:r>
        <w:t xml:space="preserve">, in relation to residential premises, means a modification to the premises other than — </w:t>
      </w:r>
    </w:p>
    <w:p>
      <w:pPr>
        <w:pStyle w:val="Defpara"/>
      </w:pPr>
      <w:r>
        <w:tab/>
        <w:t>(a)</w:t>
      </w:r>
      <w:r>
        <w:tab/>
        <w:t>a furniture safety modification; or</w:t>
      </w:r>
    </w:p>
    <w:p>
      <w:pPr>
        <w:pStyle w:val="Defpara"/>
      </w:pPr>
      <w:r>
        <w:tab/>
        <w:t>(b)</w:t>
      </w:r>
      <w:r>
        <w:tab/>
        <w:t>a prescribed modification mentioned in section 50M; or</w:t>
      </w:r>
    </w:p>
    <w:p>
      <w:pPr>
        <w:pStyle w:val="Defpara"/>
      </w:pPr>
      <w:r>
        <w:tab/>
        <w:t>(c)</w:t>
      </w:r>
      <w:r>
        <w:tab/>
        <w:t>a minor modification.</w:t>
      </w:r>
    </w:p>
    <w:p>
      <w:pPr>
        <w:pStyle w:val="Subsection"/>
        <w:keepNext/>
      </w:pPr>
      <w:r>
        <w:tab/>
        <w:t>(2)</w:t>
      </w:r>
      <w:r>
        <w:tab/>
        <w:t xml:space="preserve">A residential tenancy agreement may provide that — </w:t>
      </w:r>
    </w:p>
    <w:p>
      <w:pPr>
        <w:pStyle w:val="Indenta"/>
      </w:pPr>
      <w:r>
        <w:tab/>
        <w:t>(a)</w:t>
      </w:r>
      <w:r>
        <w:tab/>
        <w:t>a tenant may make a modification to the premises stated in the agreement without the lessor’s consent; or</w:t>
      </w:r>
    </w:p>
    <w:p>
      <w:pPr>
        <w:pStyle w:val="Indenta"/>
      </w:pPr>
      <w:r>
        <w:tab/>
        <w:t>(b)</w:t>
      </w:r>
      <w:r>
        <w:tab/>
        <w:t>a tenant may make a major modification to the premises with the lessor’s consent; or</w:t>
      </w:r>
    </w:p>
    <w:p>
      <w:pPr>
        <w:pStyle w:val="Indenta"/>
      </w:pPr>
      <w:r>
        <w:tab/>
        <w:t>(c)</w:t>
      </w:r>
      <w:r>
        <w:tab/>
        <w:t>a tenant must not make major modifications to the premises.</w:t>
      </w:r>
    </w:p>
    <w:p>
      <w:pPr>
        <w:pStyle w:val="Subsection"/>
      </w:pPr>
      <w:r>
        <w:lastRenderedPageBreak/>
        <w:tab/>
        <w:t>(3)</w:t>
      </w:r>
      <w:r>
        <w:tab/>
        <w:t xml:space="preserve">If a residential tenancy agreement includes a provision referred to in subsection (2)(a), it is also a term of the agreement that, before making the stated modification to the premises, the tenant must give the lessor written notice — </w:t>
      </w:r>
    </w:p>
    <w:p>
      <w:pPr>
        <w:pStyle w:val="Indenta"/>
      </w:pPr>
      <w:r>
        <w:tab/>
        <w:t>(a)</w:t>
      </w:r>
      <w:r>
        <w:tab/>
        <w:t xml:space="preserve">stating that the tenant intends to make the modification; and </w:t>
      </w:r>
    </w:p>
    <w:p>
      <w:pPr>
        <w:pStyle w:val="Indenta"/>
      </w:pPr>
      <w:r>
        <w:tab/>
        <w:t>(b)</w:t>
      </w:r>
      <w:r>
        <w:tab/>
        <w:t>describing the intended modification.</w:t>
      </w:r>
    </w:p>
    <w:p>
      <w:pPr>
        <w:pStyle w:val="Subsection"/>
      </w:pPr>
      <w:r>
        <w:tab/>
        <w:t>(4)</w:t>
      </w:r>
      <w:r>
        <w:tab/>
        <w:t xml:space="preserve">If a residential tenancy agreement includes a provision referred to subsection (2)(b), it is also a term of the agreement that — </w:t>
      </w:r>
    </w:p>
    <w:p>
      <w:pPr>
        <w:pStyle w:val="Indenta"/>
      </w:pPr>
      <w:r>
        <w:tab/>
        <w:t>(a)</w:t>
      </w:r>
      <w:r>
        <w:tab/>
        <w:t>the lessor must not unreasonably refuse the tenant’s request for consent to make a major modification to the premises; and</w:t>
      </w:r>
    </w:p>
    <w:p>
      <w:pPr>
        <w:pStyle w:val="Indenta"/>
      </w:pPr>
      <w:r>
        <w:tab/>
        <w:t>(b)</w:t>
      </w:r>
      <w:r>
        <w:tab/>
        <w:t>the making of a major modification is subject to any reasonable conditions of the lessor’s approval for the tenant to make the major modification.</w:t>
      </w:r>
    </w:p>
    <w:p>
      <w:pPr>
        <w:pStyle w:val="PermNoteHeading"/>
      </w:pPr>
      <w:r>
        <w:tab/>
        <w:t>Note for this section:</w:t>
      </w:r>
    </w:p>
    <w:p>
      <w:pPr>
        <w:pStyle w:val="PermNoteText"/>
      </w:pPr>
      <w:r>
        <w:tab/>
      </w:r>
      <w:r>
        <w:tab/>
        <w:t>See Subdivision 5 for the responsibilities of a tenant who makes a modification to premises.</w:t>
      </w:r>
    </w:p>
    <w:p>
      <w:pPr>
        <w:pStyle w:val="Footnotesection"/>
      </w:pPr>
      <w:r>
        <w:tab/>
        <w:t>[Section 50W inserted: No. 11 of 2024 s. 33.]</w:t>
      </w:r>
    </w:p>
    <w:p>
      <w:pPr>
        <w:pStyle w:val="Heading5"/>
      </w:pPr>
      <w:bookmarkStart w:id="218" w:name="_Toc225329710"/>
      <w:r>
        <w:rPr>
          <w:rStyle w:val="CharSectno"/>
        </w:rPr>
        <w:t>50X</w:t>
      </w:r>
      <w:r>
        <w:t>.</w:t>
      </w:r>
      <w:r>
        <w:tab/>
        <w:t>Lessor may make modification to premises</w:t>
      </w:r>
      <w:bookmarkEnd w:id="218"/>
    </w:p>
    <w:p>
      <w:pPr>
        <w:pStyle w:val="Subsection"/>
      </w:pPr>
      <w:r>
        <w:tab/>
        <w:t>(1)</w:t>
      </w:r>
      <w:r>
        <w:tab/>
        <w:t xml:space="preserve">It is a term of every residential tenancy agreement that — </w:t>
      </w:r>
    </w:p>
    <w:p>
      <w:pPr>
        <w:pStyle w:val="Indenta"/>
      </w:pPr>
      <w:r>
        <w:tab/>
        <w:t>(a)</w:t>
      </w:r>
      <w:r>
        <w:tab/>
        <w:t>the lessor may make a modification to the premises, but only with the consent of the tenant; and</w:t>
      </w:r>
    </w:p>
    <w:p>
      <w:pPr>
        <w:pStyle w:val="Indenta"/>
      </w:pPr>
      <w:r>
        <w:tab/>
        <w:t>(b)</w:t>
      </w:r>
      <w:r>
        <w:tab/>
        <w:t>the tenant must not unreasonably refuse the lessor’s request for consent.</w:t>
      </w:r>
    </w:p>
    <w:p>
      <w:pPr>
        <w:pStyle w:val="Subsection"/>
      </w:pPr>
      <w:r>
        <w:tab/>
        <w:t>(2)</w:t>
      </w:r>
      <w:r>
        <w:tab/>
        <w:t>The tenant’s approval for the lessor to make a modification may be subject to reasonable conditions about the lessor’s entry of the premises to make or inspect the modification, including the day or time of the entry.</w:t>
      </w:r>
    </w:p>
    <w:p>
      <w:pPr>
        <w:pStyle w:val="Subsection"/>
        <w:keepNext/>
      </w:pPr>
      <w:r>
        <w:lastRenderedPageBreak/>
        <w:tab/>
        <w:t>(3)</w:t>
      </w:r>
      <w:r>
        <w:tab/>
        <w:t xml:space="preserve">Section 46(2)(e) applies for the purposes of the lessor making the modification to the premises — </w:t>
      </w:r>
    </w:p>
    <w:p>
      <w:pPr>
        <w:pStyle w:val="Indenta"/>
      </w:pPr>
      <w:r>
        <w:tab/>
        <w:t>(a)</w:t>
      </w:r>
      <w:r>
        <w:tab/>
        <w:t>as if a reference in that section to necessary repairs to or maintenance of the premises were a reference to the modification; and</w:t>
      </w:r>
    </w:p>
    <w:p>
      <w:pPr>
        <w:pStyle w:val="Indenta"/>
      </w:pPr>
      <w:r>
        <w:tab/>
        <w:t>(b)</w:t>
      </w:r>
      <w:r>
        <w:tab/>
        <w:t>subject to a reasonable condition imposed on the entry under subsection (2).</w:t>
      </w:r>
    </w:p>
    <w:p>
      <w:pPr>
        <w:pStyle w:val="Footnotesection"/>
      </w:pPr>
      <w:r>
        <w:tab/>
        <w:t>[Section 50X inserted: No. 11 of 2024 s. 33.]</w:t>
      </w:r>
    </w:p>
    <w:p>
      <w:pPr>
        <w:pStyle w:val="Heading5"/>
      </w:pPr>
      <w:bookmarkStart w:id="219" w:name="_Toc225329711"/>
      <w:r>
        <w:rPr>
          <w:rStyle w:val="CharSectno"/>
        </w:rPr>
        <w:t>50Y</w:t>
      </w:r>
      <w:r>
        <w:t>.</w:t>
      </w:r>
      <w:r>
        <w:tab/>
        <w:t>Request for approval to make modification</w:t>
      </w:r>
      <w:bookmarkEnd w:id="219"/>
    </w:p>
    <w:p>
      <w:pPr>
        <w:pStyle w:val="Subsection"/>
      </w:pPr>
      <w:r>
        <w:tab/>
        <w:t>(1)</w:t>
      </w:r>
      <w:r>
        <w:tab/>
        <w:t xml:space="preserve">A tenant may ask the lessor (the </w:t>
      </w:r>
      <w:r>
        <w:rPr>
          <w:rStyle w:val="CharDefText"/>
        </w:rPr>
        <w:t>consenting party</w:t>
      </w:r>
      <w:r>
        <w:t>) for consent to make a major modification to premises.</w:t>
      </w:r>
    </w:p>
    <w:p>
      <w:pPr>
        <w:pStyle w:val="Subsection"/>
      </w:pPr>
      <w:r>
        <w:tab/>
        <w:t>(2)</w:t>
      </w:r>
      <w:r>
        <w:tab/>
        <w:t xml:space="preserve">A lessor may ask the tenant (also the </w:t>
      </w:r>
      <w:r>
        <w:rPr>
          <w:rStyle w:val="CharDefText"/>
        </w:rPr>
        <w:t>consenting party</w:t>
      </w:r>
      <w:r>
        <w:t>) for consent to make a modification to premises.</w:t>
      </w:r>
    </w:p>
    <w:p>
      <w:pPr>
        <w:pStyle w:val="Subsection"/>
      </w:pPr>
      <w:r>
        <w:tab/>
        <w:t>(3)</w:t>
      </w:r>
      <w:r>
        <w:tab/>
        <w:t>The request must be in the approved form.</w:t>
      </w:r>
    </w:p>
    <w:p>
      <w:pPr>
        <w:pStyle w:val="Subsection"/>
      </w:pPr>
      <w:r>
        <w:tab/>
        <w:t>(4)</w:t>
      </w:r>
      <w:r>
        <w:tab/>
        <w:t>The consenting party must respond to the request within 28 days after the day on which the request is received.</w:t>
      </w:r>
    </w:p>
    <w:p>
      <w:pPr>
        <w:pStyle w:val="Subsection"/>
      </w:pPr>
      <w:r>
        <w:tab/>
        <w:t>(5)</w:t>
      </w:r>
      <w:r>
        <w:tab/>
        <w:t xml:space="preserve">The consenting party’s response must be in writing and state — </w:t>
      </w:r>
    </w:p>
    <w:p>
      <w:pPr>
        <w:pStyle w:val="Indenta"/>
      </w:pPr>
      <w:r>
        <w:tab/>
        <w:t>(a)</w:t>
      </w:r>
      <w:r>
        <w:tab/>
        <w:t>whether the consenting party approves or refuses the request; and</w:t>
      </w:r>
    </w:p>
    <w:p>
      <w:pPr>
        <w:pStyle w:val="Indenta"/>
      </w:pPr>
      <w:r>
        <w:tab/>
        <w:t>(b)</w:t>
      </w:r>
      <w:r>
        <w:tab/>
        <w:t>if the consenting party approves the request subject to conditions — the conditions of the approval; and</w:t>
      </w:r>
    </w:p>
    <w:p>
      <w:pPr>
        <w:pStyle w:val="Indenta"/>
      </w:pPr>
      <w:r>
        <w:tab/>
        <w:t>(c)</w:t>
      </w:r>
      <w:r>
        <w:tab/>
        <w:t xml:space="preserve">if the consenting party refuses the request — </w:t>
      </w:r>
    </w:p>
    <w:p>
      <w:pPr>
        <w:pStyle w:val="Indenti"/>
      </w:pPr>
      <w:r>
        <w:tab/>
        <w:t>(i)</w:t>
      </w:r>
      <w:r>
        <w:tab/>
        <w:t>the grounds for the refusal; and</w:t>
      </w:r>
    </w:p>
    <w:p>
      <w:pPr>
        <w:pStyle w:val="Indenti"/>
      </w:pPr>
      <w:r>
        <w:tab/>
        <w:t>(ii)</w:t>
      </w:r>
      <w:r>
        <w:tab/>
        <w:t>the reasons for the refusal.</w:t>
      </w:r>
    </w:p>
    <w:p>
      <w:pPr>
        <w:pStyle w:val="Subsection"/>
      </w:pPr>
      <w:r>
        <w:tab/>
        <w:t>(6)</w:t>
      </w:r>
      <w:r>
        <w:tab/>
        <w:t>The consenting party is taken to approve the request if the consenting party does not comply with subsection (4).</w:t>
      </w:r>
    </w:p>
    <w:p>
      <w:pPr>
        <w:pStyle w:val="Footnotesection"/>
      </w:pPr>
      <w:r>
        <w:tab/>
        <w:t>[Section 50Y inserted: No. 11 of 2024 s. 33.]</w:t>
      </w:r>
    </w:p>
    <w:p>
      <w:pPr>
        <w:pStyle w:val="Heading5"/>
      </w:pPr>
      <w:bookmarkStart w:id="220" w:name="_Toc225329712"/>
      <w:r>
        <w:rPr>
          <w:rStyle w:val="CharSectno"/>
        </w:rPr>
        <w:lastRenderedPageBreak/>
        <w:t>50Z</w:t>
      </w:r>
      <w:r>
        <w:t>.</w:t>
      </w:r>
      <w:r>
        <w:tab/>
        <w:t>Refusal of consent to modification needed for disability access prohibited</w:t>
      </w:r>
      <w:bookmarkEnd w:id="220"/>
    </w:p>
    <w:p>
      <w:pPr>
        <w:pStyle w:val="Subsection"/>
      </w:pPr>
      <w:r>
        <w:tab/>
      </w:r>
      <w:r>
        <w:tab/>
        <w:t xml:space="preserve">The lessor must not refuse a tenant’s request for consent to make a major modification to premises that is reasonably required to enable a person with disability to access and use the premises if refusing consent would be unlawful under — </w:t>
      </w:r>
    </w:p>
    <w:p>
      <w:pPr>
        <w:pStyle w:val="Indenta"/>
      </w:pPr>
      <w:r>
        <w:tab/>
        <w:t>(a)</w:t>
      </w:r>
      <w:r>
        <w:tab/>
        <w:t xml:space="preserve">the </w:t>
      </w:r>
      <w:r>
        <w:rPr>
          <w:i/>
        </w:rPr>
        <w:t>Equal Opportunity Act 1984</w:t>
      </w:r>
      <w:r>
        <w:t xml:space="preserve"> section 66L(2)(d); or</w:t>
      </w:r>
    </w:p>
    <w:p>
      <w:pPr>
        <w:pStyle w:val="Indenta"/>
      </w:pPr>
      <w:r>
        <w:tab/>
        <w:t>(b)</w:t>
      </w:r>
      <w:r>
        <w:tab/>
        <w:t xml:space="preserve">the </w:t>
      </w:r>
      <w:r>
        <w:rPr>
          <w:i/>
        </w:rPr>
        <w:t>Disability Discrimination Act 1992</w:t>
      </w:r>
      <w:r>
        <w:t xml:space="preserve"> (Commonwealth) section 25(2)(d).</w:t>
      </w:r>
    </w:p>
    <w:p>
      <w:pPr>
        <w:pStyle w:val="Footnotesection"/>
      </w:pPr>
      <w:r>
        <w:tab/>
        <w:t>[Section 50Z inserted: No. 11 of 2024 s. 33.]</w:t>
      </w:r>
    </w:p>
    <w:p>
      <w:pPr>
        <w:pStyle w:val="Heading4"/>
      </w:pPr>
      <w:bookmarkStart w:id="221" w:name="_Toc225166055"/>
      <w:bookmarkStart w:id="222" w:name="_Toc225170813"/>
      <w:bookmarkStart w:id="223" w:name="_Toc225171428"/>
      <w:bookmarkStart w:id="224" w:name="_Toc225171740"/>
      <w:bookmarkStart w:id="225" w:name="_Toc225235385"/>
      <w:bookmarkStart w:id="226" w:name="_Toc225328874"/>
      <w:bookmarkStart w:id="227" w:name="_Toc225329713"/>
      <w:r>
        <w:t>Subdivision 5 — Tenant’s responsibilities in relation to modifications to premises</w:t>
      </w:r>
      <w:bookmarkEnd w:id="221"/>
      <w:bookmarkEnd w:id="222"/>
      <w:bookmarkEnd w:id="223"/>
      <w:bookmarkEnd w:id="224"/>
      <w:bookmarkEnd w:id="225"/>
      <w:bookmarkEnd w:id="226"/>
      <w:bookmarkEnd w:id="227"/>
    </w:p>
    <w:p>
      <w:pPr>
        <w:pStyle w:val="Footnoteheading"/>
      </w:pPr>
      <w:r>
        <w:tab/>
        <w:t>[Heading inserted: No. 11 of 2024 s. 33.]</w:t>
      </w:r>
    </w:p>
    <w:p>
      <w:pPr>
        <w:pStyle w:val="Heading5"/>
      </w:pPr>
      <w:bookmarkStart w:id="228" w:name="_Toc225329714"/>
      <w:r>
        <w:rPr>
          <w:rStyle w:val="CharSectno"/>
        </w:rPr>
        <w:t>50ZA</w:t>
      </w:r>
      <w:r>
        <w:t>.</w:t>
      </w:r>
      <w:r>
        <w:tab/>
        <w:t>Purpose of Subdivision</w:t>
      </w:r>
      <w:bookmarkEnd w:id="228"/>
    </w:p>
    <w:p>
      <w:pPr>
        <w:pStyle w:val="Subsection"/>
      </w:pPr>
      <w:r>
        <w:tab/>
      </w:r>
      <w:r>
        <w:tab/>
        <w:t xml:space="preserve">The matters stated in this Subdivision — </w:t>
      </w:r>
    </w:p>
    <w:p>
      <w:pPr>
        <w:pStyle w:val="Indenta"/>
      </w:pPr>
      <w:r>
        <w:tab/>
        <w:t>(a)</w:t>
      </w:r>
      <w:r>
        <w:tab/>
        <w:t>are terms of every residential tenancy agreement; and</w:t>
      </w:r>
    </w:p>
    <w:p>
      <w:pPr>
        <w:pStyle w:val="Indenta"/>
      </w:pPr>
      <w:r>
        <w:tab/>
        <w:t>(b)</w:t>
      </w:r>
      <w:r>
        <w:tab/>
        <w:t>apply if a tenant makes a modification to the residential premises.</w:t>
      </w:r>
    </w:p>
    <w:p>
      <w:pPr>
        <w:pStyle w:val="Footnotesection"/>
      </w:pPr>
      <w:r>
        <w:tab/>
        <w:t>[Section 50ZA inserted: No. 11 of 2024 s. 33.]</w:t>
      </w:r>
    </w:p>
    <w:p>
      <w:pPr>
        <w:pStyle w:val="Heading5"/>
      </w:pPr>
      <w:bookmarkStart w:id="229" w:name="_Toc225329715"/>
      <w:r>
        <w:rPr>
          <w:rStyle w:val="CharSectno"/>
        </w:rPr>
        <w:t>50ZB</w:t>
      </w:r>
      <w:r>
        <w:t>.</w:t>
      </w:r>
      <w:r>
        <w:tab/>
        <w:t>Tenant bears costs of modification and responsibility for repairs</w:t>
      </w:r>
      <w:bookmarkEnd w:id="229"/>
    </w:p>
    <w:p>
      <w:pPr>
        <w:pStyle w:val="Subsection"/>
      </w:pPr>
      <w:r>
        <w:tab/>
        <w:t>(1)</w:t>
      </w:r>
      <w:r>
        <w:tab/>
        <w:t xml:space="preserve">The tenant must bear the costs of — </w:t>
      </w:r>
    </w:p>
    <w:p>
      <w:pPr>
        <w:pStyle w:val="Indenta"/>
      </w:pPr>
      <w:r>
        <w:tab/>
        <w:t>(a)</w:t>
      </w:r>
      <w:r>
        <w:tab/>
        <w:t>making the modification to the residential premises; and</w:t>
      </w:r>
    </w:p>
    <w:p>
      <w:pPr>
        <w:pStyle w:val="Indenta"/>
      </w:pPr>
      <w:r>
        <w:tab/>
        <w:t>(b)</w:t>
      </w:r>
      <w:r>
        <w:tab/>
        <w:t>removing the modification and restoring the premises to their original condition as required under section 50ZD.</w:t>
      </w:r>
    </w:p>
    <w:p>
      <w:pPr>
        <w:pStyle w:val="Subsection"/>
      </w:pPr>
      <w:r>
        <w:tab/>
        <w:t>(2)</w:t>
      </w:r>
      <w:r>
        <w:tab/>
        <w:t>The tenant is responsible for maintaining the modification to the premises in a reasonable state of repair.</w:t>
      </w:r>
    </w:p>
    <w:p>
      <w:pPr>
        <w:pStyle w:val="Footnotesection"/>
      </w:pPr>
      <w:r>
        <w:tab/>
        <w:t>[Section 5ZB inserted: No. 11 of 2024 s. 33.]</w:t>
      </w:r>
    </w:p>
    <w:p>
      <w:pPr>
        <w:pStyle w:val="Heading5"/>
      </w:pPr>
      <w:bookmarkStart w:id="230" w:name="_Toc225329716"/>
      <w:r>
        <w:rPr>
          <w:rStyle w:val="CharSectno"/>
        </w:rPr>
        <w:lastRenderedPageBreak/>
        <w:t>50ZC</w:t>
      </w:r>
      <w:r>
        <w:t>.</w:t>
      </w:r>
      <w:r>
        <w:tab/>
        <w:t>Modification to have regard to age and character of premises</w:t>
      </w:r>
      <w:bookmarkEnd w:id="230"/>
    </w:p>
    <w:p>
      <w:pPr>
        <w:pStyle w:val="Subsection"/>
      </w:pPr>
      <w:r>
        <w:tab/>
      </w:r>
      <w:r>
        <w:tab/>
        <w:t xml:space="preserve">The tenant must ensure the modification is made in a way that — </w:t>
      </w:r>
    </w:p>
    <w:p>
      <w:pPr>
        <w:pStyle w:val="Indenta"/>
      </w:pPr>
      <w:r>
        <w:tab/>
        <w:t>(a)</w:t>
      </w:r>
      <w:r>
        <w:tab/>
        <w:t>has regard to the age and character of the premises; and</w:t>
      </w:r>
    </w:p>
    <w:p>
      <w:pPr>
        <w:pStyle w:val="Indenta"/>
      </w:pPr>
      <w:r>
        <w:tab/>
        <w:t>(b)</w:t>
      </w:r>
      <w:r>
        <w:tab/>
        <w:t>complies with any written law; and</w:t>
      </w:r>
    </w:p>
    <w:p>
      <w:pPr>
        <w:pStyle w:val="Indenta"/>
      </w:pPr>
      <w:r>
        <w:tab/>
        <w:t>(c)</w:t>
      </w:r>
      <w:r>
        <w:tab/>
        <w:t>if the premises are a lot in a community titles scheme or strata titles scheme — complies with the scheme by</w:t>
      </w:r>
      <w:r>
        <w:noBreakHyphen/>
        <w:t>laws.</w:t>
      </w:r>
    </w:p>
    <w:p>
      <w:pPr>
        <w:pStyle w:val="Footnotesection"/>
      </w:pPr>
      <w:r>
        <w:tab/>
        <w:t>[Section 50ZC inserted: No. 11 of 2024 s. 33.]</w:t>
      </w:r>
    </w:p>
    <w:p>
      <w:pPr>
        <w:pStyle w:val="Heading5"/>
      </w:pPr>
      <w:bookmarkStart w:id="231" w:name="_Toc225329717"/>
      <w:r>
        <w:rPr>
          <w:rStyle w:val="CharSectno"/>
        </w:rPr>
        <w:t>50ZD</w:t>
      </w:r>
      <w:r>
        <w:t>.</w:t>
      </w:r>
      <w:r>
        <w:tab/>
        <w:t>Tenant must remove modification and restore premises</w:t>
      </w:r>
      <w:bookmarkEnd w:id="231"/>
    </w:p>
    <w:p>
      <w:pPr>
        <w:pStyle w:val="Subsection"/>
      </w:pPr>
      <w:r>
        <w:tab/>
        <w:t>(1)</w:t>
      </w:r>
      <w:r>
        <w:tab/>
        <w:t xml:space="preserve">Unless the lessor agrees otherwise in writing, when the tenant vacates the premises at the end of the residential tenancy agreement, the tenant must either — </w:t>
      </w:r>
    </w:p>
    <w:p>
      <w:pPr>
        <w:pStyle w:val="Indenta"/>
      </w:pPr>
      <w:r>
        <w:tab/>
        <w:t>(a)</w:t>
      </w:r>
      <w:r>
        <w:tab/>
        <w:t xml:space="preserve">do the following — </w:t>
      </w:r>
    </w:p>
    <w:p>
      <w:pPr>
        <w:pStyle w:val="Indenti"/>
      </w:pPr>
      <w:r>
        <w:tab/>
        <w:t>(i)</w:t>
      </w:r>
      <w:r>
        <w:tab/>
        <w:t>if the modification included attaching a thing to the premises — remove the attached thing;</w:t>
      </w:r>
    </w:p>
    <w:p>
      <w:pPr>
        <w:pStyle w:val="Indenti"/>
      </w:pPr>
      <w:r>
        <w:tab/>
        <w:t>(ii)</w:t>
      </w:r>
      <w:r>
        <w:tab/>
        <w:t>restore the premises to their original condition;</w:t>
      </w:r>
    </w:p>
    <w:p>
      <w:pPr>
        <w:pStyle w:val="Indenta"/>
      </w:pPr>
      <w:r>
        <w:tab/>
      </w:r>
      <w:r>
        <w:tab/>
        <w:t>or</w:t>
      </w:r>
    </w:p>
    <w:p>
      <w:pPr>
        <w:pStyle w:val="Indenta"/>
      </w:pPr>
      <w:r>
        <w:tab/>
        <w:t>(b)</w:t>
      </w:r>
      <w:r>
        <w:tab/>
        <w:t>compensate the lessor for the reasonable cost incurred by the lessor to remove the thing or restore the premises.</w:t>
      </w:r>
    </w:p>
    <w:p>
      <w:pPr>
        <w:pStyle w:val="Subsection"/>
        <w:keepNext/>
      </w:pPr>
      <w:r>
        <w:tab/>
        <w:t>(2)</w:t>
      </w:r>
      <w:r>
        <w:tab/>
        <w:t xml:space="preserve">Subsection (1) applies to a prescribed modification made in accordance with section 50M only to the extent that the lessor requires the tenant, in writing, to do 1 or more of the following — </w:t>
      </w:r>
    </w:p>
    <w:p>
      <w:pPr>
        <w:pStyle w:val="Indenta"/>
      </w:pPr>
      <w:r>
        <w:tab/>
        <w:t>(a)</w:t>
      </w:r>
      <w:r>
        <w:tab/>
        <w:t>remove an attached thing;</w:t>
      </w:r>
    </w:p>
    <w:p>
      <w:pPr>
        <w:pStyle w:val="Indenta"/>
      </w:pPr>
      <w:r>
        <w:tab/>
        <w:t>(b)</w:t>
      </w:r>
      <w:r>
        <w:tab/>
        <w:t>restore the premises to their original condition;</w:t>
      </w:r>
    </w:p>
    <w:p>
      <w:pPr>
        <w:pStyle w:val="Indenta"/>
      </w:pPr>
      <w:r>
        <w:tab/>
        <w:t>(c)</w:t>
      </w:r>
      <w:r>
        <w:tab/>
        <w:t>compensate the lessor for removing an attached thing or restoring the premises.</w:t>
      </w:r>
    </w:p>
    <w:p>
      <w:pPr>
        <w:pStyle w:val="Subsection"/>
      </w:pPr>
      <w:r>
        <w:lastRenderedPageBreak/>
        <w:tab/>
        <w:t>(3)</w:t>
      </w:r>
      <w:r>
        <w:tab/>
        <w:t>If restoration of the premises mentioned in subsection (2) is carried out by a tradesperson, the tenant must give the lessor a copy of the invoice of the tradesperson within 14 days after the day on which the restoration is completed.</w:t>
      </w:r>
    </w:p>
    <w:p>
      <w:pPr>
        <w:pStyle w:val="Footnotesection"/>
      </w:pPr>
      <w:r>
        <w:tab/>
        <w:t>[Section 50ZD inserted: No. 11 of 2024 s. 33.]</w:t>
      </w:r>
    </w:p>
    <w:p>
      <w:pPr>
        <w:pStyle w:val="Heading5"/>
      </w:pPr>
      <w:bookmarkStart w:id="232" w:name="_Toc225329718"/>
      <w:r>
        <w:rPr>
          <w:rStyle w:val="CharSectno"/>
        </w:rPr>
        <w:t>50ZE</w:t>
      </w:r>
      <w:r>
        <w:t>.</w:t>
      </w:r>
      <w:r>
        <w:tab/>
        <w:t>Tenant responsible for damage caused by making or removing modification or restoring premises</w:t>
      </w:r>
      <w:bookmarkEnd w:id="232"/>
    </w:p>
    <w:p>
      <w:pPr>
        <w:pStyle w:val="Subsection"/>
      </w:pPr>
      <w:r>
        <w:tab/>
        <w:t>(1)</w:t>
      </w:r>
      <w:r>
        <w:tab/>
        <w:t xml:space="preserve">This section applies if the tenant causes damage to residential premises when — </w:t>
      </w:r>
    </w:p>
    <w:p>
      <w:pPr>
        <w:pStyle w:val="Indenta"/>
      </w:pPr>
      <w:r>
        <w:tab/>
        <w:t>(a)</w:t>
      </w:r>
      <w:r>
        <w:tab/>
        <w:t>making a modification to the premises; or</w:t>
      </w:r>
    </w:p>
    <w:p>
      <w:pPr>
        <w:pStyle w:val="Indenta"/>
      </w:pPr>
      <w:r>
        <w:tab/>
        <w:t>(b)</w:t>
      </w:r>
      <w:r>
        <w:tab/>
        <w:t>if the modification included attaching a thing to the premises — removing the attached thing; or</w:t>
      </w:r>
    </w:p>
    <w:p>
      <w:pPr>
        <w:pStyle w:val="Indenta"/>
      </w:pPr>
      <w:r>
        <w:tab/>
        <w:t>(c)</w:t>
      </w:r>
      <w:r>
        <w:tab/>
        <w:t>restoring the premises to their original condition.</w:t>
      </w:r>
    </w:p>
    <w:p>
      <w:pPr>
        <w:pStyle w:val="Subsection"/>
      </w:pPr>
      <w:r>
        <w:tab/>
        <w:t>(2)</w:t>
      </w:r>
      <w:r>
        <w:tab/>
        <w:t>The tenant must give the lessor a written notice that the damage has been caused to the premises.</w:t>
      </w:r>
    </w:p>
    <w:p>
      <w:pPr>
        <w:pStyle w:val="Subsection"/>
      </w:pPr>
      <w:r>
        <w:tab/>
        <w:t>(3)</w:t>
      </w:r>
      <w:r>
        <w:tab/>
        <w:t xml:space="preserve">The lessor may require the tenant to — </w:t>
      </w:r>
    </w:p>
    <w:p>
      <w:pPr>
        <w:pStyle w:val="Indenta"/>
      </w:pPr>
      <w:r>
        <w:tab/>
        <w:t>(a)</w:t>
      </w:r>
      <w:r>
        <w:tab/>
        <w:t>repair the damage and restore the premises to their original condition; or</w:t>
      </w:r>
    </w:p>
    <w:p>
      <w:pPr>
        <w:pStyle w:val="Indenta"/>
      </w:pPr>
      <w:r>
        <w:tab/>
        <w:t>(b)</w:t>
      </w:r>
      <w:r>
        <w:tab/>
        <w:t>compensate the lessor for the reasonable cost incurred by the lessor to repair the damage and restore the premises to their original condition.</w:t>
      </w:r>
    </w:p>
    <w:p>
      <w:pPr>
        <w:pStyle w:val="Footnotesection"/>
      </w:pPr>
      <w:r>
        <w:tab/>
        <w:t>[Section 50ZE inserted: No. 11 of 2024 s. 33.]</w:t>
      </w:r>
    </w:p>
    <w:p>
      <w:pPr>
        <w:pStyle w:val="Heading3"/>
      </w:pPr>
      <w:bookmarkStart w:id="233" w:name="_Toc225166061"/>
      <w:bookmarkStart w:id="234" w:name="_Toc225170819"/>
      <w:bookmarkStart w:id="235" w:name="_Toc225171434"/>
      <w:bookmarkStart w:id="236" w:name="_Toc225171746"/>
      <w:bookmarkStart w:id="237" w:name="_Toc225235391"/>
      <w:bookmarkStart w:id="238" w:name="_Toc225328880"/>
      <w:bookmarkStart w:id="239" w:name="_Toc225329719"/>
      <w:r>
        <w:rPr>
          <w:rStyle w:val="CharDivNo"/>
        </w:rPr>
        <w:t>Division 3</w:t>
      </w:r>
      <w:r>
        <w:t> — </w:t>
      </w:r>
      <w:r>
        <w:rPr>
          <w:rStyle w:val="CharDivText"/>
        </w:rPr>
        <w:t>General</w:t>
      </w:r>
      <w:bookmarkEnd w:id="233"/>
      <w:bookmarkEnd w:id="234"/>
      <w:bookmarkEnd w:id="235"/>
      <w:bookmarkEnd w:id="236"/>
      <w:bookmarkEnd w:id="237"/>
      <w:bookmarkEnd w:id="238"/>
      <w:bookmarkEnd w:id="239"/>
    </w:p>
    <w:p>
      <w:pPr>
        <w:pStyle w:val="Footnoteheading"/>
        <w:keepNext/>
      </w:pPr>
      <w:r>
        <w:tab/>
        <w:t xml:space="preserve">[Heading inserted: No. 60 of 2011 s. 47.] </w:t>
      </w:r>
    </w:p>
    <w:p>
      <w:pPr>
        <w:pStyle w:val="Heading5"/>
      </w:pPr>
      <w:bookmarkStart w:id="240" w:name="_Toc225329720"/>
      <w:r>
        <w:rPr>
          <w:rStyle w:val="CharSectno"/>
        </w:rPr>
        <w:t>51</w:t>
      </w:r>
      <w:r>
        <w:t>.</w:t>
      </w:r>
      <w:r>
        <w:tab/>
        <w:t>Tenant to be notified of lessor’s name and address</w:t>
      </w:r>
      <w:bookmarkEnd w:id="240"/>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lastRenderedPageBreak/>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lastRenderedPageBreak/>
        <w:tab/>
        <w:t xml:space="preserve">[Section 51 inserted: No. 60 of 2011 s. 48; amended: No. 3 of 2019 s. 25.] </w:t>
      </w:r>
    </w:p>
    <w:p>
      <w:pPr>
        <w:pStyle w:val="Heading5"/>
        <w:rPr>
          <w:snapToGrid w:val="0"/>
        </w:rPr>
      </w:pPr>
      <w:bookmarkStart w:id="241" w:name="_Toc225329721"/>
      <w:r>
        <w:rPr>
          <w:rStyle w:val="CharSectno"/>
        </w:rPr>
        <w:t>52</w:t>
      </w:r>
      <w:r>
        <w:rPr>
          <w:snapToGrid w:val="0"/>
        </w:rPr>
        <w:t>.</w:t>
      </w:r>
      <w:r>
        <w:rPr>
          <w:snapToGrid w:val="0"/>
        </w:rPr>
        <w:tab/>
        <w:t>Failure to pay rent with intention it be recovered from security bond</w:t>
      </w:r>
      <w:bookmarkEnd w:id="241"/>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242" w:name="_Toc225329722"/>
      <w:r>
        <w:rPr>
          <w:rStyle w:val="CharSectno"/>
        </w:rPr>
        <w:t>53</w:t>
      </w:r>
      <w:r>
        <w:t>.</w:t>
      </w:r>
      <w:r>
        <w:tab/>
        <w:t>Tenant’s name, place of employment and forwarding address</w:t>
      </w:r>
      <w:bookmarkEnd w:id="242"/>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243" w:name="_Toc225329723"/>
      <w:r>
        <w:rPr>
          <w:rStyle w:val="CharSectno"/>
        </w:rPr>
        <w:lastRenderedPageBreak/>
        <w:t>54</w:t>
      </w:r>
      <w:r>
        <w:rPr>
          <w:snapToGrid w:val="0"/>
        </w:rPr>
        <w:t>.</w:t>
      </w:r>
      <w:r>
        <w:rPr>
          <w:snapToGrid w:val="0"/>
        </w:rPr>
        <w:tab/>
        <w:t>Lessor to deliver copy of agreement to tenant</w:t>
      </w:r>
      <w:bookmarkEnd w:id="243"/>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244" w:name="_Toc225329724"/>
      <w:r>
        <w:rPr>
          <w:rStyle w:val="CharSectno"/>
        </w:rPr>
        <w:t>55</w:t>
      </w:r>
      <w:r>
        <w:t>.</w:t>
      </w:r>
      <w:r>
        <w:tab/>
        <w:t>Cost of written agreement to be borne by lessor</w:t>
      </w:r>
      <w:bookmarkEnd w:id="244"/>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245" w:name="_Toc225329725"/>
      <w:r>
        <w:rPr>
          <w:rStyle w:val="CharSectno"/>
        </w:rPr>
        <w:t>56</w:t>
      </w:r>
      <w:r>
        <w:rPr>
          <w:snapToGrid w:val="0"/>
        </w:rPr>
        <w:t>.</w:t>
      </w:r>
      <w:r>
        <w:rPr>
          <w:snapToGrid w:val="0"/>
        </w:rPr>
        <w:tab/>
        <w:t>Discrimination against tenants with children</w:t>
      </w:r>
      <w:bookmarkEnd w:id="245"/>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lastRenderedPageBreak/>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246" w:name="_Toc225329726"/>
      <w:r>
        <w:rPr>
          <w:rStyle w:val="CharSectno"/>
        </w:rPr>
        <w:t>56A</w:t>
      </w:r>
      <w:r>
        <w:t>.</w:t>
      </w:r>
      <w:r>
        <w:tab/>
        <w:t>Discrimination against tenants subjected or exposed to family violence</w:t>
      </w:r>
      <w:bookmarkEnd w:id="246"/>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247" w:name="_Toc225329727"/>
      <w:r>
        <w:rPr>
          <w:rStyle w:val="CharSectno"/>
        </w:rPr>
        <w:t>57</w:t>
      </w:r>
      <w:r>
        <w:rPr>
          <w:snapToGrid w:val="0"/>
        </w:rPr>
        <w:t>.</w:t>
      </w:r>
      <w:r>
        <w:rPr>
          <w:snapToGrid w:val="0"/>
        </w:rPr>
        <w:tab/>
        <w:t>Accelerated rent and liquidated damages prohibited</w:t>
      </w:r>
      <w:bookmarkEnd w:id="247"/>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lastRenderedPageBreak/>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248" w:name="_Toc225329728"/>
      <w:r>
        <w:rPr>
          <w:rStyle w:val="CharSectno"/>
        </w:rPr>
        <w:t>58</w:t>
      </w:r>
      <w:r>
        <w:rPr>
          <w:snapToGrid w:val="0"/>
        </w:rPr>
        <w:t>.</w:t>
      </w:r>
      <w:r>
        <w:rPr>
          <w:snapToGrid w:val="0"/>
        </w:rPr>
        <w:tab/>
        <w:t>Duty of mitigation</w:t>
      </w:r>
      <w:bookmarkEnd w:id="248"/>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249" w:name="_Toc225329729"/>
      <w:r>
        <w:rPr>
          <w:rStyle w:val="CharSectno"/>
        </w:rPr>
        <w:t>59A</w:t>
      </w:r>
      <w:r>
        <w:t>.</w:t>
      </w:r>
      <w:r>
        <w:tab/>
        <w:t>Minors</w:t>
      </w:r>
      <w:bookmarkEnd w:id="249"/>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lastRenderedPageBreak/>
        <w:tab/>
        <w:t>[Section 59A inserted: No. 60 of 2011 s. 56.]</w:t>
      </w:r>
    </w:p>
    <w:p>
      <w:pPr>
        <w:pStyle w:val="Heading5"/>
      </w:pPr>
      <w:bookmarkStart w:id="250" w:name="_Toc225329730"/>
      <w:r>
        <w:rPr>
          <w:rStyle w:val="CharSectno"/>
        </w:rPr>
        <w:t>59B</w:t>
      </w:r>
      <w:r>
        <w:t>.</w:t>
      </w:r>
      <w:r>
        <w:tab/>
        <w:t>Death of one of 2 or more tenants</w:t>
      </w:r>
      <w:bookmarkEnd w:id="250"/>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251" w:name="_Toc225329731"/>
      <w:r>
        <w:rPr>
          <w:rStyle w:val="CharSectno"/>
        </w:rPr>
        <w:t>59C</w:t>
      </w:r>
      <w:r>
        <w:t>.</w:t>
      </w:r>
      <w:r>
        <w:tab/>
        <w:t>Recognition of certain persons as tenants</w:t>
      </w:r>
      <w:bookmarkEnd w:id="251"/>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lastRenderedPageBreak/>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252" w:name="_Toc225329732"/>
      <w:r>
        <w:rPr>
          <w:rStyle w:val="CharSectno"/>
        </w:rPr>
        <w:t>59D</w:t>
      </w:r>
      <w:r>
        <w:t>.</w:t>
      </w:r>
      <w:r>
        <w:tab/>
        <w:t>Tenant compensation bonds</w:t>
      </w:r>
      <w:bookmarkEnd w:id="252"/>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lastRenderedPageBreak/>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253" w:name="_Toc225329733"/>
      <w:r>
        <w:rPr>
          <w:rStyle w:val="CharSectno"/>
        </w:rPr>
        <w:t>59E</w:t>
      </w:r>
      <w:r>
        <w:t>.</w:t>
      </w:r>
      <w:r>
        <w:tab/>
      </w:r>
      <w:r>
        <w:rPr>
          <w:snapToGrid w:val="0"/>
        </w:rPr>
        <w:t>Interference with quiet enjoyment</w:t>
      </w:r>
      <w:bookmarkEnd w:id="253"/>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254" w:name="_Toc225329734"/>
      <w:r>
        <w:rPr>
          <w:rStyle w:val="CharSectno"/>
        </w:rPr>
        <w:lastRenderedPageBreak/>
        <w:t>59F</w:t>
      </w:r>
      <w:r>
        <w:t>.</w:t>
      </w:r>
      <w:r>
        <w:tab/>
      </w:r>
      <w:r>
        <w:rPr>
          <w:snapToGrid w:val="0"/>
        </w:rPr>
        <w:t>Offences relating to security of residential premises</w:t>
      </w:r>
      <w:bookmarkEnd w:id="254"/>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255" w:name="_Toc225166077"/>
      <w:bookmarkStart w:id="256" w:name="_Toc225170835"/>
      <w:bookmarkStart w:id="257" w:name="_Toc225171450"/>
      <w:bookmarkStart w:id="258" w:name="_Toc225171762"/>
      <w:bookmarkStart w:id="259" w:name="_Toc225235407"/>
      <w:bookmarkStart w:id="260" w:name="_Toc225328896"/>
      <w:bookmarkStart w:id="261" w:name="_Toc225329735"/>
      <w:r>
        <w:rPr>
          <w:rStyle w:val="CharPartNo"/>
        </w:rPr>
        <w:lastRenderedPageBreak/>
        <w:t>Part V</w:t>
      </w:r>
      <w:r>
        <w:t> — </w:t>
      </w:r>
      <w:r>
        <w:rPr>
          <w:rStyle w:val="CharPartText"/>
        </w:rPr>
        <w:t>Termination of residential tenancy agreements</w:t>
      </w:r>
      <w:bookmarkEnd w:id="255"/>
      <w:bookmarkEnd w:id="256"/>
      <w:bookmarkEnd w:id="257"/>
      <w:bookmarkEnd w:id="258"/>
      <w:bookmarkEnd w:id="259"/>
      <w:bookmarkEnd w:id="260"/>
      <w:bookmarkEnd w:id="261"/>
    </w:p>
    <w:p>
      <w:pPr>
        <w:pStyle w:val="Heading3"/>
      </w:pPr>
      <w:bookmarkStart w:id="262" w:name="_Toc225166078"/>
      <w:bookmarkStart w:id="263" w:name="_Toc225170836"/>
      <w:bookmarkStart w:id="264" w:name="_Toc225171451"/>
      <w:bookmarkStart w:id="265" w:name="_Toc225171763"/>
      <w:bookmarkStart w:id="266" w:name="_Toc225235408"/>
      <w:bookmarkStart w:id="267" w:name="_Toc225328897"/>
      <w:bookmarkStart w:id="268" w:name="_Toc225329736"/>
      <w:r>
        <w:rPr>
          <w:rStyle w:val="CharDivNo"/>
        </w:rPr>
        <w:t>Division 1</w:t>
      </w:r>
      <w:r>
        <w:t> — </w:t>
      </w:r>
      <w:r>
        <w:rPr>
          <w:rStyle w:val="CharDivText"/>
        </w:rPr>
        <w:t>How residential tenancy agreements are terminated</w:t>
      </w:r>
      <w:bookmarkEnd w:id="262"/>
      <w:bookmarkEnd w:id="263"/>
      <w:bookmarkEnd w:id="264"/>
      <w:bookmarkEnd w:id="265"/>
      <w:bookmarkEnd w:id="266"/>
      <w:bookmarkEnd w:id="267"/>
      <w:bookmarkEnd w:id="268"/>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269" w:name="_Toc225329737"/>
      <w:r>
        <w:rPr>
          <w:rStyle w:val="CharSectno"/>
        </w:rPr>
        <w:t>60</w:t>
      </w:r>
      <w:r>
        <w:rPr>
          <w:snapToGrid w:val="0"/>
        </w:rPr>
        <w:t>.</w:t>
      </w:r>
      <w:r>
        <w:rPr>
          <w:snapToGrid w:val="0"/>
        </w:rPr>
        <w:tab/>
        <w:t>How residential tenancy agreements and tenant’s interests in agreements are terminated</w:t>
      </w:r>
      <w:bookmarkEnd w:id="269"/>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lastRenderedPageBreak/>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lastRenderedPageBreak/>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270" w:name="_Toc225166080"/>
      <w:bookmarkStart w:id="271" w:name="_Toc225170838"/>
      <w:bookmarkStart w:id="272" w:name="_Toc225171453"/>
      <w:bookmarkStart w:id="273" w:name="_Toc225171765"/>
      <w:bookmarkStart w:id="274" w:name="_Toc225235410"/>
      <w:bookmarkStart w:id="275" w:name="_Toc225328899"/>
      <w:bookmarkStart w:id="276" w:name="_Toc225329738"/>
      <w:r>
        <w:rPr>
          <w:rStyle w:val="CharDivNo"/>
        </w:rPr>
        <w:t>Division 2</w:t>
      </w:r>
      <w:r>
        <w:t> — </w:t>
      </w:r>
      <w:r>
        <w:rPr>
          <w:rStyle w:val="CharDivText"/>
        </w:rPr>
        <w:t>Notices of termination</w:t>
      </w:r>
      <w:bookmarkEnd w:id="270"/>
      <w:bookmarkEnd w:id="271"/>
      <w:bookmarkEnd w:id="272"/>
      <w:bookmarkEnd w:id="273"/>
      <w:bookmarkEnd w:id="274"/>
      <w:bookmarkEnd w:id="275"/>
      <w:bookmarkEnd w:id="276"/>
    </w:p>
    <w:p>
      <w:pPr>
        <w:pStyle w:val="Footnoteheading"/>
      </w:pPr>
      <w:r>
        <w:tab/>
        <w:t>[Heading inserted: No. 60 of 2011 s. 60.]</w:t>
      </w:r>
    </w:p>
    <w:p>
      <w:pPr>
        <w:pStyle w:val="Heading5"/>
      </w:pPr>
      <w:bookmarkStart w:id="277" w:name="_Toc225329739"/>
      <w:r>
        <w:rPr>
          <w:rStyle w:val="CharSectno"/>
        </w:rPr>
        <w:t>61</w:t>
      </w:r>
      <w:r>
        <w:t>.</w:t>
      </w:r>
      <w:r>
        <w:tab/>
        <w:t>Form of notice of termination by lessor</w:t>
      </w:r>
      <w:bookmarkEnd w:id="277"/>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278" w:name="_Toc225329740"/>
      <w:r>
        <w:rPr>
          <w:rStyle w:val="CharSectno"/>
        </w:rPr>
        <w:t>62</w:t>
      </w:r>
      <w:r>
        <w:rPr>
          <w:snapToGrid w:val="0"/>
        </w:rPr>
        <w:t>.</w:t>
      </w:r>
      <w:r>
        <w:rPr>
          <w:snapToGrid w:val="0"/>
        </w:rPr>
        <w:tab/>
        <w:t>Notice of termination by lessor upon ground of breach of term of agreement</w:t>
      </w:r>
      <w:bookmarkEnd w:id="278"/>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lastRenderedPageBreak/>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 xml:space="preserve">Where an application is made, or proceedings in respect of an application are continued, in contravention of subsection (5), </w:t>
      </w:r>
      <w:r>
        <w:rPr>
          <w:snapToGrid w:val="0"/>
        </w:rPr>
        <w:lastRenderedPageBreak/>
        <w:t>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279" w:name="_Toc225329741"/>
      <w:r>
        <w:rPr>
          <w:rStyle w:val="CharSectno"/>
        </w:rPr>
        <w:t>63</w:t>
      </w:r>
      <w:r>
        <w:t>.</w:t>
      </w:r>
      <w:r>
        <w:tab/>
        <w:t>Notice of termination by lessor who has entered into contract of sale</w:t>
      </w:r>
      <w:bookmarkEnd w:id="279"/>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keepNext/>
      </w:pPr>
      <w:r>
        <w:lastRenderedPageBreak/>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280" w:name="_Toc225329742"/>
      <w:r>
        <w:rPr>
          <w:rStyle w:val="CharSectno"/>
        </w:rPr>
        <w:t>64</w:t>
      </w:r>
      <w:r>
        <w:t>.</w:t>
      </w:r>
      <w:r>
        <w:tab/>
        <w:t>Notice of termination by lessor without any ground</w:t>
      </w:r>
      <w:bookmarkEnd w:id="280"/>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apply to a competent court for an order that the period of notice be extended by a further period of up to 60 days.</w:t>
      </w:r>
    </w:p>
    <w:p>
      <w:pPr>
        <w:pStyle w:val="PermNoteHeading"/>
      </w:pPr>
      <w:r>
        <w:tab/>
        <w:t>Note for this subsection:</w:t>
      </w:r>
    </w:p>
    <w:p>
      <w:pPr>
        <w:pStyle w:val="PermNoteText"/>
      </w:pPr>
      <w:r>
        <w:tab/>
      </w:r>
      <w:r>
        <w:tab/>
        <w:t>See also section 26B for an application a tenant may make to a competent court if the tenant reasonably believes the lessor’s action to terminate the residential tenancy agreement was retaliatory action.</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keepNext/>
      </w:pPr>
      <w:r>
        <w:tab/>
        <w:t>(c)</w:t>
      </w:r>
      <w:r>
        <w:tab/>
        <w:t xml:space="preserve">make an order referred to in section 71(2) and in that case the court must specify the day as from which the </w:t>
      </w:r>
      <w:r>
        <w:lastRenderedPageBreak/>
        <w:t xml:space="preserve">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 amended: No. 11 of 2024 s. 34.]</w:t>
      </w:r>
    </w:p>
    <w:p>
      <w:pPr>
        <w:pStyle w:val="Heading5"/>
        <w:rPr>
          <w:snapToGrid w:val="0"/>
        </w:rPr>
      </w:pPr>
      <w:bookmarkStart w:id="281" w:name="_Toc225329743"/>
      <w:r>
        <w:rPr>
          <w:rStyle w:val="CharSectno"/>
        </w:rPr>
        <w:t>65</w:t>
      </w:r>
      <w:r>
        <w:rPr>
          <w:snapToGrid w:val="0"/>
        </w:rPr>
        <w:t>.</w:t>
      </w:r>
      <w:r>
        <w:rPr>
          <w:snapToGrid w:val="0"/>
        </w:rPr>
        <w:tab/>
        <w:t>Termination by lessor where s. 32 invoked</w:t>
      </w:r>
      <w:bookmarkEnd w:id="281"/>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282" w:name="_Toc225329744"/>
      <w:r>
        <w:rPr>
          <w:rStyle w:val="CharSectno"/>
        </w:rPr>
        <w:t>66</w:t>
      </w:r>
      <w:r>
        <w:rPr>
          <w:snapToGrid w:val="0"/>
        </w:rPr>
        <w:t>.</w:t>
      </w:r>
      <w:r>
        <w:rPr>
          <w:snapToGrid w:val="0"/>
        </w:rPr>
        <w:tab/>
        <w:t>Notice by lessor not waived by acceptance of rent</w:t>
      </w:r>
      <w:bookmarkEnd w:id="282"/>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w:t>
      </w:r>
      <w:r>
        <w:rPr>
          <w:snapToGrid w:val="0"/>
        </w:rPr>
        <w:lastRenderedPageBreak/>
        <w:t>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283" w:name="_Toc225329745"/>
      <w:r>
        <w:rPr>
          <w:rStyle w:val="CharSectno"/>
        </w:rPr>
        <w:t>67</w:t>
      </w:r>
      <w:r>
        <w:rPr>
          <w:snapToGrid w:val="0"/>
        </w:rPr>
        <w:t>.</w:t>
      </w:r>
      <w:r>
        <w:rPr>
          <w:snapToGrid w:val="0"/>
        </w:rPr>
        <w:tab/>
        <w:t>Form of notice of termination by tenant</w:t>
      </w:r>
      <w:bookmarkEnd w:id="283"/>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284" w:name="_Toc225329746"/>
      <w:r>
        <w:rPr>
          <w:rStyle w:val="CharSectno"/>
        </w:rPr>
        <w:t>68</w:t>
      </w:r>
      <w:r>
        <w:rPr>
          <w:snapToGrid w:val="0"/>
        </w:rPr>
        <w:t>.</w:t>
      </w:r>
      <w:r>
        <w:rPr>
          <w:snapToGrid w:val="0"/>
        </w:rPr>
        <w:tab/>
        <w:t>Notice of termination by tenant</w:t>
      </w:r>
      <w:bookmarkEnd w:id="284"/>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285" w:name="_Toc225329747"/>
      <w:r>
        <w:rPr>
          <w:rStyle w:val="CharSectno"/>
        </w:rPr>
        <w:lastRenderedPageBreak/>
        <w:t>69</w:t>
      </w:r>
      <w:r>
        <w:rPr>
          <w:snapToGrid w:val="0"/>
        </w:rPr>
        <w:t>.</w:t>
      </w:r>
      <w:r>
        <w:rPr>
          <w:snapToGrid w:val="0"/>
        </w:rPr>
        <w:tab/>
        <w:t>Notice of termination by lessor or tenant where agreement frustrated</w:t>
      </w:r>
      <w:bookmarkEnd w:id="285"/>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286" w:name="_Toc225329748"/>
      <w:r>
        <w:rPr>
          <w:rStyle w:val="CharSectno"/>
        </w:rPr>
        <w:t>70A</w:t>
      </w:r>
      <w:r>
        <w:t>.</w:t>
      </w:r>
      <w:r>
        <w:tab/>
        <w:t>Notice of termination by lessor or tenant at end of fixed term tenancy</w:t>
      </w:r>
      <w:bookmarkEnd w:id="286"/>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lastRenderedPageBreak/>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287" w:name="_Toc225329749"/>
      <w:r>
        <w:rPr>
          <w:rStyle w:val="CharSectno"/>
        </w:rPr>
        <w:lastRenderedPageBreak/>
        <w:t>70</w:t>
      </w:r>
      <w:r>
        <w:rPr>
          <w:snapToGrid w:val="0"/>
        </w:rPr>
        <w:t>.</w:t>
      </w:r>
      <w:r>
        <w:rPr>
          <w:snapToGrid w:val="0"/>
        </w:rPr>
        <w:tab/>
        <w:t>Effect of notice of termination of periodic tenancy</w:t>
      </w:r>
      <w:bookmarkEnd w:id="287"/>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288" w:name="_Toc225166092"/>
      <w:bookmarkStart w:id="289" w:name="_Toc225170850"/>
      <w:bookmarkStart w:id="290" w:name="_Toc225171465"/>
      <w:bookmarkStart w:id="291" w:name="_Toc225171777"/>
      <w:bookmarkStart w:id="292" w:name="_Toc225235422"/>
      <w:bookmarkStart w:id="293" w:name="_Toc225328911"/>
      <w:bookmarkStart w:id="294" w:name="_Toc225329750"/>
      <w:r>
        <w:rPr>
          <w:rStyle w:val="CharDivNo"/>
        </w:rPr>
        <w:t>Division 2A</w:t>
      </w:r>
      <w:r>
        <w:t> — </w:t>
      </w:r>
      <w:r>
        <w:rPr>
          <w:rStyle w:val="CharDivText"/>
        </w:rPr>
        <w:t>Special provisions about terminating tenant’s interest on grounds of family violence</w:t>
      </w:r>
      <w:bookmarkEnd w:id="288"/>
      <w:bookmarkEnd w:id="289"/>
      <w:bookmarkEnd w:id="290"/>
      <w:bookmarkEnd w:id="291"/>
      <w:bookmarkEnd w:id="292"/>
      <w:bookmarkEnd w:id="293"/>
      <w:bookmarkEnd w:id="294"/>
    </w:p>
    <w:p>
      <w:pPr>
        <w:pStyle w:val="Footnoteheading"/>
      </w:pPr>
      <w:r>
        <w:tab/>
        <w:t xml:space="preserve">[Heading inserted: No. 3 of 2019 s. 18.] </w:t>
      </w:r>
    </w:p>
    <w:p>
      <w:pPr>
        <w:pStyle w:val="Heading5"/>
      </w:pPr>
      <w:bookmarkStart w:id="295" w:name="_Toc225329751"/>
      <w:r>
        <w:rPr>
          <w:rStyle w:val="CharSectno"/>
        </w:rPr>
        <w:t>71AA</w:t>
      </w:r>
      <w:r>
        <w:t>.</w:t>
      </w:r>
      <w:r>
        <w:tab/>
        <w:t>Terms used</w:t>
      </w:r>
      <w:bookmarkEnd w:id="295"/>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296" w:name="_Toc225329752"/>
      <w:r>
        <w:rPr>
          <w:rStyle w:val="CharSectno"/>
        </w:rPr>
        <w:t>71AB</w:t>
      </w:r>
      <w:r>
        <w:t>.</w:t>
      </w:r>
      <w:r>
        <w:tab/>
        <w:t>Notice of termination of tenant’s interest on ground that tenant subject to family violence</w:t>
      </w:r>
      <w:bookmarkEnd w:id="296"/>
    </w:p>
    <w:p>
      <w:pPr>
        <w:pStyle w:val="Subsection"/>
      </w:pPr>
      <w:r>
        <w:tab/>
        <w:t>(1)</w:t>
      </w:r>
      <w:r>
        <w:tab/>
        <w:t xml:space="preserve">Despite any other provision of this Act or another written law or a requirement under a contract, a tenant may give to the lessor notice of termination of the tenant’s interest in the residential tenancy agreement on the ground that the tenant or a dependant </w:t>
      </w:r>
      <w:r>
        <w:lastRenderedPageBreak/>
        <w:t>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the approved form,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lastRenderedPageBreak/>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 amended: No. 11 of 2024 s. 35.]</w:t>
      </w:r>
    </w:p>
    <w:p>
      <w:pPr>
        <w:pStyle w:val="Heading5"/>
      </w:pPr>
      <w:bookmarkStart w:id="297" w:name="_Toc225329753"/>
      <w:r>
        <w:rPr>
          <w:rStyle w:val="CharSectno"/>
        </w:rPr>
        <w:t>71AC</w:t>
      </w:r>
      <w:r>
        <w:t>.</w:t>
      </w:r>
      <w:r>
        <w:tab/>
        <w:t>Review of notice of termination under s. 71AB</w:t>
      </w:r>
      <w:bookmarkEnd w:id="297"/>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298" w:name="_Toc225329754"/>
      <w:r>
        <w:rPr>
          <w:rStyle w:val="CharSectno"/>
        </w:rPr>
        <w:lastRenderedPageBreak/>
        <w:t>71AD</w:t>
      </w:r>
      <w:r>
        <w:t>.</w:t>
      </w:r>
      <w:r>
        <w:tab/>
        <w:t>Rights of co</w:t>
      </w:r>
      <w:r>
        <w:noBreakHyphen/>
        <w:t>tenants after notice under s. 71AB</w:t>
      </w:r>
      <w:bookmarkEnd w:id="298"/>
    </w:p>
    <w:p>
      <w:pPr>
        <w:pStyle w:val="Subsection"/>
        <w:keepNext/>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299" w:name="_Toc225329755"/>
      <w:r>
        <w:rPr>
          <w:rStyle w:val="CharSectno"/>
        </w:rPr>
        <w:t>71AE</w:t>
      </w:r>
      <w:r>
        <w:t>.</w:t>
      </w:r>
      <w:r>
        <w:tab/>
        <w:t>Termination of tenant’s interest by court on grounds of family violence</w:t>
      </w:r>
      <w:bookmarkEnd w:id="299"/>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keepNext/>
      </w:pPr>
      <w:r>
        <w:tab/>
        <w:t>(2)</w:t>
      </w:r>
      <w:r>
        <w:tab/>
        <w:t xml:space="preserve">Despite any other provision of this Act or another written law, or a requirement under a contract, a court may make an order </w:t>
      </w:r>
      <w:r>
        <w:lastRenderedPageBreak/>
        <w:t xml:space="preserve">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lastRenderedPageBreak/>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Pr>
      <w:bookmarkStart w:id="300" w:name="_Toc225329756"/>
      <w:r>
        <w:rPr>
          <w:rStyle w:val="CharSectno"/>
        </w:rPr>
        <w:t>71AF</w:t>
      </w:r>
      <w:r>
        <w:t>.</w:t>
      </w:r>
      <w:r>
        <w:tab/>
        <w:t>Review of Division</w:t>
      </w:r>
      <w:bookmarkEnd w:id="300"/>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301" w:name="_Toc225166099"/>
      <w:bookmarkStart w:id="302" w:name="_Toc225170857"/>
      <w:bookmarkStart w:id="303" w:name="_Toc225171472"/>
      <w:bookmarkStart w:id="304" w:name="_Toc225171784"/>
      <w:bookmarkStart w:id="305" w:name="_Toc225235429"/>
      <w:bookmarkStart w:id="306" w:name="_Toc225328918"/>
      <w:bookmarkStart w:id="307" w:name="_Toc225329757"/>
      <w:r>
        <w:rPr>
          <w:rStyle w:val="CharDivNo"/>
        </w:rPr>
        <w:lastRenderedPageBreak/>
        <w:t>Division 3</w:t>
      </w:r>
      <w:r>
        <w:t> — </w:t>
      </w:r>
      <w:r>
        <w:rPr>
          <w:rStyle w:val="CharDivText"/>
        </w:rPr>
        <w:t>Special provisions about terminating social housing tenancy agreements</w:t>
      </w:r>
      <w:bookmarkEnd w:id="301"/>
      <w:bookmarkEnd w:id="302"/>
      <w:bookmarkEnd w:id="303"/>
      <w:bookmarkEnd w:id="304"/>
      <w:bookmarkEnd w:id="305"/>
      <w:bookmarkEnd w:id="306"/>
      <w:bookmarkEnd w:id="307"/>
    </w:p>
    <w:p>
      <w:pPr>
        <w:pStyle w:val="Footnoteheading"/>
        <w:keepNext/>
      </w:pPr>
      <w:r>
        <w:tab/>
        <w:t>[Heading inserted: No. 60 of 2011 s. 92.]</w:t>
      </w:r>
    </w:p>
    <w:p>
      <w:pPr>
        <w:pStyle w:val="Heading4"/>
      </w:pPr>
      <w:bookmarkStart w:id="308" w:name="_Toc225166100"/>
      <w:bookmarkStart w:id="309" w:name="_Toc225170858"/>
      <w:bookmarkStart w:id="310" w:name="_Toc225171473"/>
      <w:bookmarkStart w:id="311" w:name="_Toc225171785"/>
      <w:bookmarkStart w:id="312" w:name="_Toc225235430"/>
      <w:bookmarkStart w:id="313" w:name="_Toc225328919"/>
      <w:bookmarkStart w:id="314" w:name="_Toc225329758"/>
      <w:r>
        <w:t>Subdivision 1 — Preliminary</w:t>
      </w:r>
      <w:bookmarkEnd w:id="308"/>
      <w:bookmarkEnd w:id="309"/>
      <w:bookmarkEnd w:id="310"/>
      <w:bookmarkEnd w:id="311"/>
      <w:bookmarkEnd w:id="312"/>
      <w:bookmarkEnd w:id="313"/>
      <w:bookmarkEnd w:id="314"/>
    </w:p>
    <w:p>
      <w:pPr>
        <w:pStyle w:val="Footnoteheading"/>
      </w:pPr>
      <w:r>
        <w:tab/>
        <w:t>[Heading inserted: No. 60 of 2011 s. 92.]</w:t>
      </w:r>
    </w:p>
    <w:p>
      <w:pPr>
        <w:pStyle w:val="Heading5"/>
      </w:pPr>
      <w:bookmarkStart w:id="315" w:name="_Toc225329759"/>
      <w:r>
        <w:rPr>
          <w:rStyle w:val="CharSectno"/>
        </w:rPr>
        <w:t>71A</w:t>
      </w:r>
      <w:r>
        <w:t>.</w:t>
      </w:r>
      <w:r>
        <w:tab/>
        <w:t>Terms used</w:t>
      </w:r>
      <w:bookmarkEnd w:id="315"/>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316" w:name="_Toc225329760"/>
      <w:r>
        <w:rPr>
          <w:rStyle w:val="CharSectno"/>
        </w:rPr>
        <w:lastRenderedPageBreak/>
        <w:t>71B</w:t>
      </w:r>
      <w:r>
        <w:t>.</w:t>
      </w:r>
      <w:r>
        <w:tab/>
        <w:t>Application of Division</w:t>
      </w:r>
      <w:bookmarkEnd w:id="316"/>
    </w:p>
    <w:p>
      <w:pPr>
        <w:pStyle w:val="Subsection"/>
        <w:keepNext/>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317" w:name="_Toc225166103"/>
      <w:bookmarkStart w:id="318" w:name="_Toc225170861"/>
      <w:bookmarkStart w:id="319" w:name="_Toc225171476"/>
      <w:bookmarkStart w:id="320" w:name="_Toc225171788"/>
      <w:bookmarkStart w:id="321" w:name="_Toc225235433"/>
      <w:bookmarkStart w:id="322" w:name="_Toc225328922"/>
      <w:bookmarkStart w:id="323" w:name="_Toc225329761"/>
      <w:r>
        <w:t>Subdivision 2 — Notice of termination where tenant not eligible for social housing premises</w:t>
      </w:r>
      <w:bookmarkEnd w:id="317"/>
      <w:bookmarkEnd w:id="318"/>
      <w:bookmarkEnd w:id="319"/>
      <w:bookmarkEnd w:id="320"/>
      <w:bookmarkEnd w:id="321"/>
      <w:bookmarkEnd w:id="322"/>
      <w:bookmarkEnd w:id="323"/>
    </w:p>
    <w:p>
      <w:pPr>
        <w:pStyle w:val="Footnoteheading"/>
      </w:pPr>
      <w:r>
        <w:tab/>
        <w:t>[Heading inserted: No. 60 of 2011 s. 92.]</w:t>
      </w:r>
    </w:p>
    <w:p>
      <w:pPr>
        <w:pStyle w:val="Heading5"/>
        <w:rPr>
          <w:snapToGrid w:val="0"/>
        </w:rPr>
      </w:pPr>
      <w:bookmarkStart w:id="324" w:name="_Toc225329762"/>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324"/>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325" w:name="_Toc225329763"/>
      <w:r>
        <w:rPr>
          <w:rStyle w:val="CharSectno"/>
        </w:rPr>
        <w:t>71D</w:t>
      </w:r>
      <w:r>
        <w:t>.</w:t>
      </w:r>
      <w:r>
        <w:tab/>
        <w:t>Assessment of tenants eligibility for social housing premises</w:t>
      </w:r>
      <w:bookmarkEnd w:id="325"/>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 xml:space="preserve">If the tenant refuses to provide any such information to the lessor, the lessor may determine, without further inquiry, that </w:t>
      </w:r>
      <w:r>
        <w:lastRenderedPageBreak/>
        <w:t>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326" w:name="_Toc225329764"/>
      <w:r>
        <w:rPr>
          <w:rStyle w:val="CharSectno"/>
        </w:rPr>
        <w:t>71E</w:t>
      </w:r>
      <w:r>
        <w:t>.</w:t>
      </w:r>
      <w:r>
        <w:tab/>
        <w:t>Criteria for assessing eligibility of tenants for social housing premises under s. 71D</w:t>
      </w:r>
      <w:bookmarkEnd w:id="326"/>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327" w:name="_Toc225329765"/>
      <w:r>
        <w:rPr>
          <w:rStyle w:val="CharSectno"/>
        </w:rPr>
        <w:t>71F</w:t>
      </w:r>
      <w:r>
        <w:t>.</w:t>
      </w:r>
      <w:r>
        <w:tab/>
        <w:t>Review of decision to give notice on ground that tenant not eligible for social housing premises</w:t>
      </w:r>
      <w:bookmarkEnd w:id="327"/>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keepNext/>
      </w:pPr>
      <w:r>
        <w:lastRenderedPageBreak/>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328" w:name="_Toc225329766"/>
      <w:r>
        <w:rPr>
          <w:rStyle w:val="CharSectno"/>
        </w:rPr>
        <w:lastRenderedPageBreak/>
        <w:t>71G</w:t>
      </w:r>
      <w:r>
        <w:t>.</w:t>
      </w:r>
      <w:r>
        <w:tab/>
        <w:t xml:space="preserve">Time </w:t>
      </w:r>
      <w:r>
        <w:rPr>
          <w:snapToGrid w:val="0"/>
        </w:rPr>
        <w:t>periods to be observed where notice of termination given under this Subdivision</w:t>
      </w:r>
      <w:bookmarkEnd w:id="328"/>
    </w:p>
    <w:p>
      <w:pPr>
        <w:pStyle w:val="Subsection"/>
        <w:keepNext/>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329" w:name="_Toc225166109"/>
      <w:bookmarkStart w:id="330" w:name="_Toc225170867"/>
      <w:bookmarkStart w:id="331" w:name="_Toc225171482"/>
      <w:bookmarkStart w:id="332" w:name="_Toc225171794"/>
      <w:bookmarkStart w:id="333" w:name="_Toc225235439"/>
      <w:bookmarkStart w:id="334" w:name="_Toc225328928"/>
      <w:bookmarkStart w:id="335" w:name="_Toc225329767"/>
      <w:r>
        <w:t>Subdivision 3 — Notice of termination where tenant offered alternative social housing premises</w:t>
      </w:r>
      <w:bookmarkEnd w:id="329"/>
      <w:bookmarkEnd w:id="330"/>
      <w:bookmarkEnd w:id="331"/>
      <w:bookmarkEnd w:id="332"/>
      <w:bookmarkEnd w:id="333"/>
      <w:bookmarkEnd w:id="334"/>
      <w:bookmarkEnd w:id="335"/>
    </w:p>
    <w:p>
      <w:pPr>
        <w:pStyle w:val="Footnoteheading"/>
        <w:spacing w:before="100"/>
      </w:pPr>
      <w:r>
        <w:tab/>
        <w:t>[Heading inserted: No. 60 of 2011 s. 92.]</w:t>
      </w:r>
    </w:p>
    <w:p>
      <w:pPr>
        <w:pStyle w:val="Heading5"/>
        <w:rPr>
          <w:snapToGrid w:val="0"/>
        </w:rPr>
      </w:pPr>
      <w:bookmarkStart w:id="336" w:name="_Toc225329768"/>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336"/>
    </w:p>
    <w:p>
      <w:pPr>
        <w:pStyle w:val="Subsection"/>
        <w:keepNext/>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w:t>
      </w:r>
      <w:r>
        <w:rPr>
          <w:snapToGrid w:val="0"/>
        </w:rPr>
        <w:lastRenderedPageBreak/>
        <w:t>respect of alternative premises to the premises the subject of the existing agreement.</w:t>
      </w:r>
    </w:p>
    <w:p>
      <w:pPr>
        <w:pStyle w:val="Footnotesection"/>
        <w:spacing w:before="100"/>
      </w:pPr>
      <w:r>
        <w:tab/>
        <w:t>[Section 71H inserted: No. 60 of 2011 s. 92.]</w:t>
      </w:r>
    </w:p>
    <w:p>
      <w:pPr>
        <w:pStyle w:val="Heading5"/>
      </w:pPr>
      <w:bookmarkStart w:id="337" w:name="_Toc225329769"/>
      <w:r>
        <w:rPr>
          <w:rStyle w:val="CharSectno"/>
        </w:rPr>
        <w:t>71I</w:t>
      </w:r>
      <w:r>
        <w:t>.</w:t>
      </w:r>
      <w:r>
        <w:tab/>
        <w:t>Review of decision to give notice on ground that tenant offered alternative social housing premises</w:t>
      </w:r>
      <w:bookmarkEnd w:id="337"/>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 xml:space="preserve">If the tenant applies to the lessor for a review under this section, the lessor must review the decision, in accordance with any procedures approved by the Minister for Housing for the </w:t>
      </w:r>
      <w:r>
        <w:lastRenderedPageBreak/>
        <w:t>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338" w:name="_Toc225329770"/>
      <w:r>
        <w:rPr>
          <w:rStyle w:val="CharSectno"/>
        </w:rPr>
        <w:t>71J</w:t>
      </w:r>
      <w:r>
        <w:t>.</w:t>
      </w:r>
      <w:r>
        <w:tab/>
        <w:t xml:space="preserve">Time periods to be observed </w:t>
      </w:r>
      <w:r>
        <w:rPr>
          <w:snapToGrid w:val="0"/>
        </w:rPr>
        <w:t xml:space="preserve">where notice of termination given </w:t>
      </w:r>
      <w:r>
        <w:t>under this Subdivision</w:t>
      </w:r>
      <w:bookmarkEnd w:id="338"/>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lastRenderedPageBreak/>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Pr>
      <w:bookmarkStart w:id="339" w:name="_Toc225166113"/>
      <w:bookmarkStart w:id="340" w:name="_Toc225170871"/>
      <w:bookmarkStart w:id="341" w:name="_Toc225171486"/>
      <w:bookmarkStart w:id="342" w:name="_Toc225171798"/>
      <w:bookmarkStart w:id="343" w:name="_Toc225235443"/>
      <w:bookmarkStart w:id="344" w:name="_Toc225328932"/>
      <w:bookmarkStart w:id="345" w:name="_Toc225329771"/>
      <w:r>
        <w:rPr>
          <w:rStyle w:val="CharDivNo"/>
        </w:rPr>
        <w:t>Division 4</w:t>
      </w:r>
      <w:r>
        <w:t> — </w:t>
      </w:r>
      <w:r>
        <w:rPr>
          <w:rStyle w:val="CharDivText"/>
        </w:rPr>
        <w:t>Orders for termination of residential tenancy agreement</w:t>
      </w:r>
      <w:bookmarkEnd w:id="339"/>
      <w:bookmarkEnd w:id="340"/>
      <w:bookmarkEnd w:id="341"/>
      <w:bookmarkEnd w:id="342"/>
      <w:bookmarkEnd w:id="343"/>
      <w:bookmarkEnd w:id="344"/>
      <w:bookmarkEnd w:id="345"/>
    </w:p>
    <w:p>
      <w:pPr>
        <w:pStyle w:val="Footnoteheading"/>
      </w:pPr>
      <w:r>
        <w:tab/>
        <w:t>[Heading inserted: No. 60 of 2011 s. 69.]</w:t>
      </w:r>
    </w:p>
    <w:p>
      <w:pPr>
        <w:pStyle w:val="Heading5"/>
        <w:rPr>
          <w:snapToGrid w:val="0"/>
        </w:rPr>
      </w:pPr>
      <w:bookmarkStart w:id="346" w:name="_Toc225329772"/>
      <w:r>
        <w:rPr>
          <w:rStyle w:val="CharSectno"/>
        </w:rPr>
        <w:t>71</w:t>
      </w:r>
      <w:r>
        <w:rPr>
          <w:snapToGrid w:val="0"/>
        </w:rPr>
        <w:t>.</w:t>
      </w:r>
      <w:r>
        <w:rPr>
          <w:snapToGrid w:val="0"/>
        </w:rPr>
        <w:tab/>
        <w:t>Application by lessor for termination and order for possession</w:t>
      </w:r>
      <w:bookmarkEnd w:id="346"/>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lastRenderedPageBreak/>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w:t>
      </w:r>
      <w:r>
        <w:rPr>
          <w:snapToGrid w:val="0"/>
        </w:rPr>
        <w:lastRenderedPageBreak/>
        <w:t>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keepNext/>
        <w:rPr>
          <w:snapToGrid w:val="0"/>
        </w:rPr>
      </w:pPr>
      <w:r>
        <w:rPr>
          <w:snapToGrid w:val="0"/>
        </w:rPr>
        <w:lastRenderedPageBreak/>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pPr>
      <w:r>
        <w:tab/>
        <w:t>(i)</w:t>
      </w:r>
      <w:r>
        <w:tab/>
        <w:t>that giving the notice is retaliatory action taken by the lessor against the tenant because of a matter mentioned in section 26B(2)(a), (b) or (c);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lastRenderedPageBreak/>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No. 11 of 2024 s. 36.] </w:t>
      </w:r>
    </w:p>
    <w:p>
      <w:pPr>
        <w:pStyle w:val="Heading5"/>
        <w:rPr>
          <w:snapToGrid w:val="0"/>
        </w:rPr>
      </w:pPr>
      <w:bookmarkStart w:id="347" w:name="_Toc225329773"/>
      <w:r>
        <w:rPr>
          <w:rStyle w:val="CharSectno"/>
        </w:rPr>
        <w:t>72</w:t>
      </w:r>
      <w:r>
        <w:rPr>
          <w:snapToGrid w:val="0"/>
        </w:rPr>
        <w:t>.</w:t>
      </w:r>
      <w:r>
        <w:rPr>
          <w:snapToGrid w:val="0"/>
        </w:rPr>
        <w:tab/>
        <w:t>Application for termination and order for possession in relation to fixed term agreements</w:t>
      </w:r>
      <w:bookmarkEnd w:id="347"/>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keepNext/>
        <w:rPr>
          <w:snapToGrid w:val="0"/>
        </w:rPr>
      </w:pPr>
      <w:r>
        <w:rPr>
          <w:snapToGrid w:val="0"/>
        </w:rPr>
        <w:tab/>
        <w:t>(a)</w:t>
      </w:r>
      <w:r>
        <w:rPr>
          <w:snapToGrid w:val="0"/>
        </w:rPr>
        <w:tab/>
        <w:t xml:space="preserve">may suspend the operation of orders under that subsection for a period not exceeding 30 days, if it is </w:t>
      </w:r>
      <w:r>
        <w:rPr>
          <w:snapToGrid w:val="0"/>
        </w:rPr>
        <w:lastRenderedPageBreak/>
        <w:t>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348" w:name="_Toc225329774"/>
      <w:r>
        <w:rPr>
          <w:rStyle w:val="CharSectno"/>
        </w:rPr>
        <w:t>73A</w:t>
      </w:r>
      <w:r>
        <w:t>.</w:t>
      </w:r>
      <w:r>
        <w:tab/>
        <w:t>Notice of termination not required in certain cases</w:t>
      </w:r>
      <w:bookmarkEnd w:id="348"/>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349" w:name="_Toc225329775"/>
      <w:r>
        <w:rPr>
          <w:rStyle w:val="CharSectno"/>
        </w:rPr>
        <w:lastRenderedPageBreak/>
        <w:t>73</w:t>
      </w:r>
      <w:r>
        <w:rPr>
          <w:snapToGrid w:val="0"/>
        </w:rPr>
        <w:t>.</w:t>
      </w:r>
      <w:r>
        <w:rPr>
          <w:snapToGrid w:val="0"/>
        </w:rPr>
        <w:tab/>
        <w:t>Termination of agreement where tenant causing serious damage or injury</w:t>
      </w:r>
      <w:bookmarkEnd w:id="349"/>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350" w:name="_Toc225329776"/>
      <w:r>
        <w:rPr>
          <w:rStyle w:val="CharSectno"/>
        </w:rPr>
        <w:t>74</w:t>
      </w:r>
      <w:r>
        <w:rPr>
          <w:snapToGrid w:val="0"/>
        </w:rPr>
        <w:t>.</w:t>
      </w:r>
      <w:r>
        <w:rPr>
          <w:snapToGrid w:val="0"/>
        </w:rPr>
        <w:tab/>
        <w:t>Termination of agreement where lessor or tenant would otherwise suffer undue hardship</w:t>
      </w:r>
      <w:bookmarkEnd w:id="350"/>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 xml:space="preserve">shall also make an order for possession of the premises and shall specify a day as from which the orders shall </w:t>
      </w:r>
      <w:r>
        <w:rPr>
          <w:snapToGrid w:val="0"/>
        </w:rPr>
        <w:lastRenderedPageBreak/>
        <w:t>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351" w:name="_Toc225329777"/>
      <w:r>
        <w:rPr>
          <w:rStyle w:val="CharSectno"/>
        </w:rPr>
        <w:t>75A</w:t>
      </w:r>
      <w:r>
        <w:t>.</w:t>
      </w:r>
      <w:r>
        <w:tab/>
        <w:t>Termination of social housing tenancy agreement due to objectionable behaviour</w:t>
      </w:r>
      <w:bookmarkEnd w:id="351"/>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lastRenderedPageBreak/>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352" w:name="_Toc225329778"/>
      <w:r>
        <w:rPr>
          <w:rStyle w:val="CharSectno"/>
        </w:rPr>
        <w:t>75</w:t>
      </w:r>
      <w:r>
        <w:rPr>
          <w:snapToGrid w:val="0"/>
        </w:rPr>
        <w:t>.</w:t>
      </w:r>
      <w:r>
        <w:rPr>
          <w:snapToGrid w:val="0"/>
        </w:rPr>
        <w:tab/>
        <w:t>Termination of agreement for breach by lessor</w:t>
      </w:r>
      <w:bookmarkEnd w:id="352"/>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353" w:name="_Toc225329779"/>
      <w:r>
        <w:rPr>
          <w:rStyle w:val="CharSectno"/>
        </w:rPr>
        <w:t>76A</w:t>
      </w:r>
      <w:r>
        <w:t>.</w:t>
      </w:r>
      <w:r>
        <w:tab/>
        <w:t>Termination of agreement by lessor if premises abandoned</w:t>
      </w:r>
      <w:bookmarkEnd w:id="353"/>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the approved form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lastRenderedPageBreak/>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 amended: No. 11 of 2024 s. 37.]</w:t>
      </w:r>
    </w:p>
    <w:p>
      <w:pPr>
        <w:pStyle w:val="Heading5"/>
      </w:pPr>
      <w:bookmarkStart w:id="354" w:name="_Toc225329780"/>
      <w:r>
        <w:rPr>
          <w:rStyle w:val="CharSectno"/>
        </w:rPr>
        <w:t>76B</w:t>
      </w:r>
      <w:r>
        <w:t>.</w:t>
      </w:r>
      <w:r>
        <w:tab/>
        <w:t>Dispute about s. 76A notice</w:t>
      </w:r>
      <w:bookmarkEnd w:id="354"/>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5"/>
      </w:pPr>
      <w:bookmarkStart w:id="355" w:name="_Toc164778335"/>
      <w:bookmarkStart w:id="356" w:name="_Toc225329781"/>
      <w:bookmarkStart w:id="357" w:name="_Hlk225167602"/>
      <w:r>
        <w:rPr>
          <w:rStyle w:val="CharSectno"/>
        </w:rPr>
        <w:t>76BA</w:t>
      </w:r>
      <w:r>
        <w:t>.</w:t>
      </w:r>
      <w:r>
        <w:tab/>
        <w:t>Order about payment of security bond</w:t>
      </w:r>
      <w:bookmarkEnd w:id="355"/>
      <w:bookmarkEnd w:id="356"/>
    </w:p>
    <w:p>
      <w:pPr>
        <w:pStyle w:val="Subsection"/>
      </w:pPr>
      <w:r>
        <w:tab/>
        <w:t>(1)</w:t>
      </w:r>
      <w:r>
        <w:tab/>
        <w:t>This section applies if a competent court makes an order terminating a residential tenancy agreement.</w:t>
      </w:r>
    </w:p>
    <w:p>
      <w:pPr>
        <w:pStyle w:val="Subsection"/>
      </w:pPr>
      <w:r>
        <w:lastRenderedPageBreak/>
        <w:tab/>
        <w:t>(2)</w:t>
      </w:r>
      <w:r>
        <w:tab/>
        <w:t xml:space="preserve">The court may make an order — </w:t>
      </w:r>
    </w:p>
    <w:p>
      <w:pPr>
        <w:pStyle w:val="Indenta"/>
      </w:pPr>
      <w:r>
        <w:tab/>
        <w:t>(a)</w:t>
      </w:r>
      <w:r>
        <w:tab/>
        <w:t>that the lessor is entitled to payment of an amount from the security bond for the residential tenancy agreement under section 81E; and</w:t>
      </w:r>
    </w:p>
    <w:p>
      <w:pPr>
        <w:pStyle w:val="Indenta"/>
      </w:pPr>
      <w:r>
        <w:tab/>
        <w:t>(b)</w:t>
      </w:r>
      <w:r>
        <w:tab/>
        <w:t>that the balance of the security bond (if any) is payable to the tenant under the agreement or, if there are co</w:t>
      </w:r>
      <w:r>
        <w:noBreakHyphen/>
        <w:t>tenants, the amount of any balance that is payable to each of them.</w:t>
      </w:r>
    </w:p>
    <w:p>
      <w:pPr>
        <w:pStyle w:val="Subsection"/>
      </w:pPr>
      <w:r>
        <w:tab/>
        <w:t>(3)</w:t>
      </w:r>
      <w:r>
        <w:tab/>
        <w:t>The court may make an order under subsection (2) on the application of a party to the residential tenancy agreement or on its own initiative.</w:t>
      </w:r>
    </w:p>
    <w:p>
      <w:pPr>
        <w:pStyle w:val="Subsection"/>
      </w:pPr>
      <w:r>
        <w:tab/>
        <w:t>(4)</w:t>
      </w:r>
      <w:r>
        <w:tab/>
        <w:t>The court must ensure that a copy of an order made under subsection (2) is given to the bond administrator.</w:t>
      </w:r>
    </w:p>
    <w:bookmarkEnd w:id="357"/>
    <w:p>
      <w:pPr>
        <w:pStyle w:val="Footnotesection"/>
        <w:spacing w:before="100"/>
      </w:pPr>
      <w:r>
        <w:tab/>
        <w:t>[Section 76BA inserted: No. 11 of 2024 s. 38.]</w:t>
      </w:r>
    </w:p>
    <w:p>
      <w:pPr>
        <w:pStyle w:val="Heading3"/>
      </w:pPr>
      <w:bookmarkStart w:id="358" w:name="_Toc225166123"/>
      <w:bookmarkStart w:id="359" w:name="_Toc225170882"/>
      <w:bookmarkStart w:id="360" w:name="_Toc225171497"/>
      <w:bookmarkStart w:id="361" w:name="_Toc225171809"/>
      <w:bookmarkStart w:id="362" w:name="_Toc225235454"/>
      <w:bookmarkStart w:id="363" w:name="_Toc225328943"/>
      <w:bookmarkStart w:id="364" w:name="_Toc225329782"/>
      <w:r>
        <w:rPr>
          <w:rStyle w:val="CharDivNo"/>
        </w:rPr>
        <w:t>Division 5</w:t>
      </w:r>
      <w:r>
        <w:t> — </w:t>
      </w:r>
      <w:r>
        <w:rPr>
          <w:rStyle w:val="CharDivText"/>
        </w:rPr>
        <w:t>General</w:t>
      </w:r>
      <w:bookmarkEnd w:id="358"/>
      <w:bookmarkEnd w:id="359"/>
      <w:bookmarkEnd w:id="360"/>
      <w:bookmarkEnd w:id="361"/>
      <w:bookmarkEnd w:id="362"/>
      <w:bookmarkEnd w:id="363"/>
      <w:bookmarkEnd w:id="364"/>
    </w:p>
    <w:p>
      <w:pPr>
        <w:pStyle w:val="Footnoteheading"/>
        <w:keepNext/>
        <w:spacing w:before="80"/>
      </w:pPr>
      <w:r>
        <w:tab/>
        <w:t>[Heading inserted: No. 60 of 2011 s. 74.]</w:t>
      </w:r>
    </w:p>
    <w:p>
      <w:pPr>
        <w:pStyle w:val="Heading5"/>
      </w:pPr>
      <w:bookmarkStart w:id="365" w:name="_Toc225329783"/>
      <w:r>
        <w:rPr>
          <w:rStyle w:val="CharSectno"/>
        </w:rPr>
        <w:t>76C</w:t>
      </w:r>
      <w:r>
        <w:t>.</w:t>
      </w:r>
      <w:r>
        <w:tab/>
        <w:t>Fixed term tenancies continued as periodic tenancies</w:t>
      </w:r>
      <w:bookmarkEnd w:id="365"/>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366" w:name="_Toc225329784"/>
      <w:r>
        <w:rPr>
          <w:rStyle w:val="CharSectno"/>
        </w:rPr>
        <w:lastRenderedPageBreak/>
        <w:t>76</w:t>
      </w:r>
      <w:r>
        <w:rPr>
          <w:snapToGrid w:val="0"/>
        </w:rPr>
        <w:t>.</w:t>
      </w:r>
      <w:r>
        <w:rPr>
          <w:snapToGrid w:val="0"/>
        </w:rPr>
        <w:tab/>
        <w:t>Compensation to lessor for holding over</w:t>
      </w:r>
      <w:bookmarkEnd w:id="366"/>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367" w:name="_Toc225329785"/>
      <w:r>
        <w:rPr>
          <w:rStyle w:val="CharSectno"/>
        </w:rPr>
        <w:t>77</w:t>
      </w:r>
      <w:r>
        <w:t>.</w:t>
      </w:r>
      <w:r>
        <w:tab/>
        <w:t>Abandonment of premises</w:t>
      </w:r>
      <w:bookmarkEnd w:id="367"/>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the approved form.</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 xml:space="preserve">If the tenant fails to notify the lessor within 24 hours after notice has been given under subsection (3) that the premises have not </w:t>
      </w:r>
      <w:r>
        <w:lastRenderedPageBreak/>
        <w:t>been abandoned, the lessor may enter the premises for the purposes of inspecting and securing them.</w:t>
      </w:r>
    </w:p>
    <w:p>
      <w:pPr>
        <w:pStyle w:val="Footnotesection"/>
      </w:pPr>
      <w:r>
        <w:tab/>
        <w:t>[Section 77 inserted: No. 60 of 2011 s. 75; amended: No. 11 of 2024 s. 39.]</w:t>
      </w:r>
    </w:p>
    <w:p>
      <w:pPr>
        <w:pStyle w:val="Heading5"/>
      </w:pPr>
      <w:bookmarkStart w:id="368" w:name="_Toc225329786"/>
      <w:r>
        <w:rPr>
          <w:rStyle w:val="CharSectno"/>
        </w:rPr>
        <w:t>78A</w:t>
      </w:r>
      <w:r>
        <w:t>.</w:t>
      </w:r>
      <w:r>
        <w:tab/>
        <w:t>Order about abandonment</w:t>
      </w:r>
      <w:bookmarkEnd w:id="368"/>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369" w:name="_Toc225329787"/>
      <w:r>
        <w:rPr>
          <w:rStyle w:val="CharSectno"/>
        </w:rPr>
        <w:t>78B</w:t>
      </w:r>
      <w:r>
        <w:t>.</w:t>
      </w:r>
      <w:r>
        <w:tab/>
        <w:t>Review of abandonment order</w:t>
      </w:r>
      <w:bookmarkEnd w:id="369"/>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lastRenderedPageBreak/>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370" w:name="_Toc225329788"/>
      <w:r>
        <w:rPr>
          <w:rStyle w:val="CharSectno"/>
        </w:rPr>
        <w:t>78</w:t>
      </w:r>
      <w:r>
        <w:rPr>
          <w:snapToGrid w:val="0"/>
        </w:rPr>
        <w:t>.</w:t>
      </w:r>
      <w:r>
        <w:rPr>
          <w:snapToGrid w:val="0"/>
        </w:rPr>
        <w:tab/>
      </w:r>
      <w:r>
        <w:rPr>
          <w:bCs/>
        </w:rPr>
        <w:t>Right of lessor to compensation where tenant abandons premises</w:t>
      </w:r>
      <w:bookmarkEnd w:id="370"/>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371" w:name="_Toc225329789"/>
      <w:r>
        <w:rPr>
          <w:rStyle w:val="CharSectno"/>
        </w:rPr>
        <w:t>79</w:t>
      </w:r>
      <w:r>
        <w:rPr>
          <w:snapToGrid w:val="0"/>
        </w:rPr>
        <w:t>.</w:t>
      </w:r>
      <w:r>
        <w:rPr>
          <w:snapToGrid w:val="0"/>
        </w:rPr>
        <w:tab/>
        <w:t>Abandoned goods</w:t>
      </w:r>
      <w:bookmarkEnd w:id="371"/>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lastRenderedPageBreak/>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keepNext/>
      </w:pPr>
      <w:r>
        <w:tab/>
        <w:t>(3)</w:t>
      </w:r>
      <w:r>
        <w:tab/>
        <w:t xml:space="preserve">A lessor who stores goods under subsection (2) must cause notice in or to the effect of the approved form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w:t>
      </w:r>
      <w:r>
        <w:rPr>
          <w:snapToGrid w:val="0"/>
        </w:rPr>
        <w:lastRenderedPageBreak/>
        <w:t xml:space="preserve">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lastRenderedPageBreak/>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lastRenderedPageBreak/>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No. 11 of 2024 s. 40.] </w:t>
      </w:r>
    </w:p>
    <w:p>
      <w:pPr>
        <w:pStyle w:val="Heading5"/>
      </w:pPr>
      <w:bookmarkStart w:id="372" w:name="_Toc225329790"/>
      <w:r>
        <w:rPr>
          <w:rStyle w:val="CharSectno"/>
        </w:rPr>
        <w:t>80A</w:t>
      </w:r>
      <w:r>
        <w:t>.</w:t>
      </w:r>
      <w:r>
        <w:tab/>
        <w:t>Abandoned documents</w:t>
      </w:r>
      <w:bookmarkEnd w:id="372"/>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lastRenderedPageBreak/>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373" w:name="_Toc225329791"/>
      <w:r>
        <w:rPr>
          <w:rStyle w:val="CharSectno"/>
        </w:rPr>
        <w:lastRenderedPageBreak/>
        <w:t>80</w:t>
      </w:r>
      <w:r>
        <w:rPr>
          <w:snapToGrid w:val="0"/>
        </w:rPr>
        <w:t>.</w:t>
      </w:r>
      <w:r>
        <w:rPr>
          <w:snapToGrid w:val="0"/>
        </w:rPr>
        <w:tab/>
        <w:t>Recovery of possession of premises prohibited except by court order</w:t>
      </w:r>
      <w:bookmarkEnd w:id="373"/>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374" w:name="_Toc225329792"/>
      <w:r>
        <w:rPr>
          <w:rStyle w:val="CharSectno"/>
        </w:rPr>
        <w:t>81A</w:t>
      </w:r>
      <w:r>
        <w:t>.</w:t>
      </w:r>
      <w:r>
        <w:tab/>
        <w:t>Mortgagee repossessions of rented properties</w:t>
      </w:r>
      <w:bookmarkEnd w:id="374"/>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the approved form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 xml:space="preserve">is not, during the period of 30 days following the date on which the tenant is given the notice to vacate, required </w:t>
      </w:r>
      <w:r>
        <w:lastRenderedPageBreak/>
        <w:t>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keepNext/>
        <w:keepLines/>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keepNext/>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No. 11 of 2024 s. 41.] </w:t>
      </w:r>
    </w:p>
    <w:p>
      <w:pPr>
        <w:pStyle w:val="Heading5"/>
      </w:pPr>
      <w:bookmarkStart w:id="375" w:name="_Toc225329793"/>
      <w:r>
        <w:rPr>
          <w:rStyle w:val="CharSectno"/>
        </w:rPr>
        <w:lastRenderedPageBreak/>
        <w:t>81B</w:t>
      </w:r>
      <w:r>
        <w:t>.</w:t>
      </w:r>
      <w:r>
        <w:tab/>
        <w:t>Notice of proposed recovery of premises by person with superior title</w:t>
      </w:r>
      <w:bookmarkEnd w:id="375"/>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keepNext/>
      </w:pPr>
      <w:r>
        <w:tab/>
        <w:t>(2)</w:t>
      </w:r>
      <w:r>
        <w:tab/>
        <w:t>The court must not make an order for possession unless it is satisfied —</w:t>
      </w:r>
    </w:p>
    <w:p>
      <w:pPr>
        <w:pStyle w:val="Indenta"/>
        <w:keepNext/>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of the proceedings, in the approved form,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amended: No. 11 of 2024 s. 42.] </w:t>
      </w:r>
    </w:p>
    <w:p>
      <w:pPr>
        <w:pStyle w:val="Heading5"/>
      </w:pPr>
      <w:bookmarkStart w:id="376" w:name="_Toc225329794"/>
      <w:r>
        <w:rPr>
          <w:rStyle w:val="CharSectno"/>
        </w:rPr>
        <w:t>81</w:t>
      </w:r>
      <w:r>
        <w:t>.</w:t>
      </w:r>
      <w:r>
        <w:tab/>
        <w:t>Order for tenancy against person with superior title</w:t>
      </w:r>
      <w:bookmarkEnd w:id="376"/>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lastRenderedPageBreak/>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377" w:name="_Toc164778005"/>
      <w:bookmarkStart w:id="378" w:name="_Toc164778173"/>
      <w:bookmarkStart w:id="379" w:name="_Toc164778341"/>
      <w:bookmarkStart w:id="380" w:name="_Toc225170895"/>
      <w:bookmarkStart w:id="381" w:name="_Toc225171510"/>
      <w:bookmarkStart w:id="382" w:name="_Toc225171822"/>
      <w:bookmarkStart w:id="383" w:name="_Toc225235467"/>
      <w:bookmarkStart w:id="384" w:name="_Toc225328956"/>
      <w:bookmarkStart w:id="385" w:name="_Toc225329795"/>
      <w:r>
        <w:rPr>
          <w:rStyle w:val="CharPartNo"/>
        </w:rPr>
        <w:lastRenderedPageBreak/>
        <w:t>Part 5A</w:t>
      </w:r>
      <w:r>
        <w:t> — </w:t>
      </w:r>
      <w:r>
        <w:rPr>
          <w:rStyle w:val="CharPartText"/>
        </w:rPr>
        <w:t>Release of security bond</w:t>
      </w:r>
      <w:bookmarkEnd w:id="377"/>
      <w:bookmarkEnd w:id="378"/>
      <w:bookmarkEnd w:id="379"/>
      <w:bookmarkEnd w:id="380"/>
      <w:bookmarkEnd w:id="381"/>
      <w:bookmarkEnd w:id="382"/>
      <w:bookmarkEnd w:id="383"/>
      <w:bookmarkEnd w:id="384"/>
      <w:bookmarkEnd w:id="385"/>
    </w:p>
    <w:p>
      <w:pPr>
        <w:pStyle w:val="Footnoteheading"/>
      </w:pPr>
      <w:r>
        <w:tab/>
        <w:t xml:space="preserve">[Heading inserted: No. 11 of 2024 s. 43.] </w:t>
      </w:r>
    </w:p>
    <w:p>
      <w:pPr>
        <w:pStyle w:val="Heading3"/>
      </w:pPr>
      <w:bookmarkStart w:id="386" w:name="_Toc164778006"/>
      <w:bookmarkStart w:id="387" w:name="_Toc164778174"/>
      <w:bookmarkStart w:id="388" w:name="_Toc164778342"/>
      <w:bookmarkStart w:id="389" w:name="_Toc225170896"/>
      <w:bookmarkStart w:id="390" w:name="_Toc225171511"/>
      <w:bookmarkStart w:id="391" w:name="_Toc225171823"/>
      <w:bookmarkStart w:id="392" w:name="_Toc225235468"/>
      <w:bookmarkStart w:id="393" w:name="_Toc225328957"/>
      <w:bookmarkStart w:id="394" w:name="_Toc225329796"/>
      <w:r>
        <w:rPr>
          <w:rStyle w:val="CharDivNo"/>
        </w:rPr>
        <w:t>Division 1</w:t>
      </w:r>
      <w:r>
        <w:t> — </w:t>
      </w:r>
      <w:r>
        <w:rPr>
          <w:rStyle w:val="CharDivText"/>
        </w:rPr>
        <w:t>Application for release</w:t>
      </w:r>
      <w:bookmarkEnd w:id="386"/>
      <w:bookmarkEnd w:id="387"/>
      <w:bookmarkEnd w:id="388"/>
      <w:bookmarkEnd w:id="389"/>
      <w:bookmarkEnd w:id="390"/>
      <w:bookmarkEnd w:id="391"/>
      <w:bookmarkEnd w:id="392"/>
      <w:bookmarkEnd w:id="393"/>
      <w:bookmarkEnd w:id="394"/>
    </w:p>
    <w:p>
      <w:pPr>
        <w:pStyle w:val="Footnoteheading"/>
      </w:pPr>
      <w:r>
        <w:tab/>
        <w:t xml:space="preserve">[Heading inserted: No. 11 of 2024 s. 43.] </w:t>
      </w:r>
    </w:p>
    <w:p>
      <w:pPr>
        <w:pStyle w:val="Heading5"/>
      </w:pPr>
      <w:bookmarkStart w:id="395" w:name="_Toc164778343"/>
      <w:bookmarkStart w:id="396" w:name="_Toc225329797"/>
      <w:r>
        <w:rPr>
          <w:rStyle w:val="CharSectno"/>
        </w:rPr>
        <w:t>81C</w:t>
      </w:r>
      <w:r>
        <w:t>.</w:t>
      </w:r>
      <w:r>
        <w:tab/>
        <w:t>Application for release of security bond</w:t>
      </w:r>
      <w:bookmarkEnd w:id="395"/>
      <w:bookmarkEnd w:id="396"/>
    </w:p>
    <w:p>
      <w:pPr>
        <w:pStyle w:val="Subsection"/>
      </w:pPr>
      <w:r>
        <w:tab/>
        <w:t>(1)</w:t>
      </w:r>
      <w:r>
        <w:tab/>
        <w:t xml:space="preserve">One, some or all of the parties to a residential tenancy agreement may apply to the bond administrator, in the approved form, for the security bond for the agreement to be released (a </w:t>
      </w:r>
      <w:r>
        <w:rPr>
          <w:rStyle w:val="CharDefText"/>
        </w:rPr>
        <w:t>security bond release application</w:t>
      </w:r>
      <w:r>
        <w:t>).</w:t>
      </w:r>
    </w:p>
    <w:p>
      <w:pPr>
        <w:pStyle w:val="Subsection"/>
      </w:pPr>
      <w:r>
        <w:tab/>
        <w:t>(2)</w:t>
      </w:r>
      <w:r>
        <w:tab/>
        <w:t>The security bond release application must state the amount of the security bond to be paid to each party to the residential tenancy agreement.</w:t>
      </w:r>
    </w:p>
    <w:p>
      <w:pPr>
        <w:pStyle w:val="Subsection"/>
      </w:pPr>
      <w:r>
        <w:tab/>
        <w:t>(3)</w:t>
      </w:r>
      <w:r>
        <w:tab/>
        <w:t>The security bond release application must not be made before the residential tenancy agreement terminates.</w:t>
      </w:r>
    </w:p>
    <w:p>
      <w:pPr>
        <w:pStyle w:val="Subsection"/>
      </w:pPr>
      <w:r>
        <w:tab/>
        <w:t>(4)</w:t>
      </w:r>
      <w:r>
        <w:tab/>
        <w:t xml:space="preserve">However, the security bond release application may be made before the residential tenancy agreement terminates if — </w:t>
      </w:r>
    </w:p>
    <w:p>
      <w:pPr>
        <w:pStyle w:val="Indenta"/>
      </w:pPr>
      <w:r>
        <w:tab/>
        <w:t>(a)</w:t>
      </w:r>
      <w:r>
        <w:tab/>
        <w:t>the tenant or, if there are co</w:t>
      </w:r>
      <w:r>
        <w:noBreakHyphen/>
        <w:t>tenants, all of the tenants deliver up vacant possession of the premises; and</w:t>
      </w:r>
    </w:p>
    <w:p>
      <w:pPr>
        <w:pStyle w:val="Indenta"/>
      </w:pPr>
      <w:r>
        <w:tab/>
        <w:t>(b)</w:t>
      </w:r>
      <w:r>
        <w:tab/>
        <w:t>the parties to the agreement agree in writing to terminate the agreement.</w:t>
      </w:r>
    </w:p>
    <w:p>
      <w:pPr>
        <w:pStyle w:val="Subsection"/>
      </w:pPr>
      <w:r>
        <w:tab/>
        <w:t>(5)</w:t>
      </w:r>
      <w:r>
        <w:tab/>
        <w:t xml:space="preserve">The lessor and property manager must not ask or require a tenant to sign a security bond release application unless — </w:t>
      </w:r>
    </w:p>
    <w:p>
      <w:pPr>
        <w:pStyle w:val="Indenta"/>
      </w:pPr>
      <w:r>
        <w:tab/>
        <w:t>(a)</w:t>
      </w:r>
      <w:r>
        <w:tab/>
        <w:t>the residential tenancy agreement has terminated or subsection (4) or section 81D applies; and</w:t>
      </w:r>
    </w:p>
    <w:p>
      <w:pPr>
        <w:pStyle w:val="Indenta"/>
      </w:pPr>
      <w:r>
        <w:tab/>
        <w:t>(b)</w:t>
      </w:r>
      <w:r>
        <w:tab/>
        <w:t>the application states the amount of the security bond (if any) to be paid to the lessor and the tenant or, if there are co</w:t>
      </w:r>
      <w:r>
        <w:noBreakHyphen/>
        <w:t>tenants, each tenant.</w:t>
      </w:r>
    </w:p>
    <w:p>
      <w:pPr>
        <w:pStyle w:val="Penstart"/>
      </w:pPr>
      <w:r>
        <w:tab/>
        <w:t>Penalty for this subsection: a fine of $5 000.</w:t>
      </w:r>
    </w:p>
    <w:p>
      <w:pPr>
        <w:pStyle w:val="Footnotesection"/>
      </w:pPr>
      <w:r>
        <w:tab/>
        <w:t>[Section 81C inserted: No. 11 of 2024 s. 43.]</w:t>
      </w:r>
    </w:p>
    <w:p>
      <w:pPr>
        <w:pStyle w:val="Heading5"/>
      </w:pPr>
      <w:bookmarkStart w:id="397" w:name="_Toc164778344"/>
      <w:bookmarkStart w:id="398" w:name="_Toc225329798"/>
      <w:r>
        <w:rPr>
          <w:rStyle w:val="CharSectno"/>
        </w:rPr>
        <w:lastRenderedPageBreak/>
        <w:t>81D</w:t>
      </w:r>
      <w:r>
        <w:t>.</w:t>
      </w:r>
      <w:r>
        <w:tab/>
        <w:t>Application for partial release of security bond</w:t>
      </w:r>
      <w:bookmarkEnd w:id="397"/>
      <w:bookmarkEnd w:id="398"/>
    </w:p>
    <w:p>
      <w:pPr>
        <w:pStyle w:val="Subsection"/>
      </w:pPr>
      <w:r>
        <w:tab/>
        <w:t>(1)</w:t>
      </w:r>
      <w:r>
        <w:tab/>
        <w:t xml:space="preserve">A security bond release application under section 81C may apply for — </w:t>
      </w:r>
    </w:p>
    <w:p>
      <w:pPr>
        <w:pStyle w:val="Indenta"/>
      </w:pPr>
      <w:r>
        <w:tab/>
        <w:t>(a)</w:t>
      </w:r>
      <w:r>
        <w:tab/>
        <w:t xml:space="preserve">only part of a security bond for a residential tenancy agreement to be released; and </w:t>
      </w:r>
    </w:p>
    <w:p>
      <w:pPr>
        <w:pStyle w:val="Indenta"/>
      </w:pPr>
      <w:r>
        <w:tab/>
        <w:t>(b)</w:t>
      </w:r>
      <w:r>
        <w:tab/>
        <w:t>that part of the security bond to be paid to the tenant or, if there are co</w:t>
      </w:r>
      <w:r>
        <w:noBreakHyphen/>
        <w:t>tenants, 1 or more of the co</w:t>
      </w:r>
      <w:r>
        <w:noBreakHyphen/>
        <w:t>tenants.</w:t>
      </w:r>
    </w:p>
    <w:p>
      <w:pPr>
        <w:pStyle w:val="Subsection"/>
      </w:pPr>
      <w:r>
        <w:tab/>
        <w:t>(2)</w:t>
      </w:r>
      <w:r>
        <w:tab/>
        <w:t xml:space="preserve">An application may be made under subsection (1) only if — </w:t>
      </w:r>
    </w:p>
    <w:p>
      <w:pPr>
        <w:pStyle w:val="Indenta"/>
      </w:pPr>
      <w:r>
        <w:tab/>
        <w:t>(a)</w:t>
      </w:r>
      <w:r>
        <w:tab/>
        <w:t>the rent payable under the residential tenancy agreement has been reduced; or</w:t>
      </w:r>
    </w:p>
    <w:p>
      <w:pPr>
        <w:pStyle w:val="Indenta"/>
      </w:pPr>
      <w:r>
        <w:tab/>
        <w:t>(b)</w:t>
      </w:r>
      <w:r>
        <w:tab/>
        <w:t>the tenant paid the prescribed amount under section 29(b)(ii) in relation to a pet that the tenant was permitted to keep on the premises and the pet is no longer being kept on the premises; or</w:t>
      </w:r>
    </w:p>
    <w:p>
      <w:pPr>
        <w:pStyle w:val="Indenta"/>
      </w:pPr>
      <w:r>
        <w:tab/>
        <w:t>(c)</w:t>
      </w:r>
      <w:r>
        <w:tab/>
        <w:t>other prescribed circumstances exist.</w:t>
      </w:r>
    </w:p>
    <w:p>
      <w:pPr>
        <w:pStyle w:val="Subsection"/>
      </w:pPr>
      <w:r>
        <w:tab/>
        <w:t>(3)</w:t>
      </w:r>
      <w:r>
        <w:tab/>
        <w:t xml:space="preserve">Section 81C(3) does not apply in relation to an application under subsection (1). </w:t>
      </w:r>
    </w:p>
    <w:p>
      <w:pPr>
        <w:pStyle w:val="Subsection"/>
      </w:pPr>
      <w:r>
        <w:tab/>
        <w:t>(4)</w:t>
      </w:r>
      <w:r>
        <w:tab/>
        <w:t>This Part applies to a security bond release application under subsection (1) as if a reference in the Part to a security bond were a reference to the part of the security bond to which the application relates.</w:t>
      </w:r>
    </w:p>
    <w:p>
      <w:pPr>
        <w:pStyle w:val="Footnotesection"/>
      </w:pPr>
      <w:r>
        <w:tab/>
        <w:t>[Section 81D inserted: No. 11 of 2024 s. 43.]</w:t>
      </w:r>
    </w:p>
    <w:p>
      <w:pPr>
        <w:pStyle w:val="Heading5"/>
      </w:pPr>
      <w:bookmarkStart w:id="399" w:name="_Toc164778345"/>
      <w:bookmarkStart w:id="400" w:name="_Toc225329799"/>
      <w:r>
        <w:rPr>
          <w:rStyle w:val="CharSectno"/>
        </w:rPr>
        <w:t>81E</w:t>
      </w:r>
      <w:r>
        <w:t>.</w:t>
      </w:r>
      <w:r>
        <w:tab/>
        <w:t>Amounts for which lessor is entitled to payment from security bond</w:t>
      </w:r>
      <w:bookmarkEnd w:id="399"/>
      <w:bookmarkEnd w:id="400"/>
    </w:p>
    <w:p>
      <w:pPr>
        <w:pStyle w:val="Subsection"/>
      </w:pPr>
      <w:r>
        <w:tab/>
        <w:t>(1)</w:t>
      </w:r>
      <w:r>
        <w:tab/>
        <w:t xml:space="preserve">A lessor is entitled to payment from the security bond for a residential tenancy agreement of any of the following amounts — </w:t>
      </w:r>
    </w:p>
    <w:p>
      <w:pPr>
        <w:pStyle w:val="Indenta"/>
      </w:pPr>
      <w:r>
        <w:tab/>
        <w:t>(a)</w:t>
      </w:r>
      <w:r>
        <w:tab/>
        <w:t>the reasonable cost of repairs to the premises, or the restoration of the premises to their original condition, as a result of damage (other than fair wear and tear) caused by the tenant, an occupant or an invitee of the tenant;</w:t>
      </w:r>
    </w:p>
    <w:p>
      <w:pPr>
        <w:pStyle w:val="Indenta"/>
      </w:pPr>
      <w:r>
        <w:lastRenderedPageBreak/>
        <w:tab/>
        <w:t>(b)</w:t>
      </w:r>
      <w:r>
        <w:tab/>
        <w:t>the reasonable cost of repairs to, or replacement of, the chattels provided with the premises for use by the tenant as a result of damage (other than fair wear and tear) caused by the tenant, an occupant or an invitee of the tenant;</w:t>
      </w:r>
    </w:p>
    <w:p>
      <w:pPr>
        <w:pStyle w:val="Indenta"/>
      </w:pPr>
      <w:r>
        <w:tab/>
        <w:t>(c)</w:t>
      </w:r>
      <w:r>
        <w:tab/>
        <w:t>any rent or other charges owing and payable under the agreement or this Act;</w:t>
      </w:r>
    </w:p>
    <w:p>
      <w:pPr>
        <w:pStyle w:val="Indenta"/>
      </w:pPr>
      <w:r>
        <w:tab/>
        <w:t>(d)</w:t>
      </w:r>
      <w:r>
        <w:tab/>
        <w:t>the cost of cleaning any part of the premises not left reasonably clean by the tenant, having regard to the condition of the premises at the start of the tenancy;</w:t>
      </w:r>
    </w:p>
    <w:p>
      <w:pPr>
        <w:pStyle w:val="Indenta"/>
      </w:pPr>
      <w:r>
        <w:tab/>
        <w:t>(e)</w:t>
      </w:r>
      <w:r>
        <w:tab/>
        <w:t>subject to section 50ZD(2), the cost of replacing locks or other security devices altered, removed or added by the tenant without the consent of the lessor;</w:t>
      </w:r>
    </w:p>
    <w:p>
      <w:pPr>
        <w:pStyle w:val="Indenta"/>
      </w:pPr>
      <w:r>
        <w:tab/>
        <w:t>(f)</w:t>
      </w:r>
      <w:r>
        <w:tab/>
        <w:t>an amount the tenant is liable to pay to the lessor for a breach of the agreement.</w:t>
      </w:r>
    </w:p>
    <w:p>
      <w:pPr>
        <w:pStyle w:val="Subsection"/>
      </w:pPr>
      <w:r>
        <w:tab/>
        <w:t>(2)</w:t>
      </w:r>
      <w:r>
        <w:tab/>
        <w:t xml:space="preserve">If the security bond includes the prescribed amount mentioned in section 29(1)(b)(ii), the lessor is also entitled to payment from this amount of the security bond of the following amounts — </w:t>
      </w:r>
    </w:p>
    <w:p>
      <w:pPr>
        <w:pStyle w:val="Indenta"/>
      </w:pPr>
      <w:r>
        <w:tab/>
        <w:t>(a)</w:t>
      </w:r>
      <w:r>
        <w:tab/>
        <w:t>the reasonable cost of repairs to the premises, or the restoration of the premises to their original condition, as a result of damage caused by a pet kept at the premises;</w:t>
      </w:r>
    </w:p>
    <w:p>
      <w:pPr>
        <w:pStyle w:val="Indenta"/>
      </w:pPr>
      <w:r>
        <w:tab/>
        <w:t>(b)</w:t>
      </w:r>
      <w:r>
        <w:tab/>
        <w:t>if the lessor considers it is necessary for the premises to be fumigated because a pet the tenant kept on the premises is capable of carrying parasites that can affect humans — the reasonable cost of fumigating the premises;</w:t>
      </w:r>
    </w:p>
    <w:p>
      <w:pPr>
        <w:pStyle w:val="Indenta"/>
      </w:pPr>
      <w:r>
        <w:tab/>
        <w:t>(c)</w:t>
      </w:r>
      <w:r>
        <w:tab/>
        <w:t>other reasonable costs arising out of the keeping of the pet on the premises.</w:t>
      </w:r>
    </w:p>
    <w:p>
      <w:pPr>
        <w:pStyle w:val="Subsection"/>
      </w:pPr>
      <w:r>
        <w:tab/>
        <w:t>(3)</w:t>
      </w:r>
      <w:r>
        <w:tab/>
        <w:t>Subsections (1) and (2) do not limit the matters for which the lessor may claim an amount from the security bond.</w:t>
      </w:r>
    </w:p>
    <w:p>
      <w:pPr>
        <w:pStyle w:val="Subsection"/>
      </w:pPr>
      <w:r>
        <w:lastRenderedPageBreak/>
        <w:tab/>
        <w:t>(4)</w:t>
      </w:r>
      <w:r>
        <w:tab/>
        <w:t>Subsection (2) does not limit the matters for which the lessor may claim an amount relating to the keeping of a pet on the premises from the security bond.</w:t>
      </w:r>
    </w:p>
    <w:p>
      <w:pPr>
        <w:pStyle w:val="Subsection"/>
      </w:pPr>
      <w:r>
        <w:tab/>
        <w:t>(5)</w:t>
      </w:r>
      <w:r>
        <w:tab/>
        <w:t>A lessor is not entitled to payment from the security bond for a residential tenancy agreement of an amount prescribed for the purposes of this subsection.</w:t>
      </w:r>
    </w:p>
    <w:p>
      <w:pPr>
        <w:pStyle w:val="Footnotesection"/>
      </w:pPr>
      <w:r>
        <w:tab/>
        <w:t>[Section 81E inserted: No. 11 of 2024 s. 43.]</w:t>
      </w:r>
    </w:p>
    <w:p>
      <w:pPr>
        <w:pStyle w:val="Heading5"/>
      </w:pPr>
      <w:bookmarkStart w:id="401" w:name="_Toc164778346"/>
      <w:bookmarkStart w:id="402" w:name="_Toc225329800"/>
      <w:r>
        <w:rPr>
          <w:rStyle w:val="CharSectno"/>
        </w:rPr>
        <w:t>81F</w:t>
      </w:r>
      <w:r>
        <w:t>.</w:t>
      </w:r>
      <w:r>
        <w:tab/>
        <w:t>Notice of security bond release application to other parties</w:t>
      </w:r>
      <w:bookmarkEnd w:id="401"/>
      <w:bookmarkEnd w:id="402"/>
    </w:p>
    <w:p>
      <w:pPr>
        <w:pStyle w:val="Subsection"/>
      </w:pPr>
      <w:r>
        <w:tab/>
        <w:t>(1)</w:t>
      </w:r>
      <w:r>
        <w:tab/>
        <w:t xml:space="preserve">This section applies if a security bond release application for a residential tenancy agreement is not made by each person known to the bond administrator as a party to the agreement (a </w:t>
      </w:r>
      <w:r>
        <w:rPr>
          <w:rStyle w:val="CharDefText"/>
        </w:rPr>
        <w:t>known party</w:t>
      </w:r>
      <w:r>
        <w:t>).</w:t>
      </w:r>
    </w:p>
    <w:p>
      <w:pPr>
        <w:pStyle w:val="Subsection"/>
      </w:pPr>
      <w:r>
        <w:tab/>
        <w:t>(2)</w:t>
      </w:r>
      <w:r>
        <w:tab/>
        <w:t>The bond administrator must give written notice of the security bond release application to each known party who did not make the application.</w:t>
      </w:r>
    </w:p>
    <w:p>
      <w:pPr>
        <w:pStyle w:val="Subsection"/>
      </w:pPr>
      <w:r>
        <w:tab/>
        <w:t>(3)</w:t>
      </w:r>
      <w:r>
        <w:tab/>
        <w:t xml:space="preserve">The notice must state that — </w:t>
      </w:r>
    </w:p>
    <w:p>
      <w:pPr>
        <w:pStyle w:val="Indenta"/>
      </w:pPr>
      <w:r>
        <w:tab/>
        <w:t>(a)</w:t>
      </w:r>
      <w:r>
        <w:tab/>
        <w:t>during the notice period, the party may agree to the security bond release application under section 81G or dispute the application under section 81H; and</w:t>
      </w:r>
    </w:p>
    <w:p>
      <w:pPr>
        <w:pStyle w:val="Indenta"/>
      </w:pPr>
      <w:r>
        <w:tab/>
        <w:t>(b)</w:t>
      </w:r>
      <w:r>
        <w:tab/>
        <w:t xml:space="preserve">the application will be referred to the Commissioner to decide if the party or another party — </w:t>
      </w:r>
    </w:p>
    <w:p>
      <w:pPr>
        <w:pStyle w:val="Indenti"/>
      </w:pPr>
      <w:r>
        <w:tab/>
        <w:t>(i)</w:t>
      </w:r>
      <w:r>
        <w:tab/>
        <w:t>disputes the application under section 81H during the notice period; or</w:t>
      </w:r>
    </w:p>
    <w:p>
      <w:pPr>
        <w:pStyle w:val="Indenti"/>
      </w:pPr>
      <w:r>
        <w:tab/>
        <w:t>(ii)</w:t>
      </w:r>
      <w:r>
        <w:tab/>
        <w:t>does not respond to the notice under section 81G or 81H during the notice period;</w:t>
      </w:r>
    </w:p>
    <w:p>
      <w:pPr>
        <w:pStyle w:val="Indenta"/>
      </w:pPr>
      <w:r>
        <w:tab/>
      </w:r>
      <w:r>
        <w:tab/>
        <w:t>and</w:t>
      </w:r>
    </w:p>
    <w:p>
      <w:pPr>
        <w:pStyle w:val="Indenta"/>
      </w:pPr>
      <w:r>
        <w:tab/>
        <w:t>(c)</w:t>
      </w:r>
      <w:r>
        <w:tab/>
        <w:t xml:space="preserve">before the Commissioner decides the application, the party may — </w:t>
      </w:r>
    </w:p>
    <w:p>
      <w:pPr>
        <w:pStyle w:val="Indenti"/>
      </w:pPr>
      <w:r>
        <w:tab/>
        <w:t>(i)</w:t>
      </w:r>
      <w:r>
        <w:tab/>
        <w:t>agree to a variation of the application; or</w:t>
      </w:r>
    </w:p>
    <w:p>
      <w:pPr>
        <w:pStyle w:val="Indenti"/>
      </w:pPr>
      <w:r>
        <w:tab/>
        <w:t>(ii)</w:t>
      </w:r>
      <w:r>
        <w:tab/>
        <w:t>under section 81J, withdraw notice of the party’s dispute of the application.</w:t>
      </w:r>
    </w:p>
    <w:p>
      <w:pPr>
        <w:pStyle w:val="Subsection"/>
      </w:pPr>
      <w:r>
        <w:lastRenderedPageBreak/>
        <w:tab/>
        <w:t>(4)</w:t>
      </w:r>
      <w:r>
        <w:tab/>
        <w:t xml:space="preserve">For the purposes of subsection (3), the </w:t>
      </w:r>
      <w:r>
        <w:rPr>
          <w:rStyle w:val="CharDefText"/>
        </w:rPr>
        <w:t>notice period</w:t>
      </w:r>
      <w:r>
        <w:t xml:space="preserve"> is the period — </w:t>
      </w:r>
    </w:p>
    <w:p>
      <w:pPr>
        <w:pStyle w:val="Indenta"/>
      </w:pPr>
      <w:r>
        <w:tab/>
        <w:t>(a)</w:t>
      </w:r>
      <w:r>
        <w:tab/>
        <w:t>starting when the party is given the notice under subsection (2); and</w:t>
      </w:r>
    </w:p>
    <w:p>
      <w:pPr>
        <w:pStyle w:val="Indenta"/>
      </w:pPr>
      <w:r>
        <w:tab/>
        <w:t>(b)</w:t>
      </w:r>
      <w:r>
        <w:tab/>
        <w:t>ending on the day stated in the notice as the day on which the notice period ends.</w:t>
      </w:r>
    </w:p>
    <w:p>
      <w:pPr>
        <w:pStyle w:val="Footnotesection"/>
      </w:pPr>
      <w:r>
        <w:tab/>
        <w:t>[Section 81F inserted: No. 11 of 2024 s. 43.]</w:t>
      </w:r>
    </w:p>
    <w:p>
      <w:pPr>
        <w:pStyle w:val="Heading5"/>
      </w:pPr>
      <w:bookmarkStart w:id="403" w:name="_Toc164778347"/>
      <w:bookmarkStart w:id="404" w:name="_Toc225329801"/>
      <w:r>
        <w:rPr>
          <w:rStyle w:val="CharSectno"/>
        </w:rPr>
        <w:t>81G</w:t>
      </w:r>
      <w:r>
        <w:t>.</w:t>
      </w:r>
      <w:r>
        <w:tab/>
        <w:t>Agreeing to security bond release application</w:t>
      </w:r>
      <w:bookmarkEnd w:id="403"/>
      <w:bookmarkEnd w:id="404"/>
    </w:p>
    <w:p>
      <w:pPr>
        <w:pStyle w:val="Subsection"/>
      </w:pPr>
      <w:r>
        <w:tab/>
        <w:t>(1)</w:t>
      </w:r>
      <w:r>
        <w:tab/>
        <w:t>A party to a residential tenancy agreement given notice of a security bond release application under section 81F(2) may agree to the application.</w:t>
      </w:r>
    </w:p>
    <w:p>
      <w:pPr>
        <w:pStyle w:val="Subsection"/>
      </w:pPr>
      <w:r>
        <w:tab/>
        <w:t>(2)</w:t>
      </w:r>
      <w:r>
        <w:tab/>
        <w:t>The party agrees to the security bond release application by giving the bond administrator written notice, in the prescribed way, of the party’s agreement to the security bond being paid in accordance with the application.</w:t>
      </w:r>
    </w:p>
    <w:p>
      <w:pPr>
        <w:pStyle w:val="Subsection"/>
      </w:pPr>
      <w:r>
        <w:tab/>
        <w:t>(3)</w:t>
      </w:r>
      <w:r>
        <w:tab/>
        <w:t>The bond administrator may accept notice of the party’s agreement after the notice period ends.</w:t>
      </w:r>
    </w:p>
    <w:p>
      <w:pPr>
        <w:pStyle w:val="Subsection"/>
      </w:pPr>
      <w:r>
        <w:tab/>
        <w:t>(4)</w:t>
      </w:r>
      <w:r>
        <w:tab/>
        <w:t>If the notice of agreement is given after the bond administrator refers the security bond release application to the Commissioner under section 81I, the bond administrator must notify the Commissioner of the receipt of the notice.</w:t>
      </w:r>
    </w:p>
    <w:p>
      <w:pPr>
        <w:pStyle w:val="Footnotesection"/>
      </w:pPr>
      <w:r>
        <w:tab/>
        <w:t>[Section 81G inserted: No. 11 of 2024 s. 43.]</w:t>
      </w:r>
    </w:p>
    <w:p>
      <w:pPr>
        <w:pStyle w:val="Heading5"/>
      </w:pPr>
      <w:bookmarkStart w:id="405" w:name="_Toc164778348"/>
      <w:bookmarkStart w:id="406" w:name="_Toc225329802"/>
      <w:r>
        <w:rPr>
          <w:rStyle w:val="CharSectno"/>
        </w:rPr>
        <w:t>81H</w:t>
      </w:r>
      <w:r>
        <w:t>.</w:t>
      </w:r>
      <w:r>
        <w:tab/>
        <w:t>Disputing security bond release application</w:t>
      </w:r>
      <w:bookmarkEnd w:id="405"/>
      <w:bookmarkEnd w:id="406"/>
    </w:p>
    <w:p>
      <w:pPr>
        <w:pStyle w:val="Subsection"/>
      </w:pPr>
      <w:r>
        <w:tab/>
        <w:t>(1)</w:t>
      </w:r>
      <w:r>
        <w:tab/>
        <w:t>A party to a residential tenancy agreement given notice of a security bond release application under section 81F(2) may dispute the application.</w:t>
      </w:r>
    </w:p>
    <w:p>
      <w:pPr>
        <w:pStyle w:val="Subsection"/>
      </w:pPr>
      <w:r>
        <w:tab/>
        <w:t>(2)</w:t>
      </w:r>
      <w:r>
        <w:tab/>
        <w:t>The party disputes the security bond release application by giving the bond administrator written notice, in the prescribed way, of the party’s dispute with the security bond being paid in accordance with the application (</w:t>
      </w:r>
      <w:r>
        <w:rPr>
          <w:rStyle w:val="CharDefText"/>
        </w:rPr>
        <w:t>notice of dispute</w:t>
      </w:r>
      <w:r>
        <w:t>).</w:t>
      </w:r>
    </w:p>
    <w:p>
      <w:pPr>
        <w:pStyle w:val="Subsection"/>
      </w:pPr>
      <w:r>
        <w:lastRenderedPageBreak/>
        <w:tab/>
        <w:t>(3)</w:t>
      </w:r>
      <w:r>
        <w:tab/>
        <w:t>The bond administrator may accept notice of dispute from the party after the notice period ends, but only if the bond administrator has not paid any of the security bond under Division 2.</w:t>
      </w:r>
    </w:p>
    <w:p>
      <w:pPr>
        <w:pStyle w:val="Footnotesection"/>
      </w:pPr>
      <w:r>
        <w:tab/>
        <w:t>[Section 81H inserted: No. 11 of 2024 s. 43.]</w:t>
      </w:r>
    </w:p>
    <w:p>
      <w:pPr>
        <w:pStyle w:val="Heading5"/>
      </w:pPr>
      <w:bookmarkStart w:id="407" w:name="_Toc164778349"/>
      <w:bookmarkStart w:id="408" w:name="_Toc225329803"/>
      <w:r>
        <w:rPr>
          <w:rStyle w:val="CharSectno"/>
        </w:rPr>
        <w:t>81I</w:t>
      </w:r>
      <w:r>
        <w:t>.</w:t>
      </w:r>
      <w:r>
        <w:tab/>
        <w:t>Referral of security bond release application to Commissioner for decision</w:t>
      </w:r>
      <w:bookmarkEnd w:id="407"/>
      <w:bookmarkEnd w:id="408"/>
    </w:p>
    <w:p>
      <w:pPr>
        <w:pStyle w:val="Subsection"/>
      </w:pPr>
      <w:r>
        <w:tab/>
        <w:t>(1)</w:t>
      </w:r>
      <w:r>
        <w:tab/>
        <w:t xml:space="preserve">The bond administrator must refer a security bond release application relating to a residential tenancy agreement to the Commissioner for decision if — </w:t>
      </w:r>
    </w:p>
    <w:p>
      <w:pPr>
        <w:pStyle w:val="Indenta"/>
      </w:pPr>
      <w:r>
        <w:tab/>
        <w:t>(a)</w:t>
      </w:r>
      <w:r>
        <w:tab/>
        <w:t>the bond administrator gives notice of the application to 1 or more parties to the agreement under section 81F(2); and</w:t>
      </w:r>
    </w:p>
    <w:p>
      <w:pPr>
        <w:pStyle w:val="Indenta"/>
      </w:pPr>
      <w:r>
        <w:tab/>
        <w:t>(b)</w:t>
      </w:r>
      <w:r>
        <w:tab/>
        <w:t xml:space="preserve">any of the following apply — </w:t>
      </w:r>
    </w:p>
    <w:p>
      <w:pPr>
        <w:pStyle w:val="Indenti"/>
      </w:pPr>
      <w:r>
        <w:tab/>
        <w:t>(i)</w:t>
      </w:r>
      <w:r>
        <w:tab/>
        <w:t>the bond administrator accepts notice of dispute of the application from 1 of the parties under section 81H;</w:t>
      </w:r>
    </w:p>
    <w:p>
      <w:pPr>
        <w:pStyle w:val="Indenti"/>
      </w:pPr>
      <w:r>
        <w:tab/>
        <w:t>(ii)</w:t>
      </w:r>
      <w:r>
        <w:tab/>
        <w:t>at least 1 of the parties does not respond to the notice under section 81G or 81H during the notice period and all of the parties do not otherwise agree to the application during that period;</w:t>
      </w:r>
    </w:p>
    <w:p>
      <w:pPr>
        <w:pStyle w:val="Indenti"/>
      </w:pPr>
      <w:r>
        <w:tab/>
        <w:t>(iii)</w:t>
      </w:r>
      <w:r>
        <w:tab/>
        <w:t>despite subparagraphs (i) and (ii), the parties to the agreement do not otherwise agree to the application during the notice period.</w:t>
      </w:r>
    </w:p>
    <w:p>
      <w:pPr>
        <w:pStyle w:val="Subsection"/>
      </w:pPr>
      <w:r>
        <w:tab/>
        <w:t>(2)</w:t>
      </w:r>
      <w:r>
        <w:tab/>
        <w:t>The bond administrator may give the Commissioner information about the security bond release application requested by the Commissioner for the purpose of deciding the application, including information about the security bond and residential tenancy agreement to which the application relates.</w:t>
      </w:r>
    </w:p>
    <w:p>
      <w:pPr>
        <w:pStyle w:val="Footnotesection"/>
      </w:pPr>
      <w:r>
        <w:tab/>
        <w:t>[Section 81I inserted: No. 11 of 2024 s. 43.]</w:t>
      </w:r>
    </w:p>
    <w:p>
      <w:pPr>
        <w:pStyle w:val="Heading5"/>
      </w:pPr>
      <w:bookmarkStart w:id="409" w:name="_Toc164778350"/>
      <w:bookmarkStart w:id="410" w:name="_Toc225329804"/>
      <w:r>
        <w:rPr>
          <w:rStyle w:val="CharSectno"/>
        </w:rPr>
        <w:lastRenderedPageBreak/>
        <w:t>81J</w:t>
      </w:r>
      <w:r>
        <w:t>.</w:t>
      </w:r>
      <w:r>
        <w:tab/>
        <w:t>Withdrawing dispute of application</w:t>
      </w:r>
      <w:bookmarkEnd w:id="409"/>
      <w:bookmarkEnd w:id="410"/>
    </w:p>
    <w:p>
      <w:pPr>
        <w:pStyle w:val="Subsection"/>
      </w:pPr>
      <w:r>
        <w:tab/>
        <w:t>(1)</w:t>
      </w:r>
      <w:r>
        <w:tab/>
        <w:t>A party to a residential tenancy agreement who gives the bond administrator notice of dispute under section 81H in relation to a security bond release application may withdraw the notice.</w:t>
      </w:r>
    </w:p>
    <w:p>
      <w:pPr>
        <w:pStyle w:val="Subsection"/>
      </w:pPr>
      <w:r>
        <w:tab/>
        <w:t>(2)</w:t>
      </w:r>
      <w:r>
        <w:tab/>
        <w:t xml:space="preserve">The party withdraws the notice of dispute by giving the bond administrator written notice that the party — </w:t>
      </w:r>
    </w:p>
    <w:p>
      <w:pPr>
        <w:pStyle w:val="Indenta"/>
      </w:pPr>
      <w:r>
        <w:tab/>
        <w:t>(a)</w:t>
      </w:r>
      <w:r>
        <w:tab/>
        <w:t>withdraws the party’s notice of dispute; and</w:t>
      </w:r>
    </w:p>
    <w:p>
      <w:pPr>
        <w:pStyle w:val="Indenta"/>
      </w:pPr>
      <w:r>
        <w:tab/>
        <w:t>(b)</w:t>
      </w:r>
      <w:r>
        <w:tab/>
        <w:t>agrees to the security bond release application or a variation of the application.</w:t>
      </w:r>
    </w:p>
    <w:p>
      <w:pPr>
        <w:pStyle w:val="Subsection"/>
      </w:pPr>
      <w:r>
        <w:tab/>
        <w:t>(3)</w:t>
      </w:r>
      <w:r>
        <w:tab/>
        <w:t>If the bond administrator has referred the security bond release application to the Commissioner, the bond administrator must give the Commissioner a copy of the party’s notice under subsection (2).</w:t>
      </w:r>
    </w:p>
    <w:p>
      <w:pPr>
        <w:pStyle w:val="Footnotesection"/>
      </w:pPr>
      <w:r>
        <w:tab/>
        <w:t>[Section 81J inserted: No. 11 of 2024 s. 43.]</w:t>
      </w:r>
    </w:p>
    <w:p>
      <w:pPr>
        <w:pStyle w:val="Heading3"/>
      </w:pPr>
      <w:bookmarkStart w:id="411" w:name="_Toc164778015"/>
      <w:bookmarkStart w:id="412" w:name="_Toc164778183"/>
      <w:bookmarkStart w:id="413" w:name="_Toc164778351"/>
      <w:bookmarkStart w:id="414" w:name="_Toc225170905"/>
      <w:bookmarkStart w:id="415" w:name="_Toc225171520"/>
      <w:bookmarkStart w:id="416" w:name="_Toc225171832"/>
      <w:bookmarkStart w:id="417" w:name="_Toc225235477"/>
      <w:bookmarkStart w:id="418" w:name="_Toc225328966"/>
      <w:bookmarkStart w:id="419" w:name="_Toc225329805"/>
      <w:r>
        <w:rPr>
          <w:rStyle w:val="CharDivNo"/>
        </w:rPr>
        <w:t>Division 2</w:t>
      </w:r>
      <w:r>
        <w:t> — </w:t>
      </w:r>
      <w:r>
        <w:rPr>
          <w:rStyle w:val="CharDivText"/>
        </w:rPr>
        <w:t>Payment of security bond</w:t>
      </w:r>
      <w:bookmarkEnd w:id="411"/>
      <w:bookmarkEnd w:id="412"/>
      <w:bookmarkEnd w:id="413"/>
      <w:bookmarkEnd w:id="414"/>
      <w:bookmarkEnd w:id="415"/>
      <w:bookmarkEnd w:id="416"/>
      <w:bookmarkEnd w:id="417"/>
      <w:bookmarkEnd w:id="418"/>
      <w:bookmarkEnd w:id="419"/>
    </w:p>
    <w:p>
      <w:pPr>
        <w:pStyle w:val="Footnoteheading"/>
      </w:pPr>
      <w:bookmarkStart w:id="420" w:name="_Toc164778352"/>
      <w:r>
        <w:tab/>
        <w:t xml:space="preserve">[Heading inserted: No. 11 of 2024 s. 43.] </w:t>
      </w:r>
    </w:p>
    <w:p>
      <w:pPr>
        <w:pStyle w:val="Heading5"/>
      </w:pPr>
      <w:bookmarkStart w:id="421" w:name="_Toc225329806"/>
      <w:r>
        <w:rPr>
          <w:rStyle w:val="CharSectno"/>
        </w:rPr>
        <w:t>81K</w:t>
      </w:r>
      <w:r>
        <w:t>.</w:t>
      </w:r>
      <w:r>
        <w:tab/>
        <w:t>Payment of security bond with agreement of all parties</w:t>
      </w:r>
      <w:bookmarkEnd w:id="420"/>
      <w:bookmarkEnd w:id="421"/>
    </w:p>
    <w:p>
      <w:pPr>
        <w:pStyle w:val="Subsection"/>
      </w:pPr>
      <w:r>
        <w:tab/>
        <w:t>(1)</w:t>
      </w:r>
      <w:r>
        <w:tab/>
        <w:t xml:space="preserve">This section applies if each person the bond administrator knows is a party to a residential tenancy agreement (a </w:t>
      </w:r>
      <w:r>
        <w:rPr>
          <w:rStyle w:val="CharDefText"/>
        </w:rPr>
        <w:t>known party</w:t>
      </w:r>
      <w:r>
        <w:t xml:space="preserve">) — </w:t>
      </w:r>
    </w:p>
    <w:p>
      <w:pPr>
        <w:pStyle w:val="Indenta"/>
      </w:pPr>
      <w:r>
        <w:tab/>
        <w:t>(a)</w:t>
      </w:r>
      <w:r>
        <w:tab/>
        <w:t xml:space="preserve">makes a security bond release application in relation to the agreement; or </w:t>
      </w:r>
    </w:p>
    <w:p>
      <w:pPr>
        <w:pStyle w:val="Indenta"/>
      </w:pPr>
      <w:r>
        <w:tab/>
        <w:t>(b)</w:t>
      </w:r>
      <w:r>
        <w:tab/>
        <w:t>agrees to the application under section 81G or otherwise; or</w:t>
      </w:r>
    </w:p>
    <w:p>
      <w:pPr>
        <w:pStyle w:val="Indenta"/>
      </w:pPr>
      <w:r>
        <w:tab/>
        <w:t>(c)</w:t>
      </w:r>
      <w:r>
        <w:tab/>
        <w:t>if the party gave the bond administrator notice of dispute of the application under section 81H — withdraws the notice under section 81J.</w:t>
      </w:r>
    </w:p>
    <w:p>
      <w:pPr>
        <w:pStyle w:val="Subsection"/>
      </w:pPr>
      <w:r>
        <w:tab/>
        <w:t>(2)</w:t>
      </w:r>
      <w:r>
        <w:tab/>
        <w:t>This section also applies if each known party to the residential tenancy agreement agrees to a variation of the security bond release application.</w:t>
      </w:r>
    </w:p>
    <w:p>
      <w:pPr>
        <w:pStyle w:val="Subsection"/>
      </w:pPr>
      <w:r>
        <w:lastRenderedPageBreak/>
        <w:tab/>
        <w:t>(3)</w:t>
      </w:r>
      <w:r>
        <w:tab/>
        <w:t>The bond administrator must pay the security bond to the persons and in the amounts stated in the security bond release application or varied application.</w:t>
      </w:r>
    </w:p>
    <w:p>
      <w:pPr>
        <w:pStyle w:val="Footnotesection"/>
      </w:pPr>
      <w:r>
        <w:tab/>
        <w:t>[Section 81K inserted: No. 11 of 2024 s. 43.]</w:t>
      </w:r>
    </w:p>
    <w:p>
      <w:pPr>
        <w:pStyle w:val="Heading5"/>
      </w:pPr>
      <w:bookmarkStart w:id="422" w:name="_Toc164778353"/>
      <w:bookmarkStart w:id="423" w:name="_Toc225329807"/>
      <w:r>
        <w:rPr>
          <w:rStyle w:val="CharSectno"/>
        </w:rPr>
        <w:t>81L</w:t>
      </w:r>
      <w:r>
        <w:t>.</w:t>
      </w:r>
      <w:r>
        <w:tab/>
        <w:t>Payment of security bond following referral of application to Commissioner</w:t>
      </w:r>
      <w:bookmarkEnd w:id="422"/>
      <w:bookmarkEnd w:id="423"/>
      <w:r>
        <w:t xml:space="preserve"> </w:t>
      </w:r>
    </w:p>
    <w:p>
      <w:pPr>
        <w:pStyle w:val="Subsection"/>
      </w:pPr>
      <w:r>
        <w:tab/>
        <w:t>(1)</w:t>
      </w:r>
      <w:r>
        <w:tab/>
        <w:t xml:space="preserve">This section applies if the bond administrator — </w:t>
      </w:r>
    </w:p>
    <w:p>
      <w:pPr>
        <w:pStyle w:val="Indenta"/>
      </w:pPr>
      <w:r>
        <w:tab/>
        <w:t>(a)</w:t>
      </w:r>
      <w:r>
        <w:tab/>
        <w:t xml:space="preserve">receives a security bond release application in relation to a residential tenancy agreement; and </w:t>
      </w:r>
    </w:p>
    <w:p>
      <w:pPr>
        <w:pStyle w:val="Indenta"/>
      </w:pPr>
      <w:r>
        <w:tab/>
        <w:t>(b)</w:t>
      </w:r>
      <w:r>
        <w:tab/>
        <w:t>refers the application to the Commissioner under section 81I.</w:t>
      </w:r>
    </w:p>
    <w:p>
      <w:pPr>
        <w:pStyle w:val="Subsection"/>
      </w:pPr>
      <w:r>
        <w:tab/>
        <w:t>(2)</w:t>
      </w:r>
      <w:r>
        <w:tab/>
        <w:t xml:space="preserve">The bond administrator must not pay any of the security bond for the residential tenancy agreement to a person unless the bond administrator is given a copy of — </w:t>
      </w:r>
    </w:p>
    <w:p>
      <w:pPr>
        <w:pStyle w:val="Indenta"/>
      </w:pPr>
      <w:r>
        <w:tab/>
        <w:t>(a)</w:t>
      </w:r>
      <w:r>
        <w:tab/>
        <w:t>notice of the Commissioner’s decision on the security bond release application under section 81R; or</w:t>
      </w:r>
    </w:p>
    <w:p>
      <w:pPr>
        <w:pStyle w:val="Indenta"/>
      </w:pPr>
      <w:r>
        <w:tab/>
        <w:t>(b)</w:t>
      </w:r>
      <w:r>
        <w:tab/>
        <w:t>if the bond administrator is given notice that a party to the security bond release application has applied to the Magistrates Court for relief relating to the security bond — the court’s decision on the application.</w:t>
      </w:r>
    </w:p>
    <w:p>
      <w:pPr>
        <w:pStyle w:val="Subsection"/>
      </w:pPr>
      <w:r>
        <w:tab/>
        <w:t>(3)</w:t>
      </w:r>
      <w:r>
        <w:tab/>
        <w:t>The bond administrator must pay the security bond to the persons and in the amounts stated in the decision of the Commissioner or the court, as the case may be.</w:t>
      </w:r>
    </w:p>
    <w:p>
      <w:pPr>
        <w:pStyle w:val="Footnotesection"/>
      </w:pPr>
      <w:r>
        <w:tab/>
        <w:t>[Section 81L inserted: No. 11 of 2024 s. 43.]</w:t>
      </w:r>
    </w:p>
    <w:p>
      <w:pPr>
        <w:pStyle w:val="Heading5"/>
      </w:pPr>
      <w:bookmarkStart w:id="424" w:name="_Toc164778354"/>
      <w:bookmarkStart w:id="425" w:name="_Toc225329808"/>
      <w:r>
        <w:rPr>
          <w:rStyle w:val="CharSectno"/>
        </w:rPr>
        <w:t>81M</w:t>
      </w:r>
      <w:r>
        <w:t>.</w:t>
      </w:r>
      <w:r>
        <w:tab/>
        <w:t>Paying amount of bond assistance loan to Housing Authority</w:t>
      </w:r>
      <w:bookmarkEnd w:id="424"/>
      <w:bookmarkEnd w:id="425"/>
    </w:p>
    <w:p>
      <w:pPr>
        <w:pStyle w:val="Subsection"/>
      </w:pPr>
      <w:r>
        <w:tab/>
        <w:t>(1)</w:t>
      </w:r>
      <w:r>
        <w:tab/>
        <w:t xml:space="preserve">In this section — </w:t>
      </w:r>
    </w:p>
    <w:p>
      <w:pPr>
        <w:pStyle w:val="Defstart"/>
      </w:pPr>
      <w:r>
        <w:tab/>
      </w:r>
      <w:r>
        <w:rPr>
          <w:rStyle w:val="CharDefText"/>
        </w:rPr>
        <w:t>bond assistance loan</w:t>
      </w:r>
      <w:r>
        <w:t xml:space="preserve"> means a loan from the Housing Authority to assist a tenant to pay all or some of a security bond for a residential tenancy agreement.</w:t>
      </w:r>
    </w:p>
    <w:p>
      <w:pPr>
        <w:pStyle w:val="Subsection"/>
        <w:keepNext/>
      </w:pPr>
      <w:r>
        <w:lastRenderedPageBreak/>
        <w:tab/>
        <w:t>(2)</w:t>
      </w:r>
      <w:r>
        <w:tab/>
        <w:t xml:space="preserve">This section applies if — </w:t>
      </w:r>
    </w:p>
    <w:p>
      <w:pPr>
        <w:pStyle w:val="Indenta"/>
      </w:pPr>
      <w:r>
        <w:tab/>
        <w:t>(a)</w:t>
      </w:r>
      <w:r>
        <w:tab/>
        <w:t xml:space="preserve">an amount of the security bond for a residential tenancy agreement is payable to a tenant under this Division (the tenant’s </w:t>
      </w:r>
      <w:r>
        <w:rPr>
          <w:rStyle w:val="CharDefText"/>
        </w:rPr>
        <w:t>security bond refund amount</w:t>
      </w:r>
      <w:r>
        <w:t>); and</w:t>
      </w:r>
    </w:p>
    <w:p>
      <w:pPr>
        <w:pStyle w:val="Indenta"/>
      </w:pPr>
      <w:r>
        <w:tab/>
        <w:t>(b)</w:t>
      </w:r>
      <w:r>
        <w:tab/>
        <w:t>the bond administrator is aware that the tenant has a bond assistance loan that has not been repaid in full.</w:t>
      </w:r>
    </w:p>
    <w:p>
      <w:pPr>
        <w:pStyle w:val="Subsection"/>
      </w:pPr>
      <w:r>
        <w:tab/>
        <w:t>(3)</w:t>
      </w:r>
      <w:r>
        <w:tab/>
        <w:t>If requested by the Housing Authority, the bond administrator may pay all or some of the tenant’s security bond refund amount to the Housing Authority as payment of the amount of the tenant’s bond assistance loan that has not been repaid.</w:t>
      </w:r>
    </w:p>
    <w:p>
      <w:pPr>
        <w:pStyle w:val="Subsection"/>
      </w:pPr>
      <w:r>
        <w:tab/>
        <w:t>(4)</w:t>
      </w:r>
      <w:r>
        <w:tab/>
        <w:t>The balance of the tenant’s security bond refund amount that is not paid to the Housing Authority under subsection (3) (if any), becomes the amount of the security bond payable to the tenant under this Division.</w:t>
      </w:r>
    </w:p>
    <w:p>
      <w:pPr>
        <w:pStyle w:val="Subsection"/>
      </w:pPr>
      <w:r>
        <w:tab/>
        <w:t>(5)</w:t>
      </w:r>
      <w:r>
        <w:tab/>
        <w:t xml:space="preserve">This section applies despite another provision of this Division that requires the bond administrator to pay an amount of the security bond to the tenant. </w:t>
      </w:r>
    </w:p>
    <w:p>
      <w:pPr>
        <w:pStyle w:val="Footnotesection"/>
      </w:pPr>
      <w:r>
        <w:tab/>
        <w:t>[Section 81M inserted: No. 11 of 2024 s. 43.]</w:t>
      </w:r>
    </w:p>
    <w:p>
      <w:pPr>
        <w:pStyle w:val="Heading5"/>
      </w:pPr>
      <w:bookmarkStart w:id="426" w:name="_Toc164778355"/>
      <w:bookmarkStart w:id="427" w:name="_Toc225329809"/>
      <w:r>
        <w:rPr>
          <w:rStyle w:val="CharSectno"/>
        </w:rPr>
        <w:t>81N</w:t>
      </w:r>
      <w:r>
        <w:t>.</w:t>
      </w:r>
      <w:r>
        <w:tab/>
        <w:t>Payment of security bond in accordance with order of competent court</w:t>
      </w:r>
      <w:bookmarkEnd w:id="426"/>
      <w:bookmarkEnd w:id="427"/>
      <w:r>
        <w:t xml:space="preserve"> </w:t>
      </w:r>
    </w:p>
    <w:p>
      <w:pPr>
        <w:pStyle w:val="Subsection"/>
      </w:pPr>
      <w:r>
        <w:tab/>
        <w:t>(1)</w:t>
      </w:r>
      <w:r>
        <w:tab/>
        <w:t>This section applies if a competent court makes an order about the payment of the security bond for a residential tenancy agreement, other than the Magistrates Court in a decision referred to in section 81L(2)(b).</w:t>
      </w:r>
    </w:p>
    <w:p>
      <w:pPr>
        <w:pStyle w:val="Subsection"/>
      </w:pPr>
      <w:r>
        <w:tab/>
        <w:t>(2)</w:t>
      </w:r>
      <w:r>
        <w:tab/>
        <w:t>The bond administrator must pay the security bond to the persons and in the amounts stated in the order.</w:t>
      </w:r>
    </w:p>
    <w:p>
      <w:pPr>
        <w:pStyle w:val="Subsection"/>
      </w:pPr>
      <w:r>
        <w:tab/>
        <w:t>(3)</w:t>
      </w:r>
      <w:r>
        <w:tab/>
        <w:t>This section applies despite any other provision of this Part and whether or not a security bond release application is made in relation to the security bond.</w:t>
      </w:r>
    </w:p>
    <w:p>
      <w:pPr>
        <w:pStyle w:val="Footnotesection"/>
      </w:pPr>
      <w:r>
        <w:tab/>
        <w:t>[Section 81N inserted: No. 11 of 2024 s. 43.]</w:t>
      </w:r>
    </w:p>
    <w:p>
      <w:pPr>
        <w:pStyle w:val="Heading3"/>
      </w:pPr>
      <w:bookmarkStart w:id="428" w:name="_Toc164778020"/>
      <w:bookmarkStart w:id="429" w:name="_Toc164778188"/>
      <w:bookmarkStart w:id="430" w:name="_Toc164778356"/>
      <w:bookmarkStart w:id="431" w:name="_Toc225170910"/>
      <w:bookmarkStart w:id="432" w:name="_Toc225171525"/>
      <w:bookmarkStart w:id="433" w:name="_Toc225171837"/>
      <w:bookmarkStart w:id="434" w:name="_Toc225235482"/>
      <w:bookmarkStart w:id="435" w:name="_Toc225328971"/>
      <w:bookmarkStart w:id="436" w:name="_Toc225329810"/>
      <w:r>
        <w:rPr>
          <w:rStyle w:val="CharDivNo"/>
        </w:rPr>
        <w:lastRenderedPageBreak/>
        <w:t>Division 3</w:t>
      </w:r>
      <w:r>
        <w:t> — </w:t>
      </w:r>
      <w:r>
        <w:rPr>
          <w:rStyle w:val="CharDivText"/>
        </w:rPr>
        <w:t>Security bond release application decided by Commissioner</w:t>
      </w:r>
      <w:bookmarkEnd w:id="428"/>
      <w:bookmarkEnd w:id="429"/>
      <w:bookmarkEnd w:id="430"/>
      <w:bookmarkEnd w:id="431"/>
      <w:bookmarkEnd w:id="432"/>
      <w:bookmarkEnd w:id="433"/>
      <w:bookmarkEnd w:id="434"/>
      <w:bookmarkEnd w:id="435"/>
      <w:bookmarkEnd w:id="436"/>
    </w:p>
    <w:p>
      <w:pPr>
        <w:pStyle w:val="Footnoteheading"/>
      </w:pPr>
      <w:bookmarkStart w:id="437" w:name="_Toc164778357"/>
      <w:r>
        <w:tab/>
        <w:t xml:space="preserve">[Heading inserted: No. 11 of 2024 s. 43.] </w:t>
      </w:r>
    </w:p>
    <w:p>
      <w:pPr>
        <w:pStyle w:val="Heading5"/>
      </w:pPr>
      <w:bookmarkStart w:id="438" w:name="_Toc225329811"/>
      <w:r>
        <w:rPr>
          <w:rStyle w:val="CharSectno"/>
        </w:rPr>
        <w:t>81O</w:t>
      </w:r>
      <w:r>
        <w:t>.</w:t>
      </w:r>
      <w:r>
        <w:tab/>
        <w:t>Application of Division</w:t>
      </w:r>
      <w:bookmarkEnd w:id="437"/>
      <w:bookmarkEnd w:id="438"/>
    </w:p>
    <w:p>
      <w:pPr>
        <w:pStyle w:val="Subsection"/>
      </w:pPr>
      <w:r>
        <w:tab/>
      </w:r>
      <w:r>
        <w:tab/>
        <w:t>This Division applies if the bond administrator refers a security bond release application relating to a residential tenancy agreement to the Commissioner under section 81I.</w:t>
      </w:r>
    </w:p>
    <w:p>
      <w:pPr>
        <w:pStyle w:val="Footnotesection"/>
      </w:pPr>
      <w:r>
        <w:tab/>
        <w:t>[Section 81O inserted: No. 11 of 2024 s. 43.]</w:t>
      </w:r>
    </w:p>
    <w:p>
      <w:pPr>
        <w:pStyle w:val="Heading5"/>
      </w:pPr>
      <w:bookmarkStart w:id="439" w:name="_Toc164778358"/>
      <w:bookmarkStart w:id="440" w:name="_Toc225329812"/>
      <w:r>
        <w:rPr>
          <w:rStyle w:val="CharSectno"/>
        </w:rPr>
        <w:t>81P</w:t>
      </w:r>
      <w:r>
        <w:t>.</w:t>
      </w:r>
      <w:r>
        <w:tab/>
        <w:t>Known party to residential tenancy agreement</w:t>
      </w:r>
      <w:bookmarkEnd w:id="439"/>
      <w:bookmarkEnd w:id="440"/>
    </w:p>
    <w:p>
      <w:pPr>
        <w:pStyle w:val="Subsection"/>
      </w:pPr>
      <w:r>
        <w:tab/>
      </w:r>
      <w:r>
        <w:tab/>
        <w:t xml:space="preserve">In this Division, a person is a </w:t>
      </w:r>
      <w:r>
        <w:rPr>
          <w:rStyle w:val="CharDefText"/>
        </w:rPr>
        <w:t>known party</w:t>
      </w:r>
      <w:r>
        <w:t xml:space="preserve"> to a residential tenancy agreement if, when referring a security bond release application related to the agreement to the Commissioner, the bond administrator named the person as someone the bond administrator knows is a party to the agreement.</w:t>
      </w:r>
    </w:p>
    <w:p>
      <w:pPr>
        <w:pStyle w:val="Footnotesection"/>
      </w:pPr>
      <w:r>
        <w:tab/>
        <w:t>[Section 81P inserted: No. 11 of 2024 s. 43.]</w:t>
      </w:r>
    </w:p>
    <w:p>
      <w:pPr>
        <w:pStyle w:val="Heading5"/>
      </w:pPr>
      <w:bookmarkStart w:id="441" w:name="_Toc164778359"/>
      <w:bookmarkStart w:id="442" w:name="_Toc225329813"/>
      <w:r>
        <w:rPr>
          <w:rStyle w:val="CharSectno"/>
        </w:rPr>
        <w:t>81Q</w:t>
      </w:r>
      <w:r>
        <w:t>.</w:t>
      </w:r>
      <w:r>
        <w:tab/>
        <w:t>Notice of receipt of security bond release application</w:t>
      </w:r>
      <w:bookmarkEnd w:id="441"/>
      <w:bookmarkEnd w:id="442"/>
    </w:p>
    <w:p>
      <w:pPr>
        <w:pStyle w:val="Subsection"/>
      </w:pPr>
      <w:r>
        <w:tab/>
        <w:t>(1)</w:t>
      </w:r>
      <w:r>
        <w:tab/>
        <w:t>The Commissioner must give each known party to the residential tenancy agreement a written notice stating that the bond administrator has referred the security bond release application to the Commissioner for decision.</w:t>
      </w:r>
    </w:p>
    <w:p>
      <w:pPr>
        <w:pStyle w:val="Subsection"/>
      </w:pPr>
      <w:r>
        <w:tab/>
        <w:t>(2)</w:t>
      </w:r>
      <w:r>
        <w:tab/>
        <w:t xml:space="preserve">The notice given must state that — </w:t>
      </w:r>
    </w:p>
    <w:p>
      <w:pPr>
        <w:pStyle w:val="Indenta"/>
      </w:pPr>
      <w:r>
        <w:tab/>
        <w:t>(a)</w:t>
      </w:r>
      <w:r>
        <w:tab/>
        <w:t xml:space="preserve">the party may make a submission to the Commissioner about — </w:t>
      </w:r>
    </w:p>
    <w:p>
      <w:pPr>
        <w:pStyle w:val="Indenti"/>
      </w:pPr>
      <w:r>
        <w:tab/>
        <w:t>(i)</w:t>
      </w:r>
      <w:r>
        <w:tab/>
        <w:t>whether the lessor is entitled to claim payment of all or some of the security bond; and</w:t>
      </w:r>
    </w:p>
    <w:p>
      <w:pPr>
        <w:pStyle w:val="Indenti"/>
      </w:pPr>
      <w:r>
        <w:tab/>
        <w:t>(ii)</w:t>
      </w:r>
      <w:r>
        <w:tab/>
        <w:t>the party’s views about the amount of the security bond that should be paid to each party to the agreement;</w:t>
      </w:r>
    </w:p>
    <w:p>
      <w:pPr>
        <w:pStyle w:val="Indenta"/>
      </w:pPr>
      <w:r>
        <w:tab/>
      </w:r>
      <w:r>
        <w:tab/>
        <w:t>and</w:t>
      </w:r>
    </w:p>
    <w:p>
      <w:pPr>
        <w:pStyle w:val="Indenta"/>
      </w:pPr>
      <w:r>
        <w:lastRenderedPageBreak/>
        <w:tab/>
        <w:t>(b)</w:t>
      </w:r>
      <w:r>
        <w:tab/>
        <w:t>if the party gives a submission to the Commissioner by the day stated in the notice, the Commissioner will consider the party’s submission in deciding the application.</w:t>
      </w:r>
    </w:p>
    <w:p>
      <w:pPr>
        <w:pStyle w:val="Footnotesection"/>
      </w:pPr>
      <w:r>
        <w:tab/>
        <w:t>[Section 81Q inserted: No. 11 of 2024 s. 43.]</w:t>
      </w:r>
    </w:p>
    <w:p>
      <w:pPr>
        <w:pStyle w:val="Heading5"/>
      </w:pPr>
      <w:bookmarkStart w:id="443" w:name="_Toc164778360"/>
      <w:bookmarkStart w:id="444" w:name="_Toc225329814"/>
      <w:r>
        <w:rPr>
          <w:rStyle w:val="CharSectno"/>
        </w:rPr>
        <w:t>81R</w:t>
      </w:r>
      <w:r>
        <w:t>.</w:t>
      </w:r>
      <w:r>
        <w:tab/>
        <w:t>Deciding security bond release application</w:t>
      </w:r>
      <w:bookmarkEnd w:id="443"/>
      <w:bookmarkEnd w:id="444"/>
    </w:p>
    <w:p>
      <w:pPr>
        <w:pStyle w:val="Subsection"/>
      </w:pPr>
      <w:r>
        <w:tab/>
        <w:t>(1)</w:t>
      </w:r>
      <w:r>
        <w:tab/>
        <w:t xml:space="preserve">The Commissioner must decide the security bond release application for a residential tenancy agreement by — </w:t>
      </w:r>
    </w:p>
    <w:p>
      <w:pPr>
        <w:pStyle w:val="Indenta"/>
      </w:pPr>
      <w:r>
        <w:tab/>
        <w:t>(a)</w:t>
      </w:r>
      <w:r>
        <w:tab/>
        <w:t>deciding whether the lessor is entitled to be paid an amount from the security bond under section 81E; and</w:t>
      </w:r>
    </w:p>
    <w:p>
      <w:pPr>
        <w:pStyle w:val="Indenta"/>
      </w:pPr>
      <w:r>
        <w:tab/>
        <w:t>(b)</w:t>
      </w:r>
      <w:r>
        <w:tab/>
        <w:t>working out the balance (if any) of the security bond by subtracting the amount the Commissioner decides under paragraph (a) from the amount of the security bond; and</w:t>
      </w:r>
    </w:p>
    <w:p>
      <w:pPr>
        <w:pStyle w:val="Indenta"/>
      </w:pPr>
      <w:r>
        <w:tab/>
        <w:t>(c)</w:t>
      </w:r>
      <w:r>
        <w:tab/>
        <w:t>if there are 2 or more known parties who are tenants — deciding how the balance (if any) of the security bond is to be divided between them.</w:t>
      </w:r>
    </w:p>
    <w:p>
      <w:pPr>
        <w:pStyle w:val="Subsection"/>
      </w:pPr>
      <w:r>
        <w:tab/>
        <w:t>(2)</w:t>
      </w:r>
      <w:r>
        <w:tab/>
        <w:t>If there is only 1 known party who is a tenant, the Commissioner must decide that any balance of the security bond worked out under subsection (1)(b) is payable to the tenant.</w:t>
      </w:r>
    </w:p>
    <w:p>
      <w:pPr>
        <w:pStyle w:val="Footnotesection"/>
      </w:pPr>
      <w:r>
        <w:tab/>
        <w:t>[Section 81R inserted: No. 11 of 2024 s. 43.]</w:t>
      </w:r>
    </w:p>
    <w:p>
      <w:pPr>
        <w:pStyle w:val="Heading5"/>
      </w:pPr>
      <w:bookmarkStart w:id="445" w:name="_Toc164778361"/>
      <w:bookmarkStart w:id="446" w:name="_Toc225329815"/>
      <w:r>
        <w:rPr>
          <w:rStyle w:val="CharSectno"/>
        </w:rPr>
        <w:t>81S</w:t>
      </w:r>
      <w:r>
        <w:t>.</w:t>
      </w:r>
      <w:r>
        <w:tab/>
        <w:t>When Commissioner is not required to decide security bond release application</w:t>
      </w:r>
      <w:bookmarkEnd w:id="445"/>
      <w:bookmarkEnd w:id="446"/>
    </w:p>
    <w:p>
      <w:pPr>
        <w:pStyle w:val="Subsection"/>
      </w:pPr>
      <w:r>
        <w:tab/>
      </w:r>
      <w:r>
        <w:tab/>
        <w:t xml:space="preserve">The Commissioner is not required to decide a security bond release application for a residential tenancy agreement under section 81R if — </w:t>
      </w:r>
    </w:p>
    <w:p>
      <w:pPr>
        <w:pStyle w:val="Indenta"/>
      </w:pPr>
      <w:r>
        <w:tab/>
        <w:t>(a)</w:t>
      </w:r>
      <w:r>
        <w:tab/>
        <w:t>the Commissioner declines to decide the application under section 11L; or</w:t>
      </w:r>
    </w:p>
    <w:p>
      <w:pPr>
        <w:pStyle w:val="Indenta"/>
      </w:pPr>
      <w:r>
        <w:tab/>
        <w:t>(b)</w:t>
      </w:r>
      <w:r>
        <w:tab/>
        <w:t xml:space="preserve">the bond administrator notifies the Commissioner that each known party to the agreement — </w:t>
      </w:r>
    </w:p>
    <w:p>
      <w:pPr>
        <w:pStyle w:val="Indenti"/>
      </w:pPr>
      <w:r>
        <w:tab/>
        <w:t>(i)</w:t>
      </w:r>
      <w:r>
        <w:tab/>
        <w:t xml:space="preserve">made the application; or </w:t>
      </w:r>
    </w:p>
    <w:p>
      <w:pPr>
        <w:pStyle w:val="Indenti"/>
      </w:pPr>
      <w:r>
        <w:lastRenderedPageBreak/>
        <w:tab/>
        <w:t>(ii)</w:t>
      </w:r>
      <w:r>
        <w:tab/>
        <w:t>agreed to the application under section 81G or otherwise; or</w:t>
      </w:r>
    </w:p>
    <w:p>
      <w:pPr>
        <w:pStyle w:val="Indenti"/>
      </w:pPr>
      <w:r>
        <w:tab/>
        <w:t>(iii)</w:t>
      </w:r>
      <w:r>
        <w:tab/>
        <w:t>if the party gave the bond administrator notice of dispute of the application under section 81H — withdrew the notice under section 81J;</w:t>
      </w:r>
    </w:p>
    <w:p>
      <w:pPr>
        <w:pStyle w:val="Indenta"/>
      </w:pPr>
      <w:r>
        <w:tab/>
      </w:r>
      <w:r>
        <w:tab/>
        <w:t>or</w:t>
      </w:r>
    </w:p>
    <w:p>
      <w:pPr>
        <w:pStyle w:val="Indenta"/>
      </w:pPr>
      <w:r>
        <w:tab/>
        <w:t>(c)</w:t>
      </w:r>
      <w:r>
        <w:tab/>
        <w:t>the bond administrator notifies the Commissioner that each known party to the agreement agreed to a variation of the application.</w:t>
      </w:r>
    </w:p>
    <w:p>
      <w:pPr>
        <w:pStyle w:val="Footnotesection"/>
      </w:pPr>
      <w:r>
        <w:tab/>
        <w:t>[Section 81S inserted: No. 11 of 2024 s. 43.]</w:t>
      </w:r>
    </w:p>
    <w:p>
      <w:pPr>
        <w:pStyle w:val="Heading3"/>
      </w:pPr>
      <w:bookmarkStart w:id="447" w:name="_Toc164778026"/>
      <w:bookmarkStart w:id="448" w:name="_Toc164778194"/>
      <w:bookmarkStart w:id="449" w:name="_Toc164778362"/>
      <w:bookmarkStart w:id="450" w:name="_Toc225170916"/>
      <w:bookmarkStart w:id="451" w:name="_Toc225171531"/>
      <w:bookmarkStart w:id="452" w:name="_Toc225171843"/>
      <w:bookmarkStart w:id="453" w:name="_Toc225235488"/>
      <w:bookmarkStart w:id="454" w:name="_Toc225328977"/>
      <w:bookmarkStart w:id="455" w:name="_Toc225329816"/>
      <w:r>
        <w:rPr>
          <w:rStyle w:val="CharDivNo"/>
        </w:rPr>
        <w:t>Division 4</w:t>
      </w:r>
      <w:r>
        <w:t> — </w:t>
      </w:r>
      <w:r>
        <w:rPr>
          <w:rStyle w:val="CharDivText"/>
        </w:rPr>
        <w:t>General</w:t>
      </w:r>
      <w:bookmarkEnd w:id="447"/>
      <w:bookmarkEnd w:id="448"/>
      <w:bookmarkEnd w:id="449"/>
      <w:bookmarkEnd w:id="450"/>
      <w:bookmarkEnd w:id="451"/>
      <w:bookmarkEnd w:id="452"/>
      <w:bookmarkEnd w:id="453"/>
      <w:bookmarkEnd w:id="454"/>
      <w:bookmarkEnd w:id="455"/>
    </w:p>
    <w:p>
      <w:pPr>
        <w:pStyle w:val="Footnoteheading"/>
      </w:pPr>
      <w:bookmarkStart w:id="456" w:name="_Toc164778363"/>
      <w:r>
        <w:tab/>
        <w:t xml:space="preserve">[Heading inserted: No. 11 of 2024 s. 43.] </w:t>
      </w:r>
    </w:p>
    <w:p>
      <w:pPr>
        <w:pStyle w:val="Heading5"/>
      </w:pPr>
      <w:bookmarkStart w:id="457" w:name="_Toc225329817"/>
      <w:r>
        <w:rPr>
          <w:rStyle w:val="CharSectno"/>
        </w:rPr>
        <w:t>81T</w:t>
      </w:r>
      <w:r>
        <w:t>.</w:t>
      </w:r>
      <w:r>
        <w:tab/>
        <w:t>Unclaimed security bonds</w:t>
      </w:r>
      <w:bookmarkEnd w:id="456"/>
      <w:bookmarkEnd w:id="457"/>
    </w:p>
    <w:p>
      <w:pPr>
        <w:pStyle w:val="Subsection"/>
      </w:pPr>
      <w:r>
        <w:tab/>
        <w:t>(1)</w:t>
      </w:r>
      <w:r>
        <w:tab/>
        <w:t xml:space="preserve">This section applies if — </w:t>
      </w:r>
    </w:p>
    <w:p>
      <w:pPr>
        <w:pStyle w:val="Indenta"/>
      </w:pPr>
      <w:r>
        <w:tab/>
        <w:t>(a)</w:t>
      </w:r>
      <w:r>
        <w:tab/>
        <w:t>the bond administrator believes on reasonable grounds that a residential tenancy agreement has been terminated; and</w:t>
      </w:r>
    </w:p>
    <w:p>
      <w:pPr>
        <w:pStyle w:val="Indenta"/>
      </w:pPr>
      <w:r>
        <w:tab/>
        <w:t>(b)</w:t>
      </w:r>
      <w:r>
        <w:tab/>
        <w:t>6 months have passed since the agreement was terminated; and</w:t>
      </w:r>
    </w:p>
    <w:p>
      <w:pPr>
        <w:pStyle w:val="Indenta"/>
      </w:pPr>
      <w:r>
        <w:tab/>
        <w:t>(c)</w:t>
      </w:r>
      <w:r>
        <w:tab/>
        <w:t>the security bond for the agreement, or part of the security bond, has not been paid to any of the parties to the agreement under Division 2.</w:t>
      </w:r>
    </w:p>
    <w:p>
      <w:pPr>
        <w:pStyle w:val="Subsection"/>
      </w:pPr>
      <w:r>
        <w:tab/>
        <w:t>(2)</w:t>
      </w:r>
      <w:r>
        <w:tab/>
        <w:t>The bond administrator must deal with the security bond, or part of the security bond, in the prescribed way.</w:t>
      </w:r>
    </w:p>
    <w:p>
      <w:pPr>
        <w:pStyle w:val="Subsection"/>
      </w:pPr>
      <w:r>
        <w:tab/>
        <w:t>(3)</w:t>
      </w:r>
      <w:r>
        <w:tab/>
        <w:t xml:space="preserve">The regulations may provide for — </w:t>
      </w:r>
    </w:p>
    <w:p>
      <w:pPr>
        <w:pStyle w:val="Indenta"/>
      </w:pPr>
      <w:r>
        <w:tab/>
        <w:t>(a)</w:t>
      </w:r>
      <w:r>
        <w:tab/>
        <w:t>the process to be followed if an amount of a security bond for a residential tenancy agreement is unclaimed as referred to in subsection (1); and</w:t>
      </w:r>
    </w:p>
    <w:p>
      <w:pPr>
        <w:pStyle w:val="Indenta"/>
      </w:pPr>
      <w:r>
        <w:tab/>
        <w:t>(b)</w:t>
      </w:r>
      <w:r>
        <w:tab/>
        <w:t xml:space="preserve">if an amount of a security bond for a residential tenancy agreement remains unclaimed after the prescribed </w:t>
      </w:r>
      <w:r>
        <w:lastRenderedPageBreak/>
        <w:t>process is followed, how the amount is to be disposed of.</w:t>
      </w:r>
    </w:p>
    <w:p>
      <w:pPr>
        <w:pStyle w:val="Footnotesection"/>
      </w:pPr>
      <w:r>
        <w:tab/>
        <w:t>[Section 81T inserted: No. 11 of 2024 s. 43.]</w:t>
      </w:r>
    </w:p>
    <w:p>
      <w:pPr>
        <w:pStyle w:val="Heading2"/>
      </w:pPr>
      <w:bookmarkStart w:id="458" w:name="_Toc225166136"/>
      <w:bookmarkStart w:id="459" w:name="_Toc225170918"/>
      <w:bookmarkStart w:id="460" w:name="_Toc225171533"/>
      <w:bookmarkStart w:id="461" w:name="_Toc225171845"/>
      <w:bookmarkStart w:id="462" w:name="_Toc225235490"/>
      <w:bookmarkStart w:id="463" w:name="_Toc225328979"/>
      <w:bookmarkStart w:id="464" w:name="_Toc225329818"/>
      <w:r>
        <w:rPr>
          <w:rStyle w:val="CharPartNo"/>
        </w:rPr>
        <w:lastRenderedPageBreak/>
        <w:t>Part VIA</w:t>
      </w:r>
      <w:r>
        <w:t> — </w:t>
      </w:r>
      <w:r>
        <w:rPr>
          <w:rStyle w:val="CharPartText"/>
        </w:rPr>
        <w:t>Residential tenancy databases</w:t>
      </w:r>
      <w:bookmarkEnd w:id="458"/>
      <w:bookmarkEnd w:id="459"/>
      <w:bookmarkEnd w:id="460"/>
      <w:bookmarkEnd w:id="461"/>
      <w:bookmarkEnd w:id="462"/>
      <w:bookmarkEnd w:id="463"/>
      <w:bookmarkEnd w:id="464"/>
    </w:p>
    <w:p>
      <w:pPr>
        <w:pStyle w:val="Footnoteheading"/>
      </w:pPr>
      <w:r>
        <w:tab/>
        <w:t xml:space="preserve">[Heading inserted: No. 60 of 2011 s. 96.] </w:t>
      </w:r>
    </w:p>
    <w:p>
      <w:pPr>
        <w:pStyle w:val="Heading3"/>
      </w:pPr>
      <w:bookmarkStart w:id="465" w:name="_Toc225166137"/>
      <w:bookmarkStart w:id="466" w:name="_Toc225170919"/>
      <w:bookmarkStart w:id="467" w:name="_Toc225171534"/>
      <w:bookmarkStart w:id="468" w:name="_Toc225171846"/>
      <w:bookmarkStart w:id="469" w:name="_Toc225235491"/>
      <w:bookmarkStart w:id="470" w:name="_Toc225328980"/>
      <w:bookmarkStart w:id="471" w:name="_Toc225329819"/>
      <w:r>
        <w:rPr>
          <w:rStyle w:val="CharDivNo"/>
        </w:rPr>
        <w:t>Division 1</w:t>
      </w:r>
      <w:r>
        <w:t> — </w:t>
      </w:r>
      <w:r>
        <w:rPr>
          <w:rStyle w:val="CharDivText"/>
        </w:rPr>
        <w:t>Preliminary</w:t>
      </w:r>
      <w:bookmarkEnd w:id="465"/>
      <w:bookmarkEnd w:id="466"/>
      <w:bookmarkEnd w:id="467"/>
      <w:bookmarkEnd w:id="468"/>
      <w:bookmarkEnd w:id="469"/>
      <w:bookmarkEnd w:id="470"/>
      <w:bookmarkEnd w:id="471"/>
    </w:p>
    <w:p>
      <w:pPr>
        <w:pStyle w:val="Footnoteheading"/>
      </w:pPr>
      <w:r>
        <w:tab/>
        <w:t xml:space="preserve">[Heading inserted: No. 60 of 2011 s. 96.] </w:t>
      </w:r>
    </w:p>
    <w:p>
      <w:pPr>
        <w:pStyle w:val="Heading5"/>
      </w:pPr>
      <w:bookmarkStart w:id="472" w:name="_Toc225329820"/>
      <w:r>
        <w:rPr>
          <w:rStyle w:val="CharSectno"/>
        </w:rPr>
        <w:t>82A</w:t>
      </w:r>
      <w:r>
        <w:t>.</w:t>
      </w:r>
      <w:r>
        <w:tab/>
        <w:t>Terms used</w:t>
      </w:r>
      <w:bookmarkEnd w:id="472"/>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lastRenderedPageBreak/>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lastRenderedPageBreak/>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amended: No. 11 of 2024 s. 44.] </w:t>
      </w:r>
    </w:p>
    <w:p>
      <w:pPr>
        <w:pStyle w:val="Heading5"/>
      </w:pPr>
      <w:bookmarkStart w:id="473" w:name="_Toc225329821"/>
      <w:r>
        <w:rPr>
          <w:rStyle w:val="CharSectno"/>
        </w:rPr>
        <w:t>82B</w:t>
      </w:r>
      <w:r>
        <w:t>.</w:t>
      </w:r>
      <w:r>
        <w:tab/>
        <w:t>Application of Part</w:t>
      </w:r>
      <w:bookmarkEnd w:id="473"/>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474" w:name="_Toc225166140"/>
      <w:bookmarkStart w:id="475" w:name="_Toc225170922"/>
      <w:bookmarkStart w:id="476" w:name="_Toc225171537"/>
      <w:bookmarkStart w:id="477" w:name="_Toc225171849"/>
      <w:bookmarkStart w:id="478" w:name="_Toc225235494"/>
      <w:bookmarkStart w:id="479" w:name="_Toc225328983"/>
      <w:bookmarkStart w:id="480" w:name="_Toc225329822"/>
      <w:r>
        <w:rPr>
          <w:rStyle w:val="CharDivNo"/>
        </w:rPr>
        <w:t>Division 2</w:t>
      </w:r>
      <w:r>
        <w:t> — </w:t>
      </w:r>
      <w:r>
        <w:rPr>
          <w:rStyle w:val="CharDivText"/>
        </w:rPr>
        <w:t>Tenancy database information</w:t>
      </w:r>
      <w:bookmarkEnd w:id="474"/>
      <w:bookmarkEnd w:id="475"/>
      <w:bookmarkEnd w:id="476"/>
      <w:bookmarkEnd w:id="477"/>
      <w:bookmarkEnd w:id="478"/>
      <w:bookmarkEnd w:id="479"/>
      <w:bookmarkEnd w:id="480"/>
    </w:p>
    <w:p>
      <w:pPr>
        <w:pStyle w:val="Footnoteheading"/>
        <w:spacing w:before="100"/>
      </w:pPr>
      <w:r>
        <w:tab/>
        <w:t xml:space="preserve">[Heading inserted: No. 60 of 2011 s. 96.] </w:t>
      </w:r>
    </w:p>
    <w:p>
      <w:pPr>
        <w:pStyle w:val="Heading5"/>
      </w:pPr>
      <w:bookmarkStart w:id="481" w:name="_Toc225329823"/>
      <w:r>
        <w:rPr>
          <w:rStyle w:val="CharSectno"/>
        </w:rPr>
        <w:t>82C</w:t>
      </w:r>
      <w:r>
        <w:t>.</w:t>
      </w:r>
      <w:r>
        <w:tab/>
        <w:t>Notice of usual use of database</w:t>
      </w:r>
      <w:bookmarkEnd w:id="481"/>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spacing w:before="60"/>
      </w:pPr>
      <w:r>
        <w:tab/>
        <w:t>(b)</w:t>
      </w:r>
      <w:r>
        <w:tab/>
        <w:t xml:space="preserve">the lessor or, if the application is made through the lessor’s agent, the lessor or agent usually uses one or more residential tenancy databases for deciding whether </w:t>
      </w:r>
      <w:r>
        <w:lastRenderedPageBreak/>
        <w:t>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482" w:name="_Toc225329824"/>
      <w:r>
        <w:rPr>
          <w:rStyle w:val="CharSectno"/>
        </w:rPr>
        <w:t>82D</w:t>
      </w:r>
      <w:r>
        <w:t>.</w:t>
      </w:r>
      <w:r>
        <w:tab/>
        <w:t>Notice of listing if database used</w:t>
      </w:r>
      <w:bookmarkEnd w:id="482"/>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lastRenderedPageBreak/>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483" w:name="_Toc225329825"/>
      <w:r>
        <w:rPr>
          <w:rStyle w:val="CharSectno"/>
        </w:rPr>
        <w:t>82E</w:t>
      </w:r>
      <w:r>
        <w:t>.</w:t>
      </w:r>
      <w:r>
        <w:tab/>
        <w:t>Listing can be made only for particular breaches by particular persons</w:t>
      </w:r>
      <w:bookmarkEnd w:id="483"/>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lastRenderedPageBreak/>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484" w:name="_Toc225329826"/>
      <w:r>
        <w:rPr>
          <w:rStyle w:val="CharSectno"/>
        </w:rPr>
        <w:lastRenderedPageBreak/>
        <w:t>82F</w:t>
      </w:r>
      <w:r>
        <w:t>.</w:t>
      </w:r>
      <w:r>
        <w:tab/>
        <w:t>Further restriction on listing</w:t>
      </w:r>
      <w:bookmarkEnd w:id="484"/>
    </w:p>
    <w:p>
      <w:pPr>
        <w:pStyle w:val="Subsection"/>
        <w:keepNext/>
      </w:pPr>
      <w:r>
        <w:tab/>
        <w:t>(1)</w:t>
      </w:r>
      <w:r>
        <w:tab/>
        <w:t>A lessor, lessor’s agent or database operator must not list personal information about a person in a residential tenancy database unless the lessor, agent or operator —</w:t>
      </w:r>
    </w:p>
    <w:p>
      <w:pPr>
        <w:pStyle w:val="Indenta"/>
        <w:keepNext/>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485" w:name="_Toc225329827"/>
      <w:r>
        <w:rPr>
          <w:rStyle w:val="CharSectno"/>
        </w:rPr>
        <w:lastRenderedPageBreak/>
        <w:t>82G</w:t>
      </w:r>
      <w:r>
        <w:t>.</w:t>
      </w:r>
      <w:r>
        <w:tab/>
        <w:t>Ensuring quality of listing — lessor’s or agent’s obligation</w:t>
      </w:r>
      <w:bookmarkEnd w:id="485"/>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486" w:name="_Toc225329828"/>
      <w:r>
        <w:rPr>
          <w:rStyle w:val="CharSectno"/>
        </w:rPr>
        <w:t>82H</w:t>
      </w:r>
      <w:r>
        <w:t>.</w:t>
      </w:r>
      <w:r>
        <w:tab/>
        <w:t>Ensuring quality of listing — database operator’s obligation</w:t>
      </w:r>
      <w:bookmarkEnd w:id="486"/>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lastRenderedPageBreak/>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487" w:name="_Toc225329829"/>
      <w:r>
        <w:rPr>
          <w:rStyle w:val="CharSectno"/>
        </w:rPr>
        <w:t>82I</w:t>
      </w:r>
      <w:r>
        <w:t>.</w:t>
      </w:r>
      <w:r>
        <w:tab/>
        <w:t>Providing copy of personal information listed</w:t>
      </w:r>
      <w:bookmarkEnd w:id="487"/>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488" w:name="_Toc225329830"/>
      <w:r>
        <w:rPr>
          <w:rStyle w:val="CharSectno"/>
        </w:rPr>
        <w:lastRenderedPageBreak/>
        <w:t>82J</w:t>
      </w:r>
      <w:r>
        <w:t>.</w:t>
      </w:r>
      <w:r>
        <w:tab/>
        <w:t>Disputes about listings</w:t>
      </w:r>
      <w:bookmarkEnd w:id="488"/>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lastRenderedPageBreak/>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489" w:name="_Toc225329831"/>
      <w:r>
        <w:rPr>
          <w:rStyle w:val="CharSectno"/>
        </w:rPr>
        <w:t>82K</w:t>
      </w:r>
      <w:r>
        <w:t>.</w:t>
      </w:r>
      <w:r>
        <w:tab/>
        <w:t>Keeping personal information listed</w:t>
      </w:r>
      <w:bookmarkEnd w:id="489"/>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lastRenderedPageBreak/>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490" w:name="_Toc225166150"/>
      <w:bookmarkStart w:id="491" w:name="_Toc225170932"/>
      <w:bookmarkStart w:id="492" w:name="_Toc225171547"/>
      <w:bookmarkStart w:id="493" w:name="_Toc225171859"/>
      <w:bookmarkStart w:id="494" w:name="_Toc225235504"/>
      <w:bookmarkStart w:id="495" w:name="_Toc225328993"/>
      <w:bookmarkStart w:id="496" w:name="_Toc225329832"/>
      <w:r>
        <w:rPr>
          <w:rStyle w:val="CharPartNo"/>
        </w:rPr>
        <w:lastRenderedPageBreak/>
        <w:t>Part VI</w:t>
      </w:r>
      <w:r>
        <w:rPr>
          <w:rStyle w:val="CharDivNo"/>
        </w:rPr>
        <w:t> </w:t>
      </w:r>
      <w:r>
        <w:t>—</w:t>
      </w:r>
      <w:r>
        <w:rPr>
          <w:rStyle w:val="CharDivText"/>
        </w:rPr>
        <w:t> </w:t>
      </w:r>
      <w:r>
        <w:rPr>
          <w:rStyle w:val="CharPartText"/>
        </w:rPr>
        <w:t>Miscellaneous</w:t>
      </w:r>
      <w:bookmarkEnd w:id="490"/>
      <w:bookmarkEnd w:id="491"/>
      <w:bookmarkEnd w:id="492"/>
      <w:bookmarkEnd w:id="493"/>
      <w:bookmarkEnd w:id="494"/>
      <w:bookmarkEnd w:id="495"/>
      <w:bookmarkEnd w:id="496"/>
    </w:p>
    <w:p>
      <w:pPr>
        <w:pStyle w:val="Heading5"/>
        <w:spacing w:before="200"/>
        <w:rPr>
          <w:snapToGrid w:val="0"/>
        </w:rPr>
      </w:pPr>
      <w:bookmarkStart w:id="497" w:name="_Toc225329833"/>
      <w:r>
        <w:rPr>
          <w:rStyle w:val="CharSectno"/>
        </w:rPr>
        <w:t>82</w:t>
      </w:r>
      <w:r>
        <w:rPr>
          <w:snapToGrid w:val="0"/>
        </w:rPr>
        <w:t>.</w:t>
      </w:r>
      <w:r>
        <w:rPr>
          <w:snapToGrid w:val="0"/>
        </w:rPr>
        <w:tab/>
        <w:t>Contracting out</w:t>
      </w:r>
      <w:bookmarkEnd w:id="497"/>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498" w:name="_Toc225329834"/>
      <w:r>
        <w:rPr>
          <w:rStyle w:val="CharSectno"/>
        </w:rPr>
        <w:t>83</w:t>
      </w:r>
      <w:r>
        <w:rPr>
          <w:snapToGrid w:val="0"/>
        </w:rPr>
        <w:t>.</w:t>
      </w:r>
      <w:r>
        <w:rPr>
          <w:snapToGrid w:val="0"/>
        </w:rPr>
        <w:tab/>
        <w:t>Recovery of amounts paid under mistake of law or fact</w:t>
      </w:r>
      <w:bookmarkEnd w:id="498"/>
      <w:r>
        <w:rPr>
          <w:snapToGrid w:val="0"/>
        </w:rPr>
        <w:t xml:space="preserve"> </w:t>
      </w:r>
    </w:p>
    <w:p>
      <w:pPr>
        <w:pStyle w:val="Subsection"/>
        <w:spacing w:before="120"/>
        <w:rPr>
          <w:snapToGrid w:val="0"/>
        </w:rPr>
      </w:pPr>
      <w:r>
        <w:rPr>
          <w:snapToGrid w:val="0"/>
        </w:rPr>
        <w:tab/>
      </w:r>
      <w:r>
        <w:rPr>
          <w:snapToGrid w:val="0"/>
        </w:rPr>
        <w:tab/>
        <w:t xml:space="preserve">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499" w:name="_Toc225329835"/>
      <w:r>
        <w:rPr>
          <w:rStyle w:val="CharSectno"/>
        </w:rPr>
        <w:t>84</w:t>
      </w:r>
      <w:r>
        <w:rPr>
          <w:snapToGrid w:val="0"/>
        </w:rPr>
        <w:t>.</w:t>
      </w:r>
      <w:r>
        <w:rPr>
          <w:snapToGrid w:val="0"/>
        </w:rPr>
        <w:tab/>
        <w:t>Exemption of tenancy agreement or premises from provision of Act</w:t>
      </w:r>
      <w:bookmarkEnd w:id="499"/>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w:t>
      </w:r>
      <w:r>
        <w:rPr>
          <w:snapToGrid w:val="0"/>
        </w:rPr>
        <w:lastRenderedPageBreak/>
        <w:t>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500" w:name="_Toc225329836"/>
      <w:r>
        <w:rPr>
          <w:rStyle w:val="CharSectno"/>
        </w:rPr>
        <w:t>85</w:t>
      </w:r>
      <w:r>
        <w:rPr>
          <w:snapToGrid w:val="0"/>
        </w:rPr>
        <w:t>.</w:t>
      </w:r>
      <w:r>
        <w:rPr>
          <w:snapToGrid w:val="0"/>
        </w:rPr>
        <w:tab/>
        <w:t>Service</w:t>
      </w:r>
      <w:bookmarkEnd w:id="500"/>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lastRenderedPageBreak/>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501" w:name="_Toc225329837"/>
      <w:r>
        <w:rPr>
          <w:rStyle w:val="CharSectno"/>
        </w:rPr>
        <w:t>86</w:t>
      </w:r>
      <w:r>
        <w:t>.</w:t>
      </w:r>
      <w:r>
        <w:tab/>
        <w:t>Court may refer matter to Commissioner for investigation</w:t>
      </w:r>
      <w:bookmarkEnd w:id="501"/>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xml:space="preserve">, the </w:t>
      </w:r>
      <w:r>
        <w:lastRenderedPageBreak/>
        <w:t>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pPr>
      <w:bookmarkStart w:id="502" w:name="_Toc225329838"/>
      <w:r>
        <w:rPr>
          <w:rStyle w:val="CharSectno"/>
        </w:rPr>
        <w:t>86A</w:t>
      </w:r>
      <w:r>
        <w:t>.</w:t>
      </w:r>
      <w:r>
        <w:tab/>
        <w:t>Provisions imposing obligation to act on lessor or property manager</w:t>
      </w:r>
      <w:bookmarkEnd w:id="502"/>
    </w:p>
    <w:p>
      <w:pPr>
        <w:pStyle w:val="Subsection"/>
      </w:pPr>
      <w:r>
        <w:tab/>
        <w:t>(1)</w:t>
      </w:r>
      <w:r>
        <w:tab/>
        <w:t xml:space="preserve">This section applies to a provision of this Act that requires the lessor or a property manager to do something (the </w:t>
      </w:r>
      <w:r>
        <w:rPr>
          <w:rStyle w:val="CharDefText"/>
        </w:rPr>
        <w:t>required act</w:t>
      </w:r>
      <w:r>
        <w:t>) in relation to a residential tenancy agreement.</w:t>
      </w:r>
    </w:p>
    <w:p>
      <w:pPr>
        <w:pStyle w:val="Subsection"/>
      </w:pPr>
      <w:r>
        <w:tab/>
        <w:t>(2)</w:t>
      </w:r>
      <w:r>
        <w:tab/>
        <w:t>If the required act is done, whether by the lessor personally or by the property manager, both the lessor and the property manager are taken to have complied with the provision.</w:t>
      </w:r>
    </w:p>
    <w:p>
      <w:pPr>
        <w:pStyle w:val="Subsection"/>
      </w:pPr>
      <w:r>
        <w:tab/>
        <w:t>(3)</w:t>
      </w:r>
      <w:r>
        <w:tab/>
        <w:t>If the required act is omitted to be done, both the lessor and the property manager are taken to have contravened the provisions and, if the contravention is an offence, each of them may be dealt with for the offence.</w:t>
      </w:r>
    </w:p>
    <w:p>
      <w:pPr>
        <w:pStyle w:val="Footnotesection"/>
      </w:pPr>
      <w:r>
        <w:tab/>
        <w:t xml:space="preserve">[Section 86A inserted: No. 11 of 2024 s. 45.] </w:t>
      </w:r>
    </w:p>
    <w:p>
      <w:pPr>
        <w:pStyle w:val="Heading5"/>
      </w:pPr>
      <w:bookmarkStart w:id="503" w:name="_Toc225329839"/>
      <w:r>
        <w:rPr>
          <w:rStyle w:val="CharSectno"/>
        </w:rPr>
        <w:t>86B</w:t>
      </w:r>
      <w:r>
        <w:t>.</w:t>
      </w:r>
      <w:r>
        <w:tab/>
        <w:t>Agency of lessor’s property manager not limited</w:t>
      </w:r>
      <w:bookmarkEnd w:id="503"/>
    </w:p>
    <w:p>
      <w:pPr>
        <w:pStyle w:val="Subsection"/>
      </w:pPr>
      <w:r>
        <w:tab/>
        <w:t>(1)</w:t>
      </w:r>
      <w:r>
        <w:tab/>
        <w:t>This section applies if a provision of this Act refers to something being done, or required to be done, by a lessor in relation to a residential tenancy agreement without mentioning a property manager.</w:t>
      </w:r>
    </w:p>
    <w:p>
      <w:pPr>
        <w:pStyle w:val="Subsection"/>
      </w:pPr>
      <w:r>
        <w:tab/>
        <w:t>(2)</w:t>
      </w:r>
      <w:r>
        <w:tab/>
        <w:t>The provision does not, by implication, limit the extent to which the thing may be done by the property manager as an agent of the lessor.</w:t>
      </w:r>
    </w:p>
    <w:p>
      <w:pPr>
        <w:pStyle w:val="Footnotesection"/>
      </w:pPr>
      <w:r>
        <w:tab/>
        <w:t xml:space="preserve">[Section 86B inserted: No. 11 of 2024 s. 45.] </w:t>
      </w:r>
    </w:p>
    <w:p>
      <w:pPr>
        <w:pStyle w:val="Heading5"/>
        <w:spacing w:before="260"/>
      </w:pPr>
      <w:bookmarkStart w:id="504" w:name="_Toc225329840"/>
      <w:r>
        <w:rPr>
          <w:rStyle w:val="CharSectno"/>
        </w:rPr>
        <w:lastRenderedPageBreak/>
        <w:t>87A</w:t>
      </w:r>
      <w:r>
        <w:t>.</w:t>
      </w:r>
      <w:r>
        <w:tab/>
        <w:t>Defence where lessor and property manager are both charged with the same offence</w:t>
      </w:r>
      <w:bookmarkEnd w:id="504"/>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505" w:name="_Toc225329841"/>
      <w:r>
        <w:rPr>
          <w:rStyle w:val="CharSectno"/>
        </w:rPr>
        <w:t>87</w:t>
      </w:r>
      <w:r>
        <w:rPr>
          <w:snapToGrid w:val="0"/>
        </w:rPr>
        <w:t>.</w:t>
      </w:r>
      <w:r>
        <w:rPr>
          <w:snapToGrid w:val="0"/>
        </w:rPr>
        <w:tab/>
        <w:t>Time for bringing proceedings</w:t>
      </w:r>
      <w:bookmarkEnd w:id="505"/>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506" w:name="_Toc225329842"/>
      <w:r>
        <w:rPr>
          <w:rStyle w:val="CharSectno"/>
        </w:rPr>
        <w:t>88A</w:t>
      </w:r>
      <w:r>
        <w:t>.</w:t>
      </w:r>
      <w:r>
        <w:tab/>
        <w:t>Infringement notices</w:t>
      </w:r>
      <w:bookmarkEnd w:id="506"/>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keepNext/>
      </w:pPr>
      <w:r>
        <w:lastRenderedPageBreak/>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keepNext/>
        <w:spacing w:before="140"/>
      </w:pPr>
      <w:r>
        <w:lastRenderedPageBreak/>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507" w:name="_Toc225329843"/>
      <w:r>
        <w:rPr>
          <w:rStyle w:val="CharSectno"/>
        </w:rPr>
        <w:t>88B</w:t>
      </w:r>
      <w:r>
        <w:t>.</w:t>
      </w:r>
      <w:r>
        <w:tab/>
        <w:t>Cross</w:t>
      </w:r>
      <w:r>
        <w:noBreakHyphen/>
        <w:t>examination of persons in proceedings involving family violence</w:t>
      </w:r>
      <w:bookmarkEnd w:id="507"/>
    </w:p>
    <w:p>
      <w:pPr>
        <w:pStyle w:val="Subsection"/>
        <w:keepNext/>
      </w:pPr>
      <w:r>
        <w:tab/>
      </w:r>
      <w:r>
        <w:tab/>
        <w:t xml:space="preserve">The </w:t>
      </w:r>
      <w:r>
        <w:rPr>
          <w:i/>
        </w:rPr>
        <w:t>Restraining Orders Act 1997</w:t>
      </w:r>
      <w:r>
        <w:t xml:space="preserve"> section 44C applies to proceedings under this Act that involve family violence as if </w:t>
      </w:r>
      <w:r>
        <w:lastRenderedPageBreak/>
        <w:t>references to the respondent were references to the person allegedly committing the family violence.</w:t>
      </w:r>
    </w:p>
    <w:p>
      <w:pPr>
        <w:pStyle w:val="Footnotesection"/>
        <w:keepNext/>
      </w:pPr>
      <w:r>
        <w:tab/>
        <w:t xml:space="preserve">[Section 88B inserted: No. 3 of 2019 s. 22.] </w:t>
      </w:r>
    </w:p>
    <w:p>
      <w:pPr>
        <w:pStyle w:val="Heading5"/>
      </w:pPr>
      <w:bookmarkStart w:id="508" w:name="_Toc225329844"/>
      <w:r>
        <w:rPr>
          <w:rStyle w:val="CharSectno"/>
        </w:rPr>
        <w:t>88C</w:t>
      </w:r>
      <w:r>
        <w:t>.</w:t>
      </w:r>
      <w:r>
        <w:tab/>
        <w:t>Approved forms</w:t>
      </w:r>
      <w:bookmarkEnd w:id="508"/>
    </w:p>
    <w:p>
      <w:pPr>
        <w:pStyle w:val="Subsection"/>
      </w:pPr>
      <w:r>
        <w:tab/>
        <w:t>(1)</w:t>
      </w:r>
      <w:r>
        <w:tab/>
        <w:t>The bond administrator may approve forms for use under this Act in relation to bonds.</w:t>
      </w:r>
    </w:p>
    <w:p>
      <w:pPr>
        <w:pStyle w:val="Subsection"/>
      </w:pPr>
      <w:r>
        <w:tab/>
        <w:t>(2)</w:t>
      </w:r>
      <w:r>
        <w:tab/>
        <w:t>The Commissioner may approve forms for use under this Act, other than forms for use in relation to bonds.</w:t>
      </w:r>
    </w:p>
    <w:p>
      <w:pPr>
        <w:pStyle w:val="Footnotesection"/>
      </w:pPr>
      <w:r>
        <w:tab/>
        <w:t>[Section 88C inserted: No. 11 of 2024 s. 46.]</w:t>
      </w:r>
    </w:p>
    <w:p>
      <w:pPr>
        <w:pStyle w:val="Heading5"/>
        <w:rPr>
          <w:snapToGrid w:val="0"/>
        </w:rPr>
      </w:pPr>
      <w:bookmarkStart w:id="509" w:name="_Toc225329845"/>
      <w:r>
        <w:rPr>
          <w:rStyle w:val="CharSectno"/>
        </w:rPr>
        <w:t>88</w:t>
      </w:r>
      <w:r>
        <w:rPr>
          <w:snapToGrid w:val="0"/>
        </w:rPr>
        <w:t>.</w:t>
      </w:r>
      <w:r>
        <w:rPr>
          <w:snapToGrid w:val="0"/>
        </w:rPr>
        <w:tab/>
        <w:t>Regulations</w:t>
      </w:r>
      <w:bookmarkEnd w:id="509"/>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Ednotesubsection"/>
      </w:pPr>
      <w:r>
        <w:tab/>
        <w:t>[(3)</w:t>
      </w:r>
      <w:r>
        <w:tab/>
        <w:t>deleted]</w:t>
      </w:r>
    </w:p>
    <w:p>
      <w:pPr>
        <w:pStyle w:val="Footnotesection"/>
      </w:pPr>
      <w:r>
        <w:tab/>
        <w:t xml:space="preserve">[Section 88 amended: No. 60 of 2011 s. 84; No. 3 of 2019 s. 23; No. 11 of 2024 s. 47.] </w:t>
      </w:r>
    </w:p>
    <w:p>
      <w:pPr>
        <w:pStyle w:val="Ednotesection"/>
      </w:pPr>
      <w:r>
        <w:t>[</w:t>
      </w:r>
      <w:r>
        <w:rPr>
          <w:b/>
        </w:rPr>
        <w:t>89.</w:t>
      </w:r>
      <w:r>
        <w:tab/>
        <w:t>Omitted under the Reprints Act 1984 s. 7(4)(e).]</w:t>
      </w:r>
    </w:p>
    <w:p>
      <w:pPr>
        <w:pStyle w:val="Heading5"/>
        <w:rPr>
          <w:snapToGrid w:val="0"/>
        </w:rPr>
      </w:pPr>
      <w:bookmarkStart w:id="510" w:name="_Toc225329846"/>
      <w:r>
        <w:rPr>
          <w:rStyle w:val="CharSectno"/>
        </w:rPr>
        <w:lastRenderedPageBreak/>
        <w:t>90</w:t>
      </w:r>
      <w:r>
        <w:rPr>
          <w:snapToGrid w:val="0"/>
        </w:rPr>
        <w:t>.</w:t>
      </w:r>
      <w:r>
        <w:rPr>
          <w:snapToGrid w:val="0"/>
        </w:rPr>
        <w:tab/>
        <w:t>Review of Act</w:t>
      </w:r>
      <w:bookmarkEnd w:id="510"/>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keepNext/>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511" w:name="_Toc225166165"/>
      <w:bookmarkStart w:id="512" w:name="_Toc225170947"/>
      <w:bookmarkStart w:id="513" w:name="_Toc225171562"/>
      <w:bookmarkStart w:id="514" w:name="_Toc225171874"/>
      <w:bookmarkStart w:id="515" w:name="_Toc225235519"/>
      <w:bookmarkStart w:id="516" w:name="_Toc225329008"/>
      <w:bookmarkStart w:id="517" w:name="_Toc225329847"/>
      <w:r>
        <w:rPr>
          <w:rStyle w:val="CharPartNo"/>
        </w:rPr>
        <w:lastRenderedPageBreak/>
        <w:t>Part 7</w:t>
      </w:r>
      <w:r>
        <w:t> — </w:t>
      </w:r>
      <w:r>
        <w:rPr>
          <w:rStyle w:val="CharPartText"/>
        </w:rPr>
        <w:t>Savings and transitional provisions</w:t>
      </w:r>
      <w:bookmarkEnd w:id="511"/>
      <w:bookmarkEnd w:id="512"/>
      <w:bookmarkEnd w:id="513"/>
      <w:bookmarkEnd w:id="514"/>
      <w:bookmarkEnd w:id="515"/>
      <w:bookmarkEnd w:id="516"/>
      <w:bookmarkEnd w:id="517"/>
    </w:p>
    <w:p>
      <w:pPr>
        <w:pStyle w:val="Footnoteheading"/>
      </w:pPr>
      <w:r>
        <w:tab/>
        <w:t>[Heading inserted: No. 11 of 2024 s. 48.]</w:t>
      </w:r>
    </w:p>
    <w:p>
      <w:pPr>
        <w:pStyle w:val="Heading3"/>
      </w:pPr>
      <w:bookmarkStart w:id="518" w:name="_Toc225166166"/>
      <w:bookmarkStart w:id="519" w:name="_Toc225170948"/>
      <w:bookmarkStart w:id="520" w:name="_Toc225171563"/>
      <w:bookmarkStart w:id="521" w:name="_Toc225171875"/>
      <w:bookmarkStart w:id="522" w:name="_Toc225235520"/>
      <w:bookmarkStart w:id="523" w:name="_Toc225329009"/>
      <w:bookmarkStart w:id="524" w:name="_Toc225329848"/>
      <w:r>
        <w:rPr>
          <w:rStyle w:val="CharDivNo"/>
        </w:rPr>
        <w:t>Division 1</w:t>
      </w:r>
      <w:r>
        <w:t> — </w:t>
      </w:r>
      <w:r>
        <w:rPr>
          <w:rStyle w:val="CharDivText"/>
        </w:rPr>
        <w:t xml:space="preserve">Savings and transitional provisions relating to </w:t>
      </w:r>
      <w:r>
        <w:rPr>
          <w:rStyle w:val="CharDivText"/>
          <w:i/>
        </w:rPr>
        <w:t>Residential Tenancies Amendment Act 2011</w:t>
      </w:r>
      <w:bookmarkEnd w:id="518"/>
      <w:bookmarkEnd w:id="519"/>
      <w:bookmarkEnd w:id="520"/>
      <w:bookmarkEnd w:id="521"/>
      <w:bookmarkEnd w:id="522"/>
      <w:bookmarkEnd w:id="523"/>
      <w:bookmarkEnd w:id="524"/>
    </w:p>
    <w:p>
      <w:pPr>
        <w:pStyle w:val="Footnoteheading"/>
      </w:pPr>
      <w:r>
        <w:tab/>
        <w:t>[Heading inserted: No. 11 of 2024 s. 49.]</w:t>
      </w:r>
    </w:p>
    <w:p>
      <w:pPr>
        <w:pStyle w:val="Heading5"/>
      </w:pPr>
      <w:bookmarkStart w:id="525" w:name="_Toc225329849"/>
      <w:r>
        <w:rPr>
          <w:rStyle w:val="CharSectno"/>
        </w:rPr>
        <w:t>91</w:t>
      </w:r>
      <w:r>
        <w:t>.</w:t>
      </w:r>
      <w:r>
        <w:tab/>
        <w:t>Savings in relation to contracting out of standard terms</w:t>
      </w:r>
      <w:bookmarkEnd w:id="52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Ednotedivision"/>
      </w:pPr>
      <w:r>
        <w:tab/>
        <w:t>[Division 2 heading deleted: No. 11 of 2024 s. 50.]</w:t>
      </w:r>
    </w:p>
    <w:p>
      <w:pPr>
        <w:pStyle w:val="Heading5"/>
      </w:pPr>
      <w:bookmarkStart w:id="526" w:name="_Toc225329850"/>
      <w:r>
        <w:rPr>
          <w:rStyle w:val="CharSectno"/>
        </w:rPr>
        <w:t>92</w:t>
      </w:r>
      <w:r>
        <w:t>.</w:t>
      </w:r>
      <w:r>
        <w:tab/>
        <w:t>Terms used</w:t>
      </w:r>
      <w:bookmarkEnd w:id="526"/>
    </w:p>
    <w:p>
      <w:pPr>
        <w:pStyle w:val="Subsection"/>
      </w:pPr>
      <w:r>
        <w:tab/>
      </w:r>
      <w:r>
        <w:tab/>
        <w:t xml:space="preserve">In this Division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keepNext/>
      </w:pPr>
      <w:r>
        <w:lastRenderedPageBreak/>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amended: No. 11 of 2024 s. 51.] </w:t>
      </w:r>
    </w:p>
    <w:p>
      <w:pPr>
        <w:pStyle w:val="Heading5"/>
      </w:pPr>
      <w:bookmarkStart w:id="527" w:name="_Toc225329851"/>
      <w:r>
        <w:rPr>
          <w:rStyle w:val="CharSectno"/>
        </w:rPr>
        <w:t>93</w:t>
      </w:r>
      <w:r>
        <w:t>.</w:t>
      </w:r>
      <w:r>
        <w:tab/>
        <w:t>All security bonds to be transferred to bond administrator after renewal of agreement or within 18 months</w:t>
      </w:r>
      <w:bookmarkEnd w:id="527"/>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and (c) apply, with all necessary changes, to the payment.</w:t>
      </w:r>
    </w:p>
    <w:p>
      <w:pPr>
        <w:pStyle w:val="Footnotesection"/>
      </w:pPr>
      <w:r>
        <w:tab/>
        <w:t xml:space="preserve">[Section 93 inserted: No. 60 of 2011 s. 86; amended: No. 3 of 2019 s. 25; No. 14 of 2025 s. 35(2).] </w:t>
      </w:r>
    </w:p>
    <w:p>
      <w:pPr>
        <w:pStyle w:val="Heading5"/>
      </w:pPr>
      <w:bookmarkStart w:id="528" w:name="_Toc225329852"/>
      <w:r>
        <w:rPr>
          <w:rStyle w:val="CharSectno"/>
        </w:rPr>
        <w:lastRenderedPageBreak/>
        <w:t>94</w:t>
      </w:r>
      <w:r>
        <w:t>.</w:t>
      </w:r>
      <w:r>
        <w:tab/>
        <w:t>Requirements for AFI holding security bonds</w:t>
      </w:r>
      <w:bookmarkEnd w:id="528"/>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529" w:name="_Toc225329853"/>
      <w:r>
        <w:rPr>
          <w:rStyle w:val="CharSectno"/>
        </w:rPr>
        <w:lastRenderedPageBreak/>
        <w:t>95</w:t>
      </w:r>
      <w:r>
        <w:t>.</w:t>
      </w:r>
      <w:r>
        <w:tab/>
        <w:t>Power of Commissioner to obtain information relating to AFI security bond accounts</w:t>
      </w:r>
      <w:bookmarkEnd w:id="529"/>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lastRenderedPageBreak/>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530" w:name="_Toc225329854"/>
      <w:r>
        <w:rPr>
          <w:rStyle w:val="CharSectno"/>
        </w:rPr>
        <w:t>96</w:t>
      </w:r>
      <w:r>
        <w:t>.</w:t>
      </w:r>
      <w:r>
        <w:tab/>
        <w:t>Disposal of security bond held in AFIs</w:t>
      </w:r>
      <w:bookmarkEnd w:id="530"/>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keepNext/>
      </w:pPr>
      <w:r>
        <w:lastRenderedPageBreak/>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keepNext/>
      </w:pPr>
      <w:r>
        <w:lastRenderedPageBreak/>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Ednotedivision"/>
      </w:pPr>
      <w:r>
        <w:tab/>
        <w:t>[Division 3 heading deleted: No. 11 of 2024 s. 52.]</w:t>
      </w:r>
    </w:p>
    <w:p>
      <w:pPr>
        <w:pStyle w:val="Heading5"/>
      </w:pPr>
      <w:bookmarkStart w:id="531" w:name="_Toc225329855"/>
      <w:r>
        <w:rPr>
          <w:rStyle w:val="CharSectno"/>
        </w:rPr>
        <w:t>97</w:t>
      </w:r>
      <w:r>
        <w:t>.</w:t>
      </w:r>
      <w:r>
        <w:tab/>
        <w:t>Application of Part VIA to listings existing before commencement day</w:t>
      </w:r>
      <w:bookmarkEnd w:id="531"/>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Ednotepart"/>
      </w:pPr>
      <w:r>
        <w:tab/>
        <w:t>[Part 8 heading deleted: No. 11 of 2024 s. 53.]</w:t>
      </w:r>
    </w:p>
    <w:p>
      <w:pPr>
        <w:pStyle w:val="Heading3"/>
      </w:pPr>
      <w:bookmarkStart w:id="532" w:name="_Toc225166174"/>
      <w:bookmarkStart w:id="533" w:name="_Toc225170956"/>
      <w:bookmarkStart w:id="534" w:name="_Toc225171571"/>
      <w:bookmarkStart w:id="535" w:name="_Toc225171883"/>
      <w:bookmarkStart w:id="536" w:name="_Toc225235528"/>
      <w:bookmarkStart w:id="537" w:name="_Toc225329017"/>
      <w:bookmarkStart w:id="538" w:name="_Toc225329856"/>
      <w:r>
        <w:rPr>
          <w:rStyle w:val="CharDivNo"/>
        </w:rPr>
        <w:t>Division 2</w:t>
      </w:r>
      <w:r>
        <w:t> — </w:t>
      </w:r>
      <w:r>
        <w:rPr>
          <w:rStyle w:val="CharDivText"/>
        </w:rPr>
        <w:t xml:space="preserve">Transitional provision relating to </w:t>
      </w:r>
      <w:r>
        <w:rPr>
          <w:rStyle w:val="CharDivText"/>
          <w:i/>
        </w:rPr>
        <w:t>Consumer Protection Legislation Amendment Act 2019</w:t>
      </w:r>
      <w:bookmarkEnd w:id="532"/>
      <w:bookmarkEnd w:id="533"/>
      <w:bookmarkEnd w:id="534"/>
      <w:bookmarkEnd w:id="535"/>
      <w:bookmarkEnd w:id="536"/>
      <w:bookmarkEnd w:id="537"/>
      <w:bookmarkEnd w:id="538"/>
    </w:p>
    <w:p>
      <w:pPr>
        <w:pStyle w:val="Footnoteheading"/>
      </w:pPr>
      <w:r>
        <w:tab/>
        <w:t>[Heading inserted: No. 11 of 2024 s. 54.]</w:t>
      </w:r>
    </w:p>
    <w:p>
      <w:pPr>
        <w:pStyle w:val="Heading5"/>
      </w:pPr>
      <w:bookmarkStart w:id="539" w:name="_Toc225329857"/>
      <w:r>
        <w:rPr>
          <w:rStyle w:val="CharSectno"/>
        </w:rPr>
        <w:t>98</w:t>
      </w:r>
      <w:r>
        <w:t>.</w:t>
      </w:r>
      <w:r>
        <w:tab/>
        <w:t>Application of s. 49A to residential tenancy agreements and utility charges</w:t>
      </w:r>
      <w:bookmarkEnd w:id="53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lastRenderedPageBreak/>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pStyle w:val="Heading3"/>
      </w:pPr>
      <w:bookmarkStart w:id="540" w:name="_Toc225166176"/>
      <w:bookmarkStart w:id="541" w:name="_Toc225170958"/>
      <w:bookmarkStart w:id="542" w:name="_Toc225171573"/>
      <w:bookmarkStart w:id="543" w:name="_Toc225171885"/>
      <w:bookmarkStart w:id="544" w:name="_Toc225235530"/>
      <w:bookmarkStart w:id="545" w:name="_Toc225329019"/>
      <w:bookmarkStart w:id="546" w:name="_Toc225329858"/>
      <w:r>
        <w:rPr>
          <w:rStyle w:val="CharDivNo"/>
        </w:rPr>
        <w:t>Division 3</w:t>
      </w:r>
      <w:r>
        <w:t> — </w:t>
      </w:r>
      <w:r>
        <w:rPr>
          <w:rStyle w:val="CharDivText"/>
        </w:rPr>
        <w:t xml:space="preserve">Transitional provisions relating to </w:t>
      </w:r>
      <w:r>
        <w:rPr>
          <w:rStyle w:val="CharDivText"/>
          <w:i/>
        </w:rPr>
        <w:t>Residential Tenancies Amendment Act 2024</w:t>
      </w:r>
      <w:bookmarkEnd w:id="540"/>
      <w:bookmarkEnd w:id="541"/>
      <w:bookmarkEnd w:id="542"/>
      <w:bookmarkEnd w:id="543"/>
      <w:bookmarkEnd w:id="544"/>
      <w:bookmarkEnd w:id="545"/>
      <w:bookmarkEnd w:id="546"/>
    </w:p>
    <w:p>
      <w:pPr>
        <w:pStyle w:val="Footnoteheading"/>
      </w:pPr>
      <w:r>
        <w:tab/>
        <w:t>[Heading inserted: No. 11 of 2024 s. 55.]</w:t>
      </w:r>
    </w:p>
    <w:p>
      <w:pPr>
        <w:pStyle w:val="Heading5"/>
      </w:pPr>
      <w:bookmarkStart w:id="547" w:name="_Toc225329859"/>
      <w:r>
        <w:rPr>
          <w:rStyle w:val="CharSectno"/>
        </w:rPr>
        <w:t>99</w:t>
      </w:r>
      <w:r>
        <w:t>.</w:t>
      </w:r>
      <w:r>
        <w:tab/>
        <w:t>Variation of rent for fixed term residential tenancy agreement entered, renewed or extended before commencement</w:t>
      </w:r>
      <w:bookmarkEnd w:id="547"/>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25 comes into operation.</w:t>
      </w:r>
    </w:p>
    <w:p>
      <w:pPr>
        <w:pStyle w:val="Subsection"/>
        <w:keepNext/>
      </w:pPr>
      <w:r>
        <w:lastRenderedPageBreak/>
        <w:tab/>
        <w:t>(2)</w:t>
      </w:r>
      <w:r>
        <w:tab/>
        <w:t xml:space="preserve">This section applies to a residential tenancy agreement that creates a tenancy for a fixed term if — </w:t>
      </w:r>
    </w:p>
    <w:p>
      <w:pPr>
        <w:pStyle w:val="Indenta"/>
      </w:pPr>
      <w:r>
        <w:tab/>
        <w:t>(a)</w:t>
      </w:r>
      <w:r>
        <w:tab/>
        <w:t>the agreement was entered into, or last renewed or extended, before the commencement; and</w:t>
      </w:r>
    </w:p>
    <w:p>
      <w:pPr>
        <w:pStyle w:val="Indenta"/>
      </w:pPr>
      <w:r>
        <w:tab/>
        <w:t>(b)</w:t>
      </w:r>
      <w:r>
        <w:tab/>
        <w:t xml:space="preserve">the original, renewed or extended term of the agreement (the </w:t>
      </w:r>
      <w:r>
        <w:rPr>
          <w:rStyle w:val="CharDefText"/>
        </w:rPr>
        <w:t>current term</w:t>
      </w:r>
      <w:r>
        <w:t>), disregarding any further renewal or extension of the agreement, ends after the commencement.</w:t>
      </w:r>
    </w:p>
    <w:p>
      <w:pPr>
        <w:pStyle w:val="Subsection"/>
      </w:pPr>
      <w:r>
        <w:tab/>
        <w:t>(3)</w:t>
      </w:r>
      <w:r>
        <w:tab/>
        <w:t xml:space="preserve">Section 30, as in force from time to time before the commencement, continues to apply to the residential tenancy agreement until the end of the current term as if the </w:t>
      </w:r>
      <w:r>
        <w:rPr>
          <w:i/>
        </w:rPr>
        <w:t>Residential Tenancies Amendment Act 2024</w:t>
      </w:r>
      <w:r>
        <w:t xml:space="preserve"> had not been enacted.</w:t>
      </w:r>
    </w:p>
    <w:p>
      <w:pPr>
        <w:pStyle w:val="Footnotesection"/>
      </w:pPr>
      <w:r>
        <w:tab/>
        <w:t>[Section 99 inserted: No. 11 of 2024 s. 55.]</w:t>
      </w:r>
    </w:p>
    <w:p>
      <w:pPr>
        <w:pStyle w:val="Heading5"/>
      </w:pPr>
      <w:bookmarkStart w:id="548" w:name="_Toc225329860"/>
      <w:r>
        <w:rPr>
          <w:rStyle w:val="CharSectno"/>
        </w:rPr>
        <w:t>100</w:t>
      </w:r>
      <w:r>
        <w:t>.</w:t>
      </w:r>
      <w:r>
        <w:tab/>
        <w:t>Variation of rent for residential tenancy agreement, other than fixed term agreement, entered before commencement</w:t>
      </w:r>
      <w:bookmarkEnd w:id="548"/>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25 comes into operation.</w:t>
      </w:r>
    </w:p>
    <w:p>
      <w:pPr>
        <w:pStyle w:val="Subsection"/>
      </w:pPr>
      <w:r>
        <w:tab/>
        <w:t>(2)</w:t>
      </w:r>
      <w:r>
        <w:tab/>
        <w:t>This section applies to a residential tenancy agreement in force on the commencement, other than an agreement to which section 99 applies.</w:t>
      </w:r>
    </w:p>
    <w:p>
      <w:pPr>
        <w:pStyle w:val="Subsection"/>
      </w:pPr>
      <w:r>
        <w:tab/>
        <w:t>(3)</w:t>
      </w:r>
      <w:r>
        <w:tab/>
        <w:t>Sections 30 and 31A, as in force from the commencement, apply to the residential tenancy agreement.</w:t>
      </w:r>
    </w:p>
    <w:p>
      <w:pPr>
        <w:pStyle w:val="Subsection"/>
      </w:pPr>
      <w:r>
        <w:tab/>
        <w:t>(4)</w:t>
      </w:r>
      <w:r>
        <w:tab/>
        <w:t>A notice of increase of rent relating to the residential tenancy agreement given under section 30 or 31A before the commencement has no effect if the notice does not comply with that section as in force from the commencement.</w:t>
      </w:r>
    </w:p>
    <w:p>
      <w:pPr>
        <w:pStyle w:val="Footnotesection"/>
      </w:pPr>
      <w:r>
        <w:tab/>
        <w:t>[Section 100 inserted: No. 11 of 2024 s. 55.]</w:t>
      </w:r>
    </w:p>
    <w:p>
      <w:pPr>
        <w:pStyle w:val="Heading5"/>
      </w:pPr>
      <w:bookmarkStart w:id="549" w:name="_Toc225329861"/>
      <w:r>
        <w:rPr>
          <w:rStyle w:val="CharSectno"/>
        </w:rPr>
        <w:lastRenderedPageBreak/>
        <w:t>101</w:t>
      </w:r>
      <w:r>
        <w:t>.</w:t>
      </w:r>
      <w:r>
        <w:tab/>
        <w:t>Application of Pt. 5A in relation to existing residential tenancy agreements</w:t>
      </w:r>
      <w:bookmarkEnd w:id="549"/>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43 comes into operation;</w:t>
      </w:r>
    </w:p>
    <w:p>
      <w:pPr>
        <w:pStyle w:val="Defstart"/>
      </w:pPr>
      <w:r>
        <w:tab/>
      </w:r>
      <w:r>
        <w:rPr>
          <w:rStyle w:val="CharDefText"/>
        </w:rPr>
        <w:t>previous</w:t>
      </w:r>
      <w:r>
        <w:t>, in relation to a provision of this Act, means the provision as in force from time to time before the commencement.</w:t>
      </w:r>
    </w:p>
    <w:p>
      <w:pPr>
        <w:pStyle w:val="Subsection"/>
      </w:pPr>
      <w:r>
        <w:tab/>
        <w:t>(2)</w:t>
      </w:r>
      <w:r>
        <w:tab/>
        <w:t>Part 5A applies in relation to a residential tenancy agreement in force on the commencement.</w:t>
      </w:r>
    </w:p>
    <w:p>
      <w:pPr>
        <w:pStyle w:val="Subsection"/>
      </w:pPr>
      <w:r>
        <w:tab/>
        <w:t>(3)</w:t>
      </w:r>
      <w:r>
        <w:tab/>
        <w:t xml:space="preserve">However, the bond administrator may continue to deal with an application for the payment of the security bond as if the </w:t>
      </w:r>
      <w:r>
        <w:rPr>
          <w:i/>
        </w:rPr>
        <w:t>Residential Tenancies Amendment Act 2024</w:t>
      </w:r>
      <w:r>
        <w:t xml:space="preserve"> had not been enacted if — </w:t>
      </w:r>
    </w:p>
    <w:p>
      <w:pPr>
        <w:pStyle w:val="Indenta"/>
      </w:pPr>
      <w:r>
        <w:tab/>
        <w:t>(a)</w:t>
      </w:r>
      <w:r>
        <w:tab/>
        <w:t>the application is made under previous Schedule 1 clause 5, but not decided or withdrawn, before the commencement; or</w:t>
      </w:r>
    </w:p>
    <w:p>
      <w:pPr>
        <w:pStyle w:val="Indenta"/>
      </w:pPr>
      <w:r>
        <w:tab/>
        <w:t>(b)</w:t>
      </w:r>
      <w:r>
        <w:tab/>
        <w:t>the application is made after the commencement in a form approved by the Minister under previous Schedule 1 clause 5(1)(a).</w:t>
      </w:r>
    </w:p>
    <w:p>
      <w:pPr>
        <w:pStyle w:val="Subsection"/>
      </w:pPr>
      <w:r>
        <w:tab/>
        <w:t>(4)</w:t>
      </w:r>
      <w:r>
        <w:tab/>
        <w:t xml:space="preserve">Also, a competent court may continue to deal with an application relating to the payment of the security bond made under Schedule 1 clause 8, but not decided or withdrawn, before the commencement as if the </w:t>
      </w:r>
      <w:r>
        <w:rPr>
          <w:i/>
        </w:rPr>
        <w:t>Residential Tenancies Amendment Act 2024</w:t>
      </w:r>
      <w:r>
        <w:t xml:space="preserve"> had not been enacted.</w:t>
      </w:r>
    </w:p>
    <w:p>
      <w:pPr>
        <w:pStyle w:val="Footnotesection"/>
      </w:pPr>
      <w:r>
        <w:tab/>
        <w:t>[Section 101 inserted: No. 11 of 2024 s. 55.]</w:t>
      </w:r>
    </w:p>
    <w:p>
      <w:pPr>
        <w:pStyle w:val="Heading5"/>
      </w:pPr>
      <w:bookmarkStart w:id="550" w:name="_Toc225329862"/>
      <w:r>
        <w:rPr>
          <w:rStyle w:val="CharSectno"/>
        </w:rPr>
        <w:lastRenderedPageBreak/>
        <w:t>102</w:t>
      </w:r>
      <w:r>
        <w:t>.</w:t>
      </w:r>
      <w:r>
        <w:tab/>
        <w:t>Existing authorised agents of bond administrator</w:t>
      </w:r>
      <w:bookmarkEnd w:id="550"/>
    </w:p>
    <w:p>
      <w:pPr>
        <w:pStyle w:val="Subsection"/>
        <w:keepNext/>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56 comes into operation.</w:t>
      </w:r>
    </w:p>
    <w:p>
      <w:pPr>
        <w:pStyle w:val="Subsection"/>
      </w:pPr>
      <w:r>
        <w:tab/>
        <w:t>(2)</w:t>
      </w:r>
      <w:r>
        <w:tab/>
        <w:t xml:space="preserve">This section applies in relation to a person who, immediately before the commencement, is an authorised agent appointed by the bond administrator. </w:t>
      </w:r>
    </w:p>
    <w:p>
      <w:pPr>
        <w:pStyle w:val="Subsection"/>
      </w:pPr>
      <w:r>
        <w:tab/>
        <w:t>(3)</w:t>
      </w:r>
      <w:r>
        <w:tab/>
        <w:t>The bond administrator is taken to have delegated the powers and duties of the bond administrator under this Act, as in force from the commencement, to the person under section 10.</w:t>
      </w:r>
    </w:p>
    <w:p>
      <w:pPr>
        <w:pStyle w:val="Subsection"/>
      </w:pPr>
      <w:r>
        <w:tab/>
        <w:t>(4)</w:t>
      </w:r>
      <w:r>
        <w:tab/>
        <w:t>This section does not limit the power of the bond administrator to vary or revoke the delegation.</w:t>
      </w:r>
    </w:p>
    <w:p>
      <w:pPr>
        <w:pStyle w:val="Footnotesection"/>
      </w:pPr>
      <w:r>
        <w:tab/>
        <w:t>[Section 102 inserted: No. 11 of 2024 s. 55.]</w:t>
      </w:r>
    </w:p>
    <w:p>
      <w:pPr>
        <w:pStyle w:val="Heading5"/>
      </w:pPr>
      <w:bookmarkStart w:id="551" w:name="_Toc225329863"/>
      <w:r>
        <w:rPr>
          <w:rStyle w:val="CharSectno"/>
        </w:rPr>
        <w:t>103</w:t>
      </w:r>
      <w:r>
        <w:t>.</w:t>
      </w:r>
      <w:r>
        <w:tab/>
        <w:t>Validation of r. 12BA and 12CA</w:t>
      </w:r>
      <w:bookmarkEnd w:id="551"/>
    </w:p>
    <w:p>
      <w:pPr>
        <w:pStyle w:val="Subsection"/>
      </w:pPr>
      <w:r>
        <w:tab/>
        <w:t>(1)</w:t>
      </w:r>
      <w:r>
        <w:tab/>
        <w:t xml:space="preserve">In this section — </w:t>
      </w:r>
    </w:p>
    <w:p>
      <w:pPr>
        <w:pStyle w:val="Defstart"/>
      </w:pPr>
      <w:r>
        <w:tab/>
      </w:r>
      <w:r>
        <w:rPr>
          <w:rStyle w:val="CharDefText"/>
        </w:rPr>
        <w:t>regulation 12BA</w:t>
      </w:r>
      <w:r>
        <w:t xml:space="preserve"> means the </w:t>
      </w:r>
      <w:r>
        <w:rPr>
          <w:i/>
        </w:rPr>
        <w:t>Residential Tenancies Regulations 1989</w:t>
      </w:r>
      <w:r>
        <w:t xml:space="preserve"> section 12BA;</w:t>
      </w:r>
    </w:p>
    <w:p>
      <w:pPr>
        <w:pStyle w:val="Defstart"/>
      </w:pPr>
      <w:r>
        <w:tab/>
      </w:r>
      <w:r>
        <w:rPr>
          <w:rStyle w:val="CharDefText"/>
        </w:rPr>
        <w:t>regulation 12CA</w:t>
      </w:r>
      <w:r>
        <w:t xml:space="preserve"> means the </w:t>
      </w:r>
      <w:r>
        <w:rPr>
          <w:i/>
        </w:rPr>
        <w:t>Residential Tenancies Regulations 1989</w:t>
      </w:r>
      <w:r>
        <w:t xml:space="preserve"> section 12CA;</w:t>
      </w:r>
    </w:p>
    <w:p>
      <w:pPr>
        <w:pStyle w:val="Defstart"/>
      </w:pPr>
      <w:r>
        <w:tab/>
      </w:r>
      <w:r>
        <w:rPr>
          <w:rStyle w:val="CharDefText"/>
        </w:rPr>
        <w:t>validation period</w:t>
      </w:r>
      <w:r>
        <w:t xml:space="preserve"> means the period — </w:t>
      </w:r>
    </w:p>
    <w:p>
      <w:pPr>
        <w:pStyle w:val="Defpara"/>
      </w:pPr>
      <w:r>
        <w:tab/>
        <w:t>(a)</w:t>
      </w:r>
      <w:r>
        <w:tab/>
        <w:t>beginning on 15 April 2019; and</w:t>
      </w:r>
    </w:p>
    <w:p>
      <w:pPr>
        <w:pStyle w:val="Defpara"/>
      </w:pPr>
      <w:r>
        <w:tab/>
        <w:t>(b)</w:t>
      </w:r>
      <w:r>
        <w:tab/>
        <w:t xml:space="preserve">ending on the day on which the </w:t>
      </w:r>
      <w:r>
        <w:rPr>
          <w:i/>
        </w:rPr>
        <w:t>Residential Tenancies Amendment Act 2024</w:t>
      </w:r>
      <w:r>
        <w:t xml:space="preserve"> section 47 comes into operation.</w:t>
      </w:r>
    </w:p>
    <w:p>
      <w:pPr>
        <w:pStyle w:val="Subsection"/>
      </w:pPr>
      <w:r>
        <w:tab/>
        <w:t>(2)</w:t>
      </w:r>
      <w:r>
        <w:tab/>
        <w:t>Regulation 12BA and regulation 12CA are taken to have come into operation on 15 April 2019 and to have been in operation at all times during the validation period, despite the operation of section 88(3) during that period.</w:t>
      </w:r>
    </w:p>
    <w:p>
      <w:pPr>
        <w:pStyle w:val="Subsection"/>
        <w:keepLines/>
      </w:pPr>
      <w:r>
        <w:lastRenderedPageBreak/>
        <w:tab/>
        <w:t>(3)</w:t>
      </w:r>
      <w:r>
        <w:tab/>
        <w:t>Anything done, or purportedly done, on or after 15 April 2019 is taken to be, and to have always been, as lawful, valid and effective as it would be, or would have been, had regulation 12BA or regulation 12CA come into operation, and been in operation at all times during the validation period, as provided in subsection (2).</w:t>
      </w:r>
    </w:p>
    <w:p>
      <w:pPr>
        <w:pStyle w:val="Subsection"/>
      </w:pPr>
      <w:r>
        <w:tab/>
        <w:t>(4)</w:t>
      </w:r>
      <w:r>
        <w:tab/>
        <w:t>In subsection (3), a reference to doing a thing includes a reference to omitting to do the thing.</w:t>
      </w:r>
    </w:p>
    <w:p>
      <w:pPr>
        <w:pStyle w:val="Footnotesection"/>
      </w:pPr>
      <w:r>
        <w:tab/>
        <w:t>[Section 103 inserted: No. 11 of 2024 s. 55.]</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552" w:name="_Toc225166182"/>
      <w:bookmarkStart w:id="553" w:name="_Toc225170964"/>
      <w:bookmarkStart w:id="554" w:name="_Toc225171579"/>
      <w:bookmarkStart w:id="555" w:name="_Toc225171891"/>
      <w:bookmarkStart w:id="556" w:name="_Toc225235536"/>
      <w:bookmarkStart w:id="557" w:name="_Toc225329025"/>
      <w:bookmarkStart w:id="558" w:name="_Toc225329864"/>
      <w:r>
        <w:rPr>
          <w:rStyle w:val="CharSchNo"/>
          <w:rFonts w:eastAsia="MS Mincho"/>
        </w:rPr>
        <w:lastRenderedPageBreak/>
        <w:t>Schedule 1</w:t>
      </w:r>
      <w:r>
        <w:rPr>
          <w:rFonts w:eastAsia="MS Mincho"/>
        </w:rPr>
        <w:t> — </w:t>
      </w:r>
      <w:r>
        <w:rPr>
          <w:rStyle w:val="CharSchText"/>
          <w:rFonts w:eastAsia="MS Mincho"/>
        </w:rPr>
        <w:t>Provisions relating to holding and disposal of bonds and income from bonds</w:t>
      </w:r>
      <w:bookmarkEnd w:id="552"/>
      <w:bookmarkEnd w:id="553"/>
      <w:bookmarkEnd w:id="554"/>
      <w:bookmarkEnd w:id="555"/>
      <w:bookmarkEnd w:id="556"/>
      <w:bookmarkEnd w:id="557"/>
      <w:bookmarkEnd w:id="558"/>
    </w:p>
    <w:p>
      <w:pPr>
        <w:pStyle w:val="yShoulderClause"/>
      </w:pPr>
      <w:r>
        <w:t>[s. 3, 7(3), 12, 29(4), (7), (8), 59D(6), 79(5), (6), (11) and 80A(8)]</w:t>
      </w:r>
    </w:p>
    <w:p>
      <w:pPr>
        <w:pStyle w:val="yFootnoteheading"/>
      </w:pPr>
      <w:r>
        <w:tab/>
        <w:t xml:space="preserve">[Heading inserted: No. 60 of 2011 s. 87(1).] </w:t>
      </w:r>
    </w:p>
    <w:p>
      <w:pPr>
        <w:pStyle w:val="yHeading3"/>
      </w:pPr>
      <w:bookmarkStart w:id="559" w:name="_Toc225166183"/>
      <w:bookmarkStart w:id="560" w:name="_Toc225170965"/>
      <w:bookmarkStart w:id="561" w:name="_Toc225171580"/>
      <w:bookmarkStart w:id="562" w:name="_Toc225171892"/>
      <w:bookmarkStart w:id="563" w:name="_Toc225235537"/>
      <w:bookmarkStart w:id="564" w:name="_Toc225329026"/>
      <w:bookmarkStart w:id="565" w:name="_Toc225329865"/>
      <w:r>
        <w:rPr>
          <w:rStyle w:val="CharSDivNo"/>
        </w:rPr>
        <w:t>Division 1</w:t>
      </w:r>
      <w:r>
        <w:t> — </w:t>
      </w:r>
      <w:r>
        <w:rPr>
          <w:rStyle w:val="CharSDivText"/>
        </w:rPr>
        <w:t>General</w:t>
      </w:r>
      <w:bookmarkEnd w:id="559"/>
      <w:bookmarkEnd w:id="560"/>
      <w:bookmarkEnd w:id="561"/>
      <w:bookmarkEnd w:id="562"/>
      <w:bookmarkEnd w:id="563"/>
      <w:bookmarkEnd w:id="564"/>
      <w:bookmarkEnd w:id="565"/>
    </w:p>
    <w:p>
      <w:pPr>
        <w:pStyle w:val="yFootnoteheading"/>
      </w:pPr>
      <w:r>
        <w:tab/>
        <w:t>[Heading inserted: No. 60 of 2011 s. 87(2).]</w:t>
      </w:r>
    </w:p>
    <w:p>
      <w:pPr>
        <w:pStyle w:val="yEdnotesection"/>
      </w:pPr>
      <w:r>
        <w:t>[</w:t>
      </w:r>
      <w:r>
        <w:rPr>
          <w:b/>
          <w:bCs/>
        </w:rPr>
        <w:t>1</w:t>
      </w:r>
      <w:r>
        <w:rPr>
          <w:b/>
        </w:rPr>
        <w:t>.</w:t>
      </w:r>
      <w:r>
        <w:tab/>
        <w:t>Deleted: No. 11 of 2024 s. 56).]</w:t>
      </w:r>
    </w:p>
    <w:p>
      <w:pPr>
        <w:pStyle w:val="yEdnotesection"/>
      </w:pPr>
      <w:r>
        <w:t>[</w:t>
      </w:r>
      <w:r>
        <w:rPr>
          <w:b/>
        </w:rPr>
        <w:t>2.</w:t>
      </w:r>
      <w:r>
        <w:tab/>
        <w:t>Deleted: No. 60 of 2011 s. 87(5).]</w:t>
      </w:r>
    </w:p>
    <w:p>
      <w:pPr>
        <w:pStyle w:val="yHeading5"/>
        <w:rPr>
          <w:snapToGrid w:val="0"/>
        </w:rPr>
      </w:pPr>
      <w:bookmarkStart w:id="566" w:name="_Toc225329866"/>
      <w:r>
        <w:rPr>
          <w:rStyle w:val="CharSClsNo"/>
        </w:rPr>
        <w:t>3</w:t>
      </w:r>
      <w:r>
        <w:rPr>
          <w:snapToGrid w:val="0"/>
        </w:rPr>
        <w:t>.</w:t>
      </w:r>
      <w:r>
        <w:rPr>
          <w:snapToGrid w:val="0"/>
        </w:rPr>
        <w:tab/>
        <w:t>Rental Accommodation Account</w:t>
      </w:r>
      <w:bookmarkEnd w:id="566"/>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w:t>
      </w:r>
      <w:r>
        <w:rPr>
          <w:szCs w:val="22"/>
        </w:rPr>
        <w:t>102(1)(b);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 xml:space="preserve">and there shall be charged to that account all amounts required to be paid under </w:t>
      </w:r>
      <w:r>
        <w:rPr>
          <w:szCs w:val="18"/>
        </w:rPr>
        <w:t>Part 5A Division 2.</w:t>
      </w:r>
    </w:p>
    <w:p>
      <w:pPr>
        <w:pStyle w:val="ySubsection"/>
        <w:keepNext/>
        <w:rPr>
          <w:snapToGrid w:val="0"/>
        </w:rPr>
      </w:pPr>
      <w:r>
        <w:rPr>
          <w:snapToGrid w:val="0"/>
        </w:rPr>
        <w:lastRenderedPageBreak/>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w:t>
      </w:r>
      <w:r>
        <w:rPr>
          <w:szCs w:val="22"/>
        </w:rPr>
        <w:t>section 76(2), (2A)</w:t>
      </w:r>
      <w:r>
        <w:t xml:space="preserve">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w:t>
      </w:r>
      <w:r>
        <w:rPr>
          <w:szCs w:val="18"/>
        </w:rPr>
        <w:t>administrator</w:t>
      </w:r>
      <w:r>
        <w:t xml:space="preserve">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 xml:space="preserve">in the performance by the bond </w:t>
      </w:r>
      <w:r>
        <w:rPr>
          <w:szCs w:val="18"/>
        </w:rPr>
        <w:t>administrator,</w:t>
      </w:r>
      <w:r>
        <w:rPr>
          <w:snapToGrid w:val="0"/>
        </w:rPr>
        <w:t xml:space="preserve">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keepNext/>
        <w:rPr>
          <w:snapToGrid w:val="0"/>
        </w:rPr>
      </w:pPr>
      <w:r>
        <w:rPr>
          <w:snapToGrid w:val="0"/>
        </w:rPr>
        <w:lastRenderedPageBreak/>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w:t>
      </w:r>
      <w:r>
        <w:noBreakHyphen/>
        <w:t>(9); No. 28 of 2020 s. 89; No. 11 of 2024 s. 57.]</w:t>
      </w:r>
    </w:p>
    <w:p>
      <w:pPr>
        <w:pStyle w:val="yHeading5"/>
        <w:rPr>
          <w:snapToGrid w:val="0"/>
        </w:rPr>
      </w:pPr>
      <w:bookmarkStart w:id="567" w:name="_Toc225329867"/>
      <w:r>
        <w:rPr>
          <w:rStyle w:val="CharSClsNo"/>
        </w:rPr>
        <w:t>4</w:t>
      </w:r>
      <w:r>
        <w:rPr>
          <w:snapToGrid w:val="0"/>
        </w:rPr>
        <w:t>.</w:t>
      </w:r>
      <w:r>
        <w:rPr>
          <w:snapToGrid w:val="0"/>
        </w:rPr>
        <w:tab/>
        <w:t>Duties of bond administrator</w:t>
      </w:r>
      <w:bookmarkEnd w:id="567"/>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18"/>
        </w:rPr>
        <w:t>Part 5A Division 2;</w:t>
      </w:r>
    </w:p>
    <w:p>
      <w:pPr>
        <w:pStyle w:val="yIndenta"/>
        <w:rPr>
          <w:snapToGrid w:val="0"/>
        </w:rPr>
      </w:pPr>
      <w:r>
        <w:rPr>
          <w:snapToGrid w:val="0"/>
        </w:rPr>
        <w:tab/>
      </w:r>
      <w:r>
        <w:rPr>
          <w:snapToGrid w:val="0"/>
        </w:rPr>
        <w:tab/>
        <w:t>and</w:t>
      </w:r>
    </w:p>
    <w:p>
      <w:pPr>
        <w:pStyle w:val="yIndenta"/>
        <w:keepNext/>
        <w:rPr>
          <w:snapToGrid w:val="0"/>
        </w:rPr>
      </w:pPr>
      <w:r>
        <w:rPr>
          <w:snapToGrid w:val="0"/>
        </w:rPr>
        <w:lastRenderedPageBreak/>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No. 11 of 2024 s. 58.] </w:t>
      </w:r>
    </w:p>
    <w:p>
      <w:pPr>
        <w:pStyle w:val="yEdnotedivision"/>
      </w:pPr>
      <w:r>
        <w:t>[Division 2 (cl. 5A and 5) deleted: No. 11 of 2024 s. 59.]</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568" w:name="_Toc225329868"/>
      <w:r>
        <w:rPr>
          <w:rStyle w:val="CharSClsNo"/>
        </w:rPr>
        <w:t>8</w:t>
      </w:r>
      <w:r>
        <w:rPr>
          <w:snapToGrid w:val="0"/>
        </w:rPr>
        <w:t>.</w:t>
      </w:r>
      <w:r>
        <w:rPr>
          <w:snapToGrid w:val="0"/>
        </w:rPr>
        <w:tab/>
      </w:r>
      <w:r>
        <w:t>Court</w:t>
      </w:r>
      <w:r>
        <w:rPr>
          <w:snapToGrid w:val="0"/>
        </w:rPr>
        <w:t xml:space="preserve"> may determine disposal of security bond</w:t>
      </w:r>
      <w:bookmarkEnd w:id="568"/>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keepNext/>
        <w:spacing w:before="140"/>
        <w:rPr>
          <w:snapToGrid w:val="0"/>
        </w:rPr>
      </w:pPr>
      <w:r>
        <w:rPr>
          <w:snapToGrid w:val="0"/>
        </w:rPr>
        <w:lastRenderedPageBreak/>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569" w:name="_Toc225166191"/>
      <w:bookmarkStart w:id="570" w:name="_Toc225170969"/>
      <w:bookmarkStart w:id="571" w:name="_Toc225171584"/>
      <w:bookmarkStart w:id="572" w:name="_Toc225171896"/>
      <w:bookmarkStart w:id="573" w:name="_Toc225235541"/>
      <w:bookmarkStart w:id="574" w:name="_Toc225329030"/>
      <w:bookmarkStart w:id="575" w:name="_Toc225329869"/>
      <w:r>
        <w:rPr>
          <w:rStyle w:val="CharSDivNo"/>
        </w:rPr>
        <w:lastRenderedPageBreak/>
        <w:t>Division 3</w:t>
      </w:r>
      <w:r>
        <w:t> — </w:t>
      </w:r>
      <w:r>
        <w:rPr>
          <w:rStyle w:val="CharSDivText"/>
        </w:rPr>
        <w:t>Tenant compensation bonds</w:t>
      </w:r>
      <w:bookmarkEnd w:id="569"/>
      <w:bookmarkEnd w:id="570"/>
      <w:bookmarkEnd w:id="571"/>
      <w:bookmarkEnd w:id="572"/>
      <w:bookmarkEnd w:id="573"/>
      <w:bookmarkEnd w:id="574"/>
      <w:bookmarkEnd w:id="575"/>
    </w:p>
    <w:p>
      <w:pPr>
        <w:pStyle w:val="yFootnoteheading"/>
      </w:pPr>
      <w:r>
        <w:tab/>
        <w:t>[Heading inserted: No. 60 of 2011 s. 87(23).]</w:t>
      </w:r>
    </w:p>
    <w:p>
      <w:pPr>
        <w:pStyle w:val="yHeading5"/>
      </w:pPr>
      <w:bookmarkStart w:id="576" w:name="_Toc225329870"/>
      <w:r>
        <w:rPr>
          <w:rStyle w:val="CharSClsNo"/>
        </w:rPr>
        <w:t>9</w:t>
      </w:r>
      <w:r>
        <w:t>.</w:t>
      </w:r>
      <w:r>
        <w:tab/>
        <w:t>Application of Division</w:t>
      </w:r>
      <w:bookmarkEnd w:id="576"/>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577" w:name="_Toc225329871"/>
      <w:r>
        <w:rPr>
          <w:rStyle w:val="CharSClsNo"/>
        </w:rPr>
        <w:t>10</w:t>
      </w:r>
      <w:r>
        <w:t>.</w:t>
      </w:r>
      <w:r>
        <w:tab/>
        <w:t>Disposal of tenant compensation bond to tenant by bond administrator</w:t>
      </w:r>
      <w:bookmarkEnd w:id="577"/>
    </w:p>
    <w:p>
      <w:pPr>
        <w:pStyle w:val="ySubsection"/>
      </w:pPr>
      <w:r>
        <w:tab/>
        <w:t>(1)</w:t>
      </w:r>
      <w:r>
        <w:tab/>
        <w:t>The bond administrator must on receipt of —</w:t>
      </w:r>
    </w:p>
    <w:p>
      <w:pPr>
        <w:pStyle w:val="yIndenta"/>
      </w:pPr>
      <w:r>
        <w:tab/>
        <w:t>(a)</w:t>
      </w:r>
      <w:r>
        <w:tab/>
        <w:t xml:space="preserve">an application in </w:t>
      </w:r>
      <w:r>
        <w:rPr>
          <w:szCs w:val="18"/>
        </w:rPr>
        <w:t>the approved form —</w:t>
      </w:r>
    </w:p>
    <w:p>
      <w:pPr>
        <w:pStyle w:val="yIndenti0"/>
      </w:pPr>
      <w:r>
        <w:tab/>
        <w:t>(i)</w:t>
      </w:r>
      <w:r>
        <w:tab/>
        <w:t>signed by a tenant to a residential tenancy agreement to which the tenant compensation bond relates; and</w:t>
      </w:r>
    </w:p>
    <w:p>
      <w:pPr>
        <w:pStyle w:val="yIndenti0"/>
        <w:keepNext/>
      </w:pPr>
      <w:r>
        <w:tab/>
        <w:t>(ii)</w:t>
      </w:r>
      <w:r>
        <w:tab/>
        <w:t xml:space="preserve">lodged, including lodged by facsimile or electronic means, with the bond </w:t>
      </w:r>
      <w:r>
        <w:rPr>
          <w:szCs w:val="18"/>
        </w:rPr>
        <w:t>administrator;</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 xml:space="preserve">If a tenant is deceased, the signature of the tenant’s executor or administrator to an application is sufficient for the purposes of subclause (1)(a), and if a tenant is represented by a manager or </w:t>
      </w:r>
      <w:r>
        <w:lastRenderedPageBreak/>
        <w:t>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 amended: No. 11 of 2024 s. 60.]</w:t>
      </w:r>
    </w:p>
    <w:p>
      <w:pPr>
        <w:pStyle w:val="yHeading5"/>
      </w:pPr>
      <w:bookmarkStart w:id="578" w:name="_Toc225329872"/>
      <w:r>
        <w:rPr>
          <w:rStyle w:val="CharSClsNo"/>
        </w:rPr>
        <w:t>11</w:t>
      </w:r>
      <w:r>
        <w:t>.</w:t>
      </w:r>
      <w:r>
        <w:tab/>
        <w:t>Disposal of tenant compensation bond to lessor by bond administrator</w:t>
      </w:r>
      <w:bookmarkEnd w:id="578"/>
    </w:p>
    <w:p>
      <w:pPr>
        <w:pStyle w:val="ySubsection"/>
      </w:pPr>
      <w:r>
        <w:tab/>
      </w:r>
      <w:r>
        <w:tab/>
        <w:t xml:space="preserve">The bond administrator must on receipt of — </w:t>
      </w:r>
    </w:p>
    <w:p>
      <w:pPr>
        <w:pStyle w:val="yIndenta"/>
      </w:pPr>
      <w:r>
        <w:tab/>
        <w:t>(a)</w:t>
      </w:r>
      <w:r>
        <w:tab/>
        <w:t xml:space="preserve">an application in </w:t>
      </w:r>
      <w:r>
        <w:rPr>
          <w:szCs w:val="18"/>
        </w:rPr>
        <w:t>the approved form —</w:t>
      </w:r>
    </w:p>
    <w:p>
      <w:pPr>
        <w:pStyle w:val="yIndenti0"/>
      </w:pPr>
      <w:r>
        <w:tab/>
        <w:t>(i)</w:t>
      </w:r>
      <w:r>
        <w:tab/>
        <w:t>signed by the lessor to whom the tenant compensation bond relates; and</w:t>
      </w:r>
    </w:p>
    <w:p>
      <w:pPr>
        <w:pStyle w:val="yIndenti0"/>
      </w:pPr>
      <w:r>
        <w:tab/>
        <w:t>(ii)</w:t>
      </w:r>
      <w:r>
        <w:tab/>
        <w:t xml:space="preserve">lodged, including lodged by facsimile or electronic means, with the bond </w:t>
      </w:r>
      <w:r>
        <w:rPr>
          <w:szCs w:val="18"/>
        </w:rPr>
        <w:t>administrator;</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 amended: No. 11 of 2024 s. 61.]</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580" w:name="_Toc225166195"/>
      <w:bookmarkStart w:id="581" w:name="_Toc225170973"/>
      <w:bookmarkStart w:id="582" w:name="_Toc225171588"/>
      <w:bookmarkStart w:id="583" w:name="_Toc225171900"/>
      <w:bookmarkStart w:id="584" w:name="_Toc225235545"/>
      <w:bookmarkStart w:id="585" w:name="_Toc225329034"/>
      <w:bookmarkStart w:id="586" w:name="_Toc225329873"/>
      <w:r>
        <w:lastRenderedPageBreak/>
        <w:t>Notes</w:t>
      </w:r>
      <w:bookmarkEnd w:id="580"/>
      <w:bookmarkEnd w:id="581"/>
      <w:bookmarkEnd w:id="582"/>
      <w:bookmarkEnd w:id="583"/>
      <w:bookmarkEnd w:id="584"/>
      <w:bookmarkEnd w:id="585"/>
      <w:bookmarkEnd w:id="586"/>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w:t>
      </w:r>
    </w:p>
    <w:p>
      <w:pPr>
        <w:pStyle w:val="nHeading3"/>
      </w:pPr>
      <w:bookmarkStart w:id="587" w:name="_Toc225329874"/>
      <w:r>
        <w:t>Compilation table</w:t>
      </w:r>
      <w:bookmarkEnd w:id="587"/>
    </w:p>
    <w:tbl>
      <w:tblPr>
        <w:tblW w:w="7090" w:type="dxa"/>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3"/>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3"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3"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3"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3" w:type="dxa"/>
          </w:tcPr>
          <w:p>
            <w:pPr>
              <w:pStyle w:val="nTable"/>
              <w:spacing w:after="40"/>
            </w:pPr>
            <w:r>
              <w:t>1 Jul 1993 (see s. 2)</w:t>
            </w:r>
          </w:p>
        </w:tc>
      </w:tr>
      <w:tr>
        <w:trPr>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3"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3"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3" w:type="dxa"/>
          </w:tcPr>
          <w:p>
            <w:pPr>
              <w:pStyle w:val="nTable"/>
              <w:keepNext/>
              <w:keepLines/>
              <w:spacing w:after="40"/>
            </w:pPr>
            <w:r>
              <w:t xml:space="preserve">1 Jan 1996 (see s. 2(2) and </w:t>
            </w:r>
            <w:r>
              <w:rPr>
                <w:i/>
              </w:rPr>
              <w:t>Gazette</w:t>
            </w:r>
            <w:r>
              <w:t xml:space="preserve"> 29 Dec 1995 p. 6291)</w:t>
            </w:r>
          </w:p>
        </w:tc>
      </w:tr>
      <w:tr>
        <w:trPr>
          <w:cantSplit/>
        </w:trPr>
        <w:tc>
          <w:tcPr>
            <w:tcW w:w="7090"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3" w:type="dxa"/>
          </w:tcPr>
          <w:p>
            <w:pPr>
              <w:pStyle w:val="nTable"/>
              <w:spacing w:after="40"/>
            </w:pPr>
            <w:r>
              <w:t>1 Jul 1996 (see s. 2)</w:t>
            </w:r>
          </w:p>
        </w:tc>
      </w:tr>
      <w:tr>
        <w:trPr>
          <w:cantSplit/>
        </w:trPr>
        <w:tc>
          <w:tcPr>
            <w:tcW w:w="2268" w:type="dxa"/>
            <w:gridSpan w:val="2"/>
          </w:tcPr>
          <w:p>
            <w:pPr>
              <w:pStyle w:val="nTable"/>
              <w:spacing w:after="40"/>
            </w:pPr>
            <w:r>
              <w:rPr>
                <w:i/>
              </w:rPr>
              <w:lastRenderedPageBreak/>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3" w:type="dxa"/>
          </w:tcPr>
          <w:p>
            <w:pPr>
              <w:pStyle w:val="nTable"/>
              <w:spacing w:after="40"/>
            </w:pPr>
            <w:r>
              <w:t>15 Dec 1997 (see s. 2(1))</w:t>
            </w:r>
          </w:p>
        </w:tc>
      </w:tr>
      <w:tr>
        <w:trPr>
          <w:cantSplit/>
        </w:trPr>
        <w:tc>
          <w:tcPr>
            <w:tcW w:w="7090"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3"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3"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3"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3"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90"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3" w:type="dxa"/>
          </w:tcPr>
          <w:p>
            <w:pPr>
              <w:pStyle w:val="nTable"/>
              <w:spacing w:after="40"/>
              <w:rPr>
                <w:snapToGrid w:val="0"/>
              </w:rPr>
            </w:pPr>
            <w:r>
              <w:rPr>
                <w:snapToGrid w:val="0"/>
              </w:rPr>
              <w:t>15 Nov 2005 (see s. 2)</w:t>
            </w:r>
          </w:p>
        </w:tc>
      </w:tr>
      <w:tr>
        <w:trPr>
          <w:cantSplit/>
        </w:trP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3"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3"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rPr>
          <w:cantSplit/>
        </w:trP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3"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rPr>
          <w:cantSplit/>
        </w:trPr>
        <w:tc>
          <w:tcPr>
            <w:tcW w:w="2268" w:type="dxa"/>
            <w:gridSpan w:val="2"/>
          </w:tcPr>
          <w:p>
            <w:pPr>
              <w:pStyle w:val="nTable"/>
              <w:spacing w:after="40"/>
              <w:rPr>
                <w:i/>
                <w:snapToGrid w:val="0"/>
              </w:rPr>
            </w:pPr>
            <w:r>
              <w:rPr>
                <w:i/>
                <w:snapToGrid w:val="0"/>
              </w:rPr>
              <w:lastRenderedPageBreak/>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90"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rPr>
          <w:cantSplit/>
        </w:trP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3"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3"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3"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90"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3"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3"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3"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90" w:type="dxa"/>
            <w:gridSpan w:val="7"/>
            <w:shd w:val="clear" w:color="auto" w:fill="auto"/>
          </w:tcPr>
          <w:p>
            <w:pPr>
              <w:pStyle w:val="nTable"/>
              <w:spacing w:after="40"/>
              <w:rPr>
                <w:snapToGrid w:val="0"/>
              </w:rPr>
            </w:pPr>
            <w:r>
              <w:rPr>
                <w:b/>
              </w:rPr>
              <w:lastRenderedPageBreak/>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2" w:type="dxa"/>
            <w:gridSpan w:val="2"/>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Community Titles Act 2018</w:t>
            </w:r>
            <w:r>
              <w:t xml:space="preserve"> Pt. 14 Div. 18</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30 Jun 2021 (see s. 2(b) and SL 2021/69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2"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2" w:type="dxa"/>
            <w:gridSpan w:val="2"/>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noProof/>
              </w:rPr>
              <w:t>Residential Tenancies (COVID-19 Response) Act 2020</w:t>
            </w:r>
            <w:r>
              <w:rPr>
                <w:noProof/>
              </w:rPr>
              <w:t xml:space="preserve"> Pt. 8</w:t>
            </w:r>
          </w:p>
        </w:tc>
        <w:tc>
          <w:tcPr>
            <w:tcW w:w="1134" w:type="dxa"/>
            <w:gridSpan w:val="2"/>
            <w:tcBorders>
              <w:top w:val="nil"/>
              <w:bottom w:val="nil"/>
            </w:tcBorders>
          </w:tcPr>
          <w:p>
            <w:pPr>
              <w:pStyle w:val="nTable"/>
              <w:spacing w:after="40"/>
            </w:pPr>
            <w:r>
              <w:t>18 of 2020</w:t>
            </w:r>
          </w:p>
        </w:tc>
        <w:tc>
          <w:tcPr>
            <w:tcW w:w="1134" w:type="dxa"/>
            <w:gridSpan w:val="2"/>
            <w:tcBorders>
              <w:top w:val="nil"/>
              <w:bottom w:val="nil"/>
            </w:tcBorders>
          </w:tcPr>
          <w:p>
            <w:pPr>
              <w:pStyle w:val="nTable"/>
              <w:spacing w:after="40"/>
            </w:pPr>
            <w:r>
              <w:t>23 Apr 2020</w:t>
            </w:r>
          </w:p>
        </w:tc>
        <w:tc>
          <w:tcPr>
            <w:tcW w:w="2582" w:type="dxa"/>
            <w:gridSpan w:val="2"/>
            <w:tcBorders>
              <w:top w:val="nil"/>
              <w:bottom w:val="nil"/>
            </w:tcBorders>
          </w:tcPr>
          <w:p>
            <w:pPr>
              <w:pStyle w:val="nTable"/>
              <w:spacing w:after="40"/>
              <w:rPr>
                <w:snapToGrid w:val="0"/>
              </w:rPr>
            </w:pPr>
            <w:r>
              <w:t>30 Mar 2020 (see s. 2(d))</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Residential Parks (Long</w:t>
            </w:r>
            <w:r>
              <w:rPr>
                <w:i/>
              </w:rPr>
              <w:noBreakHyphen/>
              <w:t xml:space="preserve"> stay Tenants) Amendment Act 2020</w:t>
            </w:r>
            <w:r>
              <w:t xml:space="preserve"> Pt. 3 </w:t>
            </w:r>
          </w:p>
        </w:tc>
        <w:tc>
          <w:tcPr>
            <w:tcW w:w="1134" w:type="dxa"/>
            <w:gridSpan w:val="2"/>
            <w:tcBorders>
              <w:top w:val="nil"/>
              <w:bottom w:val="nil"/>
            </w:tcBorders>
          </w:tcPr>
          <w:p>
            <w:pPr>
              <w:pStyle w:val="nTable"/>
              <w:spacing w:after="40"/>
            </w:pPr>
            <w:r>
              <w:t>28 of 2020</w:t>
            </w:r>
          </w:p>
        </w:tc>
        <w:tc>
          <w:tcPr>
            <w:tcW w:w="1134" w:type="dxa"/>
            <w:gridSpan w:val="2"/>
            <w:tcBorders>
              <w:top w:val="nil"/>
              <w:bottom w:val="nil"/>
            </w:tcBorders>
          </w:tcPr>
          <w:p>
            <w:pPr>
              <w:pStyle w:val="nTable"/>
              <w:spacing w:after="40"/>
            </w:pPr>
            <w:r>
              <w:t>9 Jul 2020</w:t>
            </w:r>
          </w:p>
        </w:tc>
        <w:tc>
          <w:tcPr>
            <w:tcW w:w="2582" w:type="dxa"/>
            <w:gridSpan w:val="2"/>
            <w:tcBorders>
              <w:top w:val="nil"/>
              <w:bottom w:val="nil"/>
            </w:tcBorders>
          </w:tcPr>
          <w:p>
            <w:pPr>
              <w:pStyle w:val="nTable"/>
              <w:spacing w:after="40"/>
            </w:pPr>
            <w:r>
              <w:t>s. 88: 10 Jul 2020 (see s. 2(1)(b));</w:t>
            </w:r>
            <w:r>
              <w:br/>
              <w:t>s. 89: 31 Jan 2022 (see s. 2(1)(c) and SL 2021/195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noProof/>
              </w:rPr>
            </w:pPr>
            <w:r>
              <w:rPr>
                <w:i/>
              </w:rPr>
              <w:t>Legal Profession Uniform Law Application Act 2022</w:t>
            </w:r>
            <w:r>
              <w:t xml:space="preserve"> s. 424</w:t>
            </w:r>
          </w:p>
        </w:tc>
        <w:tc>
          <w:tcPr>
            <w:tcW w:w="1134" w:type="dxa"/>
            <w:gridSpan w:val="2"/>
            <w:tcBorders>
              <w:top w:val="nil"/>
              <w:bottom w:val="nil"/>
            </w:tcBorders>
          </w:tcPr>
          <w:p>
            <w:pPr>
              <w:pStyle w:val="nTable"/>
              <w:spacing w:after="40"/>
            </w:pPr>
            <w:r>
              <w:t>9 of 2022</w:t>
            </w:r>
          </w:p>
        </w:tc>
        <w:tc>
          <w:tcPr>
            <w:tcW w:w="1134" w:type="dxa"/>
            <w:gridSpan w:val="2"/>
            <w:tcBorders>
              <w:top w:val="nil"/>
              <w:bottom w:val="nil"/>
            </w:tcBorders>
          </w:tcPr>
          <w:p>
            <w:pPr>
              <w:pStyle w:val="nTable"/>
              <w:spacing w:after="40"/>
            </w:pPr>
            <w:r>
              <w:t>14 Apr 2022</w:t>
            </w:r>
          </w:p>
        </w:tc>
        <w:tc>
          <w:tcPr>
            <w:tcW w:w="2582" w:type="dxa"/>
            <w:gridSpan w:val="2"/>
            <w:tcBorders>
              <w:top w:val="nil"/>
              <w:bottom w:val="nil"/>
            </w:tcBorders>
          </w:tcPr>
          <w:p>
            <w:pPr>
              <w:pStyle w:val="nTable"/>
              <w:spacing w:after="40"/>
            </w:pPr>
            <w:r>
              <w:rPr>
                <w:snapToGrid w:val="0"/>
              </w:rPr>
              <w:t>1 Jul 2022 (see s. 2(c) and SL 2022/113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iCs/>
              </w:rPr>
              <w:lastRenderedPageBreak/>
              <w:t>Residential Tenancies Amendment Act 2024</w:t>
            </w:r>
            <w:r>
              <w:t xml:space="preserve"> Pt. 2</w:t>
            </w:r>
          </w:p>
        </w:tc>
        <w:tc>
          <w:tcPr>
            <w:tcW w:w="1134" w:type="dxa"/>
            <w:gridSpan w:val="2"/>
            <w:tcBorders>
              <w:top w:val="nil"/>
              <w:bottom w:val="nil"/>
            </w:tcBorders>
          </w:tcPr>
          <w:p>
            <w:pPr>
              <w:pStyle w:val="nTable"/>
              <w:spacing w:after="40"/>
            </w:pPr>
            <w:r>
              <w:t>11 of 2024</w:t>
            </w:r>
          </w:p>
        </w:tc>
        <w:tc>
          <w:tcPr>
            <w:tcW w:w="1134" w:type="dxa"/>
            <w:gridSpan w:val="2"/>
            <w:tcBorders>
              <w:top w:val="nil"/>
              <w:bottom w:val="nil"/>
            </w:tcBorders>
          </w:tcPr>
          <w:p>
            <w:pPr>
              <w:pStyle w:val="nTable"/>
              <w:spacing w:after="40"/>
            </w:pPr>
            <w:r>
              <w:t>22 Apr 2024</w:t>
            </w:r>
          </w:p>
        </w:tc>
        <w:tc>
          <w:tcPr>
            <w:tcW w:w="2582" w:type="dxa"/>
            <w:gridSpan w:val="2"/>
            <w:tcBorders>
              <w:top w:val="nil"/>
              <w:bottom w:val="nil"/>
            </w:tcBorders>
          </w:tcPr>
          <w:p>
            <w:pPr>
              <w:pStyle w:val="nTable"/>
              <w:spacing w:after="40"/>
              <w:rPr>
                <w:snapToGrid w:val="0"/>
              </w:rPr>
            </w:pPr>
            <w:r>
              <w:t>s. 3-10, 17, 19</w:t>
            </w:r>
            <w:r>
              <w:noBreakHyphen/>
              <w:t>23, 24(1), 32, 34, 36, 44, 45 and 47-55): 16 May 2024 (see s. 2(b) and SL 2024/75 cl. 2(a));</w:t>
            </w:r>
            <w:r>
              <w:br/>
              <w:t>s. 11, 12, 13(1), 14, 15(1), 18, 25-31, 33, 35, 37, 39</w:t>
            </w:r>
            <w:r>
              <w:noBreakHyphen/>
              <w:t>42 and 46: 29 Jul 2024 (see s. 2(b) and SL 2024/143 cl. 2);</w:t>
            </w:r>
            <w:r>
              <w:br/>
              <w:t>s. 13(2), 15(2), 16, 24(2)</w:t>
            </w:r>
            <w:r>
              <w:noBreakHyphen/>
              <w:t>(5), 38, 43 and 56</w:t>
            </w:r>
            <w:r>
              <w:noBreakHyphen/>
              <w:t>61: 28 Mar 2026 (see s. 2(b) and SL 2026/31 cl. 2(a)-(g)))</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single" w:sz="4" w:space="0" w:color="auto"/>
              <w:right w:val="nil"/>
            </w:tcBorders>
          </w:tcPr>
          <w:p>
            <w:pPr>
              <w:pStyle w:val="nTable"/>
              <w:spacing w:after="40"/>
              <w:rPr>
                <w:i/>
                <w:iCs/>
              </w:rPr>
            </w:pPr>
            <w:r>
              <w:rPr>
                <w:i/>
                <w:iCs/>
              </w:rPr>
              <w:t>Statutes (Repeals and Minor Amendments) Act 2025</w:t>
            </w:r>
            <w:r>
              <w:t xml:space="preserve"> s. 35</w:t>
            </w:r>
          </w:p>
        </w:tc>
        <w:tc>
          <w:tcPr>
            <w:tcW w:w="1134" w:type="dxa"/>
            <w:gridSpan w:val="2"/>
            <w:tcBorders>
              <w:top w:val="nil"/>
              <w:left w:val="nil"/>
              <w:bottom w:val="single" w:sz="4" w:space="0" w:color="auto"/>
              <w:right w:val="nil"/>
            </w:tcBorders>
          </w:tcPr>
          <w:p>
            <w:pPr>
              <w:pStyle w:val="nTable"/>
              <w:spacing w:after="40"/>
            </w:pPr>
            <w:r>
              <w:t>14 of 2025</w:t>
            </w:r>
          </w:p>
        </w:tc>
        <w:tc>
          <w:tcPr>
            <w:tcW w:w="1134" w:type="dxa"/>
            <w:gridSpan w:val="2"/>
            <w:tcBorders>
              <w:top w:val="nil"/>
              <w:left w:val="nil"/>
              <w:bottom w:val="single" w:sz="4" w:space="0" w:color="auto"/>
              <w:right w:val="nil"/>
            </w:tcBorders>
          </w:tcPr>
          <w:p>
            <w:pPr>
              <w:pStyle w:val="nTable"/>
              <w:spacing w:after="40"/>
            </w:pPr>
            <w:r>
              <w:t>25 Sep 2025</w:t>
            </w:r>
          </w:p>
        </w:tc>
        <w:tc>
          <w:tcPr>
            <w:tcW w:w="2582" w:type="dxa"/>
            <w:gridSpan w:val="2"/>
            <w:tcBorders>
              <w:top w:val="nil"/>
              <w:left w:val="nil"/>
              <w:bottom w:val="single" w:sz="4" w:space="0" w:color="auto"/>
            </w:tcBorders>
          </w:tcPr>
          <w:p>
            <w:pPr>
              <w:pStyle w:val="nTable"/>
              <w:spacing w:after="40"/>
            </w:pPr>
            <w:r>
              <w:t>26 Sep 2025 (see s. 2(b))</w:t>
            </w:r>
          </w:p>
        </w:tc>
      </w:tr>
    </w:tbl>
    <w:p>
      <w:pPr>
        <w:pStyle w:val="nHeading3"/>
      </w:pPr>
      <w:bookmarkStart w:id="588" w:name="_Toc225329875"/>
      <w:r>
        <w:t>Other notes</w:t>
      </w:r>
      <w:bookmarkEnd w:id="588"/>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keepNext/>
        <w:keepLines/>
      </w:pPr>
      <w:r>
        <w:rPr>
          <w:snapToGrid w:val="0"/>
          <w:vertAlign w:val="superscript"/>
        </w:rPr>
        <w:lastRenderedPageBreak/>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590" w:name="_Toc225329876"/>
      <w:r>
        <w:rPr>
          <w:sz w:val="28"/>
        </w:rPr>
        <w:lastRenderedPageBreak/>
        <w:t>Defined terms</w:t>
      </w:r>
      <w:bookmarkEnd w:id="5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amount</w:t>
      </w:r>
      <w:r>
        <w:tab/>
        <w:t>31(1A)</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approved form</w:t>
      </w:r>
      <w:r>
        <w:tab/>
        <w:t>3</w:t>
      </w:r>
    </w:p>
    <w:p>
      <w:pPr>
        <w:pStyle w:val="DefinedTerms"/>
      </w:pPr>
      <w:r>
        <w:t>assistance animal</w:t>
      </w:r>
      <w:r>
        <w:tab/>
        <w:t>3</w:t>
      </w:r>
    </w:p>
    <w:p>
      <w:pPr>
        <w:pStyle w:val="DefinedTerms"/>
      </w:pPr>
      <w:r>
        <w:t>authorised financial institution</w:t>
      </w:r>
      <w:r>
        <w:tab/>
        <w:t>92</w:t>
      </w:r>
    </w:p>
    <w:p>
      <w:pPr>
        <w:pStyle w:val="DefinedTerms"/>
      </w:pPr>
      <w:r>
        <w:t>authorised person</w:t>
      </w:r>
      <w:r>
        <w:tab/>
        <w:t>88A(1)</w:t>
      </w:r>
    </w:p>
    <w:p>
      <w:pPr>
        <w:pStyle w:val="DefinedTerms"/>
      </w:pPr>
      <w:r>
        <w:t>bond</w:t>
      </w:r>
      <w:r>
        <w:tab/>
        <w:t>3</w:t>
      </w:r>
    </w:p>
    <w:p>
      <w:pPr>
        <w:pStyle w:val="DefinedTerms"/>
      </w:pPr>
      <w:r>
        <w:t>bond administrator</w:t>
      </w:r>
      <w:r>
        <w:tab/>
        <w:t>3</w:t>
      </w:r>
    </w:p>
    <w:p>
      <w:pPr>
        <w:pStyle w:val="DefinedTerms"/>
      </w:pPr>
      <w:r>
        <w:t>bond assistance loan</w:t>
      </w:r>
      <w:r>
        <w:tab/>
        <w:t>81M(1)</w:t>
      </w:r>
    </w:p>
    <w:p>
      <w:pPr>
        <w:pStyle w:val="DefinedTerms"/>
      </w:pPr>
      <w:r>
        <w:t>bond information</w:t>
      </w:r>
      <w:r>
        <w:tab/>
        <w:t>11AA(1)</w:t>
      </w:r>
    </w:p>
    <w:p>
      <w:pPr>
        <w:pStyle w:val="DefinedTerms"/>
      </w:pPr>
      <w:r>
        <w:t>commencement</w:t>
      </w:r>
      <w:r>
        <w:tab/>
        <w:t>99(1), 100(1), 101(1), 102(1)</w:t>
      </w:r>
    </w:p>
    <w:p>
      <w:pPr>
        <w:pStyle w:val="DefinedTerms"/>
      </w:pPr>
      <w:r>
        <w:t>commencement day</w:t>
      </w:r>
      <w:r>
        <w:tab/>
        <w:t>91(1), 92, 97(1), 98(1)</w:t>
      </w:r>
    </w:p>
    <w:p>
      <w:pPr>
        <w:pStyle w:val="DefinedTerms"/>
      </w:pPr>
      <w:r>
        <w:t>Commissioner</w:t>
      </w:r>
      <w:r>
        <w:tab/>
        <w:t>3</w:t>
      </w:r>
    </w:p>
    <w:p>
      <w:pPr>
        <w:pStyle w:val="DefinedTerms"/>
      </w:pPr>
      <w:r>
        <w:t>common area</w:t>
      </w:r>
      <w:r>
        <w:tab/>
        <w:t>3</w:t>
      </w:r>
    </w:p>
    <w:p>
      <w:pPr>
        <w:pStyle w:val="DefinedTerms"/>
      </w:pPr>
      <w:r>
        <w:t>community corporation</w:t>
      </w:r>
      <w:r>
        <w:tab/>
        <w:t>50A(1)</w:t>
      </w:r>
    </w:p>
    <w:p>
      <w:pPr>
        <w:pStyle w:val="DefinedTerms"/>
      </w:pPr>
      <w:r>
        <w:t>community titles scheme</w:t>
      </w:r>
      <w:r>
        <w:tab/>
        <w:t>3</w:t>
      </w:r>
    </w:p>
    <w:p>
      <w:pPr>
        <w:pStyle w:val="DefinedTerms"/>
      </w:pPr>
      <w:r>
        <w:t>competent court</w:t>
      </w:r>
      <w:r>
        <w:tab/>
        <w:t>3</w:t>
      </w:r>
    </w:p>
    <w:p>
      <w:pPr>
        <w:pStyle w:val="DefinedTerms"/>
      </w:pPr>
      <w:r>
        <w:t>consenting party</w:t>
      </w:r>
      <w:r>
        <w:tab/>
        <w:t>50Y(1) and (2)</w:t>
      </w:r>
    </w:p>
    <w:p>
      <w:pPr>
        <w:pStyle w:val="DefinedTerms"/>
      </w:pPr>
      <w:r>
        <w:t>consumption</w:t>
      </w:r>
      <w:r>
        <w:tab/>
        <w:t>49A(1)</w:t>
      </w:r>
    </w:p>
    <w:p>
      <w:pPr>
        <w:pStyle w:val="DefinedTerms"/>
      </w:pPr>
      <w:r>
        <w:t>continuing agreement</w:t>
      </w:r>
      <w:r>
        <w:tab/>
        <w:t>31B(2)</w:t>
      </w:r>
    </w:p>
    <w:p>
      <w:pPr>
        <w:pStyle w:val="DefinedTerms"/>
      </w:pPr>
      <w:r>
        <w:t>co-tenant</w:t>
      </w:r>
      <w:r>
        <w:tab/>
        <w:t>71AD(1)</w:t>
      </w:r>
    </w:p>
    <w:p>
      <w:pPr>
        <w:pStyle w:val="DefinedTerms"/>
      </w:pPr>
      <w:r>
        <w:t>criteria</w:t>
      </w:r>
      <w:r>
        <w:tab/>
        <w:t>71A</w:t>
      </w:r>
    </w:p>
    <w:p>
      <w:pPr>
        <w:pStyle w:val="DefinedTerms"/>
      </w:pPr>
      <w:r>
        <w:t>current term</w:t>
      </w:r>
      <w:r>
        <w:tab/>
        <w:t>99(2)</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disability</w:t>
      </w:r>
      <w:r>
        <w:tab/>
        <w:t>3</w:t>
      </w:r>
    </w:p>
    <w:p>
      <w:pPr>
        <w:pStyle w:val="DefinedTerms"/>
      </w:pPr>
      <w:r>
        <w:t>disputed tenancy matter</w:t>
      </w:r>
      <w:r>
        <w:tab/>
        <w:t>3, 11E(1)</w:t>
      </w:r>
    </w:p>
    <w:p>
      <w:pPr>
        <w:pStyle w:val="DefinedTerms"/>
      </w:pPr>
      <w:r>
        <w:t>DVO</w:t>
      </w:r>
      <w:r>
        <w:tab/>
        <w:t>71AA</w:t>
      </w:r>
    </w:p>
    <w:p>
      <w:pPr>
        <w:pStyle w:val="DefinedTerms"/>
      </w:pPr>
      <w:r>
        <w:t>excluded tenant</w:t>
      </w:r>
      <w:r>
        <w:tab/>
        <w:t>71AE(1)</w:t>
      </w:r>
    </w:p>
    <w:p>
      <w:pPr>
        <w:pStyle w:val="DefinedTerms"/>
      </w:pPr>
      <w:r>
        <w:t>executive officer</w:t>
      </w:r>
      <w:r>
        <w:tab/>
        <w:t>7A(3)</w:t>
      </w:r>
    </w:p>
    <w:p>
      <w:pPr>
        <w:pStyle w:val="DefinedTerms"/>
      </w:pPr>
      <w:r>
        <w:t>existing agreement</w:t>
      </w:r>
      <w:r>
        <w:tab/>
        <w:t>31B(2), 71H</w:t>
      </w:r>
    </w:p>
    <w:p>
      <w:pPr>
        <w:pStyle w:val="DefinedTerms"/>
      </w:pPr>
      <w:r>
        <w:t>expiry day</w:t>
      </w:r>
      <w:r>
        <w:tab/>
        <w:t>3</w:t>
      </w:r>
    </w:p>
    <w:p>
      <w:pPr>
        <w:pStyle w:val="DefinedTerms"/>
      </w:pPr>
      <w:r>
        <w:t>Family Court injunction</w:t>
      </w:r>
      <w:r>
        <w:tab/>
        <w:t>71AA</w:t>
      </w:r>
    </w:p>
    <w:p>
      <w:pPr>
        <w:pStyle w:val="DefinedTerms"/>
      </w:pPr>
      <w:r>
        <w:t>family violence</w:t>
      </w:r>
      <w:r>
        <w:tab/>
        <w:t>3</w:t>
      </w:r>
    </w:p>
    <w:p>
      <w:pPr>
        <w:pStyle w:val="DefinedTerms"/>
      </w:pPr>
      <w:r>
        <w:t>family violence order</w:t>
      </w:r>
      <w:r>
        <w:tab/>
        <w:t>71AE(1)</w:t>
      </w:r>
    </w:p>
    <w:p>
      <w:pPr>
        <w:pStyle w:val="DefinedTerms"/>
      </w:pPr>
      <w:r>
        <w:lastRenderedPageBreak/>
        <w:t>first tenant</w:t>
      </w:r>
      <w:r>
        <w:tab/>
        <w:t>17A(1)</w:t>
      </w:r>
    </w:p>
    <w:p>
      <w:pPr>
        <w:pStyle w:val="DefinedTerms"/>
      </w:pPr>
      <w:r>
        <w:t>furniture safety modification</w:t>
      </w:r>
      <w:r>
        <w:tab/>
        <w:t>3, 50J(2)</w:t>
      </w:r>
    </w:p>
    <w:p>
      <w:pPr>
        <w:pStyle w:val="DefinedTerms"/>
      </w:pPr>
      <w:r>
        <w:t>goods</w:t>
      </w:r>
      <w:r>
        <w:tab/>
        <w:t>79(1A)</w:t>
      </w:r>
    </w:p>
    <w:p>
      <w:pPr>
        <w:pStyle w:val="DefinedTerms"/>
      </w:pPr>
      <w:r>
        <w:t>GST</w:t>
      </w:r>
      <w:r>
        <w:tab/>
        <w:t>49A(1)</w:t>
      </w:r>
    </w:p>
    <w:p>
      <w:pPr>
        <w:pStyle w:val="DefinedTerms"/>
      </w:pPr>
      <w:r>
        <w:t>Housing Authority</w:t>
      </w:r>
      <w:r>
        <w:tab/>
        <w:t>3, 71A</w:t>
      </w:r>
    </w:p>
    <w:p>
      <w:pPr>
        <w:pStyle w:val="DefinedTerms"/>
      </w:pPr>
      <w:r>
        <w:t>inaccurate</w:t>
      </w:r>
      <w:r>
        <w:tab/>
        <w:t>82A</w:t>
      </w:r>
    </w:p>
    <w:p>
      <w:pPr>
        <w:pStyle w:val="DefinedTerms"/>
      </w:pPr>
      <w:r>
        <w:t>information</w:t>
      </w:r>
      <w:r>
        <w:tab/>
        <w:t>11A(3)</w:t>
      </w:r>
    </w:p>
    <w:p>
      <w:pPr>
        <w:pStyle w:val="DefinedTerms"/>
      </w:pPr>
      <w:r>
        <w:t>known party</w:t>
      </w:r>
      <w:r>
        <w:tab/>
        <w:t>3, 81F(1), 81K(1), 81P</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major modification</w:t>
      </w:r>
      <w:r>
        <w:tab/>
        <w:t>3, 50W(1)</w:t>
      </w:r>
    </w:p>
    <w:p>
      <w:pPr>
        <w:pStyle w:val="DefinedTerms"/>
      </w:pPr>
      <w:r>
        <w:t>Minister for Housing</w:t>
      </w:r>
      <w:r>
        <w:tab/>
        <w:t>71A</w:t>
      </w:r>
    </w:p>
    <w:p>
      <w:pPr>
        <w:pStyle w:val="DefinedTerms"/>
      </w:pPr>
      <w:r>
        <w:t>minor</w:t>
      </w:r>
      <w:r>
        <w:tab/>
        <w:t>59A(1)</w:t>
      </w:r>
    </w:p>
    <w:p>
      <w:pPr>
        <w:pStyle w:val="DefinedTerms"/>
      </w:pPr>
      <w:r>
        <w:t>minor modification</w:t>
      </w:r>
      <w:r>
        <w:tab/>
        <w:t>3</w:t>
      </w:r>
    </w:p>
    <w:p>
      <w:pPr>
        <w:pStyle w:val="DefinedTerms"/>
      </w:pPr>
      <w:r>
        <w:t>modification</w:t>
      </w:r>
      <w:r>
        <w:tab/>
        <w:t>3</w:t>
      </w:r>
    </w:p>
    <w:p>
      <w:pPr>
        <w:pStyle w:val="DefinedTerms"/>
      </w:pPr>
      <w:r>
        <w:t>national privacy principles</w:t>
      </w:r>
      <w:r>
        <w:tab/>
        <w:t>82K(1)</w:t>
      </w:r>
    </w:p>
    <w:p>
      <w:pPr>
        <w:pStyle w:val="DefinedTerms"/>
      </w:pPr>
      <w:r>
        <w:t>notice</w:t>
      </w:r>
      <w:r>
        <w:tab/>
        <w:t>46(1), 70A(1)</w:t>
      </w:r>
    </w:p>
    <w:p>
      <w:pPr>
        <w:pStyle w:val="DefinedTerms"/>
      </w:pPr>
      <w:r>
        <w:t>notice of dispute</w:t>
      </w:r>
      <w:r>
        <w:tab/>
        <w:t>3, 81H(2)</w:t>
      </w:r>
    </w:p>
    <w:p>
      <w:pPr>
        <w:pStyle w:val="DefinedTerms"/>
      </w:pPr>
      <w:r>
        <w:t>notice period</w:t>
      </w:r>
      <w:r>
        <w:tab/>
        <w:t>3, 81F(4)</w:t>
      </w:r>
    </w:p>
    <w:p>
      <w:pPr>
        <w:pStyle w:val="DefinedTerms"/>
      </w:pPr>
      <w:r>
        <w:t>notice to vacate</w:t>
      </w:r>
      <w:r>
        <w:tab/>
        <w:t>81A(1)</w:t>
      </w:r>
    </w:p>
    <w:p>
      <w:pPr>
        <w:pStyle w:val="DefinedTerms"/>
      </w:pPr>
      <w:r>
        <w:t>original condition</w:t>
      </w:r>
      <w:r>
        <w:tab/>
        <w:t>3</w:t>
      </w:r>
    </w:p>
    <w:p>
      <w:pPr>
        <w:pStyle w:val="DefinedTerms"/>
      </w:pPr>
      <w:r>
        <w:t>out-of-date</w:t>
      </w:r>
      <w:r>
        <w:tab/>
        <w:t>82A</w:t>
      </w:r>
    </w:p>
    <w:p>
      <w:pPr>
        <w:pStyle w:val="DefinedTerms"/>
      </w:pPr>
      <w:r>
        <w:t>party</w:t>
      </w:r>
      <w:r>
        <w:tab/>
        <w:t>3, 11D</w:t>
      </w:r>
    </w:p>
    <w:p>
      <w:pPr>
        <w:pStyle w:val="DefinedTerms"/>
      </w:pPr>
      <w:r>
        <w:t>personal information</w:t>
      </w:r>
      <w:r>
        <w:tab/>
        <w:t>3</w:t>
      </w:r>
    </w:p>
    <w:p>
      <w:pPr>
        <w:pStyle w:val="DefinedTerms"/>
      </w:pPr>
      <w:r>
        <w:t>pet</w:t>
      </w:r>
      <w:r>
        <w:tab/>
        <w:t>3</w:t>
      </w:r>
    </w:p>
    <w:p>
      <w:pPr>
        <w:pStyle w:val="DefinedTerms"/>
      </w:pPr>
      <w:r>
        <w:t>plaintiff</w:t>
      </w:r>
      <w:r>
        <w:tab/>
        <w:t>81B(1), 81(1)</w:t>
      </w:r>
    </w:p>
    <w:p>
      <w:pPr>
        <w:pStyle w:val="DefinedTerms"/>
      </w:pPr>
      <w:r>
        <w:t>possession day</w:t>
      </w:r>
      <w:r>
        <w:tab/>
        <w:t>70A(1), 72(1A)</w:t>
      </w:r>
    </w:p>
    <w:p>
      <w:pPr>
        <w:pStyle w:val="DefinedTerms"/>
      </w:pPr>
      <w:r>
        <w:t>premises</w:t>
      </w:r>
      <w:r>
        <w:tab/>
        <w:t>3, 38(2), 40(1), 42(1), 44(1), 46(1), 71AA</w:t>
      </w:r>
    </w:p>
    <w:p>
      <w:pPr>
        <w:pStyle w:val="DefinedTerms"/>
      </w:pPr>
      <w:r>
        <w:t>prescribed</w:t>
      </w:r>
      <w:r>
        <w:tab/>
        <w:t>3</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previous</w:t>
      </w:r>
      <w:r>
        <w:tab/>
        <w:t>101(1)</w:t>
      </w:r>
    </w:p>
    <w:p>
      <w:pPr>
        <w:pStyle w:val="DefinedTerms"/>
      </w:pPr>
      <w:r>
        <w:t>proceedings</w:t>
      </w:r>
      <w:r>
        <w:tab/>
        <w:t>22(1A)</w:t>
      </w:r>
    </w:p>
    <w:p>
      <w:pPr>
        <w:pStyle w:val="DefinedTerms"/>
      </w:pPr>
      <w:r>
        <w:t>property manager</w:t>
      </w:r>
      <w:r>
        <w:tab/>
        <w:t>3</w:t>
      </w:r>
    </w:p>
    <w:p>
      <w:pPr>
        <w:pStyle w:val="DefinedTerms"/>
      </w:pPr>
      <w:r>
        <w:t>protected tenant</w:t>
      </w:r>
      <w:r>
        <w:tab/>
        <w:t>71AE(1)</w:t>
      </w:r>
    </w:p>
    <w:p>
      <w:pPr>
        <w:pStyle w:val="DefinedTerms"/>
      </w:pPr>
      <w:r>
        <w:t>public utility services</w:t>
      </w:r>
      <w:r>
        <w:tab/>
        <w:t>49A(1), 98(1)</w:t>
      </w:r>
    </w:p>
    <w:p>
      <w:pPr>
        <w:pStyle w:val="DefinedTerms"/>
      </w:pPr>
      <w:r>
        <w:t>reasonable grounds</w:t>
      </w:r>
      <w:r>
        <w:tab/>
        <w:t>3</w:t>
      </w:r>
    </w:p>
    <w:p>
      <w:pPr>
        <w:pStyle w:val="DefinedTerms"/>
      </w:pPr>
      <w:r>
        <w:t>reasonable time</w:t>
      </w:r>
      <w:r>
        <w:tab/>
        <w:t>46(1)</w:t>
      </w:r>
    </w:p>
    <w:p>
      <w:pPr>
        <w:pStyle w:val="DefinedTerms"/>
      </w:pPr>
      <w:r>
        <w:t>regulation 12BA</w:t>
      </w:r>
      <w:r>
        <w:tab/>
        <w:t>103(1)</w:t>
      </w:r>
    </w:p>
    <w:p>
      <w:pPr>
        <w:pStyle w:val="DefinedTerms"/>
      </w:pPr>
      <w:r>
        <w:t>regulation 12CA</w:t>
      </w:r>
      <w:r>
        <w:tab/>
        <w:t>103(1)</w:t>
      </w:r>
    </w:p>
    <w:p>
      <w:pPr>
        <w:pStyle w:val="DefinedTerms"/>
      </w:pPr>
      <w:r>
        <w:t>relevant entity</w:t>
      </w:r>
      <w:r>
        <w:tab/>
        <w:t>11AA(1)</w:t>
      </w:r>
    </w:p>
    <w:p>
      <w:pPr>
        <w:pStyle w:val="DefinedTerms"/>
      </w:pPr>
      <w:r>
        <w:t>rent</w:t>
      </w:r>
      <w:r>
        <w:tab/>
        <w:t>3</w:t>
      </w:r>
    </w:p>
    <w:p>
      <w:pPr>
        <w:pStyle w:val="DefinedTerms"/>
      </w:pPr>
      <w:r>
        <w:lastRenderedPageBreak/>
        <w:t>Rental Accommodation Account</w:t>
      </w:r>
      <w:r>
        <w:tab/>
        <w:t>3</w:t>
      </w:r>
    </w:p>
    <w:p>
      <w:pPr>
        <w:pStyle w:val="DefinedTerms"/>
      </w:pPr>
      <w:r>
        <w:t>representative entity</w:t>
      </w:r>
      <w:r>
        <w:tab/>
        <w:t>26B(1)</w:t>
      </w:r>
    </w:p>
    <w:p>
      <w:pPr>
        <w:pStyle w:val="DefinedTerms"/>
      </w:pPr>
      <w:r>
        <w:t>required act</w:t>
      </w:r>
      <w:r>
        <w:tab/>
        <w:t>86A(1)</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retaliatory action</w:t>
      </w:r>
      <w:r>
        <w:tab/>
        <w:t>3, 26A</w:t>
      </w:r>
    </w:p>
    <w:p>
      <w:pPr>
        <w:pStyle w:val="DefinedTerms"/>
      </w:pPr>
      <w:r>
        <w:t>scheme by-laws</w:t>
      </w:r>
      <w:r>
        <w:tab/>
        <w:t>3</w:t>
      </w:r>
    </w:p>
    <w:p>
      <w:pPr>
        <w:pStyle w:val="DefinedTerms"/>
      </w:pPr>
      <w:r>
        <w:t>security bond</w:t>
      </w:r>
      <w:r>
        <w:tab/>
        <w:t>3, 29(1A)</w:t>
      </w:r>
    </w:p>
    <w:p>
      <w:pPr>
        <w:pStyle w:val="DefinedTerms"/>
      </w:pPr>
      <w:r>
        <w:t>security bond held in an AFI</w:t>
      </w:r>
      <w:r>
        <w:tab/>
        <w:t>92</w:t>
      </w:r>
    </w:p>
    <w:p>
      <w:pPr>
        <w:pStyle w:val="DefinedTerms"/>
      </w:pPr>
      <w:r>
        <w:t>security bond refund amount</w:t>
      </w:r>
      <w:r>
        <w:tab/>
        <w:t>81M(2)</w:t>
      </w:r>
    </w:p>
    <w:p>
      <w:pPr>
        <w:pStyle w:val="DefinedTerms"/>
      </w:pPr>
      <w:r>
        <w:t>security bond release application</w:t>
      </w:r>
      <w:r>
        <w:tab/>
        <w:t>3, 81C(1)</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State Register of Heritage Places</w:t>
      </w:r>
      <w:r>
        <w:tab/>
        <w:t>3</w:t>
      </w:r>
    </w:p>
    <w:p>
      <w:pPr>
        <w:pStyle w:val="DefinedTerms"/>
      </w:pPr>
      <w:r>
        <w:t>strata company</w:t>
      </w:r>
      <w:r>
        <w:tab/>
        <w:t>3</w:t>
      </w:r>
    </w:p>
    <w:p>
      <w:pPr>
        <w:pStyle w:val="DefinedTerms"/>
      </w:pPr>
      <w:r>
        <w:t>strata titles scheme</w:t>
      </w:r>
      <w:r>
        <w:tab/>
        <w:t>3</w:t>
      </w:r>
    </w:p>
    <w:p>
      <w:pPr>
        <w:pStyle w:val="DefinedTerms"/>
      </w:pPr>
      <w:r>
        <w:t>suitable repairer</w:t>
      </w:r>
      <w:r>
        <w:tab/>
        <w:t>43(1)</w:t>
      </w:r>
    </w:p>
    <w:p>
      <w:pPr>
        <w:pStyle w:val="DefinedTerms"/>
      </w:pPr>
      <w:r>
        <w:t>tenancy</w:t>
      </w:r>
      <w:r>
        <w:tab/>
        <w:t>3</w:t>
      </w:r>
    </w:p>
    <w:p>
      <w:pPr>
        <w:pStyle w:val="DefinedTerms"/>
      </w:pPr>
      <w:r>
        <w:t>tenancy period</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terminating tenant</w:t>
      </w:r>
      <w:r>
        <w:tab/>
        <w:t>71AC(1)</w:t>
      </w:r>
    </w:p>
    <w:p>
      <w:pPr>
        <w:pStyle w:val="DefinedTerms"/>
      </w:pPr>
      <w:r>
        <w:t>urgent repairs</w:t>
      </w:r>
      <w:r>
        <w:tab/>
        <w:t>43(1)</w:t>
      </w:r>
    </w:p>
    <w:p>
      <w:pPr>
        <w:pStyle w:val="DefinedTerms"/>
      </w:pPr>
      <w:r>
        <w:t>validation period</w:t>
      </w:r>
      <w:r>
        <w:tab/>
        <w:t>103(1)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rPr>
          <w:rFonts w:ascii="Arial" w:hAnsi="Arial" w:cs="Arial"/>
          <w:szCs w:val="24"/>
        </w:rPr>
      </w:pPr>
      <w:r>
        <w:rPr>
          <w:rFonts w:ascii="Arial" w:hAnsi="Arial" w:cs="Arial"/>
          <w:noProof/>
          <w:szCs w:val="24"/>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oel="http://schemas.microsoft.com/office/2019/extlst">
            <w:pict>
              <v:shapetype w14:anchorId="660B21E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3C0DB89" w14:textId="50B4A299" w:rsidR="00B135BD" w:rsidRDefault="00B135B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F5CF1">
                        <w:rPr>
                          <w:sz w:val="16"/>
                        </w:rPr>
                        <w:t>2026</w:t>
                      </w:r>
                      <w:r>
                        <w:rPr>
                          <w:sz w:val="16"/>
                        </w:rPr>
                        <w:fldChar w:fldCharType="end"/>
                      </w:r>
                      <w:r>
                        <w:rPr>
                          <w:sz w:val="16"/>
                        </w:rPr>
                        <w:t>.</w:t>
                      </w:r>
                    </w:p>
                    <w:p w14:paraId="28B2F9C0" w14:textId="77777777" w:rsidR="00B135BD" w:rsidRDefault="00B135B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241290" w14:textId="420BAF6B" w:rsidR="00B135BD" w:rsidRDefault="00B135B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F5CF1">
                        <w:rPr>
                          <w:sz w:val="16"/>
                        </w:rPr>
                        <w:t>2026</w:t>
                      </w:r>
                      <w:r>
                        <w:rPr>
                          <w:sz w:val="16"/>
                        </w:rPr>
                        <w:fldChar w:fldCharType="end"/>
                      </w:r>
                      <w:r>
                        <w:rPr>
                          <w:sz w:val="16"/>
                        </w:rPr>
                        <w:t>.</w:t>
                      </w:r>
                    </w:p>
                    <w:p w14:paraId="03E91A06" w14:textId="77777777" w:rsidR="00B135BD" w:rsidRDefault="00B135B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bookmarkStart w:id="579" w:name="Schedule"/>
    <w:bookmarkEnd w:id="5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89" w:name="Compilation"/>
    <w:bookmarkEnd w:id="58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1" w:name="DefinedTerms"/>
    <w:bookmarkEnd w:id="59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2" w:name="Coversheet"/>
    <w:bookmarkEnd w:id="5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3134311"/>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 w:name="WAFER_20210623120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152_GUID" w:val="a24fb2fc-4cdd-486d-8a7f-d86ce6a73a8e"/>
    <w:docVar w:name="WAFER_20210623120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214_GUID" w:val="86d21f55-5697-4677-af7b-5985647a374b"/>
    <w:docVar w:name="WAFER_2021113016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3612_GUID" w:val="32a7de37-779c-4dce-8a07-1fb2f70b0182"/>
    <w:docVar w:name="WAFER_20220124103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3919_GUID" w:val="1c01a689-e8be-4f60-9e3e-93b2b4cf221b"/>
    <w:docVar w:name="WAFER_20220408144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11_GUID" w:val="b86e1f85-03a5-45fa-a458-12c96bc2c546"/>
    <w:docVar w:name="WAFER_2024042212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2122209_GUID" w:val="22975788-c23f-4574-9d91-43d93188f4a6"/>
    <w:docVar w:name="WAFER_20240509114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14904_GUID" w:val="fc7209c9-fd76-4836-b6d3-2f3dd3920beb"/>
    <w:docVar w:name="WAFER_20240509114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14925_GUID" w:val="65716311-7128-4408-8e4e-3374a3e4316d"/>
    <w:docVar w:name="WAFER_20240705163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63404_GUID" w:val="a946490c-47be-4667-88f4-874e95f130d5"/>
    <w:docVar w:name="WAFER_202407121046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2104633_GUID" w:val="0e2ea5e4-5358-425c-9553-8873569ff32f"/>
    <w:docVar w:name="WAFER_20260313113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3113404_GUID" w:val="027a9b31-9428-4b9a-adfc-28f1466be192"/>
    <w:docVar w:name="WAFER_2026032313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23134311_GUID" w:val="6bbcd7a9-8498-44ae-bbdf-750ec144f6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6FED-7E99-414D-9728-BED23C34C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55568</Words>
  <Characters>265065</Characters>
  <Application>Microsoft Office Word</Application>
  <DocSecurity>0</DocSecurity>
  <Lines>6975</Lines>
  <Paragraphs>3958</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316675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1987 - 06-u0-00</dc:title>
  <dc:subject/>
  <dc:creator/>
  <cp:keywords/>
  <dc:description/>
  <cp:lastModifiedBy>Master Repository Process</cp:lastModifiedBy>
  <cp:revision>4</cp:revision>
  <cp:lastPrinted>2019-04-15T08:42:00Z</cp:lastPrinted>
  <dcterms:created xsi:type="dcterms:W3CDTF">2026-03-27T04:01:00Z</dcterms:created>
  <dcterms:modified xsi:type="dcterms:W3CDTF">2026-03-27T04:01:00Z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AsAtDate">
    <vt:lpwstr>28 Mar 2026</vt:lpwstr>
  </property>
  <property fmtid="{D5CDD505-2E9C-101B-9397-08002B2CF9AE}" pid="8" name="Suffix">
    <vt:lpwstr>06-u0-00</vt:lpwstr>
  </property>
  <property fmtid="{D5CDD505-2E9C-101B-9397-08002B2CF9AE}" pid="9" name="Official">
    <vt:lpwstr/>
  </property>
  <property fmtid="{D5CDD505-2E9C-101B-9397-08002B2CF9AE}" pid="10" name="CommencementDate">
    <vt:lpwstr>20260328</vt:lpwstr>
  </property>
  <property fmtid="{D5CDD505-2E9C-101B-9397-08002B2CF9AE}" pid="11" name="CommencementAsAt">
    <vt:filetime>2026-03-27T16:00:00Z</vt:filetime>
  </property>
  <property fmtid="{D5CDD505-2E9C-101B-9397-08002B2CF9AE}" pid="12" name="CommencementYear">
    <vt:lpwstr>2026</vt:lpwstr>
  </property>
</Properties>
</file>